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04BAF3" w14:textId="37B8E23D" w:rsidR="00C3264D" w:rsidRDefault="00C028EC" w:rsidP="00C028EC">
      <w:pPr>
        <w:pStyle w:val="Pagedecouverture"/>
      </w:pPr>
      <w:bookmarkStart w:id="0" w:name="LW_BM_COVERPAGE"/>
      <w:bookmarkStart w:id="1" w:name="_GoBack"/>
      <w:bookmarkEnd w:id="1"/>
      <w:r>
        <w:pict w14:anchorId="5C0FBC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alt="D8F1BC9B-8EEE-485D-B85B-12482A0BD59C" style="width:450.75pt;height:510pt">
            <v:imagedata r:id="rId8" o:title=""/>
          </v:shape>
        </w:pict>
      </w:r>
    </w:p>
    <w:bookmarkEnd w:id="0"/>
    <w:p w14:paraId="5484EB9F" w14:textId="77777777" w:rsidR="00C3264D" w:rsidRDefault="00C3264D">
      <w:pPr>
        <w:sectPr w:rsidR="00C3264D" w:rsidSect="00C028EC">
          <w:headerReference w:type="even" r:id="rId9"/>
          <w:headerReference w:type="default" r:id="rId10"/>
          <w:footerReference w:type="even" r:id="rId11"/>
          <w:footerReference w:type="default" r:id="rId12"/>
          <w:headerReference w:type="first" r:id="rId13"/>
          <w:footerReference w:type="first" r:id="rId14"/>
          <w:pgSz w:w="11906" w:h="16838"/>
          <w:pgMar w:top="1134" w:right="1417" w:bottom="1134" w:left="1417" w:header="709" w:footer="709" w:gutter="0"/>
          <w:pgNumType w:start="1"/>
          <w:cols w:space="720"/>
          <w:docGrid w:linePitch="360"/>
        </w:sectPr>
      </w:pPr>
    </w:p>
    <w:sdt>
      <w:sdtPr>
        <w:rPr>
          <w:rFonts w:ascii="Calibri" w:eastAsia="Calibri" w:hAnsi="Calibri"/>
          <w:b w:val="0"/>
          <w:bCs w:val="0"/>
          <w:color w:val="auto"/>
          <w:sz w:val="22"/>
          <w:szCs w:val="22"/>
          <w:lang w:eastAsia="en-US"/>
        </w:rPr>
        <w:id w:val="-1133089857"/>
        <w:docPartObj>
          <w:docPartGallery w:val="Table of Contents"/>
          <w:docPartUnique/>
        </w:docPartObj>
      </w:sdtPr>
      <w:sdtEndPr>
        <w:rPr>
          <w:rFonts w:ascii="Times New Roman" w:hAnsi="Times New Roman"/>
        </w:rPr>
      </w:sdtEndPr>
      <w:sdtContent>
        <w:p w14:paraId="0A500975" w14:textId="1012923A" w:rsidR="00C3264D" w:rsidRPr="004D64EF" w:rsidRDefault="003A348D">
          <w:pPr>
            <w:pStyle w:val="TOCHeading"/>
            <w:rPr>
              <w:rFonts w:ascii="Times New Roman" w:hAnsi="Times New Roman"/>
              <w:color w:val="auto"/>
              <w:sz w:val="24"/>
              <w:szCs w:val="24"/>
            </w:rPr>
          </w:pPr>
          <w:r w:rsidRPr="004D64EF">
            <w:rPr>
              <w:rFonts w:ascii="Times New Roman" w:hAnsi="Times New Roman"/>
              <w:color w:val="auto"/>
              <w:sz w:val="24"/>
              <w:szCs w:val="24"/>
            </w:rPr>
            <w:t>С</w:t>
          </w:r>
          <w:r w:rsidR="00FE6183" w:rsidRPr="004D64EF">
            <w:rPr>
              <w:rFonts w:ascii="Times New Roman" w:hAnsi="Times New Roman"/>
              <w:color w:val="auto"/>
              <w:sz w:val="24"/>
              <w:szCs w:val="24"/>
            </w:rPr>
            <w:t>ъдържание</w:t>
          </w:r>
        </w:p>
        <w:p w14:paraId="6E44C04A" w14:textId="244A79FA" w:rsidR="00FE6183" w:rsidRPr="004D64EF" w:rsidRDefault="000A23BB">
          <w:pPr>
            <w:pStyle w:val="TOC1"/>
            <w:rPr>
              <w:rFonts w:ascii="Times New Roman" w:eastAsiaTheme="minorEastAsia" w:hAnsi="Times New Roman"/>
              <w:noProof/>
              <w:sz w:val="24"/>
              <w:szCs w:val="24"/>
              <w:lang w:val="en-US"/>
            </w:rPr>
          </w:pPr>
          <w:r w:rsidRPr="004D64EF">
            <w:rPr>
              <w:rFonts w:ascii="Times New Roman" w:hAnsi="Times New Roman"/>
              <w:b/>
              <w:bCs/>
              <w:sz w:val="24"/>
              <w:szCs w:val="24"/>
            </w:rPr>
            <w:fldChar w:fldCharType="begin"/>
          </w:r>
          <w:r w:rsidRPr="004D64EF">
            <w:rPr>
              <w:rFonts w:ascii="Times New Roman" w:hAnsi="Times New Roman"/>
              <w:b/>
              <w:bCs/>
              <w:sz w:val="24"/>
              <w:szCs w:val="24"/>
            </w:rPr>
            <w:instrText xml:space="preserve"> TOC \o "1-5" \h \z \u </w:instrText>
          </w:r>
          <w:r w:rsidRPr="004D64EF">
            <w:rPr>
              <w:rFonts w:ascii="Times New Roman" w:hAnsi="Times New Roman"/>
              <w:b/>
              <w:bCs/>
              <w:sz w:val="24"/>
              <w:szCs w:val="24"/>
            </w:rPr>
            <w:fldChar w:fldCharType="separate"/>
          </w:r>
          <w:hyperlink w:anchor="_Toc28015573" w:history="1">
            <w:r w:rsidR="00FE6183" w:rsidRPr="004D64EF">
              <w:rPr>
                <w:rStyle w:val="Hyperlink"/>
                <w:rFonts w:ascii="Times New Roman" w:hAnsi="Times New Roman"/>
                <w:noProof/>
                <w:sz w:val="24"/>
                <w:szCs w:val="24"/>
              </w:rPr>
              <w:t>Списък на акронимите и съкращенията</w:t>
            </w:r>
            <w:r w:rsidR="00FE6183" w:rsidRPr="004D64EF">
              <w:rPr>
                <w:rFonts w:ascii="Times New Roman" w:hAnsi="Times New Roman"/>
                <w:noProof/>
                <w:webHidden/>
                <w:sz w:val="24"/>
                <w:szCs w:val="24"/>
              </w:rPr>
              <w:tab/>
            </w:r>
            <w:r w:rsidR="00FE6183" w:rsidRPr="004D64EF">
              <w:rPr>
                <w:rFonts w:ascii="Times New Roman" w:hAnsi="Times New Roman"/>
                <w:noProof/>
                <w:webHidden/>
                <w:sz w:val="24"/>
                <w:szCs w:val="24"/>
              </w:rPr>
              <w:fldChar w:fldCharType="begin"/>
            </w:r>
            <w:r w:rsidR="00FE6183" w:rsidRPr="004D64EF">
              <w:rPr>
                <w:rFonts w:ascii="Times New Roman" w:hAnsi="Times New Roman"/>
                <w:noProof/>
                <w:webHidden/>
                <w:sz w:val="24"/>
                <w:szCs w:val="24"/>
              </w:rPr>
              <w:instrText xml:space="preserve"> PAGEREF _Toc28015573 \h </w:instrText>
            </w:r>
            <w:r w:rsidR="00FE6183" w:rsidRPr="004D64EF">
              <w:rPr>
                <w:rFonts w:ascii="Times New Roman" w:hAnsi="Times New Roman"/>
                <w:noProof/>
                <w:webHidden/>
                <w:sz w:val="24"/>
                <w:szCs w:val="24"/>
              </w:rPr>
            </w:r>
            <w:r w:rsidR="00FE6183" w:rsidRPr="004D64EF">
              <w:rPr>
                <w:rFonts w:ascii="Times New Roman" w:hAnsi="Times New Roman"/>
                <w:noProof/>
                <w:webHidden/>
                <w:sz w:val="24"/>
                <w:szCs w:val="24"/>
              </w:rPr>
              <w:fldChar w:fldCharType="separate"/>
            </w:r>
            <w:r w:rsidR="00FE6183" w:rsidRPr="004D64EF">
              <w:rPr>
                <w:rFonts w:ascii="Times New Roman" w:hAnsi="Times New Roman"/>
                <w:noProof/>
                <w:webHidden/>
                <w:sz w:val="24"/>
                <w:szCs w:val="24"/>
              </w:rPr>
              <w:t>2</w:t>
            </w:r>
            <w:r w:rsidR="00FE6183" w:rsidRPr="004D64EF">
              <w:rPr>
                <w:rFonts w:ascii="Times New Roman" w:hAnsi="Times New Roman"/>
                <w:noProof/>
                <w:webHidden/>
                <w:sz w:val="24"/>
                <w:szCs w:val="24"/>
              </w:rPr>
              <w:fldChar w:fldCharType="end"/>
            </w:r>
          </w:hyperlink>
        </w:p>
        <w:p w14:paraId="5E91BA03" w14:textId="263DE5F9" w:rsidR="00FE6183" w:rsidRPr="004D64EF" w:rsidRDefault="00C028EC">
          <w:pPr>
            <w:pStyle w:val="TOC1"/>
            <w:rPr>
              <w:rFonts w:ascii="Times New Roman" w:eastAsiaTheme="minorEastAsia" w:hAnsi="Times New Roman"/>
              <w:noProof/>
              <w:sz w:val="24"/>
              <w:szCs w:val="24"/>
              <w:lang w:val="en-US"/>
            </w:rPr>
          </w:pPr>
          <w:hyperlink w:anchor="_Toc28015574" w:history="1">
            <w:r w:rsidR="00FE6183" w:rsidRPr="004D64EF">
              <w:rPr>
                <w:rStyle w:val="Hyperlink"/>
                <w:rFonts w:ascii="Times New Roman" w:hAnsi="Times New Roman"/>
                <w:noProof/>
                <w:sz w:val="24"/>
                <w:szCs w:val="24"/>
              </w:rPr>
              <w:t>РЕЗЮМЕ</w:t>
            </w:r>
            <w:r w:rsidR="00FE6183" w:rsidRPr="004D64EF">
              <w:rPr>
                <w:rFonts w:ascii="Times New Roman" w:hAnsi="Times New Roman"/>
                <w:noProof/>
                <w:webHidden/>
                <w:sz w:val="24"/>
                <w:szCs w:val="24"/>
              </w:rPr>
              <w:tab/>
            </w:r>
            <w:r w:rsidR="00FE6183" w:rsidRPr="004D64EF">
              <w:rPr>
                <w:rFonts w:ascii="Times New Roman" w:hAnsi="Times New Roman"/>
                <w:noProof/>
                <w:webHidden/>
                <w:sz w:val="24"/>
                <w:szCs w:val="24"/>
              </w:rPr>
              <w:fldChar w:fldCharType="begin"/>
            </w:r>
            <w:r w:rsidR="00FE6183" w:rsidRPr="004D64EF">
              <w:rPr>
                <w:rFonts w:ascii="Times New Roman" w:hAnsi="Times New Roman"/>
                <w:noProof/>
                <w:webHidden/>
                <w:sz w:val="24"/>
                <w:szCs w:val="24"/>
              </w:rPr>
              <w:instrText xml:space="preserve"> PAGEREF _Toc28015574 \h </w:instrText>
            </w:r>
            <w:r w:rsidR="00FE6183" w:rsidRPr="004D64EF">
              <w:rPr>
                <w:rFonts w:ascii="Times New Roman" w:hAnsi="Times New Roman"/>
                <w:noProof/>
                <w:webHidden/>
                <w:sz w:val="24"/>
                <w:szCs w:val="24"/>
              </w:rPr>
            </w:r>
            <w:r w:rsidR="00FE6183" w:rsidRPr="004D64EF">
              <w:rPr>
                <w:rFonts w:ascii="Times New Roman" w:hAnsi="Times New Roman"/>
                <w:noProof/>
                <w:webHidden/>
                <w:sz w:val="24"/>
                <w:szCs w:val="24"/>
              </w:rPr>
              <w:fldChar w:fldCharType="separate"/>
            </w:r>
            <w:r w:rsidR="00FE6183" w:rsidRPr="004D64EF">
              <w:rPr>
                <w:rFonts w:ascii="Times New Roman" w:hAnsi="Times New Roman"/>
                <w:noProof/>
                <w:webHidden/>
                <w:sz w:val="24"/>
                <w:szCs w:val="24"/>
              </w:rPr>
              <w:t>4</w:t>
            </w:r>
            <w:r w:rsidR="00FE6183" w:rsidRPr="004D64EF">
              <w:rPr>
                <w:rFonts w:ascii="Times New Roman" w:hAnsi="Times New Roman"/>
                <w:noProof/>
                <w:webHidden/>
                <w:sz w:val="24"/>
                <w:szCs w:val="24"/>
              </w:rPr>
              <w:fldChar w:fldCharType="end"/>
            </w:r>
          </w:hyperlink>
        </w:p>
        <w:p w14:paraId="1799EAEC" w14:textId="799F193F" w:rsidR="00FE6183" w:rsidRPr="004D64EF" w:rsidRDefault="00C028EC">
          <w:pPr>
            <w:pStyle w:val="TOC1"/>
            <w:rPr>
              <w:rFonts w:ascii="Times New Roman" w:eastAsiaTheme="minorEastAsia" w:hAnsi="Times New Roman"/>
              <w:noProof/>
              <w:sz w:val="24"/>
              <w:szCs w:val="24"/>
              <w:lang w:val="en-US"/>
            </w:rPr>
          </w:pPr>
          <w:hyperlink w:anchor="_Toc28015575" w:history="1">
            <w:r w:rsidR="00FE6183" w:rsidRPr="004D64EF">
              <w:rPr>
                <w:rStyle w:val="Hyperlink"/>
                <w:rFonts w:ascii="Times New Roman" w:hAnsi="Times New Roman"/>
                <w:noProof/>
                <w:sz w:val="24"/>
                <w:szCs w:val="24"/>
              </w:rPr>
              <w:t>1. ВЪВЕДЕНИЕ</w:t>
            </w:r>
            <w:r w:rsidR="00FE6183" w:rsidRPr="004D64EF">
              <w:rPr>
                <w:rFonts w:ascii="Times New Roman" w:hAnsi="Times New Roman"/>
                <w:noProof/>
                <w:webHidden/>
                <w:sz w:val="24"/>
                <w:szCs w:val="24"/>
              </w:rPr>
              <w:tab/>
            </w:r>
            <w:r w:rsidR="00FE6183" w:rsidRPr="004D64EF">
              <w:rPr>
                <w:rFonts w:ascii="Times New Roman" w:hAnsi="Times New Roman"/>
                <w:noProof/>
                <w:webHidden/>
                <w:sz w:val="24"/>
                <w:szCs w:val="24"/>
              </w:rPr>
              <w:fldChar w:fldCharType="begin"/>
            </w:r>
            <w:r w:rsidR="00FE6183" w:rsidRPr="004D64EF">
              <w:rPr>
                <w:rFonts w:ascii="Times New Roman" w:hAnsi="Times New Roman"/>
                <w:noProof/>
                <w:webHidden/>
                <w:sz w:val="24"/>
                <w:szCs w:val="24"/>
              </w:rPr>
              <w:instrText xml:space="preserve"> PAGEREF _Toc28015575 \h </w:instrText>
            </w:r>
            <w:r w:rsidR="00FE6183" w:rsidRPr="004D64EF">
              <w:rPr>
                <w:rFonts w:ascii="Times New Roman" w:hAnsi="Times New Roman"/>
                <w:noProof/>
                <w:webHidden/>
                <w:sz w:val="24"/>
                <w:szCs w:val="24"/>
              </w:rPr>
            </w:r>
            <w:r w:rsidR="00FE6183" w:rsidRPr="004D64EF">
              <w:rPr>
                <w:rFonts w:ascii="Times New Roman" w:hAnsi="Times New Roman"/>
                <w:noProof/>
                <w:webHidden/>
                <w:sz w:val="24"/>
                <w:szCs w:val="24"/>
              </w:rPr>
              <w:fldChar w:fldCharType="separate"/>
            </w:r>
            <w:r w:rsidR="00FE6183" w:rsidRPr="004D64EF">
              <w:rPr>
                <w:rFonts w:ascii="Times New Roman" w:hAnsi="Times New Roman"/>
                <w:noProof/>
                <w:webHidden/>
                <w:sz w:val="24"/>
                <w:szCs w:val="24"/>
              </w:rPr>
              <w:t>5</w:t>
            </w:r>
            <w:r w:rsidR="00FE6183" w:rsidRPr="004D64EF">
              <w:rPr>
                <w:rFonts w:ascii="Times New Roman" w:hAnsi="Times New Roman"/>
                <w:noProof/>
                <w:webHidden/>
                <w:sz w:val="24"/>
                <w:szCs w:val="24"/>
              </w:rPr>
              <w:fldChar w:fldCharType="end"/>
            </w:r>
          </w:hyperlink>
        </w:p>
        <w:p w14:paraId="06D60D72" w14:textId="484F5842" w:rsidR="00FE6183" w:rsidRPr="004D64EF" w:rsidRDefault="00C028EC">
          <w:pPr>
            <w:pStyle w:val="TOC1"/>
            <w:rPr>
              <w:rFonts w:ascii="Times New Roman" w:eastAsiaTheme="minorEastAsia" w:hAnsi="Times New Roman"/>
              <w:noProof/>
              <w:sz w:val="24"/>
              <w:szCs w:val="24"/>
              <w:lang w:val="en-US"/>
            </w:rPr>
          </w:pPr>
          <w:hyperlink w:anchor="_Toc28015576" w:history="1">
            <w:r w:rsidR="00FE6183" w:rsidRPr="004D64EF">
              <w:rPr>
                <w:rStyle w:val="Hyperlink"/>
                <w:rFonts w:ascii="Times New Roman" w:hAnsi="Times New Roman"/>
                <w:noProof/>
                <w:sz w:val="24"/>
                <w:szCs w:val="24"/>
              </w:rPr>
              <w:t>2.1 Обхванати дейности, инсталации и оператори на въздухоплавателни средства</w:t>
            </w:r>
            <w:r w:rsidR="00FE6183" w:rsidRPr="004D64EF">
              <w:rPr>
                <w:rFonts w:ascii="Times New Roman" w:hAnsi="Times New Roman"/>
                <w:noProof/>
                <w:webHidden/>
                <w:sz w:val="24"/>
                <w:szCs w:val="24"/>
              </w:rPr>
              <w:tab/>
            </w:r>
            <w:r w:rsidR="00FE6183" w:rsidRPr="004D64EF">
              <w:rPr>
                <w:rFonts w:ascii="Times New Roman" w:hAnsi="Times New Roman"/>
                <w:noProof/>
                <w:webHidden/>
                <w:sz w:val="24"/>
                <w:szCs w:val="24"/>
              </w:rPr>
              <w:fldChar w:fldCharType="begin"/>
            </w:r>
            <w:r w:rsidR="00FE6183" w:rsidRPr="004D64EF">
              <w:rPr>
                <w:rFonts w:ascii="Times New Roman" w:hAnsi="Times New Roman"/>
                <w:noProof/>
                <w:webHidden/>
                <w:sz w:val="24"/>
                <w:szCs w:val="24"/>
              </w:rPr>
              <w:instrText xml:space="preserve"> PAGEREF _Toc28015576 \h </w:instrText>
            </w:r>
            <w:r w:rsidR="00FE6183" w:rsidRPr="004D64EF">
              <w:rPr>
                <w:rFonts w:ascii="Times New Roman" w:hAnsi="Times New Roman"/>
                <w:noProof/>
                <w:webHidden/>
                <w:sz w:val="24"/>
                <w:szCs w:val="24"/>
              </w:rPr>
            </w:r>
            <w:r w:rsidR="00FE6183" w:rsidRPr="004D64EF">
              <w:rPr>
                <w:rFonts w:ascii="Times New Roman" w:hAnsi="Times New Roman"/>
                <w:noProof/>
                <w:webHidden/>
                <w:sz w:val="24"/>
                <w:szCs w:val="24"/>
              </w:rPr>
              <w:fldChar w:fldCharType="separate"/>
            </w:r>
            <w:r w:rsidR="00FE6183" w:rsidRPr="004D64EF">
              <w:rPr>
                <w:rFonts w:ascii="Times New Roman" w:hAnsi="Times New Roman"/>
                <w:noProof/>
                <w:webHidden/>
                <w:sz w:val="24"/>
                <w:szCs w:val="24"/>
              </w:rPr>
              <w:t>7</w:t>
            </w:r>
            <w:r w:rsidR="00FE6183" w:rsidRPr="004D64EF">
              <w:rPr>
                <w:rFonts w:ascii="Times New Roman" w:hAnsi="Times New Roman"/>
                <w:noProof/>
                <w:webHidden/>
                <w:sz w:val="24"/>
                <w:szCs w:val="24"/>
              </w:rPr>
              <w:fldChar w:fldCharType="end"/>
            </w:r>
          </w:hyperlink>
        </w:p>
        <w:p w14:paraId="5CCE7A3F" w14:textId="07A7D215" w:rsidR="00FE6183" w:rsidRPr="004D64EF" w:rsidRDefault="00C028EC">
          <w:pPr>
            <w:pStyle w:val="TOC1"/>
            <w:rPr>
              <w:rFonts w:ascii="Times New Roman" w:eastAsiaTheme="minorEastAsia" w:hAnsi="Times New Roman"/>
              <w:noProof/>
              <w:sz w:val="24"/>
              <w:szCs w:val="24"/>
              <w:lang w:val="en-US"/>
            </w:rPr>
          </w:pPr>
          <w:hyperlink w:anchor="_Toc28015577" w:history="1">
            <w:r w:rsidR="00FE6183" w:rsidRPr="004D64EF">
              <w:rPr>
                <w:rStyle w:val="Hyperlink"/>
                <w:rFonts w:ascii="Times New Roman" w:hAnsi="Times New Roman"/>
                <w:noProof/>
                <w:sz w:val="24"/>
                <w:szCs w:val="24"/>
              </w:rPr>
              <w:t>2.2 Регистър на ЕС и Дневник на ЕС за трансакциите (EUTL)</w:t>
            </w:r>
            <w:r w:rsidR="00FE6183" w:rsidRPr="004D64EF">
              <w:rPr>
                <w:rFonts w:ascii="Times New Roman" w:hAnsi="Times New Roman"/>
                <w:noProof/>
                <w:webHidden/>
                <w:sz w:val="24"/>
                <w:szCs w:val="24"/>
              </w:rPr>
              <w:tab/>
            </w:r>
            <w:r w:rsidR="00FE6183" w:rsidRPr="004D64EF">
              <w:rPr>
                <w:rFonts w:ascii="Times New Roman" w:hAnsi="Times New Roman"/>
                <w:noProof/>
                <w:webHidden/>
                <w:sz w:val="24"/>
                <w:szCs w:val="24"/>
              </w:rPr>
              <w:fldChar w:fldCharType="begin"/>
            </w:r>
            <w:r w:rsidR="00FE6183" w:rsidRPr="004D64EF">
              <w:rPr>
                <w:rFonts w:ascii="Times New Roman" w:hAnsi="Times New Roman"/>
                <w:noProof/>
                <w:webHidden/>
                <w:sz w:val="24"/>
                <w:szCs w:val="24"/>
              </w:rPr>
              <w:instrText xml:space="preserve"> PAGEREF _Toc28015577 \h </w:instrText>
            </w:r>
            <w:r w:rsidR="00FE6183" w:rsidRPr="004D64EF">
              <w:rPr>
                <w:rFonts w:ascii="Times New Roman" w:hAnsi="Times New Roman"/>
                <w:noProof/>
                <w:webHidden/>
                <w:sz w:val="24"/>
                <w:szCs w:val="24"/>
              </w:rPr>
            </w:r>
            <w:r w:rsidR="00FE6183" w:rsidRPr="004D64EF">
              <w:rPr>
                <w:rFonts w:ascii="Times New Roman" w:hAnsi="Times New Roman"/>
                <w:noProof/>
                <w:webHidden/>
                <w:sz w:val="24"/>
                <w:szCs w:val="24"/>
              </w:rPr>
              <w:fldChar w:fldCharType="separate"/>
            </w:r>
            <w:r w:rsidR="00FE6183" w:rsidRPr="004D64EF">
              <w:rPr>
                <w:rFonts w:ascii="Times New Roman" w:hAnsi="Times New Roman"/>
                <w:noProof/>
                <w:webHidden/>
                <w:sz w:val="24"/>
                <w:szCs w:val="24"/>
              </w:rPr>
              <w:t>9</w:t>
            </w:r>
            <w:r w:rsidR="00FE6183" w:rsidRPr="004D64EF">
              <w:rPr>
                <w:rFonts w:ascii="Times New Roman" w:hAnsi="Times New Roman"/>
                <w:noProof/>
                <w:webHidden/>
                <w:sz w:val="24"/>
                <w:szCs w:val="24"/>
              </w:rPr>
              <w:fldChar w:fldCharType="end"/>
            </w:r>
          </w:hyperlink>
        </w:p>
        <w:p w14:paraId="7834A6B0" w14:textId="525156B0" w:rsidR="00FE6183" w:rsidRPr="004D64EF" w:rsidRDefault="00C028EC">
          <w:pPr>
            <w:pStyle w:val="TOC1"/>
            <w:rPr>
              <w:rFonts w:ascii="Times New Roman" w:eastAsiaTheme="minorEastAsia" w:hAnsi="Times New Roman"/>
              <w:noProof/>
              <w:sz w:val="24"/>
              <w:szCs w:val="24"/>
              <w:lang w:val="en-US"/>
            </w:rPr>
          </w:pPr>
          <w:hyperlink w:anchor="_Toc28015578" w:history="1">
            <w:r w:rsidR="00FE6183" w:rsidRPr="004D64EF">
              <w:rPr>
                <w:rStyle w:val="Hyperlink"/>
                <w:rFonts w:ascii="Times New Roman" w:hAnsi="Times New Roman"/>
                <w:noProof/>
                <w:sz w:val="24"/>
                <w:szCs w:val="24"/>
              </w:rPr>
              <w:t>3. ФУНКЦИОНИРАНЕ НА ПАЗАРА НА ВЪГЛЕРОДНИ ЕМИСИИ ПРЕЗ 2018 Г.</w:t>
            </w:r>
            <w:r w:rsidR="00FE6183" w:rsidRPr="004D64EF">
              <w:rPr>
                <w:rFonts w:ascii="Times New Roman" w:hAnsi="Times New Roman"/>
                <w:noProof/>
                <w:webHidden/>
                <w:sz w:val="24"/>
                <w:szCs w:val="24"/>
              </w:rPr>
              <w:tab/>
            </w:r>
            <w:r w:rsidR="00FE6183" w:rsidRPr="004D64EF">
              <w:rPr>
                <w:rFonts w:ascii="Times New Roman" w:hAnsi="Times New Roman"/>
                <w:noProof/>
                <w:webHidden/>
                <w:sz w:val="24"/>
                <w:szCs w:val="24"/>
              </w:rPr>
              <w:fldChar w:fldCharType="begin"/>
            </w:r>
            <w:r w:rsidR="00FE6183" w:rsidRPr="004D64EF">
              <w:rPr>
                <w:rFonts w:ascii="Times New Roman" w:hAnsi="Times New Roman"/>
                <w:noProof/>
                <w:webHidden/>
                <w:sz w:val="24"/>
                <w:szCs w:val="24"/>
              </w:rPr>
              <w:instrText xml:space="preserve"> PAGEREF _Toc28015578 \h </w:instrText>
            </w:r>
            <w:r w:rsidR="00FE6183" w:rsidRPr="004D64EF">
              <w:rPr>
                <w:rFonts w:ascii="Times New Roman" w:hAnsi="Times New Roman"/>
                <w:noProof/>
                <w:webHidden/>
                <w:sz w:val="24"/>
                <w:szCs w:val="24"/>
              </w:rPr>
            </w:r>
            <w:r w:rsidR="00FE6183" w:rsidRPr="004D64EF">
              <w:rPr>
                <w:rFonts w:ascii="Times New Roman" w:hAnsi="Times New Roman"/>
                <w:noProof/>
                <w:webHidden/>
                <w:sz w:val="24"/>
                <w:szCs w:val="24"/>
              </w:rPr>
              <w:fldChar w:fldCharType="separate"/>
            </w:r>
            <w:r w:rsidR="00FE6183" w:rsidRPr="004D64EF">
              <w:rPr>
                <w:rFonts w:ascii="Times New Roman" w:hAnsi="Times New Roman"/>
                <w:noProof/>
                <w:webHidden/>
                <w:sz w:val="24"/>
                <w:szCs w:val="24"/>
              </w:rPr>
              <w:t>10</w:t>
            </w:r>
            <w:r w:rsidR="00FE6183" w:rsidRPr="004D64EF">
              <w:rPr>
                <w:rFonts w:ascii="Times New Roman" w:hAnsi="Times New Roman"/>
                <w:noProof/>
                <w:webHidden/>
                <w:sz w:val="24"/>
                <w:szCs w:val="24"/>
              </w:rPr>
              <w:fldChar w:fldCharType="end"/>
            </w:r>
          </w:hyperlink>
        </w:p>
        <w:p w14:paraId="16EBAC0B" w14:textId="2A2ADBA5" w:rsidR="00FE6183" w:rsidRPr="004D64EF" w:rsidRDefault="00C028EC">
          <w:pPr>
            <w:pStyle w:val="TOC2"/>
            <w:tabs>
              <w:tab w:val="right" w:leader="dot" w:pos="9016"/>
            </w:tabs>
            <w:rPr>
              <w:rFonts w:ascii="Times New Roman" w:eastAsiaTheme="minorEastAsia" w:hAnsi="Times New Roman"/>
              <w:noProof/>
              <w:sz w:val="24"/>
              <w:szCs w:val="24"/>
              <w:lang w:val="en-US"/>
            </w:rPr>
          </w:pPr>
          <w:hyperlink w:anchor="_Toc28015579" w:history="1">
            <w:r w:rsidR="00FE6183" w:rsidRPr="004D64EF">
              <w:rPr>
                <w:rStyle w:val="Hyperlink"/>
                <w:rFonts w:ascii="Times New Roman" w:hAnsi="Times New Roman"/>
                <w:noProof/>
                <w:sz w:val="24"/>
                <w:szCs w:val="24"/>
              </w:rPr>
              <w:t>3.1. Предлагане: квоти, пуснати в обръщение</w:t>
            </w:r>
            <w:r w:rsidR="00FE6183" w:rsidRPr="004D64EF">
              <w:rPr>
                <w:rFonts w:ascii="Times New Roman" w:hAnsi="Times New Roman"/>
                <w:noProof/>
                <w:webHidden/>
                <w:sz w:val="24"/>
                <w:szCs w:val="24"/>
              </w:rPr>
              <w:tab/>
            </w:r>
            <w:r w:rsidR="00FE6183" w:rsidRPr="004D64EF">
              <w:rPr>
                <w:rFonts w:ascii="Times New Roman" w:hAnsi="Times New Roman"/>
                <w:noProof/>
                <w:webHidden/>
                <w:sz w:val="24"/>
                <w:szCs w:val="24"/>
              </w:rPr>
              <w:fldChar w:fldCharType="begin"/>
            </w:r>
            <w:r w:rsidR="00FE6183" w:rsidRPr="004D64EF">
              <w:rPr>
                <w:rFonts w:ascii="Times New Roman" w:hAnsi="Times New Roman"/>
                <w:noProof/>
                <w:webHidden/>
                <w:sz w:val="24"/>
                <w:szCs w:val="24"/>
              </w:rPr>
              <w:instrText xml:space="preserve"> PAGEREF _Toc28015579 \h </w:instrText>
            </w:r>
            <w:r w:rsidR="00FE6183" w:rsidRPr="004D64EF">
              <w:rPr>
                <w:rFonts w:ascii="Times New Roman" w:hAnsi="Times New Roman"/>
                <w:noProof/>
                <w:webHidden/>
                <w:sz w:val="24"/>
                <w:szCs w:val="24"/>
              </w:rPr>
            </w:r>
            <w:r w:rsidR="00FE6183" w:rsidRPr="004D64EF">
              <w:rPr>
                <w:rFonts w:ascii="Times New Roman" w:hAnsi="Times New Roman"/>
                <w:noProof/>
                <w:webHidden/>
                <w:sz w:val="24"/>
                <w:szCs w:val="24"/>
              </w:rPr>
              <w:fldChar w:fldCharType="separate"/>
            </w:r>
            <w:r w:rsidR="00FE6183" w:rsidRPr="004D64EF">
              <w:rPr>
                <w:rFonts w:ascii="Times New Roman" w:hAnsi="Times New Roman"/>
                <w:noProof/>
                <w:webHidden/>
                <w:sz w:val="24"/>
                <w:szCs w:val="24"/>
              </w:rPr>
              <w:t>11</w:t>
            </w:r>
            <w:r w:rsidR="00FE6183" w:rsidRPr="004D64EF">
              <w:rPr>
                <w:rFonts w:ascii="Times New Roman" w:hAnsi="Times New Roman"/>
                <w:noProof/>
                <w:webHidden/>
                <w:sz w:val="24"/>
                <w:szCs w:val="24"/>
              </w:rPr>
              <w:fldChar w:fldCharType="end"/>
            </w:r>
          </w:hyperlink>
        </w:p>
        <w:p w14:paraId="6A33F072" w14:textId="2DAF12D0" w:rsidR="00FE6183" w:rsidRPr="004D64EF" w:rsidRDefault="00C028EC">
          <w:pPr>
            <w:pStyle w:val="TOC3"/>
            <w:tabs>
              <w:tab w:val="right" w:leader="dot" w:pos="9016"/>
            </w:tabs>
            <w:rPr>
              <w:rFonts w:ascii="Times New Roman" w:eastAsiaTheme="minorEastAsia" w:hAnsi="Times New Roman"/>
              <w:noProof/>
              <w:sz w:val="24"/>
              <w:szCs w:val="24"/>
              <w:lang w:val="en-US"/>
            </w:rPr>
          </w:pPr>
          <w:hyperlink w:anchor="_Toc28015580" w:history="1">
            <w:r w:rsidR="00FE6183" w:rsidRPr="004D64EF">
              <w:rPr>
                <w:rStyle w:val="Hyperlink"/>
                <w:rFonts w:ascii="Times New Roman" w:hAnsi="Times New Roman"/>
                <w:noProof/>
                <w:sz w:val="24"/>
                <w:szCs w:val="24"/>
              </w:rPr>
              <w:t>3.1.1. Лимит</w:t>
            </w:r>
            <w:r w:rsidR="00FE6183" w:rsidRPr="004D64EF">
              <w:rPr>
                <w:rFonts w:ascii="Times New Roman" w:hAnsi="Times New Roman"/>
                <w:noProof/>
                <w:webHidden/>
                <w:sz w:val="24"/>
                <w:szCs w:val="24"/>
              </w:rPr>
              <w:tab/>
            </w:r>
            <w:r w:rsidR="00FE6183" w:rsidRPr="004D64EF">
              <w:rPr>
                <w:rFonts w:ascii="Times New Roman" w:hAnsi="Times New Roman"/>
                <w:noProof/>
                <w:webHidden/>
                <w:sz w:val="24"/>
                <w:szCs w:val="24"/>
              </w:rPr>
              <w:fldChar w:fldCharType="begin"/>
            </w:r>
            <w:r w:rsidR="00FE6183" w:rsidRPr="004D64EF">
              <w:rPr>
                <w:rFonts w:ascii="Times New Roman" w:hAnsi="Times New Roman"/>
                <w:noProof/>
                <w:webHidden/>
                <w:sz w:val="24"/>
                <w:szCs w:val="24"/>
              </w:rPr>
              <w:instrText xml:space="preserve"> PAGEREF _Toc28015580 \h </w:instrText>
            </w:r>
            <w:r w:rsidR="00FE6183" w:rsidRPr="004D64EF">
              <w:rPr>
                <w:rFonts w:ascii="Times New Roman" w:hAnsi="Times New Roman"/>
                <w:noProof/>
                <w:webHidden/>
                <w:sz w:val="24"/>
                <w:szCs w:val="24"/>
              </w:rPr>
            </w:r>
            <w:r w:rsidR="00FE6183" w:rsidRPr="004D64EF">
              <w:rPr>
                <w:rFonts w:ascii="Times New Roman" w:hAnsi="Times New Roman"/>
                <w:noProof/>
                <w:webHidden/>
                <w:sz w:val="24"/>
                <w:szCs w:val="24"/>
              </w:rPr>
              <w:fldChar w:fldCharType="separate"/>
            </w:r>
            <w:r w:rsidR="00FE6183" w:rsidRPr="004D64EF">
              <w:rPr>
                <w:rFonts w:ascii="Times New Roman" w:hAnsi="Times New Roman"/>
                <w:noProof/>
                <w:webHidden/>
                <w:sz w:val="24"/>
                <w:szCs w:val="24"/>
              </w:rPr>
              <w:t>11</w:t>
            </w:r>
            <w:r w:rsidR="00FE6183" w:rsidRPr="004D64EF">
              <w:rPr>
                <w:rFonts w:ascii="Times New Roman" w:hAnsi="Times New Roman"/>
                <w:noProof/>
                <w:webHidden/>
                <w:sz w:val="24"/>
                <w:szCs w:val="24"/>
              </w:rPr>
              <w:fldChar w:fldCharType="end"/>
            </w:r>
          </w:hyperlink>
        </w:p>
        <w:p w14:paraId="659C2612" w14:textId="50AF84EC" w:rsidR="00FE6183" w:rsidRPr="004D64EF" w:rsidRDefault="00C028EC">
          <w:pPr>
            <w:pStyle w:val="TOC3"/>
            <w:tabs>
              <w:tab w:val="right" w:leader="dot" w:pos="9016"/>
            </w:tabs>
            <w:rPr>
              <w:rFonts w:ascii="Times New Roman" w:eastAsiaTheme="minorEastAsia" w:hAnsi="Times New Roman"/>
              <w:noProof/>
              <w:sz w:val="24"/>
              <w:szCs w:val="24"/>
              <w:lang w:val="en-US"/>
            </w:rPr>
          </w:pPr>
          <w:hyperlink w:anchor="_Toc28015581" w:history="1">
            <w:r w:rsidR="00FE6183" w:rsidRPr="004D64EF">
              <w:rPr>
                <w:rStyle w:val="Hyperlink"/>
                <w:rFonts w:ascii="Times New Roman" w:hAnsi="Times New Roman"/>
                <w:noProof/>
                <w:sz w:val="24"/>
                <w:szCs w:val="24"/>
              </w:rPr>
              <w:t>3.1.2. Издадени квоти</w:t>
            </w:r>
            <w:r w:rsidR="00FE6183" w:rsidRPr="004D64EF">
              <w:rPr>
                <w:rFonts w:ascii="Times New Roman" w:hAnsi="Times New Roman"/>
                <w:noProof/>
                <w:webHidden/>
                <w:sz w:val="24"/>
                <w:szCs w:val="24"/>
              </w:rPr>
              <w:tab/>
            </w:r>
            <w:r w:rsidR="00FE6183" w:rsidRPr="004D64EF">
              <w:rPr>
                <w:rFonts w:ascii="Times New Roman" w:hAnsi="Times New Roman"/>
                <w:noProof/>
                <w:webHidden/>
                <w:sz w:val="24"/>
                <w:szCs w:val="24"/>
              </w:rPr>
              <w:fldChar w:fldCharType="begin"/>
            </w:r>
            <w:r w:rsidR="00FE6183" w:rsidRPr="004D64EF">
              <w:rPr>
                <w:rFonts w:ascii="Times New Roman" w:hAnsi="Times New Roman"/>
                <w:noProof/>
                <w:webHidden/>
                <w:sz w:val="24"/>
                <w:szCs w:val="24"/>
              </w:rPr>
              <w:instrText xml:space="preserve"> PAGEREF _Toc28015581 \h </w:instrText>
            </w:r>
            <w:r w:rsidR="00FE6183" w:rsidRPr="004D64EF">
              <w:rPr>
                <w:rFonts w:ascii="Times New Roman" w:hAnsi="Times New Roman"/>
                <w:noProof/>
                <w:webHidden/>
                <w:sz w:val="24"/>
                <w:szCs w:val="24"/>
              </w:rPr>
            </w:r>
            <w:r w:rsidR="00FE6183" w:rsidRPr="004D64EF">
              <w:rPr>
                <w:rFonts w:ascii="Times New Roman" w:hAnsi="Times New Roman"/>
                <w:noProof/>
                <w:webHidden/>
                <w:sz w:val="24"/>
                <w:szCs w:val="24"/>
              </w:rPr>
              <w:fldChar w:fldCharType="separate"/>
            </w:r>
            <w:r w:rsidR="00FE6183" w:rsidRPr="004D64EF">
              <w:rPr>
                <w:rFonts w:ascii="Times New Roman" w:hAnsi="Times New Roman"/>
                <w:noProof/>
                <w:webHidden/>
                <w:sz w:val="24"/>
                <w:szCs w:val="24"/>
              </w:rPr>
              <w:t>13</w:t>
            </w:r>
            <w:r w:rsidR="00FE6183" w:rsidRPr="004D64EF">
              <w:rPr>
                <w:rFonts w:ascii="Times New Roman" w:hAnsi="Times New Roman"/>
                <w:noProof/>
                <w:webHidden/>
                <w:sz w:val="24"/>
                <w:szCs w:val="24"/>
              </w:rPr>
              <w:fldChar w:fldCharType="end"/>
            </w:r>
          </w:hyperlink>
        </w:p>
        <w:p w14:paraId="326D6685" w14:textId="0C97E7BE" w:rsidR="00FE6183" w:rsidRPr="004D64EF" w:rsidRDefault="00C028EC">
          <w:pPr>
            <w:pStyle w:val="TOC4"/>
            <w:tabs>
              <w:tab w:val="right" w:leader="dot" w:pos="9016"/>
            </w:tabs>
            <w:rPr>
              <w:rFonts w:ascii="Times New Roman" w:eastAsiaTheme="minorEastAsia" w:hAnsi="Times New Roman"/>
              <w:noProof/>
              <w:sz w:val="24"/>
              <w:szCs w:val="24"/>
              <w:lang w:val="en-US"/>
            </w:rPr>
          </w:pPr>
          <w:hyperlink w:anchor="_Toc28015582" w:history="1">
            <w:r w:rsidR="00FE6183" w:rsidRPr="004D64EF">
              <w:rPr>
                <w:rStyle w:val="Hyperlink"/>
                <w:rFonts w:ascii="Times New Roman" w:hAnsi="Times New Roman"/>
                <w:noProof/>
                <w:sz w:val="24"/>
                <w:szCs w:val="24"/>
              </w:rPr>
              <w:t>3.1.2.1. Безплатно разпределяне на квоти</w:t>
            </w:r>
            <w:r w:rsidR="00FE6183" w:rsidRPr="004D64EF">
              <w:rPr>
                <w:rFonts w:ascii="Times New Roman" w:hAnsi="Times New Roman"/>
                <w:noProof/>
                <w:webHidden/>
                <w:sz w:val="24"/>
                <w:szCs w:val="24"/>
              </w:rPr>
              <w:tab/>
            </w:r>
            <w:r w:rsidR="00FE6183" w:rsidRPr="004D64EF">
              <w:rPr>
                <w:rFonts w:ascii="Times New Roman" w:hAnsi="Times New Roman"/>
                <w:noProof/>
                <w:webHidden/>
                <w:sz w:val="24"/>
                <w:szCs w:val="24"/>
              </w:rPr>
              <w:fldChar w:fldCharType="begin"/>
            </w:r>
            <w:r w:rsidR="00FE6183" w:rsidRPr="004D64EF">
              <w:rPr>
                <w:rFonts w:ascii="Times New Roman" w:hAnsi="Times New Roman"/>
                <w:noProof/>
                <w:webHidden/>
                <w:sz w:val="24"/>
                <w:szCs w:val="24"/>
              </w:rPr>
              <w:instrText xml:space="preserve"> PAGEREF _Toc28015582 \h </w:instrText>
            </w:r>
            <w:r w:rsidR="00FE6183" w:rsidRPr="004D64EF">
              <w:rPr>
                <w:rFonts w:ascii="Times New Roman" w:hAnsi="Times New Roman"/>
                <w:noProof/>
                <w:webHidden/>
                <w:sz w:val="24"/>
                <w:szCs w:val="24"/>
              </w:rPr>
            </w:r>
            <w:r w:rsidR="00FE6183" w:rsidRPr="004D64EF">
              <w:rPr>
                <w:rFonts w:ascii="Times New Roman" w:hAnsi="Times New Roman"/>
                <w:noProof/>
                <w:webHidden/>
                <w:sz w:val="24"/>
                <w:szCs w:val="24"/>
              </w:rPr>
              <w:fldChar w:fldCharType="separate"/>
            </w:r>
            <w:r w:rsidR="00FE6183" w:rsidRPr="004D64EF">
              <w:rPr>
                <w:rFonts w:ascii="Times New Roman" w:hAnsi="Times New Roman"/>
                <w:noProof/>
                <w:webHidden/>
                <w:sz w:val="24"/>
                <w:szCs w:val="24"/>
              </w:rPr>
              <w:t>13</w:t>
            </w:r>
            <w:r w:rsidR="00FE6183" w:rsidRPr="004D64EF">
              <w:rPr>
                <w:rFonts w:ascii="Times New Roman" w:hAnsi="Times New Roman"/>
                <w:noProof/>
                <w:webHidden/>
                <w:sz w:val="24"/>
                <w:szCs w:val="24"/>
              </w:rPr>
              <w:fldChar w:fldCharType="end"/>
            </w:r>
          </w:hyperlink>
        </w:p>
        <w:p w14:paraId="2A02B7F6" w14:textId="2367A8FB" w:rsidR="00FE6183" w:rsidRPr="004D64EF" w:rsidRDefault="00C028EC">
          <w:pPr>
            <w:pStyle w:val="TOC4"/>
            <w:tabs>
              <w:tab w:val="right" w:leader="dot" w:pos="9016"/>
            </w:tabs>
            <w:rPr>
              <w:rFonts w:ascii="Times New Roman" w:eastAsiaTheme="minorEastAsia" w:hAnsi="Times New Roman"/>
              <w:noProof/>
              <w:sz w:val="24"/>
              <w:szCs w:val="24"/>
              <w:lang w:val="en-US"/>
            </w:rPr>
          </w:pPr>
          <w:hyperlink w:anchor="_Toc28015583" w:history="1">
            <w:r w:rsidR="00FE6183" w:rsidRPr="004D64EF">
              <w:rPr>
                <w:rStyle w:val="Hyperlink"/>
                <w:rFonts w:ascii="Times New Roman" w:hAnsi="Times New Roman"/>
                <w:noProof/>
                <w:sz w:val="24"/>
                <w:szCs w:val="24"/>
              </w:rPr>
              <w:t>3.1.2.2. Програмата NER 300 и Фондът за иновации</w:t>
            </w:r>
            <w:r w:rsidR="00FE6183" w:rsidRPr="004D64EF">
              <w:rPr>
                <w:rFonts w:ascii="Times New Roman" w:hAnsi="Times New Roman"/>
                <w:noProof/>
                <w:webHidden/>
                <w:sz w:val="24"/>
                <w:szCs w:val="24"/>
              </w:rPr>
              <w:tab/>
            </w:r>
            <w:r w:rsidR="00FE6183" w:rsidRPr="004D64EF">
              <w:rPr>
                <w:rFonts w:ascii="Times New Roman" w:hAnsi="Times New Roman"/>
                <w:noProof/>
                <w:webHidden/>
                <w:sz w:val="24"/>
                <w:szCs w:val="24"/>
              </w:rPr>
              <w:fldChar w:fldCharType="begin"/>
            </w:r>
            <w:r w:rsidR="00FE6183" w:rsidRPr="004D64EF">
              <w:rPr>
                <w:rFonts w:ascii="Times New Roman" w:hAnsi="Times New Roman"/>
                <w:noProof/>
                <w:webHidden/>
                <w:sz w:val="24"/>
                <w:szCs w:val="24"/>
              </w:rPr>
              <w:instrText xml:space="preserve"> PAGEREF _Toc28015583 \h </w:instrText>
            </w:r>
            <w:r w:rsidR="00FE6183" w:rsidRPr="004D64EF">
              <w:rPr>
                <w:rFonts w:ascii="Times New Roman" w:hAnsi="Times New Roman"/>
                <w:noProof/>
                <w:webHidden/>
                <w:sz w:val="24"/>
                <w:szCs w:val="24"/>
              </w:rPr>
            </w:r>
            <w:r w:rsidR="00FE6183" w:rsidRPr="004D64EF">
              <w:rPr>
                <w:rFonts w:ascii="Times New Roman" w:hAnsi="Times New Roman"/>
                <w:noProof/>
                <w:webHidden/>
                <w:sz w:val="24"/>
                <w:szCs w:val="24"/>
              </w:rPr>
              <w:fldChar w:fldCharType="separate"/>
            </w:r>
            <w:r w:rsidR="00FE6183" w:rsidRPr="004D64EF">
              <w:rPr>
                <w:rFonts w:ascii="Times New Roman" w:hAnsi="Times New Roman"/>
                <w:noProof/>
                <w:webHidden/>
                <w:sz w:val="24"/>
                <w:szCs w:val="24"/>
              </w:rPr>
              <w:t>16</w:t>
            </w:r>
            <w:r w:rsidR="00FE6183" w:rsidRPr="004D64EF">
              <w:rPr>
                <w:rFonts w:ascii="Times New Roman" w:hAnsi="Times New Roman"/>
                <w:noProof/>
                <w:webHidden/>
                <w:sz w:val="24"/>
                <w:szCs w:val="24"/>
              </w:rPr>
              <w:fldChar w:fldCharType="end"/>
            </w:r>
          </w:hyperlink>
        </w:p>
        <w:p w14:paraId="45582252" w14:textId="246A3E01" w:rsidR="00FE6183" w:rsidRPr="004D64EF" w:rsidRDefault="00C028EC">
          <w:pPr>
            <w:pStyle w:val="TOC4"/>
            <w:tabs>
              <w:tab w:val="right" w:leader="dot" w:pos="9016"/>
            </w:tabs>
            <w:rPr>
              <w:rFonts w:ascii="Times New Roman" w:eastAsiaTheme="minorEastAsia" w:hAnsi="Times New Roman"/>
              <w:noProof/>
              <w:sz w:val="24"/>
              <w:szCs w:val="24"/>
              <w:lang w:val="en-US"/>
            </w:rPr>
          </w:pPr>
          <w:hyperlink w:anchor="_Toc28015584" w:history="1">
            <w:r w:rsidR="00FE6183" w:rsidRPr="004D64EF">
              <w:rPr>
                <w:rStyle w:val="Hyperlink"/>
                <w:rFonts w:ascii="Times New Roman" w:hAnsi="Times New Roman"/>
                <w:noProof/>
                <w:sz w:val="24"/>
                <w:szCs w:val="24"/>
              </w:rPr>
              <w:t>3.1.2.3. Компенсиране на непреките разходи за ограничаване на въглеродните емисии</w:t>
            </w:r>
            <w:r w:rsidR="00FE6183" w:rsidRPr="004D64EF">
              <w:rPr>
                <w:rFonts w:ascii="Times New Roman" w:hAnsi="Times New Roman"/>
                <w:noProof/>
                <w:webHidden/>
                <w:sz w:val="24"/>
                <w:szCs w:val="24"/>
              </w:rPr>
              <w:tab/>
            </w:r>
            <w:r w:rsidR="00FE6183" w:rsidRPr="004D64EF">
              <w:rPr>
                <w:rFonts w:ascii="Times New Roman" w:hAnsi="Times New Roman"/>
                <w:noProof/>
                <w:webHidden/>
                <w:sz w:val="24"/>
                <w:szCs w:val="24"/>
              </w:rPr>
              <w:fldChar w:fldCharType="begin"/>
            </w:r>
            <w:r w:rsidR="00FE6183" w:rsidRPr="004D64EF">
              <w:rPr>
                <w:rFonts w:ascii="Times New Roman" w:hAnsi="Times New Roman"/>
                <w:noProof/>
                <w:webHidden/>
                <w:sz w:val="24"/>
                <w:szCs w:val="24"/>
              </w:rPr>
              <w:instrText xml:space="preserve"> PAGEREF _Toc28015584 \h </w:instrText>
            </w:r>
            <w:r w:rsidR="00FE6183" w:rsidRPr="004D64EF">
              <w:rPr>
                <w:rFonts w:ascii="Times New Roman" w:hAnsi="Times New Roman"/>
                <w:noProof/>
                <w:webHidden/>
                <w:sz w:val="24"/>
                <w:szCs w:val="24"/>
              </w:rPr>
            </w:r>
            <w:r w:rsidR="00FE6183" w:rsidRPr="004D64EF">
              <w:rPr>
                <w:rFonts w:ascii="Times New Roman" w:hAnsi="Times New Roman"/>
                <w:noProof/>
                <w:webHidden/>
                <w:sz w:val="24"/>
                <w:szCs w:val="24"/>
              </w:rPr>
              <w:fldChar w:fldCharType="separate"/>
            </w:r>
            <w:r w:rsidR="00FE6183" w:rsidRPr="004D64EF">
              <w:rPr>
                <w:rFonts w:ascii="Times New Roman" w:hAnsi="Times New Roman"/>
                <w:noProof/>
                <w:webHidden/>
                <w:sz w:val="24"/>
                <w:szCs w:val="24"/>
              </w:rPr>
              <w:t>19</w:t>
            </w:r>
            <w:r w:rsidR="00FE6183" w:rsidRPr="004D64EF">
              <w:rPr>
                <w:rFonts w:ascii="Times New Roman" w:hAnsi="Times New Roman"/>
                <w:noProof/>
                <w:webHidden/>
                <w:sz w:val="24"/>
                <w:szCs w:val="24"/>
              </w:rPr>
              <w:fldChar w:fldCharType="end"/>
            </w:r>
          </w:hyperlink>
        </w:p>
        <w:p w14:paraId="61298857" w14:textId="029D5483" w:rsidR="00FE6183" w:rsidRPr="004D64EF" w:rsidRDefault="00C028EC">
          <w:pPr>
            <w:pStyle w:val="TOC4"/>
            <w:tabs>
              <w:tab w:val="right" w:leader="dot" w:pos="9016"/>
            </w:tabs>
            <w:rPr>
              <w:rFonts w:ascii="Times New Roman" w:eastAsiaTheme="minorEastAsia" w:hAnsi="Times New Roman"/>
              <w:noProof/>
              <w:sz w:val="24"/>
              <w:szCs w:val="24"/>
              <w:lang w:val="en-US"/>
            </w:rPr>
          </w:pPr>
          <w:hyperlink w:anchor="_Toc28015585" w:history="1">
            <w:r w:rsidR="00FE6183" w:rsidRPr="004D64EF">
              <w:rPr>
                <w:rStyle w:val="Hyperlink"/>
                <w:rFonts w:ascii="Times New Roman" w:hAnsi="Times New Roman"/>
                <w:bCs/>
                <w:noProof/>
                <w:sz w:val="24"/>
                <w:szCs w:val="24"/>
              </w:rPr>
              <w:t>3.1.2.4. Тръжна продажба на квоти</w:t>
            </w:r>
            <w:r w:rsidR="00FE6183" w:rsidRPr="004D64EF">
              <w:rPr>
                <w:rFonts w:ascii="Times New Roman" w:hAnsi="Times New Roman"/>
                <w:noProof/>
                <w:webHidden/>
                <w:sz w:val="24"/>
                <w:szCs w:val="24"/>
              </w:rPr>
              <w:tab/>
            </w:r>
            <w:r w:rsidR="00FE6183" w:rsidRPr="004D64EF">
              <w:rPr>
                <w:rFonts w:ascii="Times New Roman" w:hAnsi="Times New Roman"/>
                <w:noProof/>
                <w:webHidden/>
                <w:sz w:val="24"/>
                <w:szCs w:val="24"/>
              </w:rPr>
              <w:fldChar w:fldCharType="begin"/>
            </w:r>
            <w:r w:rsidR="00FE6183" w:rsidRPr="004D64EF">
              <w:rPr>
                <w:rFonts w:ascii="Times New Roman" w:hAnsi="Times New Roman"/>
                <w:noProof/>
                <w:webHidden/>
                <w:sz w:val="24"/>
                <w:szCs w:val="24"/>
              </w:rPr>
              <w:instrText xml:space="preserve"> PAGEREF _Toc28015585 \h </w:instrText>
            </w:r>
            <w:r w:rsidR="00FE6183" w:rsidRPr="004D64EF">
              <w:rPr>
                <w:rFonts w:ascii="Times New Roman" w:hAnsi="Times New Roman"/>
                <w:noProof/>
                <w:webHidden/>
                <w:sz w:val="24"/>
                <w:szCs w:val="24"/>
              </w:rPr>
            </w:r>
            <w:r w:rsidR="00FE6183" w:rsidRPr="004D64EF">
              <w:rPr>
                <w:rFonts w:ascii="Times New Roman" w:hAnsi="Times New Roman"/>
                <w:noProof/>
                <w:webHidden/>
                <w:sz w:val="24"/>
                <w:szCs w:val="24"/>
              </w:rPr>
              <w:fldChar w:fldCharType="separate"/>
            </w:r>
            <w:r w:rsidR="00FE6183" w:rsidRPr="004D64EF">
              <w:rPr>
                <w:rFonts w:ascii="Times New Roman" w:hAnsi="Times New Roman"/>
                <w:noProof/>
                <w:webHidden/>
                <w:sz w:val="24"/>
                <w:szCs w:val="24"/>
              </w:rPr>
              <w:t>21</w:t>
            </w:r>
            <w:r w:rsidR="00FE6183" w:rsidRPr="004D64EF">
              <w:rPr>
                <w:rFonts w:ascii="Times New Roman" w:hAnsi="Times New Roman"/>
                <w:noProof/>
                <w:webHidden/>
                <w:sz w:val="24"/>
                <w:szCs w:val="24"/>
              </w:rPr>
              <w:fldChar w:fldCharType="end"/>
            </w:r>
          </w:hyperlink>
        </w:p>
        <w:p w14:paraId="116068AB" w14:textId="78ADFB0A" w:rsidR="00FE6183" w:rsidRPr="004D64EF" w:rsidRDefault="00C028EC">
          <w:pPr>
            <w:pStyle w:val="TOC4"/>
            <w:tabs>
              <w:tab w:val="right" w:leader="dot" w:pos="9016"/>
            </w:tabs>
            <w:rPr>
              <w:rFonts w:ascii="Times New Roman" w:eastAsiaTheme="minorEastAsia" w:hAnsi="Times New Roman"/>
              <w:noProof/>
              <w:sz w:val="24"/>
              <w:szCs w:val="24"/>
              <w:lang w:val="en-US"/>
            </w:rPr>
          </w:pPr>
          <w:hyperlink w:anchor="_Toc28015586" w:history="1">
            <w:r w:rsidR="00FE6183" w:rsidRPr="004D64EF">
              <w:rPr>
                <w:rStyle w:val="Hyperlink"/>
                <w:rFonts w:ascii="Times New Roman" w:hAnsi="Times New Roman"/>
                <w:noProof/>
                <w:sz w:val="24"/>
                <w:szCs w:val="24"/>
              </w:rPr>
              <w:t>3.1.2.5. Дерогация от задължението за тръжна продажба на всички квоти за сектора за производство на електрическа и топлинна енергия</w:t>
            </w:r>
            <w:r w:rsidR="00FE6183" w:rsidRPr="004D64EF">
              <w:rPr>
                <w:rFonts w:ascii="Times New Roman" w:hAnsi="Times New Roman"/>
                <w:noProof/>
                <w:webHidden/>
                <w:sz w:val="24"/>
                <w:szCs w:val="24"/>
              </w:rPr>
              <w:tab/>
            </w:r>
            <w:r w:rsidR="00FE6183" w:rsidRPr="004D64EF">
              <w:rPr>
                <w:rFonts w:ascii="Times New Roman" w:hAnsi="Times New Roman"/>
                <w:noProof/>
                <w:webHidden/>
                <w:sz w:val="24"/>
                <w:szCs w:val="24"/>
              </w:rPr>
              <w:fldChar w:fldCharType="begin"/>
            </w:r>
            <w:r w:rsidR="00FE6183" w:rsidRPr="004D64EF">
              <w:rPr>
                <w:rFonts w:ascii="Times New Roman" w:hAnsi="Times New Roman"/>
                <w:noProof/>
                <w:webHidden/>
                <w:sz w:val="24"/>
                <w:szCs w:val="24"/>
              </w:rPr>
              <w:instrText xml:space="preserve"> PAGEREF _Toc28015586 \h </w:instrText>
            </w:r>
            <w:r w:rsidR="00FE6183" w:rsidRPr="004D64EF">
              <w:rPr>
                <w:rFonts w:ascii="Times New Roman" w:hAnsi="Times New Roman"/>
                <w:noProof/>
                <w:webHidden/>
                <w:sz w:val="24"/>
                <w:szCs w:val="24"/>
              </w:rPr>
            </w:r>
            <w:r w:rsidR="00FE6183" w:rsidRPr="004D64EF">
              <w:rPr>
                <w:rFonts w:ascii="Times New Roman" w:hAnsi="Times New Roman"/>
                <w:noProof/>
                <w:webHidden/>
                <w:sz w:val="24"/>
                <w:szCs w:val="24"/>
              </w:rPr>
              <w:fldChar w:fldCharType="separate"/>
            </w:r>
            <w:r w:rsidR="00FE6183" w:rsidRPr="004D64EF">
              <w:rPr>
                <w:rFonts w:ascii="Times New Roman" w:hAnsi="Times New Roman"/>
                <w:noProof/>
                <w:webHidden/>
                <w:sz w:val="24"/>
                <w:szCs w:val="24"/>
              </w:rPr>
              <w:t>25</w:t>
            </w:r>
            <w:r w:rsidR="00FE6183" w:rsidRPr="004D64EF">
              <w:rPr>
                <w:rFonts w:ascii="Times New Roman" w:hAnsi="Times New Roman"/>
                <w:noProof/>
                <w:webHidden/>
                <w:sz w:val="24"/>
                <w:szCs w:val="24"/>
              </w:rPr>
              <w:fldChar w:fldCharType="end"/>
            </w:r>
          </w:hyperlink>
        </w:p>
        <w:p w14:paraId="3A9C33A6" w14:textId="6A77AB05" w:rsidR="00FE6183" w:rsidRPr="004D64EF" w:rsidRDefault="00C028EC">
          <w:pPr>
            <w:pStyle w:val="TOC3"/>
            <w:tabs>
              <w:tab w:val="right" w:leader="dot" w:pos="9016"/>
            </w:tabs>
            <w:rPr>
              <w:rFonts w:ascii="Times New Roman" w:eastAsiaTheme="minorEastAsia" w:hAnsi="Times New Roman"/>
              <w:noProof/>
              <w:sz w:val="24"/>
              <w:szCs w:val="24"/>
              <w:lang w:val="en-US"/>
            </w:rPr>
          </w:pPr>
          <w:hyperlink w:anchor="_Toc28015587" w:history="1">
            <w:r w:rsidR="00FE6183" w:rsidRPr="004D64EF">
              <w:rPr>
                <w:rStyle w:val="Hyperlink"/>
                <w:rFonts w:ascii="Times New Roman" w:hAnsi="Times New Roman"/>
                <w:noProof/>
                <w:sz w:val="24"/>
                <w:szCs w:val="24"/>
              </w:rPr>
              <w:t>3.1.3. Международни кредити</w:t>
            </w:r>
            <w:r w:rsidR="00FE6183" w:rsidRPr="004D64EF">
              <w:rPr>
                <w:rFonts w:ascii="Times New Roman" w:hAnsi="Times New Roman"/>
                <w:noProof/>
                <w:webHidden/>
                <w:sz w:val="24"/>
                <w:szCs w:val="24"/>
              </w:rPr>
              <w:tab/>
            </w:r>
            <w:r w:rsidR="00FE6183" w:rsidRPr="004D64EF">
              <w:rPr>
                <w:rFonts w:ascii="Times New Roman" w:hAnsi="Times New Roman"/>
                <w:noProof/>
                <w:webHidden/>
                <w:sz w:val="24"/>
                <w:szCs w:val="24"/>
              </w:rPr>
              <w:fldChar w:fldCharType="begin"/>
            </w:r>
            <w:r w:rsidR="00FE6183" w:rsidRPr="004D64EF">
              <w:rPr>
                <w:rFonts w:ascii="Times New Roman" w:hAnsi="Times New Roman"/>
                <w:noProof/>
                <w:webHidden/>
                <w:sz w:val="24"/>
                <w:szCs w:val="24"/>
              </w:rPr>
              <w:instrText xml:space="preserve"> PAGEREF _Toc28015587 \h </w:instrText>
            </w:r>
            <w:r w:rsidR="00FE6183" w:rsidRPr="004D64EF">
              <w:rPr>
                <w:rFonts w:ascii="Times New Roman" w:hAnsi="Times New Roman"/>
                <w:noProof/>
                <w:webHidden/>
                <w:sz w:val="24"/>
                <w:szCs w:val="24"/>
              </w:rPr>
            </w:r>
            <w:r w:rsidR="00FE6183" w:rsidRPr="004D64EF">
              <w:rPr>
                <w:rFonts w:ascii="Times New Roman" w:hAnsi="Times New Roman"/>
                <w:noProof/>
                <w:webHidden/>
                <w:sz w:val="24"/>
                <w:szCs w:val="24"/>
              </w:rPr>
              <w:fldChar w:fldCharType="separate"/>
            </w:r>
            <w:r w:rsidR="00FE6183" w:rsidRPr="004D64EF">
              <w:rPr>
                <w:rFonts w:ascii="Times New Roman" w:hAnsi="Times New Roman"/>
                <w:noProof/>
                <w:webHidden/>
                <w:sz w:val="24"/>
                <w:szCs w:val="24"/>
              </w:rPr>
              <w:t>28</w:t>
            </w:r>
            <w:r w:rsidR="00FE6183" w:rsidRPr="004D64EF">
              <w:rPr>
                <w:rFonts w:ascii="Times New Roman" w:hAnsi="Times New Roman"/>
                <w:noProof/>
                <w:webHidden/>
                <w:sz w:val="24"/>
                <w:szCs w:val="24"/>
              </w:rPr>
              <w:fldChar w:fldCharType="end"/>
            </w:r>
          </w:hyperlink>
        </w:p>
        <w:p w14:paraId="157644BE" w14:textId="76D0648F" w:rsidR="00FE6183" w:rsidRPr="004D64EF" w:rsidRDefault="00C028EC">
          <w:pPr>
            <w:pStyle w:val="TOC2"/>
            <w:tabs>
              <w:tab w:val="right" w:leader="dot" w:pos="9016"/>
            </w:tabs>
            <w:rPr>
              <w:rFonts w:ascii="Times New Roman" w:eastAsiaTheme="minorEastAsia" w:hAnsi="Times New Roman"/>
              <w:noProof/>
              <w:sz w:val="24"/>
              <w:szCs w:val="24"/>
              <w:lang w:val="en-US"/>
            </w:rPr>
          </w:pPr>
          <w:hyperlink w:anchor="_Toc28015588" w:history="1">
            <w:r w:rsidR="00FE6183" w:rsidRPr="004D64EF">
              <w:rPr>
                <w:rStyle w:val="Hyperlink"/>
                <w:rFonts w:ascii="Times New Roman" w:hAnsi="Times New Roman"/>
                <w:noProof/>
                <w:sz w:val="24"/>
                <w:szCs w:val="24"/>
              </w:rPr>
              <w:t>3.2. Търсене: извадени от обръщение квоти</w:t>
            </w:r>
            <w:r w:rsidR="00FE6183" w:rsidRPr="004D64EF">
              <w:rPr>
                <w:rFonts w:ascii="Times New Roman" w:hAnsi="Times New Roman"/>
                <w:noProof/>
                <w:webHidden/>
                <w:sz w:val="24"/>
                <w:szCs w:val="24"/>
              </w:rPr>
              <w:tab/>
            </w:r>
            <w:r w:rsidR="00FE6183" w:rsidRPr="004D64EF">
              <w:rPr>
                <w:rFonts w:ascii="Times New Roman" w:hAnsi="Times New Roman"/>
                <w:noProof/>
                <w:webHidden/>
                <w:sz w:val="24"/>
                <w:szCs w:val="24"/>
              </w:rPr>
              <w:fldChar w:fldCharType="begin"/>
            </w:r>
            <w:r w:rsidR="00FE6183" w:rsidRPr="004D64EF">
              <w:rPr>
                <w:rFonts w:ascii="Times New Roman" w:hAnsi="Times New Roman"/>
                <w:noProof/>
                <w:webHidden/>
                <w:sz w:val="24"/>
                <w:szCs w:val="24"/>
              </w:rPr>
              <w:instrText xml:space="preserve"> PAGEREF _Toc28015588 \h </w:instrText>
            </w:r>
            <w:r w:rsidR="00FE6183" w:rsidRPr="004D64EF">
              <w:rPr>
                <w:rFonts w:ascii="Times New Roman" w:hAnsi="Times New Roman"/>
                <w:noProof/>
                <w:webHidden/>
                <w:sz w:val="24"/>
                <w:szCs w:val="24"/>
              </w:rPr>
            </w:r>
            <w:r w:rsidR="00FE6183" w:rsidRPr="004D64EF">
              <w:rPr>
                <w:rFonts w:ascii="Times New Roman" w:hAnsi="Times New Roman"/>
                <w:noProof/>
                <w:webHidden/>
                <w:sz w:val="24"/>
                <w:szCs w:val="24"/>
              </w:rPr>
              <w:fldChar w:fldCharType="separate"/>
            </w:r>
            <w:r w:rsidR="00FE6183" w:rsidRPr="004D64EF">
              <w:rPr>
                <w:rFonts w:ascii="Times New Roman" w:hAnsi="Times New Roman"/>
                <w:noProof/>
                <w:webHidden/>
                <w:sz w:val="24"/>
                <w:szCs w:val="24"/>
              </w:rPr>
              <w:t>29</w:t>
            </w:r>
            <w:r w:rsidR="00FE6183" w:rsidRPr="004D64EF">
              <w:rPr>
                <w:rFonts w:ascii="Times New Roman" w:hAnsi="Times New Roman"/>
                <w:noProof/>
                <w:webHidden/>
                <w:sz w:val="24"/>
                <w:szCs w:val="24"/>
              </w:rPr>
              <w:fldChar w:fldCharType="end"/>
            </w:r>
          </w:hyperlink>
        </w:p>
        <w:p w14:paraId="7537F3E7" w14:textId="6D14DA49" w:rsidR="00FE6183" w:rsidRPr="004D64EF" w:rsidRDefault="00C028EC">
          <w:pPr>
            <w:pStyle w:val="TOC2"/>
            <w:tabs>
              <w:tab w:val="right" w:leader="dot" w:pos="9016"/>
            </w:tabs>
            <w:rPr>
              <w:rFonts w:ascii="Times New Roman" w:eastAsiaTheme="minorEastAsia" w:hAnsi="Times New Roman"/>
              <w:noProof/>
              <w:sz w:val="24"/>
              <w:szCs w:val="24"/>
              <w:lang w:val="en-US"/>
            </w:rPr>
          </w:pPr>
          <w:hyperlink w:anchor="_Toc28015589" w:history="1">
            <w:r w:rsidR="00FE6183" w:rsidRPr="004D64EF">
              <w:rPr>
                <w:rStyle w:val="Hyperlink"/>
                <w:rFonts w:ascii="Times New Roman" w:hAnsi="Times New Roman"/>
                <w:noProof/>
                <w:sz w:val="24"/>
                <w:szCs w:val="24"/>
              </w:rPr>
              <w:t>3.3. Постигане на баланс между предлагането и търсенето</w:t>
            </w:r>
            <w:r w:rsidR="00FE6183" w:rsidRPr="004D64EF">
              <w:rPr>
                <w:rFonts w:ascii="Times New Roman" w:hAnsi="Times New Roman"/>
                <w:noProof/>
                <w:webHidden/>
                <w:sz w:val="24"/>
                <w:szCs w:val="24"/>
              </w:rPr>
              <w:tab/>
            </w:r>
            <w:r w:rsidR="00FE6183" w:rsidRPr="004D64EF">
              <w:rPr>
                <w:rFonts w:ascii="Times New Roman" w:hAnsi="Times New Roman"/>
                <w:noProof/>
                <w:webHidden/>
                <w:sz w:val="24"/>
                <w:szCs w:val="24"/>
              </w:rPr>
              <w:fldChar w:fldCharType="begin"/>
            </w:r>
            <w:r w:rsidR="00FE6183" w:rsidRPr="004D64EF">
              <w:rPr>
                <w:rFonts w:ascii="Times New Roman" w:hAnsi="Times New Roman"/>
                <w:noProof/>
                <w:webHidden/>
                <w:sz w:val="24"/>
                <w:szCs w:val="24"/>
              </w:rPr>
              <w:instrText xml:space="preserve"> PAGEREF _Toc28015589 \h </w:instrText>
            </w:r>
            <w:r w:rsidR="00FE6183" w:rsidRPr="004D64EF">
              <w:rPr>
                <w:rFonts w:ascii="Times New Roman" w:hAnsi="Times New Roman"/>
                <w:noProof/>
                <w:webHidden/>
                <w:sz w:val="24"/>
                <w:szCs w:val="24"/>
              </w:rPr>
            </w:r>
            <w:r w:rsidR="00FE6183" w:rsidRPr="004D64EF">
              <w:rPr>
                <w:rFonts w:ascii="Times New Roman" w:hAnsi="Times New Roman"/>
                <w:noProof/>
                <w:webHidden/>
                <w:sz w:val="24"/>
                <w:szCs w:val="24"/>
              </w:rPr>
              <w:fldChar w:fldCharType="separate"/>
            </w:r>
            <w:r w:rsidR="00FE6183" w:rsidRPr="004D64EF">
              <w:rPr>
                <w:rFonts w:ascii="Times New Roman" w:hAnsi="Times New Roman"/>
                <w:noProof/>
                <w:webHidden/>
                <w:sz w:val="24"/>
                <w:szCs w:val="24"/>
              </w:rPr>
              <w:t>30</w:t>
            </w:r>
            <w:r w:rsidR="00FE6183" w:rsidRPr="004D64EF">
              <w:rPr>
                <w:rFonts w:ascii="Times New Roman" w:hAnsi="Times New Roman"/>
                <w:noProof/>
                <w:webHidden/>
                <w:sz w:val="24"/>
                <w:szCs w:val="24"/>
              </w:rPr>
              <w:fldChar w:fldCharType="end"/>
            </w:r>
          </w:hyperlink>
        </w:p>
        <w:p w14:paraId="7E94DEAC" w14:textId="05F8BC43" w:rsidR="00FE6183" w:rsidRPr="004D64EF" w:rsidRDefault="00C028EC">
          <w:pPr>
            <w:pStyle w:val="TOC1"/>
            <w:rPr>
              <w:rFonts w:ascii="Times New Roman" w:eastAsiaTheme="minorEastAsia" w:hAnsi="Times New Roman"/>
              <w:noProof/>
              <w:sz w:val="24"/>
              <w:szCs w:val="24"/>
              <w:lang w:val="en-US"/>
            </w:rPr>
          </w:pPr>
          <w:hyperlink w:anchor="_Toc28015590" w:history="1">
            <w:r w:rsidR="00FE6183" w:rsidRPr="004D64EF">
              <w:rPr>
                <w:rStyle w:val="Hyperlink"/>
                <w:rFonts w:ascii="Times New Roman" w:hAnsi="Times New Roman"/>
                <w:noProof/>
                <w:sz w:val="24"/>
                <w:szCs w:val="24"/>
              </w:rPr>
              <w:t>4. ВЪЗДУХОПЛАВАНЕ</w:t>
            </w:r>
            <w:r w:rsidR="00FE6183" w:rsidRPr="004D64EF">
              <w:rPr>
                <w:rFonts w:ascii="Times New Roman" w:hAnsi="Times New Roman"/>
                <w:noProof/>
                <w:webHidden/>
                <w:sz w:val="24"/>
                <w:szCs w:val="24"/>
              </w:rPr>
              <w:tab/>
            </w:r>
            <w:r w:rsidR="00FE6183" w:rsidRPr="004D64EF">
              <w:rPr>
                <w:rFonts w:ascii="Times New Roman" w:hAnsi="Times New Roman"/>
                <w:noProof/>
                <w:webHidden/>
                <w:sz w:val="24"/>
                <w:szCs w:val="24"/>
              </w:rPr>
              <w:fldChar w:fldCharType="begin"/>
            </w:r>
            <w:r w:rsidR="00FE6183" w:rsidRPr="004D64EF">
              <w:rPr>
                <w:rFonts w:ascii="Times New Roman" w:hAnsi="Times New Roman"/>
                <w:noProof/>
                <w:webHidden/>
                <w:sz w:val="24"/>
                <w:szCs w:val="24"/>
              </w:rPr>
              <w:instrText xml:space="preserve"> PAGEREF _Toc28015590 \h </w:instrText>
            </w:r>
            <w:r w:rsidR="00FE6183" w:rsidRPr="004D64EF">
              <w:rPr>
                <w:rFonts w:ascii="Times New Roman" w:hAnsi="Times New Roman"/>
                <w:noProof/>
                <w:webHidden/>
                <w:sz w:val="24"/>
                <w:szCs w:val="24"/>
              </w:rPr>
            </w:r>
            <w:r w:rsidR="00FE6183" w:rsidRPr="004D64EF">
              <w:rPr>
                <w:rFonts w:ascii="Times New Roman" w:hAnsi="Times New Roman"/>
                <w:noProof/>
                <w:webHidden/>
                <w:sz w:val="24"/>
                <w:szCs w:val="24"/>
              </w:rPr>
              <w:fldChar w:fldCharType="separate"/>
            </w:r>
            <w:r w:rsidR="00FE6183" w:rsidRPr="004D64EF">
              <w:rPr>
                <w:rFonts w:ascii="Times New Roman" w:hAnsi="Times New Roman"/>
                <w:noProof/>
                <w:webHidden/>
                <w:sz w:val="24"/>
                <w:szCs w:val="24"/>
              </w:rPr>
              <w:t>34</w:t>
            </w:r>
            <w:r w:rsidR="00FE6183" w:rsidRPr="004D64EF">
              <w:rPr>
                <w:rFonts w:ascii="Times New Roman" w:hAnsi="Times New Roman"/>
                <w:noProof/>
                <w:webHidden/>
                <w:sz w:val="24"/>
                <w:szCs w:val="24"/>
              </w:rPr>
              <w:fldChar w:fldCharType="end"/>
            </w:r>
          </w:hyperlink>
        </w:p>
        <w:p w14:paraId="302F7322" w14:textId="26D15A24" w:rsidR="00FE6183" w:rsidRPr="004D64EF" w:rsidRDefault="00C028EC">
          <w:pPr>
            <w:pStyle w:val="TOC1"/>
            <w:rPr>
              <w:rFonts w:ascii="Times New Roman" w:eastAsiaTheme="minorEastAsia" w:hAnsi="Times New Roman"/>
              <w:noProof/>
              <w:sz w:val="24"/>
              <w:szCs w:val="24"/>
              <w:lang w:val="en-US"/>
            </w:rPr>
          </w:pPr>
          <w:hyperlink w:anchor="_Toc28015591" w:history="1">
            <w:r w:rsidR="00FE6183" w:rsidRPr="004D64EF">
              <w:rPr>
                <w:rStyle w:val="Hyperlink"/>
                <w:rFonts w:ascii="Times New Roman" w:hAnsi="Times New Roman"/>
                <w:noProof/>
                <w:sz w:val="24"/>
                <w:szCs w:val="24"/>
              </w:rPr>
              <w:t>5. НАДЗОР НА ПАЗАРА</w:t>
            </w:r>
            <w:r w:rsidR="00FE6183" w:rsidRPr="004D64EF">
              <w:rPr>
                <w:rFonts w:ascii="Times New Roman" w:hAnsi="Times New Roman"/>
                <w:noProof/>
                <w:webHidden/>
                <w:sz w:val="24"/>
                <w:szCs w:val="24"/>
              </w:rPr>
              <w:tab/>
            </w:r>
            <w:r w:rsidR="00FE6183" w:rsidRPr="004D64EF">
              <w:rPr>
                <w:rFonts w:ascii="Times New Roman" w:hAnsi="Times New Roman"/>
                <w:noProof/>
                <w:webHidden/>
                <w:sz w:val="24"/>
                <w:szCs w:val="24"/>
              </w:rPr>
              <w:fldChar w:fldCharType="begin"/>
            </w:r>
            <w:r w:rsidR="00FE6183" w:rsidRPr="004D64EF">
              <w:rPr>
                <w:rFonts w:ascii="Times New Roman" w:hAnsi="Times New Roman"/>
                <w:noProof/>
                <w:webHidden/>
                <w:sz w:val="24"/>
                <w:szCs w:val="24"/>
              </w:rPr>
              <w:instrText xml:space="preserve"> PAGEREF _Toc28015591 \h </w:instrText>
            </w:r>
            <w:r w:rsidR="00FE6183" w:rsidRPr="004D64EF">
              <w:rPr>
                <w:rFonts w:ascii="Times New Roman" w:hAnsi="Times New Roman"/>
                <w:noProof/>
                <w:webHidden/>
                <w:sz w:val="24"/>
                <w:szCs w:val="24"/>
              </w:rPr>
            </w:r>
            <w:r w:rsidR="00FE6183" w:rsidRPr="004D64EF">
              <w:rPr>
                <w:rFonts w:ascii="Times New Roman" w:hAnsi="Times New Roman"/>
                <w:noProof/>
                <w:webHidden/>
                <w:sz w:val="24"/>
                <w:szCs w:val="24"/>
              </w:rPr>
              <w:fldChar w:fldCharType="separate"/>
            </w:r>
            <w:r w:rsidR="00FE6183" w:rsidRPr="004D64EF">
              <w:rPr>
                <w:rFonts w:ascii="Times New Roman" w:hAnsi="Times New Roman"/>
                <w:noProof/>
                <w:webHidden/>
                <w:sz w:val="24"/>
                <w:szCs w:val="24"/>
              </w:rPr>
              <w:t>37</w:t>
            </w:r>
            <w:r w:rsidR="00FE6183" w:rsidRPr="004D64EF">
              <w:rPr>
                <w:rFonts w:ascii="Times New Roman" w:hAnsi="Times New Roman"/>
                <w:noProof/>
                <w:webHidden/>
                <w:sz w:val="24"/>
                <w:szCs w:val="24"/>
              </w:rPr>
              <w:fldChar w:fldCharType="end"/>
            </w:r>
          </w:hyperlink>
        </w:p>
        <w:p w14:paraId="2760A290" w14:textId="46528B8E" w:rsidR="00FE6183" w:rsidRPr="004D64EF" w:rsidRDefault="00C028EC">
          <w:pPr>
            <w:pStyle w:val="TOC2"/>
            <w:tabs>
              <w:tab w:val="right" w:leader="dot" w:pos="9016"/>
            </w:tabs>
            <w:rPr>
              <w:rFonts w:ascii="Times New Roman" w:eastAsiaTheme="minorEastAsia" w:hAnsi="Times New Roman"/>
              <w:noProof/>
              <w:sz w:val="24"/>
              <w:szCs w:val="24"/>
              <w:lang w:val="en-US"/>
            </w:rPr>
          </w:pPr>
          <w:hyperlink w:anchor="_Toc28015592" w:history="1">
            <w:r w:rsidR="00FE6183" w:rsidRPr="004D64EF">
              <w:rPr>
                <w:rStyle w:val="Hyperlink"/>
                <w:rFonts w:ascii="Times New Roman" w:hAnsi="Times New Roman"/>
                <w:noProof/>
                <w:sz w:val="24"/>
                <w:szCs w:val="24"/>
              </w:rPr>
              <w:t>5.1. Правно естество и данъчно третиране на квотите за емисии</w:t>
            </w:r>
            <w:r w:rsidR="00FE6183" w:rsidRPr="004D64EF">
              <w:rPr>
                <w:rFonts w:ascii="Times New Roman" w:hAnsi="Times New Roman"/>
                <w:noProof/>
                <w:webHidden/>
                <w:sz w:val="24"/>
                <w:szCs w:val="24"/>
              </w:rPr>
              <w:tab/>
            </w:r>
            <w:r w:rsidR="00FE6183" w:rsidRPr="004D64EF">
              <w:rPr>
                <w:rFonts w:ascii="Times New Roman" w:hAnsi="Times New Roman"/>
                <w:noProof/>
                <w:webHidden/>
                <w:sz w:val="24"/>
                <w:szCs w:val="24"/>
              </w:rPr>
              <w:fldChar w:fldCharType="begin"/>
            </w:r>
            <w:r w:rsidR="00FE6183" w:rsidRPr="004D64EF">
              <w:rPr>
                <w:rFonts w:ascii="Times New Roman" w:hAnsi="Times New Roman"/>
                <w:noProof/>
                <w:webHidden/>
                <w:sz w:val="24"/>
                <w:szCs w:val="24"/>
              </w:rPr>
              <w:instrText xml:space="preserve"> PAGEREF _Toc28015592 \h </w:instrText>
            </w:r>
            <w:r w:rsidR="00FE6183" w:rsidRPr="004D64EF">
              <w:rPr>
                <w:rFonts w:ascii="Times New Roman" w:hAnsi="Times New Roman"/>
                <w:noProof/>
                <w:webHidden/>
                <w:sz w:val="24"/>
                <w:szCs w:val="24"/>
              </w:rPr>
            </w:r>
            <w:r w:rsidR="00FE6183" w:rsidRPr="004D64EF">
              <w:rPr>
                <w:rFonts w:ascii="Times New Roman" w:hAnsi="Times New Roman"/>
                <w:noProof/>
                <w:webHidden/>
                <w:sz w:val="24"/>
                <w:szCs w:val="24"/>
              </w:rPr>
              <w:fldChar w:fldCharType="separate"/>
            </w:r>
            <w:r w:rsidR="00FE6183" w:rsidRPr="004D64EF">
              <w:rPr>
                <w:rFonts w:ascii="Times New Roman" w:hAnsi="Times New Roman"/>
                <w:noProof/>
                <w:webHidden/>
                <w:sz w:val="24"/>
                <w:szCs w:val="24"/>
              </w:rPr>
              <w:t>39</w:t>
            </w:r>
            <w:r w:rsidR="00FE6183" w:rsidRPr="004D64EF">
              <w:rPr>
                <w:rFonts w:ascii="Times New Roman" w:hAnsi="Times New Roman"/>
                <w:noProof/>
                <w:webHidden/>
                <w:sz w:val="24"/>
                <w:szCs w:val="24"/>
              </w:rPr>
              <w:fldChar w:fldCharType="end"/>
            </w:r>
          </w:hyperlink>
        </w:p>
        <w:p w14:paraId="41494587" w14:textId="07077F6D" w:rsidR="00FE6183" w:rsidRPr="004D64EF" w:rsidRDefault="00C028EC">
          <w:pPr>
            <w:pStyle w:val="TOC1"/>
            <w:rPr>
              <w:rFonts w:ascii="Times New Roman" w:eastAsiaTheme="minorEastAsia" w:hAnsi="Times New Roman"/>
              <w:noProof/>
              <w:sz w:val="24"/>
              <w:szCs w:val="24"/>
              <w:lang w:val="en-US"/>
            </w:rPr>
          </w:pPr>
          <w:hyperlink w:anchor="_Toc28015593" w:history="1">
            <w:r w:rsidR="00FE6183" w:rsidRPr="004D64EF">
              <w:rPr>
                <w:rStyle w:val="Hyperlink"/>
                <w:rFonts w:ascii="Times New Roman" w:hAnsi="Times New Roman"/>
                <w:noProof/>
                <w:sz w:val="24"/>
                <w:szCs w:val="24"/>
              </w:rPr>
              <w:t>6. МОНИТОРИНГ, ДОКЛАДВАНЕ И ПРОВЕРКА НА ЕМИСИИТЕ</w:t>
            </w:r>
            <w:r w:rsidR="00FE6183" w:rsidRPr="004D64EF">
              <w:rPr>
                <w:rFonts w:ascii="Times New Roman" w:hAnsi="Times New Roman"/>
                <w:noProof/>
                <w:webHidden/>
                <w:sz w:val="24"/>
                <w:szCs w:val="24"/>
              </w:rPr>
              <w:tab/>
            </w:r>
            <w:r w:rsidR="00FE6183" w:rsidRPr="004D64EF">
              <w:rPr>
                <w:rFonts w:ascii="Times New Roman" w:hAnsi="Times New Roman"/>
                <w:noProof/>
                <w:webHidden/>
                <w:sz w:val="24"/>
                <w:szCs w:val="24"/>
              </w:rPr>
              <w:fldChar w:fldCharType="begin"/>
            </w:r>
            <w:r w:rsidR="00FE6183" w:rsidRPr="004D64EF">
              <w:rPr>
                <w:rFonts w:ascii="Times New Roman" w:hAnsi="Times New Roman"/>
                <w:noProof/>
                <w:webHidden/>
                <w:sz w:val="24"/>
                <w:szCs w:val="24"/>
              </w:rPr>
              <w:instrText xml:space="preserve"> PAGEREF _Toc28015593 \h </w:instrText>
            </w:r>
            <w:r w:rsidR="00FE6183" w:rsidRPr="004D64EF">
              <w:rPr>
                <w:rFonts w:ascii="Times New Roman" w:hAnsi="Times New Roman"/>
                <w:noProof/>
                <w:webHidden/>
                <w:sz w:val="24"/>
                <w:szCs w:val="24"/>
              </w:rPr>
            </w:r>
            <w:r w:rsidR="00FE6183" w:rsidRPr="004D64EF">
              <w:rPr>
                <w:rFonts w:ascii="Times New Roman" w:hAnsi="Times New Roman"/>
                <w:noProof/>
                <w:webHidden/>
                <w:sz w:val="24"/>
                <w:szCs w:val="24"/>
              </w:rPr>
              <w:fldChar w:fldCharType="separate"/>
            </w:r>
            <w:r w:rsidR="00FE6183" w:rsidRPr="004D64EF">
              <w:rPr>
                <w:rFonts w:ascii="Times New Roman" w:hAnsi="Times New Roman"/>
                <w:noProof/>
                <w:webHidden/>
                <w:sz w:val="24"/>
                <w:szCs w:val="24"/>
              </w:rPr>
              <w:t>40</w:t>
            </w:r>
            <w:r w:rsidR="00FE6183" w:rsidRPr="004D64EF">
              <w:rPr>
                <w:rFonts w:ascii="Times New Roman" w:hAnsi="Times New Roman"/>
                <w:noProof/>
                <w:webHidden/>
                <w:sz w:val="24"/>
                <w:szCs w:val="24"/>
              </w:rPr>
              <w:fldChar w:fldCharType="end"/>
            </w:r>
          </w:hyperlink>
        </w:p>
        <w:p w14:paraId="32FD365E" w14:textId="48059DF3" w:rsidR="00FE6183" w:rsidRPr="004D64EF" w:rsidRDefault="00C028EC">
          <w:pPr>
            <w:pStyle w:val="TOC1"/>
            <w:rPr>
              <w:rFonts w:ascii="Times New Roman" w:eastAsiaTheme="minorEastAsia" w:hAnsi="Times New Roman"/>
              <w:noProof/>
              <w:sz w:val="24"/>
              <w:szCs w:val="24"/>
              <w:lang w:val="en-US"/>
            </w:rPr>
          </w:pPr>
          <w:hyperlink w:anchor="_Toc28015594" w:history="1">
            <w:r w:rsidR="00FE6183" w:rsidRPr="004D64EF">
              <w:rPr>
                <w:rStyle w:val="Hyperlink"/>
                <w:rFonts w:ascii="Times New Roman" w:hAnsi="Times New Roman"/>
                <w:noProof/>
                <w:sz w:val="24"/>
                <w:szCs w:val="24"/>
              </w:rPr>
              <w:t>7. ПРЕГЛЕД НА АДМИНИСТРАТИВНИТЕ МЕРКИ</w:t>
            </w:r>
            <w:r w:rsidR="00FE6183" w:rsidRPr="004D64EF">
              <w:rPr>
                <w:rFonts w:ascii="Times New Roman" w:hAnsi="Times New Roman"/>
                <w:noProof/>
                <w:webHidden/>
                <w:sz w:val="24"/>
                <w:szCs w:val="24"/>
              </w:rPr>
              <w:tab/>
            </w:r>
            <w:r w:rsidR="00FE6183" w:rsidRPr="004D64EF">
              <w:rPr>
                <w:rFonts w:ascii="Times New Roman" w:hAnsi="Times New Roman"/>
                <w:noProof/>
                <w:webHidden/>
                <w:sz w:val="24"/>
                <w:szCs w:val="24"/>
              </w:rPr>
              <w:fldChar w:fldCharType="begin"/>
            </w:r>
            <w:r w:rsidR="00FE6183" w:rsidRPr="004D64EF">
              <w:rPr>
                <w:rFonts w:ascii="Times New Roman" w:hAnsi="Times New Roman"/>
                <w:noProof/>
                <w:webHidden/>
                <w:sz w:val="24"/>
                <w:szCs w:val="24"/>
              </w:rPr>
              <w:instrText xml:space="preserve"> PAGEREF _Toc28015594 \h </w:instrText>
            </w:r>
            <w:r w:rsidR="00FE6183" w:rsidRPr="004D64EF">
              <w:rPr>
                <w:rFonts w:ascii="Times New Roman" w:hAnsi="Times New Roman"/>
                <w:noProof/>
                <w:webHidden/>
                <w:sz w:val="24"/>
                <w:szCs w:val="24"/>
              </w:rPr>
            </w:r>
            <w:r w:rsidR="00FE6183" w:rsidRPr="004D64EF">
              <w:rPr>
                <w:rFonts w:ascii="Times New Roman" w:hAnsi="Times New Roman"/>
                <w:noProof/>
                <w:webHidden/>
                <w:sz w:val="24"/>
                <w:szCs w:val="24"/>
              </w:rPr>
              <w:fldChar w:fldCharType="separate"/>
            </w:r>
            <w:r w:rsidR="00FE6183" w:rsidRPr="004D64EF">
              <w:rPr>
                <w:rFonts w:ascii="Times New Roman" w:hAnsi="Times New Roman"/>
                <w:noProof/>
                <w:webHidden/>
                <w:sz w:val="24"/>
                <w:szCs w:val="24"/>
              </w:rPr>
              <w:t>43</w:t>
            </w:r>
            <w:r w:rsidR="00FE6183" w:rsidRPr="004D64EF">
              <w:rPr>
                <w:rFonts w:ascii="Times New Roman" w:hAnsi="Times New Roman"/>
                <w:noProof/>
                <w:webHidden/>
                <w:sz w:val="24"/>
                <w:szCs w:val="24"/>
              </w:rPr>
              <w:fldChar w:fldCharType="end"/>
            </w:r>
          </w:hyperlink>
        </w:p>
        <w:p w14:paraId="371B8453" w14:textId="4517BAE7" w:rsidR="00FE6183" w:rsidRPr="004D64EF" w:rsidRDefault="00C028EC">
          <w:pPr>
            <w:pStyle w:val="TOC1"/>
            <w:rPr>
              <w:rFonts w:ascii="Times New Roman" w:eastAsiaTheme="minorEastAsia" w:hAnsi="Times New Roman"/>
              <w:noProof/>
              <w:sz w:val="24"/>
              <w:szCs w:val="24"/>
              <w:lang w:val="en-US"/>
            </w:rPr>
          </w:pPr>
          <w:hyperlink w:anchor="_Toc28015595" w:history="1">
            <w:r w:rsidR="00FE6183" w:rsidRPr="004D64EF">
              <w:rPr>
                <w:rStyle w:val="Hyperlink"/>
                <w:rFonts w:ascii="Times New Roman" w:hAnsi="Times New Roman"/>
                <w:noProof/>
                <w:sz w:val="24"/>
                <w:szCs w:val="24"/>
              </w:rPr>
              <w:t>8. СЪОТВЕТСТВИЕ И ПРИЛАГАНЕ</w:t>
            </w:r>
            <w:r w:rsidR="00FE6183" w:rsidRPr="004D64EF">
              <w:rPr>
                <w:rFonts w:ascii="Times New Roman" w:hAnsi="Times New Roman"/>
                <w:noProof/>
                <w:webHidden/>
                <w:sz w:val="24"/>
                <w:szCs w:val="24"/>
              </w:rPr>
              <w:tab/>
            </w:r>
            <w:r w:rsidR="00FE6183" w:rsidRPr="004D64EF">
              <w:rPr>
                <w:rFonts w:ascii="Times New Roman" w:hAnsi="Times New Roman"/>
                <w:noProof/>
                <w:webHidden/>
                <w:sz w:val="24"/>
                <w:szCs w:val="24"/>
              </w:rPr>
              <w:fldChar w:fldCharType="begin"/>
            </w:r>
            <w:r w:rsidR="00FE6183" w:rsidRPr="004D64EF">
              <w:rPr>
                <w:rFonts w:ascii="Times New Roman" w:hAnsi="Times New Roman"/>
                <w:noProof/>
                <w:webHidden/>
                <w:sz w:val="24"/>
                <w:szCs w:val="24"/>
              </w:rPr>
              <w:instrText xml:space="preserve"> PAGEREF _Toc28015595 \h </w:instrText>
            </w:r>
            <w:r w:rsidR="00FE6183" w:rsidRPr="004D64EF">
              <w:rPr>
                <w:rFonts w:ascii="Times New Roman" w:hAnsi="Times New Roman"/>
                <w:noProof/>
                <w:webHidden/>
                <w:sz w:val="24"/>
                <w:szCs w:val="24"/>
              </w:rPr>
            </w:r>
            <w:r w:rsidR="00FE6183" w:rsidRPr="004D64EF">
              <w:rPr>
                <w:rFonts w:ascii="Times New Roman" w:hAnsi="Times New Roman"/>
                <w:noProof/>
                <w:webHidden/>
                <w:sz w:val="24"/>
                <w:szCs w:val="24"/>
              </w:rPr>
              <w:fldChar w:fldCharType="separate"/>
            </w:r>
            <w:r w:rsidR="00FE6183" w:rsidRPr="004D64EF">
              <w:rPr>
                <w:rFonts w:ascii="Times New Roman" w:hAnsi="Times New Roman"/>
                <w:noProof/>
                <w:webHidden/>
                <w:sz w:val="24"/>
                <w:szCs w:val="24"/>
              </w:rPr>
              <w:t>44</w:t>
            </w:r>
            <w:r w:rsidR="00FE6183" w:rsidRPr="004D64EF">
              <w:rPr>
                <w:rFonts w:ascii="Times New Roman" w:hAnsi="Times New Roman"/>
                <w:noProof/>
                <w:webHidden/>
                <w:sz w:val="24"/>
                <w:szCs w:val="24"/>
              </w:rPr>
              <w:fldChar w:fldCharType="end"/>
            </w:r>
          </w:hyperlink>
        </w:p>
        <w:p w14:paraId="35B02544" w14:textId="4145AE4F" w:rsidR="00FE6183" w:rsidRPr="004D64EF" w:rsidRDefault="00C028EC">
          <w:pPr>
            <w:pStyle w:val="TOC1"/>
            <w:rPr>
              <w:rFonts w:ascii="Times New Roman" w:eastAsiaTheme="minorEastAsia" w:hAnsi="Times New Roman"/>
              <w:noProof/>
              <w:sz w:val="24"/>
              <w:szCs w:val="24"/>
              <w:lang w:val="en-US"/>
            </w:rPr>
          </w:pPr>
          <w:hyperlink w:anchor="_Toc28015596" w:history="1">
            <w:r w:rsidR="00FE6183" w:rsidRPr="004D64EF">
              <w:rPr>
                <w:rStyle w:val="Hyperlink"/>
                <w:rFonts w:ascii="Times New Roman" w:hAnsi="Times New Roman"/>
                <w:noProof/>
                <w:sz w:val="24"/>
                <w:szCs w:val="24"/>
              </w:rPr>
              <w:t>9. ЗАКЛЮЧЕНИЯ И ПЕРСПЕКТИВИ</w:t>
            </w:r>
            <w:r w:rsidR="00FE6183" w:rsidRPr="004D64EF">
              <w:rPr>
                <w:rFonts w:ascii="Times New Roman" w:hAnsi="Times New Roman"/>
                <w:noProof/>
                <w:webHidden/>
                <w:sz w:val="24"/>
                <w:szCs w:val="24"/>
              </w:rPr>
              <w:tab/>
            </w:r>
            <w:r w:rsidR="00FE6183" w:rsidRPr="004D64EF">
              <w:rPr>
                <w:rFonts w:ascii="Times New Roman" w:hAnsi="Times New Roman"/>
                <w:noProof/>
                <w:webHidden/>
                <w:sz w:val="24"/>
                <w:szCs w:val="24"/>
              </w:rPr>
              <w:fldChar w:fldCharType="begin"/>
            </w:r>
            <w:r w:rsidR="00FE6183" w:rsidRPr="004D64EF">
              <w:rPr>
                <w:rFonts w:ascii="Times New Roman" w:hAnsi="Times New Roman"/>
                <w:noProof/>
                <w:webHidden/>
                <w:sz w:val="24"/>
                <w:szCs w:val="24"/>
              </w:rPr>
              <w:instrText xml:space="preserve"> PAGEREF _Toc28015596 \h </w:instrText>
            </w:r>
            <w:r w:rsidR="00FE6183" w:rsidRPr="004D64EF">
              <w:rPr>
                <w:rFonts w:ascii="Times New Roman" w:hAnsi="Times New Roman"/>
                <w:noProof/>
                <w:webHidden/>
                <w:sz w:val="24"/>
                <w:szCs w:val="24"/>
              </w:rPr>
            </w:r>
            <w:r w:rsidR="00FE6183" w:rsidRPr="004D64EF">
              <w:rPr>
                <w:rFonts w:ascii="Times New Roman" w:hAnsi="Times New Roman"/>
                <w:noProof/>
                <w:webHidden/>
                <w:sz w:val="24"/>
                <w:szCs w:val="24"/>
              </w:rPr>
              <w:fldChar w:fldCharType="separate"/>
            </w:r>
            <w:r w:rsidR="00FE6183" w:rsidRPr="004D64EF">
              <w:rPr>
                <w:rFonts w:ascii="Times New Roman" w:hAnsi="Times New Roman"/>
                <w:noProof/>
                <w:webHidden/>
                <w:sz w:val="24"/>
                <w:szCs w:val="24"/>
              </w:rPr>
              <w:t>45</w:t>
            </w:r>
            <w:r w:rsidR="00FE6183" w:rsidRPr="004D64EF">
              <w:rPr>
                <w:rFonts w:ascii="Times New Roman" w:hAnsi="Times New Roman"/>
                <w:noProof/>
                <w:webHidden/>
                <w:sz w:val="24"/>
                <w:szCs w:val="24"/>
              </w:rPr>
              <w:fldChar w:fldCharType="end"/>
            </w:r>
          </w:hyperlink>
        </w:p>
        <w:p w14:paraId="4192759F" w14:textId="4A8B9D44" w:rsidR="00FE6183" w:rsidRPr="004D64EF" w:rsidRDefault="00C028EC">
          <w:pPr>
            <w:pStyle w:val="TOC1"/>
            <w:rPr>
              <w:rFonts w:asciiTheme="minorHAnsi" w:eastAsiaTheme="minorEastAsia" w:hAnsiTheme="minorHAnsi" w:cstheme="minorBidi"/>
              <w:noProof/>
              <w:sz w:val="24"/>
              <w:szCs w:val="24"/>
              <w:lang w:val="en-US"/>
            </w:rPr>
          </w:pPr>
          <w:hyperlink w:anchor="_Toc28015597" w:history="1">
            <w:r w:rsidR="00FE6183" w:rsidRPr="004D64EF">
              <w:rPr>
                <w:rStyle w:val="Hyperlink"/>
                <w:rFonts w:ascii="Times New Roman" w:hAnsi="Times New Roman"/>
                <w:noProof/>
                <w:sz w:val="24"/>
                <w:szCs w:val="24"/>
              </w:rPr>
              <w:t>ПРИЛОЖЕНИE</w:t>
            </w:r>
            <w:r w:rsidR="00FE6183" w:rsidRPr="004D64EF">
              <w:rPr>
                <w:rFonts w:ascii="Times New Roman" w:hAnsi="Times New Roman"/>
                <w:noProof/>
                <w:webHidden/>
                <w:sz w:val="24"/>
                <w:szCs w:val="24"/>
              </w:rPr>
              <w:tab/>
            </w:r>
            <w:r w:rsidR="00FE6183" w:rsidRPr="004D64EF">
              <w:rPr>
                <w:rFonts w:ascii="Times New Roman" w:hAnsi="Times New Roman"/>
                <w:noProof/>
                <w:webHidden/>
                <w:sz w:val="24"/>
                <w:szCs w:val="24"/>
              </w:rPr>
              <w:fldChar w:fldCharType="begin"/>
            </w:r>
            <w:r w:rsidR="00FE6183" w:rsidRPr="004D64EF">
              <w:rPr>
                <w:rFonts w:ascii="Times New Roman" w:hAnsi="Times New Roman"/>
                <w:noProof/>
                <w:webHidden/>
                <w:sz w:val="24"/>
                <w:szCs w:val="24"/>
              </w:rPr>
              <w:instrText xml:space="preserve"> PAGEREF _Toc28015597 \h </w:instrText>
            </w:r>
            <w:r w:rsidR="00FE6183" w:rsidRPr="004D64EF">
              <w:rPr>
                <w:rFonts w:ascii="Times New Roman" w:hAnsi="Times New Roman"/>
                <w:noProof/>
                <w:webHidden/>
                <w:sz w:val="24"/>
                <w:szCs w:val="24"/>
              </w:rPr>
            </w:r>
            <w:r w:rsidR="00FE6183" w:rsidRPr="004D64EF">
              <w:rPr>
                <w:rFonts w:ascii="Times New Roman" w:hAnsi="Times New Roman"/>
                <w:noProof/>
                <w:webHidden/>
                <w:sz w:val="24"/>
                <w:szCs w:val="24"/>
              </w:rPr>
              <w:fldChar w:fldCharType="separate"/>
            </w:r>
            <w:r w:rsidR="00FE6183" w:rsidRPr="004D64EF">
              <w:rPr>
                <w:rFonts w:ascii="Times New Roman" w:hAnsi="Times New Roman"/>
                <w:noProof/>
                <w:webHidden/>
                <w:sz w:val="24"/>
                <w:szCs w:val="24"/>
              </w:rPr>
              <w:t>47</w:t>
            </w:r>
            <w:r w:rsidR="00FE6183" w:rsidRPr="004D64EF">
              <w:rPr>
                <w:rFonts w:ascii="Times New Roman" w:hAnsi="Times New Roman"/>
                <w:noProof/>
                <w:webHidden/>
                <w:sz w:val="24"/>
                <w:szCs w:val="24"/>
              </w:rPr>
              <w:fldChar w:fldCharType="end"/>
            </w:r>
          </w:hyperlink>
        </w:p>
        <w:p w14:paraId="69D168AE" w14:textId="3BB01C91" w:rsidR="00C3264D" w:rsidRDefault="000A23BB">
          <w:pPr>
            <w:rPr>
              <w:rFonts w:ascii="Times New Roman" w:hAnsi="Times New Roman"/>
            </w:rPr>
          </w:pPr>
          <w:r w:rsidRPr="004D64EF">
            <w:rPr>
              <w:rFonts w:ascii="Times New Roman" w:hAnsi="Times New Roman"/>
              <w:b/>
              <w:bCs/>
              <w:sz w:val="24"/>
              <w:szCs w:val="24"/>
            </w:rPr>
            <w:fldChar w:fldCharType="end"/>
          </w:r>
        </w:p>
      </w:sdtContent>
    </w:sdt>
    <w:p w14:paraId="21A9BB45" w14:textId="77777777" w:rsidR="00C3264D" w:rsidRDefault="003A348D">
      <w:pPr>
        <w:pStyle w:val="Heading1"/>
        <w:spacing w:before="0" w:after="120"/>
        <w:rPr>
          <w:szCs w:val="24"/>
        </w:rPr>
      </w:pPr>
      <w:bookmarkStart w:id="2" w:name="_Toc28015573"/>
      <w:r>
        <w:t>Списък на акронимите и съкращенията</w:t>
      </w:r>
      <w:bookmarkEnd w:id="2"/>
    </w:p>
    <w:p w14:paraId="07821AAA" w14:textId="77777777" w:rsidR="00C3264D" w:rsidRDefault="003A348D">
      <w:pPr>
        <w:spacing w:after="120"/>
        <w:rPr>
          <w:rFonts w:ascii="Times New Roman" w:hAnsi="Times New Roman"/>
          <w:sz w:val="24"/>
          <w:szCs w:val="24"/>
        </w:rPr>
      </w:pPr>
      <w:r>
        <w:rPr>
          <w:rFonts w:ascii="Times New Roman" w:hAnsi="Times New Roman"/>
        </w:rPr>
        <w:t>РАП</w:t>
      </w:r>
      <w:r>
        <w:rPr>
          <w:rFonts w:ascii="Times New Roman" w:hAnsi="Times New Roman"/>
        </w:rPr>
        <w:tab/>
      </w:r>
      <w:r>
        <w:rPr>
          <w:rFonts w:ascii="Times New Roman" w:hAnsi="Times New Roman"/>
        </w:rPr>
        <w:tab/>
        <w:t>Регламент относно акредитацията и проверката</w:t>
      </w:r>
    </w:p>
    <w:p w14:paraId="2545A202" w14:textId="77777777" w:rsidR="00C3264D" w:rsidRDefault="003A348D">
      <w:pPr>
        <w:spacing w:after="120"/>
        <w:rPr>
          <w:rFonts w:ascii="Times New Roman" w:hAnsi="Times New Roman"/>
          <w:sz w:val="24"/>
          <w:szCs w:val="24"/>
        </w:rPr>
      </w:pPr>
      <w:r>
        <w:rPr>
          <w:rFonts w:ascii="Times New Roman" w:hAnsi="Times New Roman"/>
        </w:rPr>
        <w:t>КО</w:t>
      </w:r>
      <w:r>
        <w:rPr>
          <w:rFonts w:ascii="Times New Roman" w:hAnsi="Times New Roman"/>
        </w:rPr>
        <w:tab/>
      </w:r>
      <w:r>
        <w:rPr>
          <w:rFonts w:ascii="Times New Roman" w:hAnsi="Times New Roman"/>
        </w:rPr>
        <w:tab/>
        <w:t>Компетентен орган</w:t>
      </w:r>
    </w:p>
    <w:p w14:paraId="7B64EDAE" w14:textId="77777777" w:rsidR="00C3264D" w:rsidRDefault="003A348D">
      <w:pPr>
        <w:spacing w:after="120"/>
        <w:rPr>
          <w:rFonts w:ascii="Times New Roman" w:hAnsi="Times New Roman"/>
          <w:sz w:val="24"/>
          <w:szCs w:val="24"/>
        </w:rPr>
      </w:pPr>
      <w:r>
        <w:rPr>
          <w:rFonts w:ascii="Times New Roman" w:hAnsi="Times New Roman"/>
        </w:rPr>
        <w:t>ССS</w:t>
      </w:r>
      <w:r>
        <w:rPr>
          <w:rFonts w:ascii="Times New Roman" w:hAnsi="Times New Roman"/>
        </w:rPr>
        <w:tab/>
      </w:r>
      <w:r>
        <w:rPr>
          <w:rFonts w:ascii="Times New Roman" w:hAnsi="Times New Roman"/>
        </w:rPr>
        <w:tab/>
        <w:t>Улавяне и съхранение на въглероден диоксид</w:t>
      </w:r>
    </w:p>
    <w:p w14:paraId="69FF2CEF" w14:textId="77777777" w:rsidR="00C3264D" w:rsidRDefault="003A348D">
      <w:pPr>
        <w:spacing w:after="120"/>
        <w:rPr>
          <w:rFonts w:ascii="Times New Roman" w:hAnsi="Times New Roman"/>
          <w:sz w:val="24"/>
          <w:szCs w:val="24"/>
        </w:rPr>
      </w:pPr>
      <w:r>
        <w:rPr>
          <w:rFonts w:ascii="Times New Roman" w:hAnsi="Times New Roman"/>
        </w:rPr>
        <w:t>CCU</w:t>
      </w:r>
      <w:r>
        <w:rPr>
          <w:rFonts w:ascii="Times New Roman" w:hAnsi="Times New Roman"/>
        </w:rPr>
        <w:tab/>
      </w:r>
      <w:r>
        <w:rPr>
          <w:rFonts w:ascii="Times New Roman" w:hAnsi="Times New Roman"/>
        </w:rPr>
        <w:tab/>
        <w:t>Улавяне и използване на въглероден диоксид</w:t>
      </w:r>
    </w:p>
    <w:p w14:paraId="7D6BCF6C" w14:textId="77777777" w:rsidR="00C3264D" w:rsidRDefault="003A348D">
      <w:pPr>
        <w:spacing w:after="120"/>
        <w:rPr>
          <w:rFonts w:ascii="Times New Roman" w:hAnsi="Times New Roman"/>
          <w:sz w:val="24"/>
          <w:szCs w:val="24"/>
        </w:rPr>
      </w:pPr>
      <w:r>
        <w:rPr>
          <w:rFonts w:ascii="Times New Roman" w:hAnsi="Times New Roman"/>
        </w:rPr>
        <w:t>МЧР</w:t>
      </w:r>
      <w:r>
        <w:rPr>
          <w:rFonts w:ascii="Times New Roman" w:hAnsi="Times New Roman"/>
        </w:rPr>
        <w:tab/>
      </w:r>
      <w:r>
        <w:rPr>
          <w:rFonts w:ascii="Times New Roman" w:hAnsi="Times New Roman"/>
        </w:rPr>
        <w:tab/>
        <w:t>Механизъм за чисто развитие</w:t>
      </w:r>
    </w:p>
    <w:p w14:paraId="2C015314" w14:textId="77777777" w:rsidR="00C3264D" w:rsidRDefault="003A348D">
      <w:pPr>
        <w:spacing w:after="120"/>
        <w:rPr>
          <w:rFonts w:ascii="Times New Roman" w:hAnsi="Times New Roman"/>
          <w:sz w:val="24"/>
          <w:szCs w:val="24"/>
        </w:rPr>
      </w:pPr>
      <w:r>
        <w:rPr>
          <w:rFonts w:ascii="Times New Roman" w:hAnsi="Times New Roman"/>
        </w:rPr>
        <w:t>СЕРЕ</w:t>
      </w:r>
      <w:r>
        <w:rPr>
          <w:rFonts w:ascii="Times New Roman" w:hAnsi="Times New Roman"/>
        </w:rPr>
        <w:tab/>
      </w:r>
      <w:r>
        <w:rPr>
          <w:rFonts w:ascii="Times New Roman" w:hAnsi="Times New Roman"/>
        </w:rPr>
        <w:tab/>
        <w:t>Сертифицирани единици редуцирани емисии</w:t>
      </w:r>
    </w:p>
    <w:p w14:paraId="49DCEF05" w14:textId="77777777" w:rsidR="00C3264D" w:rsidRDefault="000A23BB">
      <w:pPr>
        <w:spacing w:after="120"/>
        <w:rPr>
          <w:rFonts w:ascii="Times New Roman" w:hAnsi="Times New Roman"/>
          <w:sz w:val="24"/>
          <w:szCs w:val="24"/>
        </w:rPr>
      </w:pPr>
      <w:r>
        <w:rPr>
          <w:rFonts w:ascii="Times New Roman" w:hAnsi="Times New Roman"/>
        </w:rPr>
        <w:t>СОRSIA</w:t>
      </w:r>
      <w:r>
        <w:rPr>
          <w:rFonts w:ascii="Times New Roman" w:hAnsi="Times New Roman"/>
        </w:rPr>
        <w:tab/>
        <w:t>Схема за компенсиране и намаляване на емисиите на въглероден диоксид в международното въздухоплаване</w:t>
      </w:r>
    </w:p>
    <w:p w14:paraId="3BCA7AF8" w14:textId="77777777" w:rsidR="00C3264D" w:rsidRDefault="003A348D">
      <w:pPr>
        <w:spacing w:after="120"/>
        <w:rPr>
          <w:rFonts w:ascii="Times New Roman" w:hAnsi="Times New Roman"/>
          <w:sz w:val="24"/>
          <w:szCs w:val="24"/>
        </w:rPr>
      </w:pPr>
      <w:r>
        <w:rPr>
          <w:rFonts w:ascii="Times New Roman" w:hAnsi="Times New Roman"/>
        </w:rPr>
        <w:t>МКК</w:t>
      </w:r>
      <w:r>
        <w:rPr>
          <w:rFonts w:ascii="Times New Roman" w:hAnsi="Times New Roman"/>
        </w:rPr>
        <w:tab/>
      </w:r>
      <w:r>
        <w:rPr>
          <w:rFonts w:ascii="Times New Roman" w:hAnsi="Times New Roman"/>
        </w:rPr>
        <w:tab/>
        <w:t>Междуотраслов корекционен коефициент</w:t>
      </w:r>
    </w:p>
    <w:p w14:paraId="61DC4200" w14:textId="77777777" w:rsidR="00C3264D" w:rsidRDefault="003A348D">
      <w:pPr>
        <w:spacing w:after="120"/>
        <w:rPr>
          <w:rFonts w:ascii="Times New Roman" w:hAnsi="Times New Roman"/>
          <w:sz w:val="24"/>
          <w:szCs w:val="24"/>
        </w:rPr>
      </w:pPr>
      <w:r>
        <w:rPr>
          <w:rFonts w:ascii="Times New Roman" w:hAnsi="Times New Roman"/>
        </w:rPr>
        <w:t>EA</w:t>
      </w:r>
      <w:r>
        <w:rPr>
          <w:rFonts w:ascii="Times New Roman" w:hAnsi="Times New Roman"/>
        </w:rPr>
        <w:tab/>
      </w:r>
      <w:r>
        <w:rPr>
          <w:rFonts w:ascii="Times New Roman" w:hAnsi="Times New Roman"/>
        </w:rPr>
        <w:tab/>
        <w:t>Европейска организация за акредитация</w:t>
      </w:r>
    </w:p>
    <w:p w14:paraId="59DCE5E5" w14:textId="77777777" w:rsidR="00C3264D" w:rsidRDefault="003A348D">
      <w:pPr>
        <w:spacing w:after="120"/>
        <w:rPr>
          <w:rFonts w:ascii="Times New Roman" w:hAnsi="Times New Roman"/>
          <w:sz w:val="24"/>
          <w:szCs w:val="24"/>
        </w:rPr>
      </w:pPr>
      <w:r>
        <w:rPr>
          <w:rFonts w:ascii="Times New Roman" w:hAnsi="Times New Roman"/>
        </w:rPr>
        <w:t>ЕИП</w:t>
      </w:r>
      <w:r>
        <w:rPr>
          <w:rFonts w:ascii="Times New Roman" w:hAnsi="Times New Roman"/>
        </w:rPr>
        <w:tab/>
      </w:r>
      <w:r>
        <w:rPr>
          <w:rFonts w:ascii="Times New Roman" w:hAnsi="Times New Roman"/>
        </w:rPr>
        <w:tab/>
        <w:t>Европейско икономическо пространство</w:t>
      </w:r>
    </w:p>
    <w:p w14:paraId="0A6C719D" w14:textId="77777777" w:rsidR="00C3264D" w:rsidRDefault="00B36364">
      <w:pPr>
        <w:spacing w:after="120"/>
        <w:rPr>
          <w:rFonts w:ascii="Times New Roman" w:hAnsi="Times New Roman"/>
          <w:sz w:val="24"/>
          <w:szCs w:val="24"/>
        </w:rPr>
      </w:pPr>
      <w:r>
        <w:rPr>
          <w:rFonts w:ascii="Times New Roman" w:hAnsi="Times New Roman"/>
        </w:rPr>
        <w:t>ЕАОС</w:t>
      </w:r>
      <w:r>
        <w:rPr>
          <w:rFonts w:ascii="Times New Roman" w:hAnsi="Times New Roman"/>
        </w:rPr>
        <w:tab/>
      </w:r>
      <w:r>
        <w:rPr>
          <w:rFonts w:ascii="Times New Roman" w:hAnsi="Times New Roman"/>
        </w:rPr>
        <w:tab/>
        <w:t>Европейска агенция за околната среда</w:t>
      </w:r>
    </w:p>
    <w:p w14:paraId="7D4F4B54" w14:textId="77777777" w:rsidR="00C3264D" w:rsidRDefault="003A348D">
      <w:pPr>
        <w:spacing w:after="120"/>
        <w:rPr>
          <w:rFonts w:ascii="Times New Roman" w:hAnsi="Times New Roman"/>
          <w:sz w:val="24"/>
          <w:szCs w:val="24"/>
        </w:rPr>
      </w:pPr>
      <w:r>
        <w:rPr>
          <w:rFonts w:ascii="Times New Roman" w:hAnsi="Times New Roman"/>
        </w:rPr>
        <w:t>ЕЕХ</w:t>
      </w:r>
      <w:r>
        <w:rPr>
          <w:rFonts w:ascii="Times New Roman" w:hAnsi="Times New Roman"/>
        </w:rPr>
        <w:tab/>
      </w:r>
      <w:r>
        <w:rPr>
          <w:rFonts w:ascii="Times New Roman" w:hAnsi="Times New Roman"/>
        </w:rPr>
        <w:tab/>
        <w:t>Европейска енергийна борса</w:t>
      </w:r>
    </w:p>
    <w:p w14:paraId="6609D7AA" w14:textId="77777777" w:rsidR="00C3264D" w:rsidRDefault="003A348D">
      <w:pPr>
        <w:spacing w:after="120"/>
        <w:rPr>
          <w:rFonts w:ascii="Times New Roman" w:hAnsi="Times New Roman"/>
          <w:sz w:val="24"/>
          <w:szCs w:val="24"/>
        </w:rPr>
      </w:pPr>
      <w:r>
        <w:rPr>
          <w:rFonts w:ascii="Times New Roman" w:hAnsi="Times New Roman"/>
        </w:rPr>
        <w:t>ЕИБ</w:t>
      </w:r>
      <w:r>
        <w:rPr>
          <w:rFonts w:ascii="Times New Roman" w:hAnsi="Times New Roman"/>
        </w:rPr>
        <w:tab/>
      </w:r>
      <w:r>
        <w:rPr>
          <w:rFonts w:ascii="Times New Roman" w:hAnsi="Times New Roman"/>
        </w:rPr>
        <w:tab/>
        <w:t>Европейска инвестиционна банка</w:t>
      </w:r>
    </w:p>
    <w:p w14:paraId="22A3823B" w14:textId="77777777" w:rsidR="00C3264D" w:rsidRDefault="003A348D">
      <w:pPr>
        <w:spacing w:after="120"/>
        <w:rPr>
          <w:rFonts w:ascii="Times New Roman" w:hAnsi="Times New Roman"/>
          <w:sz w:val="24"/>
          <w:szCs w:val="24"/>
        </w:rPr>
      </w:pPr>
      <w:r>
        <w:rPr>
          <w:rFonts w:ascii="Times New Roman" w:hAnsi="Times New Roman"/>
        </w:rPr>
        <w:t>ЕРЕ</w:t>
      </w:r>
      <w:r>
        <w:rPr>
          <w:rFonts w:ascii="Times New Roman" w:hAnsi="Times New Roman"/>
        </w:rPr>
        <w:tab/>
      </w:r>
      <w:r>
        <w:rPr>
          <w:rFonts w:ascii="Times New Roman" w:hAnsi="Times New Roman"/>
        </w:rPr>
        <w:tab/>
        <w:t>Единици редуцирани емисии</w:t>
      </w:r>
    </w:p>
    <w:p w14:paraId="75C7D35E" w14:textId="77777777" w:rsidR="00C3264D" w:rsidRDefault="000A23BB">
      <w:pPr>
        <w:spacing w:after="120"/>
        <w:rPr>
          <w:rFonts w:ascii="Times New Roman" w:hAnsi="Times New Roman"/>
          <w:sz w:val="24"/>
          <w:szCs w:val="24"/>
        </w:rPr>
      </w:pPr>
      <w:r>
        <w:rPr>
          <w:rFonts w:ascii="Times New Roman" w:hAnsi="Times New Roman"/>
        </w:rPr>
        <w:t>ESMA</w:t>
      </w:r>
      <w:r>
        <w:rPr>
          <w:rFonts w:ascii="Times New Roman" w:hAnsi="Times New Roman"/>
        </w:rPr>
        <w:tab/>
      </w:r>
      <w:r>
        <w:rPr>
          <w:rFonts w:ascii="Times New Roman" w:hAnsi="Times New Roman"/>
        </w:rPr>
        <w:tab/>
        <w:t>Европейски орган за ценни книжа и пазари</w:t>
      </w:r>
    </w:p>
    <w:p w14:paraId="0E04B75C" w14:textId="77777777" w:rsidR="00C3264D" w:rsidRDefault="003A348D">
      <w:pPr>
        <w:spacing w:after="120"/>
        <w:rPr>
          <w:rFonts w:ascii="Times New Roman" w:hAnsi="Times New Roman"/>
          <w:sz w:val="24"/>
          <w:szCs w:val="24"/>
        </w:rPr>
      </w:pPr>
      <w:r>
        <w:rPr>
          <w:rFonts w:ascii="Times New Roman" w:hAnsi="Times New Roman"/>
        </w:rPr>
        <w:t>СТЕ на ЕС</w:t>
      </w:r>
      <w:r>
        <w:rPr>
          <w:rFonts w:ascii="Times New Roman" w:hAnsi="Times New Roman"/>
        </w:rPr>
        <w:tab/>
        <w:t>Система на Европейския съюз за търговия с емисии</w:t>
      </w:r>
    </w:p>
    <w:p w14:paraId="65FB01C9" w14:textId="77777777" w:rsidR="00C3264D" w:rsidRDefault="003A348D">
      <w:pPr>
        <w:spacing w:after="120"/>
        <w:rPr>
          <w:rFonts w:ascii="Times New Roman" w:hAnsi="Times New Roman"/>
          <w:sz w:val="24"/>
          <w:szCs w:val="24"/>
        </w:rPr>
      </w:pPr>
      <w:r>
        <w:rPr>
          <w:rFonts w:ascii="Times New Roman" w:hAnsi="Times New Roman"/>
        </w:rPr>
        <w:t>ЕUTL</w:t>
      </w:r>
      <w:r>
        <w:rPr>
          <w:rFonts w:ascii="Times New Roman" w:hAnsi="Times New Roman"/>
        </w:rPr>
        <w:tab/>
      </w:r>
      <w:r>
        <w:rPr>
          <w:rFonts w:ascii="Times New Roman" w:hAnsi="Times New Roman"/>
        </w:rPr>
        <w:tab/>
        <w:t>Дневник на ЕС за транзакциите</w:t>
      </w:r>
    </w:p>
    <w:p w14:paraId="69807327" w14:textId="77777777" w:rsidR="00C3264D" w:rsidRDefault="003A348D">
      <w:pPr>
        <w:spacing w:after="120"/>
        <w:rPr>
          <w:rFonts w:ascii="Times New Roman" w:hAnsi="Times New Roman"/>
          <w:sz w:val="24"/>
          <w:szCs w:val="24"/>
        </w:rPr>
      </w:pPr>
      <w:r>
        <w:rPr>
          <w:rFonts w:ascii="Times New Roman" w:hAnsi="Times New Roman"/>
        </w:rPr>
        <w:t xml:space="preserve">ПГ  </w:t>
      </w:r>
      <w:r>
        <w:rPr>
          <w:rFonts w:ascii="Times New Roman" w:hAnsi="Times New Roman"/>
        </w:rPr>
        <w:tab/>
      </w:r>
      <w:r>
        <w:rPr>
          <w:rFonts w:ascii="Times New Roman" w:hAnsi="Times New Roman"/>
        </w:rPr>
        <w:tab/>
        <w:t>Парников газ</w:t>
      </w:r>
    </w:p>
    <w:p w14:paraId="7FCE9806" w14:textId="77777777" w:rsidR="00C3264D" w:rsidRDefault="003A348D">
      <w:pPr>
        <w:spacing w:after="120"/>
        <w:rPr>
          <w:rFonts w:ascii="Times New Roman" w:hAnsi="Times New Roman"/>
          <w:sz w:val="24"/>
          <w:szCs w:val="24"/>
        </w:rPr>
      </w:pPr>
      <w:r>
        <w:rPr>
          <w:rFonts w:ascii="Times New Roman" w:hAnsi="Times New Roman"/>
        </w:rPr>
        <w:t>ИКАО</w:t>
      </w:r>
      <w:r>
        <w:rPr>
          <w:rFonts w:ascii="Times New Roman" w:hAnsi="Times New Roman"/>
        </w:rPr>
        <w:tab/>
      </w:r>
      <w:r>
        <w:rPr>
          <w:rFonts w:ascii="Times New Roman" w:hAnsi="Times New Roman"/>
        </w:rPr>
        <w:tab/>
        <w:t>Международна организация за гражданско въздухоплаване</w:t>
      </w:r>
    </w:p>
    <w:p w14:paraId="33AB1DDC" w14:textId="77777777" w:rsidR="00C3264D" w:rsidRDefault="003A348D">
      <w:pPr>
        <w:spacing w:after="120"/>
        <w:rPr>
          <w:rFonts w:ascii="Times New Roman" w:hAnsi="Times New Roman"/>
          <w:sz w:val="24"/>
          <w:szCs w:val="24"/>
        </w:rPr>
      </w:pPr>
      <w:r>
        <w:rPr>
          <w:rFonts w:ascii="Times New Roman" w:hAnsi="Times New Roman"/>
        </w:rPr>
        <w:t>ICE</w:t>
      </w:r>
      <w:r>
        <w:rPr>
          <w:rFonts w:ascii="Times New Roman" w:hAnsi="Times New Roman"/>
        </w:rPr>
        <w:tab/>
      </w:r>
      <w:r>
        <w:rPr>
          <w:rFonts w:ascii="Times New Roman" w:hAnsi="Times New Roman"/>
        </w:rPr>
        <w:tab/>
        <w:t xml:space="preserve">ICE Futures Europe (Междуконтинентална борса) </w:t>
      </w:r>
    </w:p>
    <w:p w14:paraId="46A5482E" w14:textId="77777777" w:rsidR="00C3264D" w:rsidRDefault="006434B2">
      <w:pPr>
        <w:spacing w:after="120"/>
        <w:rPr>
          <w:rFonts w:ascii="Times New Roman" w:hAnsi="Times New Roman"/>
          <w:sz w:val="24"/>
          <w:szCs w:val="24"/>
        </w:rPr>
      </w:pPr>
      <w:r>
        <w:rPr>
          <w:rFonts w:ascii="Times New Roman" w:hAnsi="Times New Roman"/>
        </w:rPr>
        <w:t xml:space="preserve">InnovFin EDP Енергийни демонстрационни проекти InnovFin </w:t>
      </w:r>
    </w:p>
    <w:p w14:paraId="4DCEDC95" w14:textId="77777777" w:rsidR="00C3264D" w:rsidRDefault="003A348D">
      <w:pPr>
        <w:spacing w:after="120"/>
        <w:rPr>
          <w:rFonts w:ascii="Times New Roman" w:hAnsi="Times New Roman"/>
          <w:sz w:val="24"/>
          <w:szCs w:val="24"/>
        </w:rPr>
      </w:pPr>
      <w:r>
        <w:rPr>
          <w:rFonts w:ascii="Times New Roman" w:hAnsi="Times New Roman"/>
        </w:rPr>
        <w:t>JI</w:t>
      </w:r>
      <w:r>
        <w:rPr>
          <w:rFonts w:ascii="Times New Roman" w:hAnsi="Times New Roman"/>
        </w:rPr>
        <w:tab/>
      </w:r>
      <w:r>
        <w:rPr>
          <w:rFonts w:ascii="Times New Roman" w:hAnsi="Times New Roman"/>
        </w:rPr>
        <w:tab/>
        <w:t>Съвместно изпълнение</w:t>
      </w:r>
    </w:p>
    <w:p w14:paraId="13F13219" w14:textId="77777777" w:rsidR="00C3264D" w:rsidRDefault="003A348D">
      <w:pPr>
        <w:spacing w:after="120"/>
        <w:rPr>
          <w:rFonts w:ascii="Times New Roman" w:hAnsi="Times New Roman"/>
          <w:sz w:val="24"/>
          <w:szCs w:val="24"/>
        </w:rPr>
      </w:pPr>
      <w:r>
        <w:rPr>
          <w:rFonts w:ascii="Times New Roman" w:hAnsi="Times New Roman"/>
        </w:rPr>
        <w:t>РПЗ</w:t>
      </w:r>
      <w:r>
        <w:rPr>
          <w:rFonts w:ascii="Times New Roman" w:hAnsi="Times New Roman"/>
        </w:rPr>
        <w:tab/>
      </w:r>
      <w:r>
        <w:rPr>
          <w:rFonts w:ascii="Times New Roman" w:hAnsi="Times New Roman"/>
        </w:rPr>
        <w:tab/>
        <w:t>Регламент относно пазарната злоупотреба</w:t>
      </w:r>
    </w:p>
    <w:p w14:paraId="271BA720" w14:textId="77777777" w:rsidR="00C3264D" w:rsidRDefault="003A348D">
      <w:pPr>
        <w:spacing w:after="120"/>
        <w:rPr>
          <w:rFonts w:ascii="Times New Roman" w:hAnsi="Times New Roman"/>
          <w:sz w:val="24"/>
          <w:szCs w:val="24"/>
        </w:rPr>
      </w:pPr>
      <w:r>
        <w:rPr>
          <w:rFonts w:ascii="Times New Roman" w:hAnsi="Times New Roman"/>
        </w:rPr>
        <w:t>ДПФИ II</w:t>
      </w:r>
      <w:r>
        <w:rPr>
          <w:rFonts w:ascii="Times New Roman" w:hAnsi="Times New Roman"/>
        </w:rPr>
        <w:tab/>
        <w:t>Директива за пазарите на финансови инструменти</w:t>
      </w:r>
    </w:p>
    <w:p w14:paraId="6AE73962" w14:textId="77777777" w:rsidR="00C3264D" w:rsidRDefault="000A23BB">
      <w:pPr>
        <w:spacing w:after="120"/>
        <w:rPr>
          <w:rFonts w:ascii="Times New Roman" w:hAnsi="Times New Roman"/>
          <w:sz w:val="24"/>
          <w:szCs w:val="24"/>
        </w:rPr>
      </w:pPr>
      <w:r>
        <w:rPr>
          <w:rFonts w:ascii="Times New Roman" w:hAnsi="Times New Roman"/>
        </w:rPr>
        <w:t>РПФИ</w:t>
      </w:r>
      <w:r>
        <w:rPr>
          <w:rFonts w:ascii="Times New Roman" w:hAnsi="Times New Roman"/>
        </w:rPr>
        <w:tab/>
      </w:r>
      <w:r>
        <w:rPr>
          <w:rFonts w:ascii="Times New Roman" w:hAnsi="Times New Roman"/>
        </w:rPr>
        <w:tab/>
        <w:t>Регламент за пазарите на финансови инструменти</w:t>
      </w:r>
    </w:p>
    <w:p w14:paraId="43915EBC" w14:textId="77777777" w:rsidR="00C3264D" w:rsidRDefault="003A348D">
      <w:pPr>
        <w:spacing w:after="120"/>
        <w:rPr>
          <w:rFonts w:ascii="Times New Roman" w:hAnsi="Times New Roman"/>
          <w:sz w:val="24"/>
          <w:szCs w:val="24"/>
        </w:rPr>
      </w:pPr>
      <w:r>
        <w:rPr>
          <w:rFonts w:ascii="Times New Roman" w:hAnsi="Times New Roman"/>
        </w:rPr>
        <w:t>РМД</w:t>
      </w:r>
      <w:r>
        <w:rPr>
          <w:rFonts w:ascii="Times New Roman" w:hAnsi="Times New Roman"/>
        </w:rPr>
        <w:tab/>
      </w:r>
      <w:r>
        <w:rPr>
          <w:rFonts w:ascii="Times New Roman" w:hAnsi="Times New Roman"/>
        </w:rPr>
        <w:tab/>
        <w:t>Регламент относно мониторинга и докладването</w:t>
      </w:r>
    </w:p>
    <w:p w14:paraId="3AEC2F22" w14:textId="77777777" w:rsidR="00C3264D" w:rsidRDefault="003A348D">
      <w:pPr>
        <w:spacing w:after="120"/>
        <w:rPr>
          <w:rFonts w:ascii="Times New Roman" w:hAnsi="Times New Roman"/>
          <w:sz w:val="24"/>
          <w:szCs w:val="24"/>
        </w:rPr>
      </w:pPr>
      <w:r>
        <w:rPr>
          <w:rFonts w:ascii="Times New Roman" w:hAnsi="Times New Roman"/>
        </w:rPr>
        <w:t>МДВА</w:t>
      </w:r>
      <w:r>
        <w:rPr>
          <w:rFonts w:ascii="Times New Roman" w:hAnsi="Times New Roman"/>
        </w:rPr>
        <w:tab/>
        <w:t>Мониторинг, докладване, проверка и акредитация</w:t>
      </w:r>
    </w:p>
    <w:p w14:paraId="11D90737" w14:textId="77777777" w:rsidR="00C3264D" w:rsidRDefault="003A348D">
      <w:pPr>
        <w:spacing w:after="120"/>
        <w:rPr>
          <w:rFonts w:ascii="Times New Roman" w:hAnsi="Times New Roman"/>
          <w:sz w:val="24"/>
          <w:szCs w:val="24"/>
        </w:rPr>
      </w:pPr>
      <w:r>
        <w:rPr>
          <w:rFonts w:ascii="Times New Roman" w:hAnsi="Times New Roman"/>
        </w:rPr>
        <w:t xml:space="preserve">МSR  </w:t>
      </w:r>
      <w:r>
        <w:rPr>
          <w:rFonts w:ascii="Times New Roman" w:hAnsi="Times New Roman"/>
        </w:rPr>
        <w:tab/>
      </w:r>
      <w:r>
        <w:rPr>
          <w:rFonts w:ascii="Times New Roman" w:hAnsi="Times New Roman"/>
        </w:rPr>
        <w:tab/>
        <w:t>Резерв за стабилност на пазара</w:t>
      </w:r>
    </w:p>
    <w:p w14:paraId="4DF696FB" w14:textId="77777777" w:rsidR="00C3264D" w:rsidRDefault="003A348D">
      <w:pPr>
        <w:spacing w:after="120"/>
        <w:rPr>
          <w:rFonts w:ascii="Times New Roman" w:hAnsi="Times New Roman"/>
          <w:sz w:val="24"/>
          <w:szCs w:val="24"/>
        </w:rPr>
      </w:pPr>
      <w:r>
        <w:rPr>
          <w:rFonts w:ascii="Times New Roman" w:hAnsi="Times New Roman"/>
        </w:rPr>
        <w:t>НОА</w:t>
      </w:r>
      <w:r>
        <w:rPr>
          <w:rFonts w:ascii="Times New Roman" w:hAnsi="Times New Roman"/>
        </w:rPr>
        <w:tab/>
      </w:r>
      <w:r>
        <w:rPr>
          <w:rFonts w:ascii="Times New Roman" w:hAnsi="Times New Roman"/>
        </w:rPr>
        <w:tab/>
        <w:t>Национален орган по акредитация</w:t>
      </w:r>
    </w:p>
    <w:p w14:paraId="080AF866" w14:textId="77777777" w:rsidR="00C3264D" w:rsidRDefault="003A348D">
      <w:pPr>
        <w:spacing w:after="120"/>
        <w:rPr>
          <w:rFonts w:ascii="Times New Roman" w:hAnsi="Times New Roman"/>
          <w:sz w:val="24"/>
          <w:szCs w:val="24"/>
        </w:rPr>
      </w:pPr>
      <w:r>
        <w:rPr>
          <w:rFonts w:ascii="Times New Roman" w:hAnsi="Times New Roman"/>
        </w:rPr>
        <w:lastRenderedPageBreak/>
        <w:t>NER</w:t>
      </w:r>
      <w:r>
        <w:rPr>
          <w:rFonts w:ascii="Times New Roman" w:hAnsi="Times New Roman"/>
        </w:rPr>
        <w:tab/>
      </w:r>
      <w:r>
        <w:rPr>
          <w:rFonts w:ascii="Times New Roman" w:hAnsi="Times New Roman"/>
        </w:rPr>
        <w:tab/>
        <w:t>Резерв за нови участници</w:t>
      </w:r>
    </w:p>
    <w:p w14:paraId="27E81309" w14:textId="77777777" w:rsidR="00C3264D" w:rsidRDefault="00B36364">
      <w:pPr>
        <w:spacing w:after="120"/>
        <w:rPr>
          <w:rFonts w:ascii="Times New Roman" w:hAnsi="Times New Roman"/>
          <w:sz w:val="24"/>
          <w:szCs w:val="24"/>
        </w:rPr>
      </w:pPr>
      <w:r>
        <w:rPr>
          <w:rFonts w:ascii="Times New Roman" w:hAnsi="Times New Roman"/>
        </w:rPr>
        <w:t>OTC</w:t>
      </w:r>
      <w:r>
        <w:rPr>
          <w:rFonts w:ascii="Times New Roman" w:hAnsi="Times New Roman"/>
        </w:rPr>
        <w:tab/>
      </w:r>
      <w:r>
        <w:rPr>
          <w:rFonts w:ascii="Times New Roman" w:hAnsi="Times New Roman"/>
        </w:rPr>
        <w:tab/>
        <w:t>Извънборсови сделки</w:t>
      </w:r>
    </w:p>
    <w:p w14:paraId="0D2EF9AB" w14:textId="77777777" w:rsidR="00C3264D" w:rsidRDefault="003A348D">
      <w:pPr>
        <w:spacing w:after="120"/>
        <w:rPr>
          <w:rFonts w:ascii="Times New Roman" w:hAnsi="Times New Roman"/>
          <w:sz w:val="24"/>
          <w:szCs w:val="24"/>
        </w:rPr>
      </w:pPr>
      <w:r>
        <w:rPr>
          <w:rFonts w:ascii="Times New Roman" w:hAnsi="Times New Roman"/>
        </w:rPr>
        <w:t>PFC</w:t>
      </w:r>
      <w:r>
        <w:rPr>
          <w:rFonts w:ascii="Times New Roman" w:hAnsi="Times New Roman"/>
        </w:rPr>
        <w:tab/>
      </w:r>
      <w:r>
        <w:rPr>
          <w:rFonts w:ascii="Times New Roman" w:hAnsi="Times New Roman"/>
        </w:rPr>
        <w:tab/>
        <w:t>Перфлуоровъглероди</w:t>
      </w:r>
    </w:p>
    <w:p w14:paraId="5E2CCDD7" w14:textId="77777777" w:rsidR="00C3264D" w:rsidRDefault="003A348D">
      <w:pPr>
        <w:spacing w:after="120"/>
        <w:rPr>
          <w:rFonts w:ascii="Times New Roman" w:hAnsi="Times New Roman"/>
          <w:sz w:val="24"/>
          <w:szCs w:val="24"/>
        </w:rPr>
      </w:pPr>
      <w:r>
        <w:rPr>
          <w:rFonts w:ascii="Times New Roman" w:hAnsi="Times New Roman"/>
        </w:rPr>
        <w:t>ВЕИ</w:t>
      </w:r>
      <w:r>
        <w:rPr>
          <w:rFonts w:ascii="Times New Roman" w:hAnsi="Times New Roman"/>
        </w:rPr>
        <w:tab/>
      </w:r>
      <w:r>
        <w:rPr>
          <w:rFonts w:ascii="Times New Roman" w:hAnsi="Times New Roman"/>
        </w:rPr>
        <w:tab/>
        <w:t>Възобновяеми енергийни източници</w:t>
      </w:r>
    </w:p>
    <w:p w14:paraId="77E19E33" w14:textId="77777777" w:rsidR="00C3264D" w:rsidRDefault="000A23BB">
      <w:pPr>
        <w:spacing w:after="120"/>
        <w:rPr>
          <w:rFonts w:ascii="Times New Roman" w:hAnsi="Times New Roman"/>
          <w:sz w:val="24"/>
          <w:szCs w:val="24"/>
        </w:rPr>
      </w:pPr>
      <w:r>
        <w:rPr>
          <w:rFonts w:ascii="Times New Roman" w:hAnsi="Times New Roman"/>
        </w:rPr>
        <w:t>SARP</w:t>
      </w:r>
      <w:r>
        <w:rPr>
          <w:rFonts w:ascii="Times New Roman" w:hAnsi="Times New Roman"/>
        </w:rPr>
        <w:tab/>
      </w:r>
      <w:r>
        <w:rPr>
          <w:rFonts w:ascii="Times New Roman" w:hAnsi="Times New Roman"/>
        </w:rPr>
        <w:tab/>
        <w:t>Стандарти и препоръчителни практики по Схемата за компенсиране и намаляване на въглеродните емисии в международното въздухоплаване (CORSIA)</w:t>
      </w:r>
    </w:p>
    <w:p w14:paraId="257EF65A" w14:textId="77777777" w:rsidR="00C3264D" w:rsidRDefault="003A348D">
      <w:pPr>
        <w:rPr>
          <w:rFonts w:ascii="Times New Roman" w:hAnsi="Times New Roman"/>
          <w:sz w:val="24"/>
          <w:szCs w:val="24"/>
        </w:rPr>
      </w:pPr>
      <w:r>
        <w:rPr>
          <w:rFonts w:ascii="Times New Roman" w:hAnsi="Times New Roman"/>
        </w:rPr>
        <w:t>ОБКО</w:t>
      </w:r>
      <w:r>
        <w:rPr>
          <w:rFonts w:ascii="Times New Roman" w:hAnsi="Times New Roman"/>
        </w:rPr>
        <w:tab/>
      </w:r>
      <w:r>
        <w:rPr>
          <w:rFonts w:ascii="Times New Roman" w:hAnsi="Times New Roman"/>
        </w:rPr>
        <w:tab/>
        <w:t>Общ брой квоти в обръщение</w:t>
      </w:r>
    </w:p>
    <w:p w14:paraId="12BD9CDC" w14:textId="77777777" w:rsidR="00C3264D" w:rsidRDefault="00C3264D">
      <w:pPr>
        <w:rPr>
          <w:rFonts w:ascii="Times New Roman" w:hAnsi="Times New Roman"/>
          <w:szCs w:val="24"/>
        </w:rPr>
      </w:pPr>
    </w:p>
    <w:p w14:paraId="0F376650" w14:textId="77777777" w:rsidR="00C3264D" w:rsidRDefault="00C3264D">
      <w:pPr>
        <w:rPr>
          <w:rFonts w:ascii="Times New Roman" w:hAnsi="Times New Roman"/>
          <w:szCs w:val="24"/>
        </w:rPr>
      </w:pPr>
    </w:p>
    <w:p w14:paraId="5B5CBBFD" w14:textId="77777777" w:rsidR="00C3264D" w:rsidRDefault="00C3264D">
      <w:pPr>
        <w:rPr>
          <w:rFonts w:ascii="Times New Roman" w:hAnsi="Times New Roman"/>
          <w:szCs w:val="24"/>
        </w:rPr>
      </w:pPr>
    </w:p>
    <w:p w14:paraId="0FA4CA34" w14:textId="77777777" w:rsidR="00C3264D" w:rsidRDefault="00C3264D">
      <w:pPr>
        <w:rPr>
          <w:rFonts w:ascii="Times New Roman" w:hAnsi="Times New Roman"/>
          <w:szCs w:val="24"/>
        </w:rPr>
      </w:pPr>
    </w:p>
    <w:p w14:paraId="3FEDF8F1" w14:textId="77777777" w:rsidR="00C3264D" w:rsidRDefault="00C3264D">
      <w:pPr>
        <w:rPr>
          <w:rFonts w:ascii="Times New Roman" w:hAnsi="Times New Roman"/>
          <w:szCs w:val="24"/>
        </w:rPr>
      </w:pPr>
    </w:p>
    <w:p w14:paraId="27741D67" w14:textId="77777777" w:rsidR="00C3264D" w:rsidRDefault="00C3264D">
      <w:pPr>
        <w:rPr>
          <w:rFonts w:ascii="Times New Roman" w:hAnsi="Times New Roman"/>
          <w:szCs w:val="24"/>
        </w:rPr>
      </w:pPr>
    </w:p>
    <w:p w14:paraId="2C98C8D1" w14:textId="77777777" w:rsidR="00C3264D" w:rsidRDefault="00C3264D">
      <w:pPr>
        <w:rPr>
          <w:rFonts w:ascii="Times New Roman" w:hAnsi="Times New Roman"/>
          <w:szCs w:val="24"/>
        </w:rPr>
      </w:pPr>
    </w:p>
    <w:p w14:paraId="7C5CCFF1" w14:textId="77777777" w:rsidR="00C3264D" w:rsidRDefault="00C3264D">
      <w:pPr>
        <w:rPr>
          <w:rFonts w:ascii="Times New Roman" w:hAnsi="Times New Roman"/>
          <w:szCs w:val="24"/>
        </w:rPr>
      </w:pPr>
    </w:p>
    <w:p w14:paraId="0FA23E79" w14:textId="77777777" w:rsidR="00C3264D" w:rsidRDefault="00C3264D">
      <w:pPr>
        <w:rPr>
          <w:rFonts w:ascii="Times New Roman" w:hAnsi="Times New Roman"/>
          <w:szCs w:val="24"/>
        </w:rPr>
      </w:pPr>
    </w:p>
    <w:p w14:paraId="5E436D6A" w14:textId="77777777" w:rsidR="00C3264D" w:rsidRDefault="00C3264D">
      <w:pPr>
        <w:rPr>
          <w:rFonts w:ascii="Times New Roman" w:hAnsi="Times New Roman"/>
          <w:szCs w:val="24"/>
        </w:rPr>
      </w:pPr>
    </w:p>
    <w:p w14:paraId="5BC963F5" w14:textId="77777777" w:rsidR="00C3264D" w:rsidRDefault="003A348D">
      <w:pPr>
        <w:pStyle w:val="Heading1"/>
      </w:pPr>
      <w:bookmarkStart w:id="3" w:name="_Toc28015574"/>
      <w:r>
        <w:lastRenderedPageBreak/>
        <w:t>РЕЗЮМЕ</w:t>
      </w:r>
      <w:bookmarkEnd w:id="3"/>
    </w:p>
    <w:p w14:paraId="580C8FC9" w14:textId="77777777" w:rsidR="00C3264D" w:rsidRDefault="003A348D">
      <w:pPr>
        <w:rPr>
          <w:rFonts w:ascii="Times New Roman" w:hAnsi="Times New Roman"/>
          <w:sz w:val="24"/>
          <w:szCs w:val="24"/>
        </w:rPr>
      </w:pPr>
      <w:r>
        <w:rPr>
          <w:noProof/>
          <w:lang w:val="en-GB" w:eastAsia="en-GB"/>
        </w:rPr>
        <mc:AlternateContent>
          <mc:Choice Requires="wps">
            <w:drawing>
              <wp:inline distT="0" distB="0" distL="0" distR="0" wp14:anchorId="40E3650B" wp14:editId="5173BDBE">
                <wp:extent cx="5691226" cy="5962650"/>
                <wp:effectExtent l="0" t="0" r="24130" b="19050"/>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1226" cy="5962650"/>
                        </a:xfrm>
                        <a:prstGeom prst="rect">
                          <a:avLst/>
                        </a:prstGeom>
                        <a:solidFill>
                          <a:sysClr val="window" lastClr="FFFFFF">
                            <a:lumMod val="85000"/>
                          </a:sysClr>
                        </a:solidFill>
                        <a:ln w="12700">
                          <a:solidFill>
                            <a:srgbClr val="000000"/>
                          </a:solidFill>
                          <a:miter lim="800000"/>
                          <a:headEnd/>
                          <a:tailEnd/>
                        </a:ln>
                      </wps:spPr>
                      <wps:txbx>
                        <w:txbxContent>
                          <w:p w14:paraId="1656593D" w14:textId="77777777" w:rsidR="00692F99" w:rsidRPr="00692F99" w:rsidRDefault="00692F99">
                            <w:pPr>
                              <w:jc w:val="both"/>
                              <w:rPr>
                                <w:rFonts w:ascii="Times New Roman" w:hAnsi="Times New Roman"/>
                                <w:sz w:val="24"/>
                                <w:szCs w:val="24"/>
                              </w:rPr>
                            </w:pPr>
                            <w:r w:rsidRPr="00692F99">
                              <w:rPr>
                                <w:rFonts w:ascii="Times New Roman" w:hAnsi="Times New Roman"/>
                                <w:sz w:val="24"/>
                                <w:szCs w:val="24"/>
                              </w:rPr>
                              <w:t>През 2018 г. емисиите от инсталации, обхванати от Системата на Европейския съюз за търговия с емисии (СТЕ на ЕС), са намалели с 4,1 % в сравнение с 2017 г. Намалението се дължи главно на производството на електрическа и топлинна енергия, докато емисиите от промишлеността са отбелязали съвсем леко намаление (вж. таблица 7 в раздел 3.2). Верифицираните емисии от въздухоплаването продължават да нарастват, като отбелязват увеличение от 3,9 % в сравнение с 2017 г. (вж. таблица 8 в раздел 4).</w:t>
                            </w:r>
                          </w:p>
                          <w:p w14:paraId="09AA47EA" w14:textId="77777777" w:rsidR="00692F99" w:rsidRPr="00692F99" w:rsidRDefault="00692F99">
                            <w:pPr>
                              <w:jc w:val="both"/>
                              <w:rPr>
                                <w:rFonts w:ascii="Times New Roman" w:hAnsi="Times New Roman"/>
                                <w:sz w:val="24"/>
                                <w:szCs w:val="24"/>
                              </w:rPr>
                            </w:pPr>
                            <w:r w:rsidRPr="00692F99">
                              <w:rPr>
                                <w:rFonts w:ascii="Times New Roman" w:hAnsi="Times New Roman"/>
                                <w:sz w:val="24"/>
                                <w:szCs w:val="24"/>
                              </w:rPr>
                              <w:t xml:space="preserve">След приемането на преразгледаната Директива за СТЕ на ЕС, вниманието е пренасочено към прилагането на новите разпоредби преди началото на фаза 4. Работата по изпълнението е в разгара си, като през последната година беше прието ново законодателство за прилагане относно списъка във връзка с изместването на въглеродни емисии, правилата за безплатно разпределяне на квоти, Фонда за иновации, тръжната продажба, мониторинга, докладването, верификацията и акредитацията (МДВА), както и относно Регистъра на ЕС (вж. глави 2.2, 3.1.2 и 6.1). </w:t>
                            </w:r>
                          </w:p>
                          <w:p w14:paraId="64958BCF" w14:textId="58E91DF9" w:rsidR="00692F99" w:rsidRPr="00692F99" w:rsidRDefault="00692F99">
                            <w:pPr>
                              <w:jc w:val="both"/>
                              <w:rPr>
                                <w:rFonts w:ascii="Times New Roman" w:hAnsi="Times New Roman"/>
                                <w:sz w:val="24"/>
                                <w:szCs w:val="24"/>
                              </w:rPr>
                            </w:pPr>
                            <w:r w:rsidRPr="00692F99">
                              <w:rPr>
                                <w:rFonts w:ascii="Times New Roman" w:hAnsi="Times New Roman"/>
                                <w:sz w:val="24"/>
                                <w:szCs w:val="24"/>
                              </w:rPr>
                              <w:t>Показателят за излишък на резерва за стабилност на пазара бе публикуван за трети път, като размерът му възлизаше на 1 654 909 824 квоти. Публикуването му ще продължи да води до прехвърлянето на квоти в резерва, което ще намали обема на тръжно търгуваните количества с почти 40 % или близо 397 милиона квоти през 2019 г. (вж. глава 3.3).</w:t>
                            </w:r>
                          </w:p>
                          <w:p w14:paraId="5821800E" w14:textId="77777777" w:rsidR="00692F99" w:rsidRPr="00692F99" w:rsidRDefault="00692F99">
                            <w:pPr>
                              <w:jc w:val="both"/>
                              <w:rPr>
                                <w:rFonts w:ascii="Times New Roman" w:hAnsi="Times New Roman"/>
                                <w:sz w:val="24"/>
                                <w:szCs w:val="24"/>
                              </w:rPr>
                            </w:pPr>
                            <w:r w:rsidRPr="00692F99">
                              <w:rPr>
                                <w:rFonts w:ascii="Times New Roman" w:hAnsi="Times New Roman"/>
                                <w:sz w:val="24"/>
                                <w:szCs w:val="24"/>
                              </w:rPr>
                              <w:t xml:space="preserve">През 2018 г. сигнал за повишаването на цените на въглеродните емисии на европейския пазар на въглеродни емисии доведе до рекордно високи приходи от около 14 милиарда евро от тръжната продажба на квоти на държавите членки. Държавите членки са изразходвали или са планирали да изразходват през годината близо 70 % от тези приходи за определени цели, свързани с климата и енергетиката (вж. глава 3.1.2.4) </w:t>
                            </w:r>
                          </w:p>
                          <w:p w14:paraId="183A7C98" w14:textId="77777777" w:rsidR="00692F99" w:rsidRDefault="00692F99">
                            <w:pPr>
                              <w:jc w:val="both"/>
                            </w:pPr>
                          </w:p>
                        </w:txbxContent>
                      </wps:txbx>
                      <wps:bodyPr rot="0" vert="horz" wrap="square" lIns="91440" tIns="45720" rIns="91440" bIns="45720" anchor="t" anchorCtr="0">
                        <a:noAutofit/>
                      </wps:bodyPr>
                    </wps:wsp>
                  </a:graphicData>
                </a:graphic>
              </wp:inline>
            </w:drawing>
          </mc:Choice>
          <mc:Fallback>
            <w:pict>
              <v:shapetype w14:anchorId="40E3650B" id="_x0000_t202" coordsize="21600,21600" o:spt="202" path="m,l,21600r21600,l21600,xe">
                <v:stroke joinstyle="miter"/>
                <v:path gradientshapeok="t" o:connecttype="rect"/>
              </v:shapetype>
              <v:shape id="Text Box 2" o:spid="_x0000_s1026" type="#_x0000_t202" style="width:448.15pt;height:4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" fillcolor="#d9d9d9" strokeweight="1pt">
                <v:textbox>
                  <w:txbxContent>
                    <w:p w14:paraId="1656593D" w14:textId="77777777" w:rsidR="00692F99" w:rsidRPr="00692F99" w:rsidRDefault="00692F99">
                      <w:pPr>
                        <w:jc w:val="both"/>
                        <w:rPr>
                          <w:rFonts w:ascii="Times New Roman" w:hAnsi="Times New Roman"/>
                          <w:sz w:val="24"/>
                          <w:szCs w:val="24"/>
                        </w:rPr>
                      </w:pPr>
                      <w:r w:rsidRPr="00692F99">
                        <w:rPr>
                          <w:rFonts w:ascii="Times New Roman" w:hAnsi="Times New Roman"/>
                          <w:sz w:val="24"/>
                          <w:szCs w:val="24"/>
                        </w:rPr>
                        <w:t>През 2018 г. емисиите от инсталации, обхванати от Системата на Европейския съюз за търговия с емисии (СТЕ на ЕС), са намалели с 4,1 % в сравнение с 2017 г. Намалението се дължи главно на производството на електрическа и топлинна енергия, докато емисиите от промишлеността са отбелязали съвсем леко намаление (вж. таблица 7 в раздел 3.2). Верифицираните емисии от въздухоплаването продължават да нарастват, като отбелязват увеличение от 3,9 % в сравнение с 2017 г. (вж. таблица 8 в раздел 4).</w:t>
                      </w:r>
                    </w:p>
                    <w:p w14:paraId="09AA47EA" w14:textId="77777777" w:rsidR="00692F99" w:rsidRPr="00692F99" w:rsidRDefault="00692F99">
                      <w:pPr>
                        <w:jc w:val="both"/>
                        <w:rPr>
                          <w:rFonts w:ascii="Times New Roman" w:hAnsi="Times New Roman"/>
                          <w:sz w:val="24"/>
                          <w:szCs w:val="24"/>
                        </w:rPr>
                      </w:pPr>
                      <w:r w:rsidRPr="00692F99">
                        <w:rPr>
                          <w:rFonts w:ascii="Times New Roman" w:hAnsi="Times New Roman"/>
                          <w:sz w:val="24"/>
                          <w:szCs w:val="24"/>
                        </w:rPr>
                        <w:t xml:space="preserve">След приемането на преразгледаната Директива за СТЕ на ЕС, вниманието е пренасочено към прилагането на новите разпоредби преди началото на фаза 4. Работата по изпълнението е в разгара си, като през последната година беше прието ново законодателство за прилагане относно списъка във връзка с изместването на въглеродни емисии, правилата за безплатно разпределяне на квоти, Фонда за иновации, тръжната продажба, мониторинга, докладването, верификацията и акредитацията (МДВА), както и относно Регистъра на ЕС (вж. глави 2.2, 3.1.2 и 6.1). </w:t>
                      </w:r>
                    </w:p>
                    <w:p w14:paraId="64958BCF" w14:textId="58E91DF9" w:rsidR="00692F99" w:rsidRPr="00692F99" w:rsidRDefault="00692F99">
                      <w:pPr>
                        <w:jc w:val="both"/>
                        <w:rPr>
                          <w:rFonts w:ascii="Times New Roman" w:hAnsi="Times New Roman"/>
                          <w:sz w:val="24"/>
                          <w:szCs w:val="24"/>
                        </w:rPr>
                      </w:pPr>
                      <w:r w:rsidRPr="00692F99">
                        <w:rPr>
                          <w:rFonts w:ascii="Times New Roman" w:hAnsi="Times New Roman"/>
                          <w:sz w:val="24"/>
                          <w:szCs w:val="24"/>
                        </w:rPr>
                        <w:t>Показателят за излишък на резерва за стабилност на пазара бе публикуван за трети път, като размерът му възлизаше на 1 654 909 824 квоти. Публикуването му ще продължи да води до прехвърлянето на квоти в резерва, което ще намали обема на тръжно търгуваните количества с почти 40 % или близо 397 милиона квоти през 2019 г. (вж. глава 3.3).</w:t>
                      </w:r>
                    </w:p>
                    <w:p w14:paraId="5821800E" w14:textId="77777777" w:rsidR="00692F99" w:rsidRPr="00692F99" w:rsidRDefault="00692F99">
                      <w:pPr>
                        <w:jc w:val="both"/>
                        <w:rPr>
                          <w:rFonts w:ascii="Times New Roman" w:hAnsi="Times New Roman"/>
                          <w:sz w:val="24"/>
                          <w:szCs w:val="24"/>
                        </w:rPr>
                      </w:pPr>
                      <w:r w:rsidRPr="00692F99">
                        <w:rPr>
                          <w:rFonts w:ascii="Times New Roman" w:hAnsi="Times New Roman"/>
                          <w:sz w:val="24"/>
                          <w:szCs w:val="24"/>
                        </w:rPr>
                        <w:t xml:space="preserve">През 2018 г. сигнал за повишаването на цените на въглеродните емисии на европейския пазар на въглеродни емисии доведе до рекордно високи приходи от около 14 милиарда евро от тръжната продажба на квоти на държавите членки. Държавите членки са изразходвали или са планирали да изразходват през годината близо 70 % от тези приходи за определени цели, свързани с климата и енергетиката (вж. глава 3.1.2.4) </w:t>
                      </w:r>
                    </w:p>
                    <w:p w14:paraId="183A7C98" w14:textId="77777777" w:rsidR="00692F99" w:rsidRDefault="00692F99">
                      <w:pPr>
                        <w:jc w:val="both"/>
                      </w:pPr>
                    </w:p>
                  </w:txbxContent>
                </v:textbox>
                <w10:anchorlock/>
              </v:shape>
            </w:pict>
          </mc:Fallback>
        </mc:AlternateContent>
      </w:r>
    </w:p>
    <w:p w14:paraId="74F4ED6E" w14:textId="77777777" w:rsidR="00C3264D" w:rsidRDefault="00C3264D">
      <w:pPr>
        <w:jc w:val="both"/>
        <w:rPr>
          <w:rFonts w:ascii="Times New Roman" w:hAnsi="Times New Roman"/>
          <w:sz w:val="24"/>
          <w:szCs w:val="24"/>
        </w:rPr>
      </w:pPr>
    </w:p>
    <w:p w14:paraId="734585E0" w14:textId="77777777" w:rsidR="00C3264D" w:rsidRDefault="00C3264D">
      <w:pPr>
        <w:jc w:val="both"/>
        <w:rPr>
          <w:rFonts w:ascii="Times New Roman" w:hAnsi="Times New Roman"/>
          <w:sz w:val="24"/>
          <w:szCs w:val="24"/>
        </w:rPr>
      </w:pPr>
    </w:p>
    <w:p w14:paraId="4D2DD863" w14:textId="77777777" w:rsidR="00C3264D" w:rsidRDefault="00C3264D">
      <w:pPr>
        <w:jc w:val="both"/>
        <w:rPr>
          <w:rFonts w:ascii="Times New Roman" w:hAnsi="Times New Roman"/>
          <w:sz w:val="24"/>
          <w:szCs w:val="24"/>
        </w:rPr>
      </w:pPr>
    </w:p>
    <w:p w14:paraId="72D32B19" w14:textId="77777777" w:rsidR="00C3264D" w:rsidRDefault="00C3264D">
      <w:pPr>
        <w:jc w:val="both"/>
        <w:rPr>
          <w:rFonts w:ascii="Times New Roman" w:hAnsi="Times New Roman"/>
          <w:sz w:val="24"/>
          <w:szCs w:val="24"/>
        </w:rPr>
      </w:pPr>
    </w:p>
    <w:p w14:paraId="2A2955D2" w14:textId="77777777" w:rsidR="00C3264D" w:rsidRDefault="00C3264D">
      <w:pPr>
        <w:jc w:val="both"/>
        <w:rPr>
          <w:rFonts w:ascii="Times New Roman" w:hAnsi="Times New Roman"/>
          <w:sz w:val="24"/>
          <w:szCs w:val="24"/>
        </w:rPr>
      </w:pPr>
    </w:p>
    <w:p w14:paraId="0ECE16F5" w14:textId="77777777" w:rsidR="00C3264D" w:rsidRDefault="00C3264D">
      <w:pPr>
        <w:jc w:val="both"/>
        <w:rPr>
          <w:rFonts w:ascii="Times New Roman" w:hAnsi="Times New Roman"/>
          <w:sz w:val="24"/>
          <w:szCs w:val="24"/>
        </w:rPr>
      </w:pPr>
    </w:p>
    <w:p w14:paraId="13537B4A" w14:textId="77777777" w:rsidR="00C3264D" w:rsidRDefault="00C3264D">
      <w:pPr>
        <w:jc w:val="both"/>
        <w:rPr>
          <w:rFonts w:ascii="Times New Roman" w:hAnsi="Times New Roman"/>
          <w:sz w:val="24"/>
          <w:szCs w:val="24"/>
        </w:rPr>
      </w:pPr>
    </w:p>
    <w:p w14:paraId="04AD87E6" w14:textId="77777777" w:rsidR="00C3264D" w:rsidRDefault="00C3264D">
      <w:pPr>
        <w:jc w:val="both"/>
        <w:rPr>
          <w:rFonts w:ascii="Times New Roman" w:hAnsi="Times New Roman"/>
          <w:sz w:val="24"/>
          <w:szCs w:val="24"/>
        </w:rPr>
      </w:pPr>
    </w:p>
    <w:p w14:paraId="10433702" w14:textId="77777777" w:rsidR="00C3264D" w:rsidRDefault="00C3264D"/>
    <w:p w14:paraId="7DA200E5" w14:textId="77777777" w:rsidR="00C3264D" w:rsidRDefault="00C3264D"/>
    <w:p w14:paraId="4B0941BC" w14:textId="77777777" w:rsidR="00C3264D" w:rsidRDefault="003A348D">
      <w:pPr>
        <w:pStyle w:val="Heading1"/>
      </w:pPr>
      <w:bookmarkStart w:id="4" w:name="_Toc28015575"/>
      <w:r>
        <w:t>1. ВЪВЕДЕНИЕ</w:t>
      </w:r>
      <w:bookmarkEnd w:id="4"/>
    </w:p>
    <w:p w14:paraId="3D2B9C8B" w14:textId="77777777" w:rsidR="00C3264D" w:rsidRPr="00692F99" w:rsidRDefault="003A348D">
      <w:pPr>
        <w:jc w:val="both"/>
        <w:rPr>
          <w:rFonts w:ascii="Times New Roman" w:hAnsi="Times New Roman"/>
          <w:b/>
          <w:sz w:val="24"/>
          <w:szCs w:val="24"/>
        </w:rPr>
      </w:pPr>
      <w:r w:rsidRPr="00692F99">
        <w:rPr>
          <w:rFonts w:ascii="Times New Roman" w:hAnsi="Times New Roman"/>
          <w:sz w:val="24"/>
          <w:szCs w:val="24"/>
        </w:rPr>
        <w:t>От 2005 г. насам системата за търговия с емисии на ЕС (СТЕ на ЕС) е в основата на стратегията на ЕС за намаляване на емисиите на парникови газове (ПГ) от промишлеността и производството на електрическа и топлинна енергия. Тя има съществен принос за постигането на общата цел на ЕС за намаляване на емисиите на ПГ с 20 % спрямо равнищата от 1990 г. до 2020 г. Макар че ЕС е на път да надхвърли този целеви показател, намаляването на емисиите на парникови газове с най-малко 40 % (като част от настоящата рамка на ЕС за политиките в областта на климата и енергетиката за периода до 2030 г.) и най-малко 50 %, като се предвижда и достигане по отговорен начин на 55 % (с оглед на политическите насоки</w:t>
      </w:r>
      <w:r w:rsidRPr="00692F99">
        <w:rPr>
          <w:rStyle w:val="FootnoteReference"/>
          <w:rFonts w:ascii="Times New Roman" w:hAnsi="Times New Roman"/>
          <w:sz w:val="24"/>
          <w:szCs w:val="24"/>
        </w:rPr>
        <w:footnoteReference w:id="1"/>
      </w:r>
      <w:r w:rsidRPr="00692F99">
        <w:rPr>
          <w:rFonts w:ascii="Times New Roman" w:hAnsi="Times New Roman"/>
          <w:sz w:val="24"/>
          <w:szCs w:val="24"/>
        </w:rPr>
        <w:t xml:space="preserve"> за идващата Комисия) налага да се осигури постоянен напредък.</w:t>
      </w:r>
    </w:p>
    <w:p w14:paraId="4D2152C4" w14:textId="0AB8B81F" w:rsidR="00C3264D" w:rsidRPr="00692F99" w:rsidRDefault="0085272D">
      <w:pPr>
        <w:jc w:val="both"/>
        <w:rPr>
          <w:rFonts w:ascii="Times New Roman" w:hAnsi="Times New Roman"/>
          <w:sz w:val="24"/>
          <w:szCs w:val="24"/>
        </w:rPr>
      </w:pPr>
      <w:r w:rsidRPr="00692F99">
        <w:rPr>
          <w:rFonts w:ascii="Times New Roman" w:hAnsi="Times New Roman"/>
          <w:sz w:val="24"/>
          <w:szCs w:val="24"/>
        </w:rPr>
        <w:t>След влизането в сила през април 2018 г. на преразглеждането на СТЕ на ЕС</w:t>
      </w:r>
      <w:r w:rsidRPr="00692F99">
        <w:rPr>
          <w:rStyle w:val="FootnoteReference"/>
          <w:rFonts w:ascii="Times New Roman" w:hAnsi="Times New Roman"/>
          <w:sz w:val="24"/>
          <w:szCs w:val="24"/>
        </w:rPr>
        <w:footnoteReference w:id="2"/>
      </w:r>
      <w:r w:rsidRPr="00692F99">
        <w:rPr>
          <w:rFonts w:ascii="Times New Roman" w:hAnsi="Times New Roman"/>
          <w:sz w:val="24"/>
          <w:szCs w:val="24"/>
        </w:rPr>
        <w:t xml:space="preserve"> за фаза 4, приемането на законодателството за прилагане за четвъртия период на търгуване напредва с бързи темпове. През последната година беше прието законодателство за прилагане относно новия списък за изместване на въглеродни емисии и правилата за безплатно разпределяне на квоти, а правната рамка за системата на Регистъра на ЕС беше преразгледана, за да бъде съобразена с необходимите корекции за фаза 4. Освен това бяха установени правилата за привеждане в действие на Фонда за иновации — основния инструмент на СТЕ за финансиране на иновативни нисковъглеродни технологии и технологии за революционни иновации през фаза 4. В същото време Регламентът за тръжната продажба беше преразгледан, за да се предостави възможност за разпределяне чрез търг на първите 50 милиона квоти за Фонда за иновации през 2020 г. През август 2019 г. Комисията прие втори преразгледан текст за създаване на институционалната рамка за разпределянето чрез търг на квоти за Фонда за иновации и Фонда за модернизация през фаза 4. И на последно място, но не и по важност, рамката за мониторинг, докладване, проверка и акредитация (МДПА) на СТЕ на ЕС беше актуализирана с цел подобряване и изясняване на съществуващите правила въз основа на опита от прилагането им през фаза 3. Комисията бързо финализира останалите разпоредби за прилагане, с цел да бъдат приети преди януари 2021 г., когато ще започне новият период на търгуване. </w:t>
      </w:r>
    </w:p>
    <w:p w14:paraId="127113FB" w14:textId="77777777" w:rsidR="00C3264D" w:rsidRPr="00692F99" w:rsidRDefault="00FD386D">
      <w:pPr>
        <w:jc w:val="both"/>
        <w:rPr>
          <w:rFonts w:ascii="Times New Roman" w:hAnsi="Times New Roman"/>
          <w:sz w:val="24"/>
          <w:szCs w:val="24"/>
        </w:rPr>
      </w:pPr>
      <w:r w:rsidRPr="00692F99">
        <w:rPr>
          <w:rFonts w:ascii="Times New Roman" w:hAnsi="Times New Roman"/>
          <w:sz w:val="24"/>
          <w:szCs w:val="24"/>
        </w:rPr>
        <w:t xml:space="preserve">Законодателните промени, договорени през последните години за справяне с излишъка от квоти на пазара на въглеродни емисии, вече започват да дават резултати. След публикуването на последния доклад относно пазара на въглеродни емисии, показателят за излишък на резерва за стабилност на пазара бе публикуван за трети път. Въз основа на показателя и преразгледаното законодателство относно СТЕ на ЕС обемът на тръжно търгуваните количества през 2019 г. ще бъде намален с почти 400 милиона квоти, което съответства на 24 % от излишъка. </w:t>
      </w:r>
    </w:p>
    <w:p w14:paraId="17183171" w14:textId="77777777" w:rsidR="00C3264D" w:rsidRPr="00692F99" w:rsidRDefault="00FD386D">
      <w:pPr>
        <w:jc w:val="both"/>
        <w:rPr>
          <w:rFonts w:ascii="Times New Roman" w:hAnsi="Times New Roman"/>
          <w:sz w:val="24"/>
          <w:szCs w:val="24"/>
        </w:rPr>
      </w:pPr>
      <w:r w:rsidRPr="00692F99">
        <w:rPr>
          <w:rFonts w:ascii="Times New Roman" w:hAnsi="Times New Roman"/>
          <w:sz w:val="24"/>
          <w:szCs w:val="24"/>
        </w:rPr>
        <w:t>Изминалата година бе белязана и от увеличено доверие на участниците на пазара, което намери израз в сигнал за повишаване на цените на въглеродните емисии. Ръстът в цената на квотите за емисии доведе до значително увеличение на общите приходи от тръжна продажба на държавите членки — през 2018 г. генерираните общи приходи достигнаха 14 милиарда евро, надхвърляйки повече от два пъти приходите, генерирани през 2017 г. Въз основа на данните, подадени от държавите членки, през 2018 г. близо 70 % от тези приходи са били изразходени (или е било планирано да се изразходват) за определени цели, свързани с климата и енергетиката.</w:t>
      </w:r>
    </w:p>
    <w:p w14:paraId="162D8ACE" w14:textId="77777777" w:rsidR="00C3264D" w:rsidRPr="00692F99" w:rsidRDefault="003A348D">
      <w:pPr>
        <w:jc w:val="both"/>
        <w:rPr>
          <w:rFonts w:ascii="Times New Roman" w:hAnsi="Times New Roman"/>
          <w:sz w:val="24"/>
          <w:szCs w:val="24"/>
        </w:rPr>
      </w:pPr>
      <w:r w:rsidRPr="00692F99">
        <w:rPr>
          <w:rFonts w:ascii="Times New Roman" w:hAnsi="Times New Roman"/>
          <w:sz w:val="24"/>
          <w:szCs w:val="24"/>
        </w:rPr>
        <w:t>Настоящият доклад за функционирането на европейския пазар на въглеродни емисии е представен в съответствие с изискванията на член 10, параграф 5 и член 21, параграф 2 от Директива 2003/87/ЕО</w:t>
      </w:r>
      <w:r w:rsidRPr="00692F99">
        <w:rPr>
          <w:rStyle w:val="FootnoteReference"/>
          <w:rFonts w:ascii="Times New Roman" w:hAnsi="Times New Roman"/>
          <w:sz w:val="24"/>
          <w:szCs w:val="24"/>
        </w:rPr>
        <w:footnoteReference w:id="3"/>
      </w:r>
      <w:r w:rsidRPr="00692F99">
        <w:rPr>
          <w:rFonts w:ascii="Times New Roman" w:hAnsi="Times New Roman"/>
          <w:sz w:val="24"/>
          <w:szCs w:val="24"/>
        </w:rPr>
        <w:t xml:space="preserve"> (Директива за СТЕ на ЕС). Както е предвидено в директивата, целта на доклада е да предоставя ежегодно актуална картина на развитието на европейския пазар на въглеродни емисии. </w:t>
      </w:r>
    </w:p>
    <w:p w14:paraId="6C32B0A3" w14:textId="77777777" w:rsidR="00C3264D" w:rsidRPr="00692F99" w:rsidRDefault="003A348D">
      <w:pPr>
        <w:jc w:val="both"/>
        <w:rPr>
          <w:rFonts w:ascii="Times New Roman" w:hAnsi="Times New Roman"/>
          <w:sz w:val="24"/>
          <w:szCs w:val="24"/>
        </w:rPr>
      </w:pPr>
      <w:r w:rsidRPr="00692F99">
        <w:rPr>
          <w:rFonts w:ascii="Times New Roman" w:hAnsi="Times New Roman"/>
          <w:sz w:val="24"/>
          <w:szCs w:val="24"/>
        </w:rPr>
        <w:t xml:space="preserve">Докладът обхваща 2018 г., но в него са представени и инициативи, предложени или договорени през първото полугодие на 2019 г. </w:t>
      </w:r>
    </w:p>
    <w:p w14:paraId="6FAF5912" w14:textId="77777777" w:rsidR="00C3264D" w:rsidRPr="00692F99" w:rsidRDefault="003A348D">
      <w:pPr>
        <w:jc w:val="both"/>
        <w:rPr>
          <w:rFonts w:ascii="Times New Roman" w:hAnsi="Times New Roman"/>
          <w:sz w:val="24"/>
          <w:szCs w:val="24"/>
        </w:rPr>
      </w:pPr>
      <w:r w:rsidRPr="00692F99">
        <w:rPr>
          <w:rFonts w:ascii="Times New Roman" w:hAnsi="Times New Roman"/>
          <w:sz w:val="24"/>
          <w:szCs w:val="24"/>
        </w:rPr>
        <w:t>Освен ако не е посочено друго, в настоящия доклад са използвани публично достъпни данни и данни, с които Комисията е разполагала към края на месец юни 2019 г.</w:t>
      </w:r>
      <w:r w:rsidRPr="00692F99">
        <w:rPr>
          <w:sz w:val="24"/>
          <w:szCs w:val="24"/>
        </w:rPr>
        <w:footnoteReference w:id="4"/>
      </w:r>
      <w:r w:rsidRPr="00692F99">
        <w:rPr>
          <w:sz w:val="24"/>
          <w:szCs w:val="24"/>
        </w:rPr>
        <w:t xml:space="preserve"> </w:t>
      </w:r>
      <w:r w:rsidRPr="00692F99">
        <w:rPr>
          <w:rFonts w:ascii="Times New Roman" w:hAnsi="Times New Roman"/>
          <w:sz w:val="24"/>
          <w:szCs w:val="24"/>
        </w:rPr>
        <w:t>. Обща и описателна информация относно СТЕ на ЕС е включена в текстови карета, разпръснати в целия текст на доклада.</w:t>
      </w:r>
    </w:p>
    <w:p w14:paraId="34F8EB1F" w14:textId="77777777" w:rsidR="00C3264D" w:rsidRPr="00692F99" w:rsidRDefault="00143C3B">
      <w:pPr>
        <w:rPr>
          <w:sz w:val="24"/>
          <w:szCs w:val="24"/>
        </w:rPr>
      </w:pPr>
      <w:r w:rsidRPr="00692F99">
        <w:rPr>
          <w:sz w:val="24"/>
          <w:szCs w:val="24"/>
        </w:rPr>
        <w:br w:type="page"/>
      </w:r>
    </w:p>
    <w:p w14:paraId="4C60C72C" w14:textId="77777777" w:rsidR="00C3264D" w:rsidRPr="00692F99" w:rsidRDefault="00A52F4C">
      <w:pPr>
        <w:jc w:val="both"/>
        <w:rPr>
          <w:rFonts w:ascii="Times New Roman" w:hAnsi="Times New Roman"/>
          <w:b/>
          <w:sz w:val="24"/>
          <w:szCs w:val="24"/>
        </w:rPr>
      </w:pPr>
      <w:r w:rsidRPr="00692F99">
        <w:rPr>
          <w:rFonts w:ascii="Times New Roman" w:hAnsi="Times New Roman"/>
          <w:b/>
          <w:sz w:val="24"/>
          <w:szCs w:val="24"/>
        </w:rPr>
        <w:t>2. ИНФРАСТРУКТУРА НА СТЕ НА ЕС</w:t>
      </w:r>
    </w:p>
    <w:p w14:paraId="37C5C4B1" w14:textId="77777777" w:rsidR="00C3264D" w:rsidRPr="00692F99" w:rsidRDefault="00A52F4C">
      <w:pPr>
        <w:pStyle w:val="Heading1"/>
        <w:spacing w:before="0" w:after="200"/>
        <w:rPr>
          <w:szCs w:val="24"/>
        </w:rPr>
      </w:pPr>
      <w:bookmarkStart w:id="5" w:name="_Toc28015576"/>
      <w:r w:rsidRPr="00692F99">
        <w:rPr>
          <w:szCs w:val="24"/>
        </w:rPr>
        <w:t>2.1 Обхванати дейности, инсталации и оператори на въздухоплавателни средства</w:t>
      </w:r>
      <w:bookmarkEnd w:id="5"/>
      <w:r w:rsidRPr="00692F99">
        <w:rPr>
          <w:szCs w:val="24"/>
        </w:rPr>
        <w:tab/>
      </w:r>
    </w:p>
    <w:p w14:paraId="39178EBF" w14:textId="77777777" w:rsidR="00C3264D" w:rsidRPr="00692F99" w:rsidRDefault="00743ED3">
      <w:pPr>
        <w:rPr>
          <w:sz w:val="24"/>
          <w:szCs w:val="24"/>
          <w:highlight w:val="yellow"/>
        </w:rPr>
      </w:pPr>
      <w:r w:rsidRPr="00692F99">
        <w:rPr>
          <w:noProof/>
          <w:sz w:val="24"/>
          <w:szCs w:val="24"/>
          <w:lang w:val="en-GB" w:eastAsia="en-GB"/>
        </w:rPr>
        <mc:AlternateContent>
          <mc:Choice Requires="wps">
            <w:drawing>
              <wp:inline distT="0" distB="0" distL="0" distR="0" wp14:anchorId="44B41B6F" wp14:editId="5486E184">
                <wp:extent cx="5691226" cy="6858000"/>
                <wp:effectExtent l="0" t="0" r="24130" b="19050"/>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1226" cy="6858000"/>
                        </a:xfrm>
                        <a:prstGeom prst="rect">
                          <a:avLst/>
                        </a:prstGeom>
                        <a:solidFill>
                          <a:sysClr val="window" lastClr="FFFFFF">
                            <a:lumMod val="85000"/>
                          </a:sysClr>
                        </a:solidFill>
                        <a:ln w="12700">
                          <a:solidFill>
                            <a:srgbClr val="000000"/>
                          </a:solidFill>
                          <a:miter lim="800000"/>
                          <a:headEnd/>
                          <a:tailEnd/>
                        </a:ln>
                      </wps:spPr>
                      <wps:txbx>
                        <w:txbxContent>
                          <w:p w14:paraId="73E01DD9" w14:textId="77777777" w:rsidR="00692F99" w:rsidRDefault="00692F99">
                            <w:pPr>
                              <w:suppressAutoHyphens/>
                              <w:jc w:val="both"/>
                              <w:rPr>
                                <w:rFonts w:ascii="Times New Roman" w:hAnsi="Times New Roman"/>
                              </w:rPr>
                            </w:pPr>
                            <w:r>
                              <w:rPr>
                                <w:rFonts w:ascii="Times New Roman" w:hAnsi="Times New Roman"/>
                              </w:rPr>
                              <w:t>СТЕ на ЕС работи във всичките 31 държави от Европейското икономическо пространство (ЕИП). Системата ограничава емисии от почти 11 000 електроцентрали и производствени инсталации, както и повече от 500 оператори на въздухоплавателни средства, които изпълняват полети между летищата на ЕИП. Тя обхваща около 39  % от емисиите на ПГ в ЕС.</w:t>
                            </w:r>
                          </w:p>
                          <w:p w14:paraId="77E60C62" w14:textId="77777777" w:rsidR="00692F99" w:rsidRDefault="00692F99">
                            <w:pPr>
                              <w:jc w:val="both"/>
                              <w:rPr>
                                <w:rFonts w:ascii="Times New Roman" w:hAnsi="Times New Roman"/>
                                <w:sz w:val="24"/>
                                <w:szCs w:val="24"/>
                              </w:rPr>
                            </w:pPr>
                            <w:r>
                              <w:rPr>
                                <w:rFonts w:ascii="Times New Roman" w:hAnsi="Times New Roman"/>
                              </w:rPr>
                              <w:t>През фаза 3 (2013—2020 г.)* секторите със стационарни инсталации, регулирани от СТЕ на ЕС, са енергоемките промишлени отрасли, включително електроцентрали и други горивни инсталации с номинална входяща топлинна мощност &gt; 20 MW (с изключение на инсталациите за изгаряне на опасни или битови отпадъци), нефтените рафинерии, коксовите пещи, производството на чугун и стомана, цимент и клинкер, стъкло, вар, тухли, керамични продукти, целулоза, хартия и картон, алуминий, нефтохимически продукти, амоняк, азотна и адипинова киселина, глиоксал и глиоксилова киселина, улавянето на CO</w:t>
                            </w:r>
                            <w:r>
                              <w:rPr>
                                <w:rFonts w:ascii="Times New Roman" w:hAnsi="Times New Roman"/>
                                <w:vertAlign w:val="subscript"/>
                              </w:rPr>
                              <w:t>2</w:t>
                            </w:r>
                            <w:r>
                              <w:rPr>
                                <w:rFonts w:ascii="Times New Roman" w:hAnsi="Times New Roman"/>
                              </w:rPr>
                              <w:t>, преносът по тръбопроводи и съхранението на CO</w:t>
                            </w:r>
                            <w:r>
                              <w:rPr>
                                <w:rFonts w:ascii="Times New Roman" w:hAnsi="Times New Roman"/>
                                <w:vertAlign w:val="subscript"/>
                              </w:rPr>
                              <w:t>2</w:t>
                            </w:r>
                            <w:r>
                              <w:rPr>
                                <w:rFonts w:ascii="Times New Roman" w:hAnsi="Times New Roman"/>
                              </w:rPr>
                              <w:t xml:space="preserve"> в геоложки формации. </w:t>
                            </w:r>
                          </w:p>
                          <w:p w14:paraId="4F7603DC" w14:textId="4A91D654" w:rsidR="00692F99" w:rsidRDefault="00692F99">
                            <w:pPr>
                              <w:jc w:val="both"/>
                              <w:rPr>
                                <w:rFonts w:ascii="Times New Roman" w:hAnsi="Times New Roman"/>
                                <w:sz w:val="24"/>
                                <w:szCs w:val="24"/>
                              </w:rPr>
                            </w:pPr>
                            <w:r>
                              <w:rPr>
                                <w:rFonts w:ascii="Times New Roman" w:hAnsi="Times New Roman"/>
                              </w:rPr>
                              <w:t xml:space="preserve">В областта на въздухоплаването обхватът на СТЕ на ЕС беше ограничен до полети в ЕИП през периода 2013—2016 г. в очакване на приемането на глобален подход от Международната организация за гражданско въздухоплаване (ИКАО). За да се подкрепи разработването на Схемата за компенсиране и намаляване на въглеродните емисии в международното въздухоплаване (CORSIA), през 2017 г. ограничението за полети в рамките на ЕИП беше удължено до 2023 г. (вж. глава 4). </w:t>
                            </w:r>
                          </w:p>
                          <w:p w14:paraId="7D7EFD4A" w14:textId="0971C6F6" w:rsidR="00692F99" w:rsidRDefault="00692F99">
                            <w:pPr>
                              <w:jc w:val="both"/>
                              <w:rPr>
                                <w:rFonts w:ascii="Times New Roman" w:hAnsi="Times New Roman"/>
                                <w:sz w:val="24"/>
                                <w:szCs w:val="24"/>
                              </w:rPr>
                            </w:pPr>
                            <w:r>
                              <w:rPr>
                                <w:rFonts w:ascii="Times New Roman" w:hAnsi="Times New Roman"/>
                              </w:rPr>
                              <w:t>СТЕ на ЕС обхваща емисиите на въглероден диоксид (CO</w:t>
                            </w:r>
                            <w:r>
                              <w:rPr>
                                <w:rFonts w:ascii="Times New Roman" w:hAnsi="Times New Roman"/>
                                <w:vertAlign w:val="subscript"/>
                              </w:rPr>
                              <w:t>2</w:t>
                            </w:r>
                            <w:r>
                              <w:rPr>
                                <w:rFonts w:ascii="Times New Roman" w:hAnsi="Times New Roman"/>
                              </w:rPr>
                              <w:t>), но също така и емисиите на двуазотен оксид (N</w:t>
                            </w:r>
                            <w:r>
                              <w:rPr>
                                <w:rFonts w:ascii="Times New Roman" w:hAnsi="Times New Roman"/>
                                <w:vertAlign w:val="subscript"/>
                              </w:rPr>
                              <w:t>2</w:t>
                            </w:r>
                            <w:r>
                              <w:rPr>
                                <w:rFonts w:ascii="Times New Roman" w:hAnsi="Times New Roman"/>
                              </w:rPr>
                              <w:t>O) от всички производства на азотна, адипинова и глиоксилова киселина и на глиоксал, и емисиите на перфлуоровъглероди (PFC) от производството на алуминий. Въпреки че участието в СТЕ на ЕС е задължително, в някои сектори са включени само инсталации над определен размер. Освен това участващите държави могат да изключват малки инсталации (изпускащи по-малко от 25 000 тона еквивалент на въглеродния диоксид) от обхвата на системата, ако са въведени алтернативни и еквивалентни мерки. През фаза 4 предприятия с много малко емисии (с докладвани емисии, които не надвишават 2 500 тона еквивалент на въглеродния диоксид през последните три години) могат да бъдат изключени от СТЕ на ЕС при наличието на опростени условия за мониторинг за оценка на количеството на техните емисии. Участващите държави могат също така да добавят повече сектори и ПГ в СТЕ на ЕС – т.нар. сектори/ПГ „по избор“.</w:t>
                            </w:r>
                          </w:p>
                          <w:p w14:paraId="0BC7EF14" w14:textId="77777777" w:rsidR="00692F99" w:rsidRDefault="00692F99">
                            <w:pPr>
                              <w:jc w:val="both"/>
                              <w:rPr>
                                <w:rFonts w:ascii="Times New Roman" w:hAnsi="Times New Roman"/>
                                <w:sz w:val="18"/>
                                <w:szCs w:val="18"/>
                              </w:rPr>
                            </w:pPr>
                            <w:r>
                              <w:rPr>
                                <w:rFonts w:ascii="Times New Roman" w:hAnsi="Times New Roman"/>
                                <w:sz w:val="18"/>
                                <w:szCs w:val="18"/>
                              </w:rPr>
                              <w:t>* Информация относно фази 1 и 2 на СТЕ на ЕС може да се намери на следния адрес:</w:t>
                            </w:r>
                            <w:r>
                              <w:rPr>
                                <w:rFonts w:ascii="Times New Roman" w:hAnsi="Times New Roman"/>
                              </w:rPr>
                              <w:t xml:space="preserve"> </w:t>
                            </w:r>
                            <w:r>
                              <w:rPr>
                                <w:rFonts w:ascii="Times New Roman" w:hAnsi="Times New Roman"/>
                                <w:sz w:val="18"/>
                                <w:szCs w:val="18"/>
                              </w:rPr>
                              <w:t>https://ec.europa.eu/clima/policies/ets/pre2013_bg</w:t>
                            </w:r>
                          </w:p>
                          <w:p w14:paraId="102B9B06" w14:textId="77777777" w:rsidR="00692F99" w:rsidRDefault="00692F99">
                            <w:pPr>
                              <w:jc w:val="both"/>
                            </w:pPr>
                          </w:p>
                        </w:txbxContent>
                      </wps:txbx>
                      <wps:bodyPr rot="0" vert="horz" wrap="square" lIns="91440" tIns="45720" rIns="91440" bIns="45720" anchor="t" anchorCtr="0">
                        <a:noAutofit/>
                      </wps:bodyPr>
                    </wps:wsp>
                  </a:graphicData>
                </a:graphic>
              </wp:inline>
            </w:drawing>
          </mc:Choice>
          <mc:Fallback>
            <w:pict>
              <v:shape w14:anchorId="44B41B6F" id="_x0000_s1027" type="#_x0000_t202" style="width:448.15pt;height:54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" fillcolor="#d9d9d9" strokeweight="1pt">
                <v:textbox>
                  <w:txbxContent>
                    <w:p w14:paraId="73E01DD9" w14:textId="77777777" w:rsidR="00692F99" w:rsidRDefault="00692F99">
                      <w:pPr>
                        <w:suppressAutoHyphens/>
                        <w:jc w:val="both"/>
                        <w:rPr>
                          <w:rFonts w:ascii="Times New Roman" w:hAnsi="Times New Roman"/>
                        </w:rPr>
                      </w:pPr>
                      <w:r>
                        <w:rPr>
                          <w:rFonts w:ascii="Times New Roman" w:hAnsi="Times New Roman"/>
                        </w:rPr>
                        <w:t>СТЕ на ЕС работи във всичките 31 държави от Европейското икономическо пространство (ЕИП). Системата ограничава емисии от почти 11 000 електроцентрали и производствени инсталации, както и повече от 500 оператори на въздухоплавателни средства, които изпълняват полети между летищата на ЕИП. Тя обхваща около 39  % от емисиите на ПГ в ЕС.</w:t>
                      </w:r>
                    </w:p>
                    <w:p w14:paraId="77E60C62" w14:textId="77777777" w:rsidR="00692F99" w:rsidRDefault="00692F99">
                      <w:pPr>
                        <w:jc w:val="both"/>
                        <w:rPr>
                          <w:rFonts w:ascii="Times New Roman" w:hAnsi="Times New Roman"/>
                          <w:sz w:val="24"/>
                          <w:szCs w:val="24"/>
                        </w:rPr>
                      </w:pPr>
                      <w:r>
                        <w:rPr>
                          <w:rFonts w:ascii="Times New Roman" w:hAnsi="Times New Roman"/>
                        </w:rPr>
                        <w:t>През фаза 3 (2013—2020 г.)* секторите със стационарни инсталации, регулирани от СТЕ на ЕС, са енергоемките промишлени отрасли, включително електроцентрали и други горивни инсталации с номинална входяща топлинна мощност &gt; 20 MW (с изключение на инсталациите за изгаряне на опасни или битови отпадъци), нефтените рафинерии, коксовите пещи, производството на чугун и стомана, цимент и клинкер, стъкло, вар, тухли, керамични продукти, целулоза, хартия и картон, алуминий, нефтохимически продукти, амоняк, азотна и адипинова киселина, глиоксал и глиоксилова киселина, улавянето на CO</w:t>
                      </w:r>
                      <w:r>
                        <w:rPr>
                          <w:rFonts w:ascii="Times New Roman" w:hAnsi="Times New Roman"/>
                          <w:vertAlign w:val="subscript"/>
                        </w:rPr>
                        <w:t>2</w:t>
                      </w:r>
                      <w:r>
                        <w:rPr>
                          <w:rFonts w:ascii="Times New Roman" w:hAnsi="Times New Roman"/>
                        </w:rPr>
                        <w:t>, преносът по тръбопроводи и съхранението на CO</w:t>
                      </w:r>
                      <w:r>
                        <w:rPr>
                          <w:rFonts w:ascii="Times New Roman" w:hAnsi="Times New Roman"/>
                          <w:vertAlign w:val="subscript"/>
                        </w:rPr>
                        <w:t>2</w:t>
                      </w:r>
                      <w:r>
                        <w:rPr>
                          <w:rFonts w:ascii="Times New Roman" w:hAnsi="Times New Roman"/>
                        </w:rPr>
                        <w:t xml:space="preserve"> в геоложки формации. </w:t>
                      </w:r>
                    </w:p>
                    <w:p w14:paraId="4F7603DC" w14:textId="4A91D654" w:rsidR="00692F99" w:rsidRDefault="00692F99">
                      <w:pPr>
                        <w:jc w:val="both"/>
                        <w:rPr>
                          <w:rFonts w:ascii="Times New Roman" w:hAnsi="Times New Roman"/>
                          <w:sz w:val="24"/>
                          <w:szCs w:val="24"/>
                        </w:rPr>
                      </w:pPr>
                      <w:r>
                        <w:rPr>
                          <w:rFonts w:ascii="Times New Roman" w:hAnsi="Times New Roman"/>
                        </w:rPr>
                        <w:t xml:space="preserve">В областта на въздухоплаването обхватът на СТЕ на ЕС беше ограничен до полети в ЕИП през периода 2013—2016 г. в очакване на приемането на глобален подход от Международната организация за гражданско въздухоплаване (ИКАО). За да се подкрепи разработването на Схемата за компенсиране и намаляване на въглеродните емисии в международното въздухоплаване (CORSIA), през 2017 г. ограничението за полети в рамките на ЕИП беше удължено до 2023 г. (вж. глава 4). </w:t>
                      </w:r>
                    </w:p>
                    <w:p w14:paraId="7D7EFD4A" w14:textId="0971C6F6" w:rsidR="00692F99" w:rsidRDefault="00692F99">
                      <w:pPr>
                        <w:jc w:val="both"/>
                        <w:rPr>
                          <w:rFonts w:ascii="Times New Roman" w:hAnsi="Times New Roman"/>
                          <w:sz w:val="24"/>
                          <w:szCs w:val="24"/>
                        </w:rPr>
                      </w:pPr>
                      <w:r>
                        <w:rPr>
                          <w:rFonts w:ascii="Times New Roman" w:hAnsi="Times New Roman"/>
                        </w:rPr>
                        <w:t>СТЕ на ЕС обхваща емисиите на въглероден диоксид (CO</w:t>
                      </w:r>
                      <w:r>
                        <w:rPr>
                          <w:rFonts w:ascii="Times New Roman" w:hAnsi="Times New Roman"/>
                          <w:vertAlign w:val="subscript"/>
                        </w:rPr>
                        <w:t>2</w:t>
                      </w:r>
                      <w:r>
                        <w:rPr>
                          <w:rFonts w:ascii="Times New Roman" w:hAnsi="Times New Roman"/>
                        </w:rPr>
                        <w:t>), но също така и емисиите на двуазотен оксид (N</w:t>
                      </w:r>
                      <w:r>
                        <w:rPr>
                          <w:rFonts w:ascii="Times New Roman" w:hAnsi="Times New Roman"/>
                          <w:vertAlign w:val="subscript"/>
                        </w:rPr>
                        <w:t>2</w:t>
                      </w:r>
                      <w:r>
                        <w:rPr>
                          <w:rFonts w:ascii="Times New Roman" w:hAnsi="Times New Roman"/>
                        </w:rPr>
                        <w:t>O) от всички производства на азотна, адипинова и глиоксилова киселина и на глиоксал, и емисиите на перфлуоровъглероди (PFC) от производството на алуминий. Въпреки че участието в СТЕ на ЕС е задължително, в някои сектори са включени само инсталации над определен размер. Освен това участващите държави могат да изключват малки инсталации (изпускащи по-малко от 25 000 тона еквивалент на въглеродния диоксид) от обхвата на системата, ако са въведени алтернативни и еквивалентни мерки. През фаза 4 предприятия с много малко емисии (с докладвани емисии, които не надвишават 2 500 тона еквивалент на въглеродния диоксид през последните три години) могат да бъдат изключени от СТЕ на ЕС при наличието на опростени условия за мониторинг за оценка на количеството на техните емисии. Участващите държави могат също така да добавят повече сектори и ПГ в СТЕ на ЕС – т.нар. сектори/ПГ „по избор“.</w:t>
                      </w:r>
                    </w:p>
                    <w:p w14:paraId="0BC7EF14" w14:textId="77777777" w:rsidR="00692F99" w:rsidRDefault="00692F99">
                      <w:pPr>
                        <w:jc w:val="both"/>
                        <w:rPr>
                          <w:rFonts w:ascii="Times New Roman" w:hAnsi="Times New Roman"/>
                          <w:sz w:val="18"/>
                          <w:szCs w:val="18"/>
                        </w:rPr>
                      </w:pPr>
                      <w:r>
                        <w:rPr>
                          <w:rFonts w:ascii="Times New Roman" w:hAnsi="Times New Roman"/>
                          <w:sz w:val="18"/>
                          <w:szCs w:val="18"/>
                        </w:rPr>
                        <w:t>* Информация относно фази 1 и 2 на СТЕ на ЕС може да се намери на следния адрес:</w:t>
                      </w:r>
                      <w:r>
                        <w:rPr>
                          <w:rFonts w:ascii="Times New Roman" w:hAnsi="Times New Roman"/>
                        </w:rPr>
                        <w:t xml:space="preserve"> </w:t>
                      </w:r>
                      <w:r>
                        <w:rPr>
                          <w:rFonts w:ascii="Times New Roman" w:hAnsi="Times New Roman"/>
                          <w:sz w:val="18"/>
                          <w:szCs w:val="18"/>
                        </w:rPr>
                        <w:t>https://ec.europa.eu/clima/policies/ets/pre2013_bg</w:t>
                      </w:r>
                    </w:p>
                    <w:p w14:paraId="102B9B06" w14:textId="77777777" w:rsidR="00692F99" w:rsidRDefault="00692F99">
                      <w:pPr>
                        <w:jc w:val="both"/>
                      </w:pPr>
                    </w:p>
                  </w:txbxContent>
                </v:textbox>
                <w10:anchorlock/>
              </v:shape>
            </w:pict>
          </mc:Fallback>
        </mc:AlternateContent>
      </w:r>
    </w:p>
    <w:p w14:paraId="57CC040F" w14:textId="77777777" w:rsidR="00C3264D" w:rsidRPr="00692F99" w:rsidRDefault="00743ED3">
      <w:pPr>
        <w:jc w:val="both"/>
        <w:rPr>
          <w:rFonts w:ascii="Times New Roman" w:hAnsi="Times New Roman"/>
          <w:sz w:val="24"/>
          <w:szCs w:val="24"/>
        </w:rPr>
      </w:pPr>
      <w:r w:rsidRPr="00692F99">
        <w:rPr>
          <w:rFonts w:ascii="Times New Roman" w:hAnsi="Times New Roman"/>
          <w:sz w:val="24"/>
          <w:szCs w:val="24"/>
        </w:rPr>
        <w:t>Съгласно докладите по член 21, представени от участващите държави</w:t>
      </w:r>
      <w:r w:rsidRPr="00692F99">
        <w:rPr>
          <w:rStyle w:val="FootnoteReference"/>
          <w:rFonts w:ascii="Times New Roman" w:hAnsi="Times New Roman"/>
          <w:sz w:val="24"/>
          <w:szCs w:val="24"/>
        </w:rPr>
        <w:footnoteReference w:id="5"/>
      </w:r>
      <w:r w:rsidRPr="00692F99">
        <w:rPr>
          <w:rFonts w:ascii="Times New Roman" w:hAnsi="Times New Roman"/>
          <w:sz w:val="24"/>
          <w:szCs w:val="24"/>
        </w:rPr>
        <w:t xml:space="preserve"> през 2019 г., през 2018 г. е имало общо 10 744 разрешени инсталации.</w:t>
      </w:r>
    </w:p>
    <w:p w14:paraId="48C4A903" w14:textId="77777777" w:rsidR="00C3264D" w:rsidRPr="00692F99" w:rsidRDefault="00743ED3">
      <w:pPr>
        <w:jc w:val="both"/>
        <w:rPr>
          <w:rFonts w:ascii="Times New Roman" w:hAnsi="Times New Roman"/>
          <w:sz w:val="24"/>
          <w:szCs w:val="24"/>
        </w:rPr>
      </w:pPr>
      <w:r w:rsidRPr="00692F99">
        <w:rPr>
          <w:rFonts w:ascii="Times New Roman" w:hAnsi="Times New Roman"/>
          <w:sz w:val="24"/>
          <w:szCs w:val="24"/>
        </w:rPr>
        <w:t>Както и през предходните години, горивата, изгорени в рамките на СТЕ на ЕС през 2018 г., продължават да са предимно изкопаеми. Все пак 29 държави съобщиха и за използване на биомаса в 2 181 инсталации (20,3 % от всички инсталации). Две държави (Лихтенщайн и Малта) не съобщиха за използване на биомаса. Общите емисии от биомаса през 2018 г. са възлизали на около 151 милиона тона CO</w:t>
      </w:r>
      <w:r w:rsidRPr="00692F99">
        <w:rPr>
          <w:rFonts w:ascii="Times New Roman" w:hAnsi="Times New Roman"/>
          <w:sz w:val="24"/>
          <w:szCs w:val="24"/>
          <w:vertAlign w:val="subscript"/>
        </w:rPr>
        <w:t>2</w:t>
      </w:r>
      <w:r w:rsidRPr="00692F99">
        <w:rPr>
          <w:rFonts w:ascii="Times New Roman" w:hAnsi="Times New Roman"/>
          <w:sz w:val="24"/>
          <w:szCs w:val="24"/>
        </w:rPr>
        <w:t xml:space="preserve"> (9 % от докладваните емисии по СТЕ), което е слабо увеличение от 145 милиона тона CO</w:t>
      </w:r>
      <w:r w:rsidRPr="00692F99">
        <w:rPr>
          <w:rFonts w:ascii="Times New Roman" w:hAnsi="Times New Roman"/>
          <w:sz w:val="24"/>
          <w:szCs w:val="24"/>
          <w:vertAlign w:val="subscript"/>
        </w:rPr>
        <w:t>2</w:t>
      </w:r>
      <w:r w:rsidRPr="00692F99">
        <w:rPr>
          <w:rFonts w:ascii="Times New Roman" w:hAnsi="Times New Roman"/>
          <w:sz w:val="24"/>
          <w:szCs w:val="24"/>
        </w:rPr>
        <w:t xml:space="preserve"> през 2017 г. (8 % от докладваните емисии по СТЕ). От тях 99,2 % са били с нулева ставка</w:t>
      </w:r>
      <w:r w:rsidRPr="00692F99">
        <w:rPr>
          <w:rStyle w:val="FootnoteReference"/>
          <w:rFonts w:ascii="Times New Roman" w:hAnsi="Times New Roman"/>
          <w:sz w:val="24"/>
          <w:szCs w:val="24"/>
        </w:rPr>
        <w:footnoteReference w:id="6"/>
      </w:r>
      <w:r w:rsidRPr="00692F99">
        <w:rPr>
          <w:rFonts w:ascii="Times New Roman" w:hAnsi="Times New Roman"/>
          <w:sz w:val="24"/>
          <w:szCs w:val="24"/>
        </w:rPr>
        <w:t>. За 2018 г. нито една държава не е докладвала за използването на биогорива от оператори на въздухоплавателни средства, докато за 2017 г. само Швеция е докладвала за такова използване от два оператора на въздухоплавателни средства.</w:t>
      </w:r>
    </w:p>
    <w:p w14:paraId="3B94B1B4" w14:textId="77777777" w:rsidR="00C3264D" w:rsidRPr="00692F99" w:rsidRDefault="00743ED3">
      <w:pPr>
        <w:jc w:val="both"/>
        <w:rPr>
          <w:rFonts w:ascii="Times New Roman" w:hAnsi="Times New Roman"/>
          <w:sz w:val="24"/>
          <w:szCs w:val="24"/>
        </w:rPr>
      </w:pPr>
      <w:r w:rsidRPr="00692F99">
        <w:rPr>
          <w:rFonts w:ascii="Times New Roman" w:hAnsi="Times New Roman"/>
          <w:sz w:val="24"/>
          <w:szCs w:val="24"/>
        </w:rPr>
        <w:t>В рамките на категориите инсталации, определени въз основа на годишните емисии</w:t>
      </w:r>
      <w:r w:rsidRPr="00692F99">
        <w:rPr>
          <w:rFonts w:ascii="Times New Roman" w:hAnsi="Times New Roman"/>
          <w:sz w:val="24"/>
          <w:szCs w:val="24"/>
          <w:vertAlign w:val="superscript"/>
        </w:rPr>
        <w:footnoteReference w:id="7"/>
      </w:r>
      <w:r w:rsidRPr="00692F99">
        <w:rPr>
          <w:rFonts w:ascii="Times New Roman" w:hAnsi="Times New Roman"/>
          <w:sz w:val="24"/>
          <w:szCs w:val="24"/>
        </w:rPr>
        <w:t>, данните за 2018 г. показват че, както и през предходните години, 72 % от инсталациите са в категория А, 21 % — в категория Б и 7 % — в категория В. 6 113 инсталации са били докладвани като „инсталации с малки емисии“</w:t>
      </w:r>
      <w:r w:rsidRPr="00692F99">
        <w:rPr>
          <w:rStyle w:val="FootnoteReference"/>
          <w:rFonts w:ascii="Times New Roman" w:hAnsi="Times New Roman"/>
          <w:sz w:val="24"/>
          <w:szCs w:val="24"/>
        </w:rPr>
        <w:footnoteReference w:id="8"/>
      </w:r>
      <w:r w:rsidRPr="00692F99">
        <w:rPr>
          <w:rFonts w:ascii="Times New Roman" w:hAnsi="Times New Roman"/>
          <w:sz w:val="24"/>
          <w:szCs w:val="24"/>
        </w:rPr>
        <w:t xml:space="preserve"> (57 % от общия брой).  </w:t>
      </w:r>
    </w:p>
    <w:p w14:paraId="52722985" w14:textId="0E1D395B" w:rsidR="00C3264D" w:rsidRPr="00692F99" w:rsidRDefault="00743ED3">
      <w:pPr>
        <w:jc w:val="both"/>
        <w:rPr>
          <w:rFonts w:ascii="Times New Roman" w:hAnsi="Times New Roman"/>
          <w:sz w:val="24"/>
          <w:szCs w:val="24"/>
        </w:rPr>
      </w:pPr>
      <w:r w:rsidRPr="00692F99">
        <w:rPr>
          <w:rFonts w:ascii="Times New Roman" w:hAnsi="Times New Roman"/>
          <w:sz w:val="24"/>
          <w:szCs w:val="24"/>
        </w:rPr>
        <w:t>Що се отнася до дейностите по СТЕ на ЕС, включени допълнително в списъка на емисиите на парникови газове, различни от CO</w:t>
      </w:r>
      <w:r w:rsidRPr="00692F99">
        <w:rPr>
          <w:rFonts w:ascii="Times New Roman" w:hAnsi="Times New Roman"/>
          <w:sz w:val="24"/>
          <w:szCs w:val="24"/>
          <w:vertAlign w:val="subscript"/>
        </w:rPr>
        <w:t>2</w:t>
      </w:r>
      <w:r w:rsidRPr="00692F99">
        <w:rPr>
          <w:rFonts w:ascii="Times New Roman" w:hAnsi="Times New Roman"/>
          <w:sz w:val="24"/>
          <w:szCs w:val="24"/>
        </w:rPr>
        <w:t xml:space="preserve">, издаването на разрешителни за първичен алуминий и перфлуоровъглероди (PFC) е докладвано в </w:t>
      </w:r>
      <w:r w:rsidR="003B578B">
        <w:rPr>
          <w:rFonts w:ascii="Times New Roman" w:hAnsi="Times New Roman"/>
          <w:sz w:val="24"/>
          <w:szCs w:val="24"/>
        </w:rPr>
        <w:t>13</w:t>
      </w:r>
      <w:r w:rsidR="003B578B" w:rsidRPr="00692F99">
        <w:rPr>
          <w:rFonts w:ascii="Times New Roman" w:hAnsi="Times New Roman"/>
          <w:sz w:val="24"/>
          <w:szCs w:val="24"/>
        </w:rPr>
        <w:t xml:space="preserve"> </w:t>
      </w:r>
      <w:r w:rsidRPr="00692F99">
        <w:rPr>
          <w:rFonts w:ascii="Times New Roman" w:hAnsi="Times New Roman"/>
          <w:sz w:val="24"/>
          <w:szCs w:val="24"/>
        </w:rPr>
        <w:t xml:space="preserve">държави (Германия, Гърция, Исландия, </w:t>
      </w:r>
      <w:r w:rsidR="003B578B">
        <w:rPr>
          <w:rFonts w:ascii="Times New Roman" w:hAnsi="Times New Roman"/>
          <w:sz w:val="24"/>
          <w:szCs w:val="24"/>
        </w:rPr>
        <w:t xml:space="preserve">Испания, </w:t>
      </w:r>
      <w:r w:rsidRPr="00692F99">
        <w:rPr>
          <w:rFonts w:ascii="Times New Roman" w:hAnsi="Times New Roman"/>
          <w:sz w:val="24"/>
          <w:szCs w:val="24"/>
        </w:rPr>
        <w:t>Италия, Нидерландия, Норвегия, Обединеното кралство, Румъния, Словакия, Словения, Франция и Швеция), а за производство на азотна киселина и N</w:t>
      </w:r>
      <w:r w:rsidRPr="00692F99">
        <w:rPr>
          <w:rFonts w:ascii="Times New Roman" w:hAnsi="Times New Roman"/>
          <w:sz w:val="24"/>
          <w:szCs w:val="24"/>
          <w:vertAlign w:val="subscript"/>
        </w:rPr>
        <w:t>2</w:t>
      </w:r>
      <w:r w:rsidRPr="00692F99">
        <w:rPr>
          <w:rFonts w:ascii="Times New Roman" w:hAnsi="Times New Roman"/>
          <w:sz w:val="24"/>
          <w:szCs w:val="24"/>
        </w:rPr>
        <w:t xml:space="preserve">O — в </w:t>
      </w:r>
      <w:r w:rsidR="003B578B">
        <w:rPr>
          <w:rFonts w:ascii="Times New Roman" w:hAnsi="Times New Roman"/>
          <w:sz w:val="24"/>
          <w:szCs w:val="24"/>
        </w:rPr>
        <w:t>21</w:t>
      </w:r>
      <w:r w:rsidR="003B578B" w:rsidRPr="00692F99">
        <w:rPr>
          <w:rFonts w:ascii="Times New Roman" w:hAnsi="Times New Roman"/>
          <w:sz w:val="24"/>
          <w:szCs w:val="24"/>
        </w:rPr>
        <w:t xml:space="preserve"> </w:t>
      </w:r>
      <w:r w:rsidRPr="00692F99">
        <w:rPr>
          <w:rFonts w:ascii="Times New Roman" w:hAnsi="Times New Roman"/>
          <w:sz w:val="24"/>
          <w:szCs w:val="24"/>
        </w:rPr>
        <w:t>държави (всички без Дания, Естония, Ирландия, Исландия, Кипър, Латвия, Лихтенщайн, Люксембург, Малта и Словения). Другите сектори с емисии на N</w:t>
      </w:r>
      <w:r w:rsidRPr="00692F99">
        <w:rPr>
          <w:rFonts w:ascii="Times New Roman" w:hAnsi="Times New Roman"/>
          <w:sz w:val="24"/>
          <w:szCs w:val="24"/>
          <w:vertAlign w:val="subscript"/>
        </w:rPr>
        <w:t>2</w:t>
      </w:r>
      <w:r w:rsidRPr="00692F99">
        <w:rPr>
          <w:rFonts w:ascii="Times New Roman" w:hAnsi="Times New Roman"/>
          <w:sz w:val="24"/>
          <w:szCs w:val="24"/>
        </w:rPr>
        <w:t>O — производство на адипинова киселина и производство на глиоксал и глиоксилова киселина — са докладвани съответно в три (Германия, Италия, Франция) и две (Германия, Франция) държави. Само Австрия и Норвегия са докладвали дейности за улавяне и съхранение на CO</w:t>
      </w:r>
      <w:r w:rsidRPr="00692F99">
        <w:rPr>
          <w:rFonts w:ascii="Times New Roman" w:hAnsi="Times New Roman"/>
          <w:sz w:val="24"/>
          <w:szCs w:val="24"/>
          <w:vertAlign w:val="subscript"/>
        </w:rPr>
        <w:t>2</w:t>
      </w:r>
      <w:r w:rsidRPr="00692F99">
        <w:rPr>
          <w:rFonts w:ascii="Times New Roman" w:hAnsi="Times New Roman"/>
          <w:sz w:val="24"/>
          <w:szCs w:val="24"/>
        </w:rPr>
        <w:t>.</w:t>
      </w:r>
    </w:p>
    <w:p w14:paraId="00AFB913" w14:textId="77777777" w:rsidR="00C3264D" w:rsidRPr="00692F99" w:rsidRDefault="00743ED3">
      <w:pPr>
        <w:jc w:val="both"/>
        <w:rPr>
          <w:rFonts w:ascii="Times New Roman" w:hAnsi="Times New Roman"/>
          <w:sz w:val="24"/>
          <w:szCs w:val="24"/>
        </w:rPr>
      </w:pPr>
      <w:r w:rsidRPr="00692F99">
        <w:rPr>
          <w:rFonts w:ascii="Times New Roman" w:hAnsi="Times New Roman"/>
          <w:sz w:val="24"/>
          <w:szCs w:val="24"/>
        </w:rPr>
        <w:t>Както за предходната година, седем държави (Исландия, Испания, Италия, Обединеното кралство, Словения, Франция и Хърватия) са използвали възможността да изключат от СТЕ на ЕС предприятията с малки емисии в съответствие с член 27 от Директивата за СТЕ на ЕС. Емисиите, изключени за 2018 г., са възлизали на 2,92 милиона тона CO</w:t>
      </w:r>
      <w:r w:rsidRPr="00692F99">
        <w:rPr>
          <w:rFonts w:ascii="Times New Roman" w:hAnsi="Times New Roman"/>
          <w:sz w:val="24"/>
          <w:szCs w:val="24"/>
          <w:vertAlign w:val="subscript"/>
        </w:rPr>
        <w:t>2</w:t>
      </w:r>
      <w:r w:rsidRPr="00692F99">
        <w:rPr>
          <w:rFonts w:ascii="Times New Roman" w:hAnsi="Times New Roman"/>
          <w:sz w:val="24"/>
          <w:szCs w:val="24"/>
        </w:rPr>
        <w:t xml:space="preserve"> (около 0,17 % от общите верифицирани емисии, в сравнение с 0,16 % за предходната година).</w:t>
      </w:r>
    </w:p>
    <w:p w14:paraId="705BB4A3" w14:textId="77777777" w:rsidR="00C3264D" w:rsidRPr="00692F99" w:rsidRDefault="00743ED3">
      <w:pPr>
        <w:jc w:val="both"/>
        <w:rPr>
          <w:rFonts w:ascii="Times New Roman" w:hAnsi="Times New Roman"/>
          <w:sz w:val="24"/>
          <w:szCs w:val="24"/>
        </w:rPr>
      </w:pPr>
      <w:r w:rsidRPr="00692F99">
        <w:rPr>
          <w:rFonts w:ascii="Times New Roman" w:hAnsi="Times New Roman"/>
          <w:sz w:val="24"/>
          <w:szCs w:val="24"/>
        </w:rPr>
        <w:t>Съгласно докладите по член 21, подадени през 2019 г., досега осем държави (Белгия, Дания, Литва, Лихтенщайн, Нидерландия, Унгария, Франция и Хърватия) са се възползвали от разпоредбата, предвидена в член 13 от Регламента относно мониторинга и докладването (РМД)</w:t>
      </w:r>
      <w:r w:rsidRPr="00692F99">
        <w:rPr>
          <w:rStyle w:val="FootnoteReference"/>
          <w:rFonts w:ascii="Times New Roman" w:hAnsi="Times New Roman"/>
          <w:sz w:val="24"/>
          <w:szCs w:val="24"/>
        </w:rPr>
        <w:footnoteReference w:id="9"/>
      </w:r>
      <w:r w:rsidRPr="00692F99">
        <w:rPr>
          <w:rFonts w:ascii="Times New Roman" w:hAnsi="Times New Roman"/>
          <w:sz w:val="24"/>
          <w:szCs w:val="24"/>
        </w:rPr>
        <w:t>, за да разрешат използването на опростени планове за мониторинг в случаите с нисък риск за стационарни инсталации. В случая с оператори на въздухоплавателни средства с малки емисии три държави са докладвали за използване на тази разпоредба през 2018 г. (Белгия, Исландия и Полша).</w:t>
      </w:r>
    </w:p>
    <w:p w14:paraId="092DCDE6" w14:textId="77777777" w:rsidR="00C3264D" w:rsidRPr="00692F99" w:rsidRDefault="00743ED3">
      <w:pPr>
        <w:jc w:val="both"/>
        <w:rPr>
          <w:sz w:val="24"/>
          <w:szCs w:val="24"/>
        </w:rPr>
      </w:pPr>
      <w:r w:rsidRPr="00692F99">
        <w:rPr>
          <w:rFonts w:ascii="Times New Roman" w:hAnsi="Times New Roman"/>
          <w:sz w:val="24"/>
          <w:szCs w:val="24"/>
        </w:rPr>
        <w:t>През 2018 г. за 655 оператори на въздухоплавателни средства е докладвано, че имат план за мониторинг (в сравнение с 541 през 2017 г. и 503 през 2016 г.). 50 % (328) от докладваните оператори са търговски, докато останалите 50 % (327) са нетърговски</w:t>
      </w:r>
      <w:r w:rsidRPr="00692F99">
        <w:rPr>
          <w:rStyle w:val="FootnoteReference"/>
          <w:rFonts w:ascii="Times New Roman" w:hAnsi="Times New Roman"/>
          <w:sz w:val="24"/>
          <w:szCs w:val="24"/>
        </w:rPr>
        <w:footnoteReference w:id="10"/>
      </w:r>
      <w:r w:rsidRPr="00692F99">
        <w:rPr>
          <w:sz w:val="24"/>
          <w:szCs w:val="24"/>
        </w:rPr>
        <w:t>.</w:t>
      </w:r>
      <w:r w:rsidRPr="00692F99">
        <w:rPr>
          <w:rFonts w:ascii="Times New Roman" w:hAnsi="Times New Roman"/>
          <w:sz w:val="24"/>
          <w:szCs w:val="24"/>
        </w:rPr>
        <w:t xml:space="preserve"> Общо 287 (почти 44 %) са квалифицирани като предприятия с малки емисии (в сравнение с 280 (52 %) през 2017 г. и 249 (50 %) през 2016 г.). </w:t>
      </w:r>
    </w:p>
    <w:p w14:paraId="3D40B929" w14:textId="77777777" w:rsidR="00C3264D" w:rsidRDefault="00A52F4C">
      <w:pPr>
        <w:pStyle w:val="Heading1"/>
        <w:spacing w:before="0" w:after="200"/>
      </w:pPr>
      <w:bookmarkStart w:id="6" w:name="_Toc28015577"/>
      <w:r>
        <w:t>2.2 Регистър на ЕС и Дневник на ЕС за трансакциите (EUTL)</w:t>
      </w:r>
      <w:bookmarkEnd w:id="6"/>
    </w:p>
    <w:p w14:paraId="770C341B" w14:textId="77777777" w:rsidR="00C3264D" w:rsidRDefault="003A348D">
      <w:pPr>
        <w:jc w:val="both"/>
        <w:rPr>
          <w:rFonts w:ascii="Times New Roman" w:hAnsi="Times New Roman"/>
          <w:sz w:val="24"/>
          <w:szCs w:val="24"/>
        </w:rPr>
      </w:pPr>
      <w:r>
        <w:rPr>
          <w:rFonts w:ascii="Times New Roman" w:hAnsi="Times New Roman"/>
          <w:noProof/>
          <w:lang w:val="en-GB" w:eastAsia="en-GB"/>
        </w:rPr>
        <mc:AlternateContent>
          <mc:Choice Requires="wps">
            <w:drawing>
              <wp:inline distT="0" distB="0" distL="0" distR="0" wp14:anchorId="6183F335" wp14:editId="1A932A51">
                <wp:extent cx="5727802" cy="3857625"/>
                <wp:effectExtent l="0" t="0" r="25400" b="28575"/>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802" cy="3857625"/>
                        </a:xfrm>
                        <a:prstGeom prst="rect">
                          <a:avLst/>
                        </a:prstGeom>
                        <a:solidFill>
                          <a:schemeClr val="bg1">
                            <a:lumMod val="85000"/>
                          </a:schemeClr>
                        </a:solidFill>
                        <a:ln w="12700" cmpd="sng">
                          <a:solidFill>
                            <a:srgbClr val="000000">
                              <a:alpha val="70000"/>
                            </a:srgbClr>
                          </a:solidFill>
                          <a:miter lim="800000"/>
                          <a:headEnd/>
                          <a:tailEnd/>
                        </a:ln>
                      </wps:spPr>
                      <wps:txbx>
                        <w:txbxContent>
                          <w:p w14:paraId="7E9D4E00" w14:textId="77777777" w:rsidR="00692F99" w:rsidRDefault="00692F99">
                            <w:pPr>
                              <w:jc w:val="both"/>
                              <w:rPr>
                                <w:rFonts w:ascii="Times New Roman" w:hAnsi="Times New Roman"/>
                                <w:sz w:val="24"/>
                                <w:szCs w:val="24"/>
                              </w:rPr>
                            </w:pPr>
                            <w:r>
                              <w:rPr>
                                <w:rFonts w:ascii="Times New Roman" w:hAnsi="Times New Roman"/>
                              </w:rPr>
                              <w:t xml:space="preserve">Регистърът на ЕС и Дневникът на ЕС за транзакциите (EUTL) проследяват собствеността на квотите за общи и авиационни емисии, като записват количествата по партидите и трансакциите между партидите. Работата и поддръжката им се осъществяват от Комисията, като в същото време националните администратори на регистри в участващите държави продължават да са лица за контакт за представителите на партидите (дружества или физически лица). В Регистъра на ЕС се водят партидите за стационарните инсталации и операторите на въздухоплавателни средства, а ЕUTL автоматично проверява, записва и разрешава всички трансакции между партидите, което гарантира съответствие на всички прехвърляния с правилата на СТЕ на ЕС. </w:t>
                            </w:r>
                          </w:p>
                          <w:p w14:paraId="73C641F8" w14:textId="77777777" w:rsidR="00692F99" w:rsidRDefault="00692F99">
                            <w:pPr>
                              <w:shd w:val="clear" w:color="auto" w:fill="D9D9D9" w:themeFill="background1" w:themeFillShade="D9"/>
                              <w:jc w:val="both"/>
                              <w:rPr>
                                <w:rFonts w:ascii="Times New Roman" w:hAnsi="Times New Roman"/>
                                <w:sz w:val="24"/>
                                <w:szCs w:val="24"/>
                              </w:rPr>
                            </w:pPr>
                            <w:r>
                              <w:rPr>
                                <w:rFonts w:ascii="Times New Roman" w:hAnsi="Times New Roman"/>
                              </w:rPr>
                              <w:t>Данните, записани в Регистъра на ЕС и EUTL, са важен източник на информация за различните видове докладване по СТЕ, като например изчисляването на показателя за излишък на резерва за стабилност на пазара (вж. глава 3.3) и докладването, извършвано от Европейската агенция за околната среда (ЕАОС). EUTL също така осигурява прозрачност по отношение на СТЕ на ЕС, като публикува* информация относно съответствието на стационарните инсталации и операторите на въздухоплавателни средства с разпоредбите на СТЕ.</w:t>
                            </w:r>
                          </w:p>
                          <w:p w14:paraId="17DDBD8F" w14:textId="77777777" w:rsidR="00692F99" w:rsidRDefault="00692F99">
                            <w:pPr>
                              <w:shd w:val="clear" w:color="auto" w:fill="D9D9D9" w:themeFill="background1" w:themeFillShade="D9"/>
                              <w:jc w:val="both"/>
                              <w:rPr>
                                <w:rFonts w:ascii="Times New Roman" w:hAnsi="Times New Roman"/>
                                <w:sz w:val="18"/>
                                <w:szCs w:val="18"/>
                              </w:rPr>
                            </w:pPr>
                            <w:r>
                              <w:rPr>
                                <w:rFonts w:ascii="Times New Roman" w:hAnsi="Times New Roman"/>
                                <w:sz w:val="18"/>
                                <w:szCs w:val="18"/>
                              </w:rPr>
                              <w:t>* Информацията, публикувана от EUTL, може да бъде намерена на адрес: https://ec.europa.eu/clima/ets/</w:t>
                            </w:r>
                          </w:p>
                          <w:p w14:paraId="30BDD12B" w14:textId="77777777" w:rsidR="00692F99" w:rsidRDefault="00692F99">
                            <w:pPr>
                              <w:shd w:val="clear" w:color="auto" w:fill="D9D9D9" w:themeFill="background1" w:themeFillShade="D9"/>
                              <w:jc w:val="both"/>
                              <w:rPr>
                                <w:rFonts w:ascii="Times New Roman" w:hAnsi="Times New Roman"/>
                                <w:sz w:val="24"/>
                                <w:szCs w:val="24"/>
                              </w:rPr>
                            </w:pPr>
                          </w:p>
                          <w:p w14:paraId="7D0E3DA0" w14:textId="77777777" w:rsidR="00692F99" w:rsidRDefault="00692F99"/>
                        </w:txbxContent>
                      </wps:txbx>
                      <wps:bodyPr rot="0" vert="horz" wrap="square" lIns="91440" tIns="45720" rIns="91440" bIns="45720" anchor="t" anchorCtr="0">
                        <a:noAutofit/>
                      </wps:bodyPr>
                    </wps:wsp>
                  </a:graphicData>
                </a:graphic>
              </wp:inline>
            </w:drawing>
          </mc:Choice>
          <mc:Fallback>
            <w:pict>
              <v:shape w14:anchorId="6183F335" id="_x0000_s1028" type="#_x0000_t202" style="width:451pt;height:30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" fillcolor="#d8d8d8 [2732]" strokeweight="1pt">
                <v:stroke opacity="46003f"/>
                <v:textbox>
                  <w:txbxContent>
                    <w:p w14:paraId="7E9D4E00" w14:textId="77777777" w:rsidR="00692F99" w:rsidRDefault="00692F99">
                      <w:pPr>
                        <w:jc w:val="both"/>
                        <w:rPr>
                          <w:rFonts w:ascii="Times New Roman" w:hAnsi="Times New Roman"/>
                          <w:sz w:val="24"/>
                          <w:szCs w:val="24"/>
                        </w:rPr>
                      </w:pPr>
                      <w:r>
                        <w:rPr>
                          <w:rFonts w:ascii="Times New Roman" w:hAnsi="Times New Roman"/>
                        </w:rPr>
                        <w:t xml:space="preserve">Регистърът на ЕС и Дневникът на ЕС за транзакциите (EUTL) проследяват собствеността на квотите за общи и авиационни емисии, като записват количествата по партидите и трансакциите между партидите. Работата и поддръжката им се осъществяват от Комисията, като в същото време националните администратори на регистри в участващите държави продължават да са лица за контакт за представителите на партидите (дружества или физически лица). В Регистъра на ЕС се водят партидите за стационарните инсталации и операторите на въздухоплавателни средства, а ЕUTL автоматично проверява, записва и разрешава всички трансакции между партидите, което гарантира съответствие на всички прехвърляния с правилата на СТЕ на ЕС. </w:t>
                      </w:r>
                    </w:p>
                    <w:p w14:paraId="73C641F8" w14:textId="77777777" w:rsidR="00692F99" w:rsidRDefault="00692F99">
                      <w:pPr>
                        <w:shd w:val="clear" w:color="auto" w:fill="D9D9D9" w:themeFill="background1" w:themeFillShade="D9"/>
                        <w:jc w:val="both"/>
                        <w:rPr>
                          <w:rFonts w:ascii="Times New Roman" w:hAnsi="Times New Roman"/>
                          <w:sz w:val="24"/>
                          <w:szCs w:val="24"/>
                        </w:rPr>
                      </w:pPr>
                      <w:r>
                        <w:rPr>
                          <w:rFonts w:ascii="Times New Roman" w:hAnsi="Times New Roman"/>
                        </w:rPr>
                        <w:t>Данните, записани в Регистъра на ЕС и EUTL, са важен източник на информация за различните видове докладване по СТЕ, като например изчисляването на показателя за излишък на резерва за стабилност на пазара (вж. глава 3.3) и докладването, извършвано от Европейската агенция за околната среда (ЕАОС). EUTL също така осигурява прозрачност по отношение на СТЕ на ЕС, като публикува* информация относно съответствието на стационарните инсталации и операторите на въздухоплавателни средства с разпоредбите на СТЕ.</w:t>
                      </w:r>
                    </w:p>
                    <w:p w14:paraId="17DDBD8F" w14:textId="77777777" w:rsidR="00692F99" w:rsidRDefault="00692F99">
                      <w:pPr>
                        <w:shd w:val="clear" w:color="auto" w:fill="D9D9D9" w:themeFill="background1" w:themeFillShade="D9"/>
                        <w:jc w:val="both"/>
                        <w:rPr>
                          <w:rFonts w:ascii="Times New Roman" w:hAnsi="Times New Roman"/>
                          <w:sz w:val="18"/>
                          <w:szCs w:val="18"/>
                        </w:rPr>
                      </w:pPr>
                      <w:r>
                        <w:rPr>
                          <w:rFonts w:ascii="Times New Roman" w:hAnsi="Times New Roman"/>
                          <w:sz w:val="18"/>
                          <w:szCs w:val="18"/>
                        </w:rPr>
                        <w:t>* Информацията, публикувана от EUTL, може да бъде намерена на адрес: https://ec.europa.eu/clima/ets/</w:t>
                      </w:r>
                    </w:p>
                    <w:p w14:paraId="30BDD12B" w14:textId="77777777" w:rsidR="00692F99" w:rsidRDefault="00692F99">
                      <w:pPr>
                        <w:shd w:val="clear" w:color="auto" w:fill="D9D9D9" w:themeFill="background1" w:themeFillShade="D9"/>
                        <w:jc w:val="both"/>
                        <w:rPr>
                          <w:rFonts w:ascii="Times New Roman" w:hAnsi="Times New Roman"/>
                          <w:sz w:val="24"/>
                          <w:szCs w:val="24"/>
                        </w:rPr>
                      </w:pPr>
                    </w:p>
                    <w:p w14:paraId="7D0E3DA0" w14:textId="77777777" w:rsidR="00692F99" w:rsidRDefault="00692F99"/>
                  </w:txbxContent>
                </v:textbox>
                <w10:anchorlock/>
              </v:shape>
            </w:pict>
          </mc:Fallback>
        </mc:AlternateContent>
      </w:r>
    </w:p>
    <w:p w14:paraId="2A37E453" w14:textId="77777777" w:rsidR="00C3264D" w:rsidRPr="00692F99" w:rsidRDefault="003A348D">
      <w:pPr>
        <w:jc w:val="both"/>
        <w:rPr>
          <w:rFonts w:ascii="Times New Roman" w:hAnsi="Times New Roman"/>
          <w:sz w:val="24"/>
          <w:szCs w:val="24"/>
        </w:rPr>
      </w:pPr>
      <w:r w:rsidRPr="00692F99">
        <w:rPr>
          <w:rFonts w:ascii="Times New Roman" w:hAnsi="Times New Roman"/>
          <w:sz w:val="24"/>
          <w:szCs w:val="24"/>
        </w:rPr>
        <w:t>През 2018 г. Регистърът на ЕС и EUTL са били напълно действащи денонощно, седем дни в седмицата, в продължение на 365 дни, като е имало само незначителни прекъсвания поради извършването на технически актуализации, възлизащи на общо около 26 часа.</w:t>
      </w:r>
    </w:p>
    <w:p w14:paraId="3D3F0903" w14:textId="77777777" w:rsidR="00C3264D" w:rsidRPr="00692F99" w:rsidRDefault="006530AB">
      <w:pPr>
        <w:jc w:val="both"/>
        <w:rPr>
          <w:rFonts w:ascii="Times New Roman" w:hAnsi="Times New Roman"/>
          <w:sz w:val="24"/>
          <w:szCs w:val="24"/>
        </w:rPr>
      </w:pPr>
      <w:r w:rsidRPr="00692F99">
        <w:rPr>
          <w:rFonts w:ascii="Times New Roman" w:hAnsi="Times New Roman"/>
          <w:sz w:val="24"/>
          <w:szCs w:val="24"/>
        </w:rPr>
        <w:t>От 1 януари 2019 г. Комисията преустанови</w:t>
      </w:r>
      <w:r w:rsidRPr="00692F99">
        <w:rPr>
          <w:rFonts w:ascii="Times New Roman" w:hAnsi="Times New Roman"/>
          <w:sz w:val="24"/>
          <w:szCs w:val="24"/>
          <w:vertAlign w:val="superscript"/>
        </w:rPr>
        <w:footnoteReference w:id="11"/>
      </w:r>
      <w:r w:rsidRPr="00692F99">
        <w:rPr>
          <w:rFonts w:ascii="Times New Roman" w:hAnsi="Times New Roman"/>
          <w:sz w:val="24"/>
          <w:szCs w:val="24"/>
          <w:vertAlign w:val="superscript"/>
        </w:rPr>
        <w:t xml:space="preserve"> </w:t>
      </w:r>
      <w:r w:rsidRPr="00692F99">
        <w:rPr>
          <w:rFonts w:ascii="Times New Roman" w:hAnsi="Times New Roman"/>
          <w:sz w:val="24"/>
          <w:szCs w:val="24"/>
        </w:rPr>
        <w:t>по отношение на Обединеното кралство всички обработвания, свързани с безплатното разпределяне, тръжната продажба и обмена на международни кредити, в съответствие със защитните мерки</w:t>
      </w:r>
      <w:r w:rsidRPr="00692F99">
        <w:rPr>
          <w:rFonts w:ascii="Times New Roman" w:hAnsi="Times New Roman"/>
          <w:sz w:val="24"/>
          <w:szCs w:val="24"/>
          <w:vertAlign w:val="superscript"/>
        </w:rPr>
        <w:footnoteReference w:id="12"/>
      </w:r>
      <w:r w:rsidRPr="00692F99">
        <w:rPr>
          <w:rFonts w:ascii="Times New Roman" w:hAnsi="Times New Roman"/>
          <w:sz w:val="24"/>
          <w:szCs w:val="24"/>
        </w:rPr>
        <w:t xml:space="preserve"> за запазване на целостта на СТЕ на ЕС в областта на околната среда в случаите, когато правото на ЕС престава да се прилага за държава членка, която се отделя от ЕС. </w:t>
      </w:r>
    </w:p>
    <w:p w14:paraId="36498F28" w14:textId="77777777" w:rsidR="00C3264D" w:rsidRPr="00692F99" w:rsidRDefault="006530AB">
      <w:pPr>
        <w:jc w:val="both"/>
        <w:rPr>
          <w:rFonts w:ascii="Times New Roman" w:hAnsi="Times New Roman"/>
          <w:sz w:val="24"/>
          <w:szCs w:val="24"/>
        </w:rPr>
      </w:pPr>
      <w:r w:rsidRPr="00692F99">
        <w:rPr>
          <w:rFonts w:ascii="Times New Roman" w:hAnsi="Times New Roman"/>
          <w:sz w:val="24"/>
          <w:szCs w:val="24"/>
        </w:rPr>
        <w:t>През март 2019 г. беше приет Делегиран регламент (ЕС) 2019/1122 на Комисията</w:t>
      </w:r>
      <w:r w:rsidRPr="00692F99">
        <w:rPr>
          <w:rStyle w:val="FootnoteReference"/>
          <w:rFonts w:ascii="Times New Roman" w:hAnsi="Times New Roman"/>
          <w:sz w:val="24"/>
          <w:szCs w:val="24"/>
        </w:rPr>
        <w:footnoteReference w:id="13"/>
      </w:r>
      <w:r w:rsidRPr="00692F99">
        <w:rPr>
          <w:rFonts w:ascii="Times New Roman" w:hAnsi="Times New Roman"/>
          <w:sz w:val="24"/>
          <w:szCs w:val="24"/>
        </w:rPr>
        <w:t>,</w:t>
      </w:r>
      <w:r w:rsidRPr="00692F99">
        <w:rPr>
          <w:sz w:val="24"/>
          <w:szCs w:val="24"/>
        </w:rPr>
        <w:t xml:space="preserve"> </w:t>
      </w:r>
      <w:r w:rsidRPr="00692F99">
        <w:rPr>
          <w:rFonts w:ascii="Times New Roman" w:hAnsi="Times New Roman"/>
          <w:sz w:val="24"/>
          <w:szCs w:val="24"/>
        </w:rPr>
        <w:t>в който бяха определени правилата за функционирането на Регистъра на ЕС през следващия период на търгуване на СТЕ на ЕС (2021—2030 г.). Регламентът дава възможност на Регистъра на ЕС да отговори на изискванията за фаза 4, определени с преразгледаната Директива за СТЕ на ЕС, например чрез коригиране на функционалните възможности по такъв начин, че квотите да бъдат с безсрочна валидност и да могат да се използват само за обхващане на емисиите, считано от първата година на десетгодишния период, през който са издадени, и за да се гарантира, че считано от 2021 г. за обхващането на емисии не могат да се използват международни кредити. Освен това с новия регламент се адаптират правилата относно Регистъра на Съюза, за да бъдат приведени в съответствие с изискванията на законодателството в областта на финансовите пазари, като се класифицират като „финансови инструменти“ по смисъла на Директива 2014/65/ЕС</w:t>
      </w:r>
      <w:r w:rsidRPr="00692F99">
        <w:rPr>
          <w:rStyle w:val="FootnoteReference"/>
          <w:rFonts w:ascii="Times New Roman" w:hAnsi="Times New Roman"/>
          <w:sz w:val="24"/>
          <w:szCs w:val="24"/>
        </w:rPr>
        <w:footnoteReference w:id="14"/>
      </w:r>
      <w:r w:rsidRPr="00692F99">
        <w:rPr>
          <w:rFonts w:ascii="Times New Roman" w:hAnsi="Times New Roman"/>
          <w:sz w:val="24"/>
          <w:szCs w:val="24"/>
        </w:rPr>
        <w:t xml:space="preserve"> от 3 януари 2018 г., както и в съответствие с изискванията на преразгледаните правила за защита на данните. </w:t>
      </w:r>
    </w:p>
    <w:p w14:paraId="3F05CDEB" w14:textId="77777777" w:rsidR="00C3264D" w:rsidRPr="00692F99" w:rsidRDefault="00A52F4C">
      <w:pPr>
        <w:pStyle w:val="Heading1"/>
        <w:spacing w:before="0" w:after="200"/>
        <w:rPr>
          <w:szCs w:val="24"/>
        </w:rPr>
      </w:pPr>
      <w:bookmarkStart w:id="7" w:name="_Toc28015578"/>
      <w:r w:rsidRPr="00692F99">
        <w:rPr>
          <w:szCs w:val="24"/>
        </w:rPr>
        <w:t>3. ФУНКЦИОНИРАНЕ НА ПАЗАРА НА ВЪГЛЕРОДНИ ЕМИСИИ ПРЕЗ 2018 Г.</w:t>
      </w:r>
      <w:bookmarkEnd w:id="7"/>
      <w:r w:rsidRPr="00692F99">
        <w:rPr>
          <w:szCs w:val="24"/>
        </w:rPr>
        <w:t xml:space="preserve"> </w:t>
      </w:r>
    </w:p>
    <w:p w14:paraId="5CB988C9" w14:textId="77777777" w:rsidR="00C3264D" w:rsidRPr="00692F99" w:rsidRDefault="003A348D">
      <w:pPr>
        <w:jc w:val="both"/>
        <w:rPr>
          <w:rFonts w:ascii="Times New Roman" w:hAnsi="Times New Roman"/>
          <w:sz w:val="24"/>
          <w:szCs w:val="24"/>
        </w:rPr>
      </w:pPr>
      <w:r w:rsidRPr="00692F99">
        <w:rPr>
          <w:rFonts w:ascii="Times New Roman" w:hAnsi="Times New Roman"/>
          <w:sz w:val="24"/>
          <w:szCs w:val="24"/>
        </w:rPr>
        <w:t>В настоящата глава се предоставя информация за аспекти, свързани с предлагането и търсенето на квоти в СТЕ на ЕС. В раздела за предлагането е включена информация по въпросите за лимита, безплатното разпределяне на квоти, програмата NER 300 (включително подготовката за предстоящия Фонд за иновации), тръжната продажба на квоти, дерогацията от задължението за тръжна продажба на всички квоти за сектора за производство на електрическа и топлинна енергия (член 10в), използването на международни кредити, и се съдържа глава относно схемите за компенсиране на непреките разходи за ограничаване на въглеродните емисии.</w:t>
      </w:r>
    </w:p>
    <w:p w14:paraId="54C16DBF" w14:textId="77777777" w:rsidR="00C3264D" w:rsidRPr="00692F99" w:rsidRDefault="003A348D">
      <w:pPr>
        <w:jc w:val="both"/>
        <w:rPr>
          <w:rFonts w:ascii="Times New Roman" w:hAnsi="Times New Roman"/>
          <w:sz w:val="24"/>
          <w:szCs w:val="24"/>
        </w:rPr>
      </w:pPr>
      <w:r w:rsidRPr="00692F99">
        <w:rPr>
          <w:rFonts w:ascii="Times New Roman" w:hAnsi="Times New Roman"/>
          <w:sz w:val="24"/>
          <w:szCs w:val="24"/>
        </w:rPr>
        <w:t>В раздела за търсенето е предоставена информация за броя на проверените емисии и за балансирането на предлагането и търсенето на квоти на пазара на въглеродни емисии посредством резерва за стабилност на пазара (МSR).</w:t>
      </w:r>
    </w:p>
    <w:p w14:paraId="1B9C135A" w14:textId="77777777" w:rsidR="00C3264D" w:rsidRDefault="00A52F4C">
      <w:pPr>
        <w:pStyle w:val="Heading2"/>
        <w:spacing w:before="0" w:after="200"/>
        <w:rPr>
          <w:i w:val="0"/>
        </w:rPr>
      </w:pPr>
      <w:bookmarkStart w:id="8" w:name="_Toc28015579"/>
      <w:r>
        <w:rPr>
          <w:i w:val="0"/>
        </w:rPr>
        <w:t>3.1. Предлагане: квоти, пуснати в обръщение</w:t>
      </w:r>
      <w:bookmarkEnd w:id="8"/>
      <w:r>
        <w:rPr>
          <w:i w:val="0"/>
        </w:rPr>
        <w:t xml:space="preserve"> </w:t>
      </w:r>
    </w:p>
    <w:p w14:paraId="4D9F2ACD" w14:textId="77777777" w:rsidR="00C3264D" w:rsidRDefault="00A52F4C">
      <w:pPr>
        <w:pStyle w:val="Heading3"/>
        <w:spacing w:before="0" w:after="200"/>
        <w:ind w:left="720"/>
      </w:pPr>
      <w:bookmarkStart w:id="9" w:name="_Toc28015580"/>
      <w:r>
        <w:t>3.1.1. Лимит</w:t>
      </w:r>
      <w:bookmarkEnd w:id="9"/>
    </w:p>
    <w:p w14:paraId="6E39E2C5" w14:textId="77777777" w:rsidR="00C3264D" w:rsidRDefault="003A348D">
      <w:pPr>
        <w:jc w:val="both"/>
        <w:rPr>
          <w:rFonts w:ascii="Times New Roman" w:hAnsi="Times New Roman"/>
          <w:sz w:val="24"/>
          <w:szCs w:val="24"/>
        </w:rPr>
      </w:pPr>
      <w:r>
        <w:rPr>
          <w:noProof/>
          <w:lang w:val="en-GB" w:eastAsia="en-GB"/>
        </w:rPr>
        <mc:AlternateContent>
          <mc:Choice Requires="wps">
            <w:drawing>
              <wp:inline distT="0" distB="0" distL="0" distR="0" wp14:anchorId="519E1EEC" wp14:editId="4A0AA547">
                <wp:extent cx="5771693" cy="6067425"/>
                <wp:effectExtent l="0" t="0" r="19685" b="28575"/>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1693" cy="6067425"/>
                        </a:xfrm>
                        <a:prstGeom prst="rect">
                          <a:avLst/>
                        </a:prstGeom>
                        <a:solidFill>
                          <a:schemeClr val="bg1">
                            <a:lumMod val="85000"/>
                          </a:schemeClr>
                        </a:solidFill>
                        <a:ln w="12700">
                          <a:solidFill>
                            <a:srgbClr val="000000"/>
                          </a:solidFill>
                          <a:miter lim="800000"/>
                          <a:headEnd/>
                          <a:tailEnd/>
                        </a:ln>
                      </wps:spPr>
                      <wps:txbx>
                        <w:txbxContent>
                          <w:p w14:paraId="2CB28A0E" w14:textId="1BD0D46A" w:rsidR="00692F99" w:rsidRPr="00692F99" w:rsidRDefault="00692F99">
                            <w:pPr>
                              <w:jc w:val="both"/>
                              <w:rPr>
                                <w:rFonts w:ascii="Times New Roman" w:hAnsi="Times New Roman"/>
                                <w:sz w:val="24"/>
                                <w:szCs w:val="24"/>
                              </w:rPr>
                            </w:pPr>
                            <w:r w:rsidRPr="00692F99">
                              <w:rPr>
                                <w:rFonts w:ascii="Times New Roman" w:hAnsi="Times New Roman"/>
                                <w:sz w:val="24"/>
                                <w:szCs w:val="24"/>
                              </w:rPr>
                              <w:t>Лимитът е абсолютното количество парникови газове, което може да бъде отделено от обхванатите субекти, така че да се осигури изпълнение на целта за намаляване на емисиите; той съответства на броя на квотите, пускани в обращение през даден период на търгуване. Във фаза 3 се прилага общ лимит за ЕС, който заменя предишната система на национални лимити.</w:t>
                            </w:r>
                          </w:p>
                          <w:p w14:paraId="586703C4" w14:textId="77777777" w:rsidR="00692F99" w:rsidRPr="00692F99" w:rsidRDefault="00692F99">
                            <w:pPr>
                              <w:jc w:val="both"/>
                              <w:rPr>
                                <w:rFonts w:ascii="Times New Roman" w:hAnsi="Times New Roman"/>
                                <w:sz w:val="24"/>
                                <w:szCs w:val="24"/>
                              </w:rPr>
                            </w:pPr>
                            <w:r w:rsidRPr="00692F99">
                              <w:rPr>
                                <w:rFonts w:ascii="Times New Roman" w:hAnsi="Times New Roman"/>
                                <w:sz w:val="24"/>
                                <w:szCs w:val="24"/>
                              </w:rPr>
                              <w:t>Лимитът от 2013 г. за емисиите от стационарни инсталации бе определен на 2 084 301 856 квоти. Този лимит намалява всяка година с линеен коефициент на намаление, равен на 1,74 % от средното общо количество годишно издадени квоти през периода 2008—2012 г., което гарантира, че броят на квотите, които могат да бъдат използвани от стационарните инсталации, ще бъде с 21 % по-малък през 2020 г., отколкото през 2005 г.</w:t>
                            </w:r>
                          </w:p>
                          <w:p w14:paraId="03085764" w14:textId="7279C260" w:rsidR="00692F99" w:rsidRDefault="00692F99">
                            <w:pPr>
                              <w:jc w:val="both"/>
                              <w:rPr>
                                <w:rFonts w:ascii="Times New Roman" w:hAnsi="Times New Roman"/>
                                <w:sz w:val="24"/>
                                <w:szCs w:val="24"/>
                              </w:rPr>
                            </w:pPr>
                            <w:r w:rsidRPr="00692F99">
                              <w:rPr>
                                <w:rFonts w:ascii="Times New Roman" w:hAnsi="Times New Roman"/>
                                <w:sz w:val="24"/>
                                <w:szCs w:val="24"/>
                              </w:rPr>
                              <w:t>Лимитът за сектора на въздухоплаването бе определен първоначално на 210 349 264 годишни квоти за авиационни емисии, което е с 5 % по-малко от средния годишен брой на авиационните емисии през периода 2004—2006 г. Той бе повишен със 116 524 квоти за авиационни емисии на 1 януари 2014 г., за да се даде възможност на Хърватия да се присъедини към СТЕ на ЕС. Този лимит трябваше да отрази законодателството от 2008 г.*, в което се определя, че всички полети от, до и в рамките на ЕИП следва да бъдат включени в СТЕ на ЕС. Обхватът на СТЕ на ЕС бе обаче временно ограничен до полети в рамките на ЕИП през периода 2013—2016 г. в подкрепа на разработването на глобална мярка от ИКАО, която да стабилизира емисиите от международното въздухоплаване на равнищата от 2020 г. Поради това броят на авиационните квоти, пуснати в обръщение през периода 2013—2014 г., беше значително по-нисък от първоначалния лимит. За да се подкрепи разработването на глобалната мярка от ИКАО, през 2017 г. ограничението за полети в рамките на ЕИП беше удължено до 2023 г. (вж. глава 4).</w:t>
                            </w:r>
                          </w:p>
                          <w:p w14:paraId="720D3AFE" w14:textId="77777777" w:rsidR="00692F99" w:rsidRDefault="00692F99">
                            <w:pPr>
                              <w:jc w:val="both"/>
                              <w:rPr>
                                <w:rFonts w:ascii="Times New Roman" w:hAnsi="Times New Roman"/>
                                <w:sz w:val="18"/>
                                <w:szCs w:val="18"/>
                              </w:rPr>
                            </w:pPr>
                            <w:r>
                              <w:rPr>
                                <w:rFonts w:ascii="Times New Roman" w:hAnsi="Times New Roman"/>
                                <w:sz w:val="18"/>
                                <w:szCs w:val="18"/>
                              </w:rPr>
                              <w:t>*</w:t>
                            </w:r>
                            <w:r>
                              <w:rPr>
                                <w:sz w:val="18"/>
                                <w:szCs w:val="18"/>
                              </w:rPr>
                              <w:t xml:space="preserve"> </w:t>
                            </w:r>
                            <w:r>
                              <w:rPr>
                                <w:rFonts w:ascii="Times New Roman" w:hAnsi="Times New Roman"/>
                                <w:sz w:val="18"/>
                                <w:szCs w:val="18"/>
                              </w:rPr>
                              <w:t>Директива 2008/101/ЕО на Европейския парламент и на Съвета от 19 ноември 2008 г. за изменение на Директива 2003/87/ЕО с цел включване на авиационните дейности в схемата за търговия с квоти за емисии на парникови газове в рамките на Общността.</w:t>
                            </w:r>
                          </w:p>
                          <w:p w14:paraId="009D0DCD" w14:textId="77777777" w:rsidR="00692F99" w:rsidRDefault="00692F99">
                            <w:pPr>
                              <w:jc w:val="both"/>
                              <w:rPr>
                                <w:rFonts w:ascii="Times New Roman" w:hAnsi="Times New Roman"/>
                                <w:sz w:val="24"/>
                                <w:szCs w:val="24"/>
                              </w:rPr>
                            </w:pPr>
                          </w:p>
                          <w:p w14:paraId="24272EB1" w14:textId="77777777" w:rsidR="00692F99" w:rsidRDefault="00692F99">
                            <w:pPr>
                              <w:jc w:val="both"/>
                              <w:rPr>
                                <w:rFonts w:ascii="Times New Roman" w:hAnsi="Times New Roman"/>
                                <w:sz w:val="24"/>
                                <w:szCs w:val="24"/>
                              </w:rPr>
                            </w:pPr>
                          </w:p>
                          <w:p w14:paraId="0E36FF24" w14:textId="77777777" w:rsidR="00692F99" w:rsidRDefault="00692F99">
                            <w:pPr>
                              <w:jc w:val="both"/>
                              <w:rPr>
                                <w:rFonts w:ascii="Times New Roman" w:hAnsi="Times New Roman"/>
                                <w:sz w:val="24"/>
                                <w:szCs w:val="24"/>
                              </w:rPr>
                            </w:pPr>
                          </w:p>
                          <w:p w14:paraId="6EE6C7F4" w14:textId="77777777" w:rsidR="00692F99" w:rsidRDefault="00692F99">
                            <w:pPr>
                              <w:jc w:val="both"/>
                            </w:pPr>
                          </w:p>
                          <w:p w14:paraId="2691C2DB" w14:textId="77777777" w:rsidR="00692F99" w:rsidRDefault="00692F99">
                            <w:pPr>
                              <w:jc w:val="both"/>
                              <w:rPr>
                                <w:rFonts w:ascii="Times New Roman" w:hAnsi="Times New Roman"/>
                                <w:sz w:val="24"/>
                                <w:szCs w:val="24"/>
                              </w:rPr>
                            </w:pPr>
                          </w:p>
                          <w:p w14:paraId="40ED1A4F" w14:textId="77777777" w:rsidR="00692F99" w:rsidRDefault="00692F99"/>
                        </w:txbxContent>
                      </wps:txbx>
                      <wps:bodyPr rot="0" vert="horz" wrap="square" lIns="91440" tIns="45720" rIns="91440" bIns="45720" anchor="t" anchorCtr="0">
                        <a:noAutofit/>
                      </wps:bodyPr>
                    </wps:wsp>
                  </a:graphicData>
                </a:graphic>
              </wp:inline>
            </w:drawing>
          </mc:Choice>
          <mc:Fallback>
            <w:pict>
              <v:shape w14:anchorId="519E1EEC" id="_x0000_s1029" type="#_x0000_t202" style="width:454.45pt;height:47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" fillcolor="#d8d8d8 [2732]" strokeweight="1pt">
                <v:textbox>
                  <w:txbxContent>
                    <w:p w14:paraId="2CB28A0E" w14:textId="1BD0D46A" w:rsidR="00692F99" w:rsidRPr="00692F99" w:rsidRDefault="00692F99">
                      <w:pPr>
                        <w:jc w:val="both"/>
                        <w:rPr>
                          <w:rFonts w:ascii="Times New Roman" w:hAnsi="Times New Roman"/>
                          <w:sz w:val="24"/>
                          <w:szCs w:val="24"/>
                        </w:rPr>
                      </w:pPr>
                      <w:r w:rsidRPr="00692F99">
                        <w:rPr>
                          <w:rFonts w:ascii="Times New Roman" w:hAnsi="Times New Roman"/>
                          <w:sz w:val="24"/>
                          <w:szCs w:val="24"/>
                        </w:rPr>
                        <w:t>Лимитът е абсолютното количество парникови газове, което може да бъде отделено от обхванатите субекти, така че да се осигури изпълнение на целта за намаляване на емисиите; той съответства на броя на квотите, пускани в обращение през даден период на търгуване. Във фаза 3 се прилага общ лимит за ЕС, който заменя предишната система на национални лимити.</w:t>
                      </w:r>
                    </w:p>
                    <w:p w14:paraId="586703C4" w14:textId="77777777" w:rsidR="00692F99" w:rsidRPr="00692F99" w:rsidRDefault="00692F99">
                      <w:pPr>
                        <w:jc w:val="both"/>
                        <w:rPr>
                          <w:rFonts w:ascii="Times New Roman" w:hAnsi="Times New Roman"/>
                          <w:sz w:val="24"/>
                          <w:szCs w:val="24"/>
                        </w:rPr>
                      </w:pPr>
                      <w:r w:rsidRPr="00692F99">
                        <w:rPr>
                          <w:rFonts w:ascii="Times New Roman" w:hAnsi="Times New Roman"/>
                          <w:sz w:val="24"/>
                          <w:szCs w:val="24"/>
                        </w:rPr>
                        <w:t>Лимитът от 2013 г. за емисиите от стационарни инсталации бе определен на 2 084 301 856 квоти. Този лимит намалява всяка година с линеен коефициент на намаление, равен на 1,74 % от средното общо количество годишно издадени квоти през периода 2008—2012 г., което гарантира, че броят на квотите, които могат да бъдат използвани от стационарните инсталации, ще бъде с 21 % по-малък през 2020 г., отколкото през 2005 г.</w:t>
                      </w:r>
                    </w:p>
                    <w:p w14:paraId="03085764" w14:textId="7279C260" w:rsidR="00692F99" w:rsidRDefault="00692F99">
                      <w:pPr>
                        <w:jc w:val="both"/>
                        <w:rPr>
                          <w:rFonts w:ascii="Times New Roman" w:hAnsi="Times New Roman"/>
                          <w:sz w:val="24"/>
                          <w:szCs w:val="24"/>
                        </w:rPr>
                      </w:pPr>
                      <w:r w:rsidRPr="00692F99">
                        <w:rPr>
                          <w:rFonts w:ascii="Times New Roman" w:hAnsi="Times New Roman"/>
                          <w:sz w:val="24"/>
                          <w:szCs w:val="24"/>
                        </w:rPr>
                        <w:t>Лимитът за сектора на въздухоплаването бе определен първоначално на 210 349 264 годишни квоти за авиационни емисии, което е с 5 % по-малко от средния годишен брой на авиационните емисии през периода 2004—2006 г. Той бе повишен със 116 524 квоти за авиационни емисии на 1 януари 2014 г., за да се даде възможност на Хърватия да се присъедини към СТЕ на ЕС. Този лимит трябваше да отрази законодателството от 2008 г.*, в което се определя, че всички полети от, до и в рамките на ЕИП следва да бъдат включени в СТЕ на ЕС. Обхватът на СТЕ на ЕС бе обаче временно ограничен до полети в рамките на ЕИП през периода 2013—2016 г. в подкрепа на разработването на глобална мярка от ИКАО, която да стабилизира емисиите от международното въздухоплаване на равнищата от 2020 г. Поради това броят на авиационните квоти, пуснати в обръщение през периода 2013—2014 г., беше значително по-нисък от първоначалния лимит. За да се подкрепи разработването на глобалната мярка от ИКАО, през 2017 г. ограничението за полети в рамките на ЕИП беше удължено до 2023 г. (вж. глава 4).</w:t>
                      </w:r>
                    </w:p>
                    <w:p w14:paraId="720D3AFE" w14:textId="77777777" w:rsidR="00692F99" w:rsidRDefault="00692F99">
                      <w:pPr>
                        <w:jc w:val="both"/>
                        <w:rPr>
                          <w:rFonts w:ascii="Times New Roman" w:hAnsi="Times New Roman"/>
                          <w:sz w:val="18"/>
                          <w:szCs w:val="18"/>
                        </w:rPr>
                      </w:pPr>
                      <w:r>
                        <w:rPr>
                          <w:rFonts w:ascii="Times New Roman" w:hAnsi="Times New Roman"/>
                          <w:sz w:val="18"/>
                          <w:szCs w:val="18"/>
                        </w:rPr>
                        <w:t>*</w:t>
                      </w:r>
                      <w:r>
                        <w:rPr>
                          <w:sz w:val="18"/>
                          <w:szCs w:val="18"/>
                        </w:rPr>
                        <w:t xml:space="preserve"> </w:t>
                      </w:r>
                      <w:r>
                        <w:rPr>
                          <w:rFonts w:ascii="Times New Roman" w:hAnsi="Times New Roman"/>
                          <w:sz w:val="18"/>
                          <w:szCs w:val="18"/>
                        </w:rPr>
                        <w:t>Директива 2008/101/ЕО на Европейския парламент и на Съвета от 19 ноември 2008 г. за изменение на Директива 2003/87/ЕО с цел включване на авиационните дейности в схемата за търговия с квоти за емисии на парникови газове в рамките на Общността.</w:t>
                      </w:r>
                    </w:p>
                    <w:p w14:paraId="009D0DCD" w14:textId="77777777" w:rsidR="00692F99" w:rsidRDefault="00692F99">
                      <w:pPr>
                        <w:jc w:val="both"/>
                        <w:rPr>
                          <w:rFonts w:ascii="Times New Roman" w:hAnsi="Times New Roman"/>
                          <w:sz w:val="24"/>
                          <w:szCs w:val="24"/>
                        </w:rPr>
                      </w:pPr>
                    </w:p>
                    <w:p w14:paraId="24272EB1" w14:textId="77777777" w:rsidR="00692F99" w:rsidRDefault="00692F99">
                      <w:pPr>
                        <w:jc w:val="both"/>
                        <w:rPr>
                          <w:rFonts w:ascii="Times New Roman" w:hAnsi="Times New Roman"/>
                          <w:sz w:val="24"/>
                          <w:szCs w:val="24"/>
                        </w:rPr>
                      </w:pPr>
                    </w:p>
                    <w:p w14:paraId="0E36FF24" w14:textId="77777777" w:rsidR="00692F99" w:rsidRDefault="00692F99">
                      <w:pPr>
                        <w:jc w:val="both"/>
                        <w:rPr>
                          <w:rFonts w:ascii="Times New Roman" w:hAnsi="Times New Roman"/>
                          <w:sz w:val="24"/>
                          <w:szCs w:val="24"/>
                        </w:rPr>
                      </w:pPr>
                    </w:p>
                    <w:p w14:paraId="6EE6C7F4" w14:textId="77777777" w:rsidR="00692F99" w:rsidRDefault="00692F99">
                      <w:pPr>
                        <w:jc w:val="both"/>
                      </w:pPr>
                    </w:p>
                    <w:p w14:paraId="2691C2DB" w14:textId="77777777" w:rsidR="00692F99" w:rsidRDefault="00692F99">
                      <w:pPr>
                        <w:jc w:val="both"/>
                        <w:rPr>
                          <w:rFonts w:ascii="Times New Roman" w:hAnsi="Times New Roman"/>
                          <w:sz w:val="24"/>
                          <w:szCs w:val="24"/>
                        </w:rPr>
                      </w:pPr>
                    </w:p>
                    <w:p w14:paraId="40ED1A4F" w14:textId="77777777" w:rsidR="00692F99" w:rsidRDefault="00692F99"/>
                  </w:txbxContent>
                </v:textbox>
                <w10:anchorlock/>
              </v:shape>
            </w:pict>
          </mc:Fallback>
        </mc:AlternateContent>
      </w:r>
    </w:p>
    <w:p w14:paraId="3DBD99C6" w14:textId="77777777" w:rsidR="00C3264D" w:rsidRPr="00692F99" w:rsidRDefault="003A348D">
      <w:pPr>
        <w:spacing w:after="0"/>
        <w:jc w:val="both"/>
        <w:rPr>
          <w:rFonts w:ascii="Times New Roman" w:hAnsi="Times New Roman"/>
          <w:sz w:val="24"/>
          <w:szCs w:val="24"/>
        </w:rPr>
      </w:pPr>
      <w:r w:rsidRPr="00692F99">
        <w:rPr>
          <w:rFonts w:ascii="Times New Roman" w:hAnsi="Times New Roman"/>
          <w:sz w:val="24"/>
          <w:szCs w:val="24"/>
        </w:rPr>
        <w:t>В таблица 1 са дадени числените данни за лимита за стационарните инсталации и броят на квотите за авиационни емисии, пускани ежегодно в обръщение</w:t>
      </w:r>
      <w:r w:rsidRPr="00692F99">
        <w:rPr>
          <w:rStyle w:val="FootnoteReference"/>
          <w:rFonts w:ascii="Times New Roman" w:hAnsi="Times New Roman"/>
          <w:sz w:val="24"/>
          <w:szCs w:val="24"/>
        </w:rPr>
        <w:footnoteReference w:id="15"/>
      </w:r>
      <w:r w:rsidRPr="00692F99">
        <w:rPr>
          <w:rFonts w:ascii="Times New Roman" w:hAnsi="Times New Roman"/>
          <w:sz w:val="24"/>
          <w:szCs w:val="24"/>
        </w:rPr>
        <w:t xml:space="preserve"> за всяка година през фаза 3 на СТЕ на ЕС.</w:t>
      </w:r>
    </w:p>
    <w:p w14:paraId="2DC124A9" w14:textId="77777777" w:rsidR="00C3264D" w:rsidRPr="00692F99" w:rsidRDefault="00C3264D">
      <w:pPr>
        <w:spacing w:after="0"/>
        <w:jc w:val="both"/>
        <w:rPr>
          <w:rFonts w:ascii="Times New Roman" w:hAnsi="Times New Roman"/>
          <w:sz w:val="24"/>
          <w:szCs w:val="24"/>
        </w:rPr>
      </w:pPr>
    </w:p>
    <w:p w14:paraId="65A8382A" w14:textId="77777777" w:rsidR="00C3264D" w:rsidRPr="00692F99" w:rsidRDefault="00C3264D">
      <w:pPr>
        <w:spacing w:after="0"/>
        <w:jc w:val="both"/>
        <w:rPr>
          <w:rFonts w:ascii="Times New Roman" w:hAnsi="Times New Roman"/>
          <w:sz w:val="24"/>
          <w:szCs w:val="24"/>
        </w:rPr>
      </w:pPr>
    </w:p>
    <w:p w14:paraId="017F9C1F" w14:textId="77777777" w:rsidR="00C3264D" w:rsidRPr="00692F99" w:rsidRDefault="00C3264D">
      <w:pPr>
        <w:spacing w:after="0"/>
        <w:jc w:val="both"/>
        <w:rPr>
          <w:rFonts w:ascii="Times New Roman" w:hAnsi="Times New Roman"/>
          <w:sz w:val="24"/>
          <w:szCs w:val="24"/>
        </w:rPr>
      </w:pPr>
    </w:p>
    <w:p w14:paraId="17950437" w14:textId="77777777" w:rsidR="00C3264D" w:rsidRPr="00692F99" w:rsidRDefault="00C3264D">
      <w:pPr>
        <w:spacing w:after="0"/>
        <w:jc w:val="both"/>
        <w:rPr>
          <w:rFonts w:ascii="Times New Roman" w:hAnsi="Times New Roman"/>
          <w:sz w:val="24"/>
          <w:szCs w:val="24"/>
        </w:rPr>
      </w:pPr>
    </w:p>
    <w:p w14:paraId="4ACF793D" w14:textId="77777777" w:rsidR="00C3264D" w:rsidRPr="00692F99" w:rsidRDefault="00C3264D">
      <w:pPr>
        <w:spacing w:after="0"/>
        <w:jc w:val="both"/>
        <w:rPr>
          <w:rFonts w:ascii="Times New Roman" w:hAnsi="Times New Roman"/>
          <w:sz w:val="24"/>
          <w:szCs w:val="24"/>
        </w:rPr>
      </w:pPr>
    </w:p>
    <w:p w14:paraId="146AF48A" w14:textId="77777777" w:rsidR="00C3264D" w:rsidRDefault="00C3264D">
      <w:pPr>
        <w:spacing w:after="0"/>
        <w:jc w:val="both"/>
        <w:rPr>
          <w:rFonts w:ascii="Times New Roman" w:hAnsi="Times New Roman"/>
          <w:sz w:val="24"/>
          <w:szCs w:val="24"/>
        </w:rPr>
      </w:pPr>
    </w:p>
    <w:p w14:paraId="663405FB" w14:textId="77777777" w:rsidR="00C3264D" w:rsidRDefault="00C3264D">
      <w:pPr>
        <w:spacing w:after="0"/>
        <w:jc w:val="both"/>
        <w:rPr>
          <w:rFonts w:ascii="Times New Roman" w:hAnsi="Times New Roman"/>
          <w:b/>
        </w:rPr>
      </w:pPr>
    </w:p>
    <w:p w14:paraId="74D662B2" w14:textId="77777777" w:rsidR="00C3264D" w:rsidRDefault="00C3264D">
      <w:pPr>
        <w:spacing w:after="0"/>
        <w:jc w:val="both"/>
        <w:rPr>
          <w:rFonts w:ascii="Times New Roman" w:hAnsi="Times New Roman"/>
          <w:b/>
        </w:rPr>
      </w:pPr>
    </w:p>
    <w:p w14:paraId="5F9531CF" w14:textId="77777777" w:rsidR="00C3264D" w:rsidRDefault="00C3264D">
      <w:pPr>
        <w:jc w:val="both"/>
        <w:rPr>
          <w:rFonts w:ascii="Times New Roman" w:hAnsi="Times New Roman"/>
          <w:b/>
        </w:rPr>
      </w:pPr>
    </w:p>
    <w:p w14:paraId="79A4C8CF" w14:textId="77777777" w:rsidR="00C3264D" w:rsidRDefault="003A348D">
      <w:pPr>
        <w:jc w:val="both"/>
        <w:rPr>
          <w:rFonts w:ascii="Times New Roman" w:hAnsi="Times New Roman"/>
          <w:b/>
          <w:bCs/>
          <w:sz w:val="20"/>
          <w:szCs w:val="20"/>
        </w:rPr>
      </w:pPr>
      <w:r>
        <w:rPr>
          <w:rFonts w:ascii="Times New Roman" w:hAnsi="Times New Roman"/>
          <w:b/>
        </w:rPr>
        <w:t>Таблица 1: Лимити по СТЕ на ЕС през периода 2013—2020 г.</w:t>
      </w: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94"/>
        <w:gridCol w:w="3207"/>
        <w:gridCol w:w="3810"/>
      </w:tblGrid>
      <w:tr w:rsidR="00C3264D" w14:paraId="5E43DF45" w14:textId="77777777">
        <w:trPr>
          <w:trHeight w:val="615"/>
          <w:jc w:val="center"/>
        </w:trPr>
        <w:tc>
          <w:tcPr>
            <w:tcW w:w="1994" w:type="dxa"/>
          </w:tcPr>
          <w:p w14:paraId="41B89BA5" w14:textId="77777777" w:rsidR="00C3264D" w:rsidRDefault="003A348D">
            <w:pPr>
              <w:jc w:val="center"/>
              <w:rPr>
                <w:rFonts w:ascii="Times New Roman" w:hAnsi="Times New Roman"/>
                <w:b/>
              </w:rPr>
            </w:pPr>
            <w:r>
              <w:rPr>
                <w:rFonts w:ascii="Times New Roman" w:hAnsi="Times New Roman"/>
                <w:b/>
              </w:rPr>
              <w:br/>
              <w:t>Година</w:t>
            </w:r>
          </w:p>
          <w:p w14:paraId="6237D8E3" w14:textId="77777777" w:rsidR="00C3264D" w:rsidRDefault="00C3264D">
            <w:pPr>
              <w:jc w:val="center"/>
              <w:rPr>
                <w:b/>
              </w:rPr>
            </w:pPr>
          </w:p>
        </w:tc>
        <w:tc>
          <w:tcPr>
            <w:tcW w:w="3207" w:type="dxa"/>
          </w:tcPr>
          <w:p w14:paraId="13887567" w14:textId="77777777" w:rsidR="00C3264D" w:rsidRDefault="003A348D">
            <w:pPr>
              <w:jc w:val="center"/>
              <w:rPr>
                <w:b/>
              </w:rPr>
            </w:pPr>
            <w:r>
              <w:rPr>
                <w:rFonts w:ascii="Times New Roman" w:hAnsi="Times New Roman"/>
                <w:b/>
              </w:rPr>
              <w:br/>
              <w:t>Годишен лимит (инсталации)</w:t>
            </w:r>
          </w:p>
        </w:tc>
        <w:tc>
          <w:tcPr>
            <w:tcW w:w="3810" w:type="dxa"/>
          </w:tcPr>
          <w:p w14:paraId="750CAA56" w14:textId="77777777" w:rsidR="00C3264D" w:rsidRDefault="00C3264D">
            <w:pPr>
              <w:jc w:val="center"/>
              <w:rPr>
                <w:rFonts w:ascii="Times New Roman" w:hAnsi="Times New Roman"/>
                <w:b/>
              </w:rPr>
            </w:pPr>
          </w:p>
          <w:p w14:paraId="01EF8EBF" w14:textId="77777777" w:rsidR="00C3264D" w:rsidRDefault="003A348D">
            <w:pPr>
              <w:jc w:val="center"/>
              <w:rPr>
                <w:rFonts w:ascii="Times New Roman" w:hAnsi="Times New Roman"/>
                <w:b/>
              </w:rPr>
            </w:pPr>
            <w:r>
              <w:rPr>
                <w:rFonts w:ascii="Times New Roman" w:hAnsi="Times New Roman"/>
                <w:b/>
              </w:rPr>
              <w:t>Годишни квоти за авиационни емисии, пуснати в обръщение</w:t>
            </w:r>
            <w:r>
              <w:rPr>
                <w:rStyle w:val="FootnoteReference"/>
                <w:rFonts w:ascii="Times New Roman" w:hAnsi="Times New Roman"/>
                <w:b/>
              </w:rPr>
              <w:footnoteReference w:id="16"/>
            </w:r>
          </w:p>
        </w:tc>
      </w:tr>
      <w:tr w:rsidR="00C3264D" w14:paraId="0CFB8858" w14:textId="77777777">
        <w:trPr>
          <w:trHeight w:val="546"/>
          <w:jc w:val="center"/>
        </w:trPr>
        <w:tc>
          <w:tcPr>
            <w:tcW w:w="1994" w:type="dxa"/>
          </w:tcPr>
          <w:p w14:paraId="6CD94883" w14:textId="77777777" w:rsidR="00C3264D" w:rsidRDefault="003A348D">
            <w:pPr>
              <w:jc w:val="center"/>
              <w:rPr>
                <w:rFonts w:ascii="Times New Roman" w:hAnsi="Times New Roman"/>
              </w:rPr>
            </w:pPr>
            <w:r>
              <w:rPr>
                <w:rFonts w:ascii="Times New Roman" w:hAnsi="Times New Roman"/>
              </w:rPr>
              <w:br/>
              <w:t>2013</w:t>
            </w:r>
          </w:p>
          <w:p w14:paraId="66BFB064" w14:textId="77777777" w:rsidR="00C3264D" w:rsidRDefault="00C3264D">
            <w:pPr>
              <w:jc w:val="center"/>
            </w:pPr>
          </w:p>
        </w:tc>
        <w:tc>
          <w:tcPr>
            <w:tcW w:w="3207" w:type="dxa"/>
          </w:tcPr>
          <w:p w14:paraId="62DECE42" w14:textId="77777777" w:rsidR="00C3264D" w:rsidRDefault="003A348D">
            <w:pPr>
              <w:jc w:val="center"/>
            </w:pPr>
            <w:r>
              <w:rPr>
                <w:rFonts w:ascii="Times New Roman" w:hAnsi="Times New Roman"/>
              </w:rPr>
              <w:br/>
              <w:t>2 084 301 856</w:t>
            </w:r>
          </w:p>
        </w:tc>
        <w:tc>
          <w:tcPr>
            <w:tcW w:w="3810" w:type="dxa"/>
          </w:tcPr>
          <w:p w14:paraId="189BA354" w14:textId="77777777" w:rsidR="00C3264D" w:rsidRDefault="00C3264D">
            <w:pPr>
              <w:jc w:val="center"/>
              <w:rPr>
                <w:rFonts w:ascii="Times New Roman" w:hAnsi="Times New Roman"/>
              </w:rPr>
            </w:pPr>
          </w:p>
          <w:p w14:paraId="25D58FD4" w14:textId="77777777" w:rsidR="00C3264D" w:rsidRDefault="003A348D">
            <w:pPr>
              <w:jc w:val="center"/>
              <w:rPr>
                <w:rFonts w:ascii="Times New Roman" w:hAnsi="Times New Roman"/>
              </w:rPr>
            </w:pPr>
            <w:r>
              <w:rPr>
                <w:rFonts w:ascii="Times New Roman" w:hAnsi="Times New Roman"/>
              </w:rPr>
              <w:t>32 455 296</w:t>
            </w:r>
          </w:p>
        </w:tc>
      </w:tr>
      <w:tr w:rsidR="00C3264D" w14:paraId="1261E305" w14:textId="77777777">
        <w:trPr>
          <w:trHeight w:val="534"/>
          <w:jc w:val="center"/>
        </w:trPr>
        <w:tc>
          <w:tcPr>
            <w:tcW w:w="1994" w:type="dxa"/>
          </w:tcPr>
          <w:p w14:paraId="28AA40A8" w14:textId="77777777" w:rsidR="00C3264D" w:rsidRDefault="003A348D">
            <w:pPr>
              <w:jc w:val="center"/>
              <w:rPr>
                <w:rFonts w:ascii="Times New Roman" w:hAnsi="Times New Roman"/>
              </w:rPr>
            </w:pPr>
            <w:r>
              <w:rPr>
                <w:rFonts w:ascii="Times New Roman" w:hAnsi="Times New Roman"/>
              </w:rPr>
              <w:br/>
              <w:t>2014 г.</w:t>
            </w:r>
          </w:p>
          <w:p w14:paraId="267F38B6" w14:textId="77777777" w:rsidR="00C3264D" w:rsidRDefault="00C3264D">
            <w:pPr>
              <w:jc w:val="center"/>
            </w:pPr>
          </w:p>
        </w:tc>
        <w:tc>
          <w:tcPr>
            <w:tcW w:w="3207" w:type="dxa"/>
          </w:tcPr>
          <w:p w14:paraId="79AF631F" w14:textId="77777777" w:rsidR="00C3264D" w:rsidRDefault="003A348D">
            <w:pPr>
              <w:jc w:val="center"/>
            </w:pPr>
            <w:r>
              <w:rPr>
                <w:rFonts w:ascii="Times New Roman" w:hAnsi="Times New Roman"/>
              </w:rPr>
              <w:br/>
              <w:t>2 046 037 610</w:t>
            </w:r>
          </w:p>
        </w:tc>
        <w:tc>
          <w:tcPr>
            <w:tcW w:w="3810" w:type="dxa"/>
          </w:tcPr>
          <w:p w14:paraId="587AA7A1" w14:textId="77777777" w:rsidR="00C3264D" w:rsidRDefault="00C3264D">
            <w:pPr>
              <w:jc w:val="center"/>
              <w:rPr>
                <w:rFonts w:ascii="Times New Roman" w:hAnsi="Times New Roman"/>
              </w:rPr>
            </w:pPr>
          </w:p>
          <w:p w14:paraId="747D9FA1" w14:textId="77777777" w:rsidR="00C3264D" w:rsidRDefault="003A348D">
            <w:pPr>
              <w:jc w:val="center"/>
              <w:rPr>
                <w:rFonts w:ascii="Times New Roman" w:hAnsi="Times New Roman"/>
              </w:rPr>
            </w:pPr>
            <w:r>
              <w:rPr>
                <w:rFonts w:ascii="Times New Roman" w:hAnsi="Times New Roman"/>
              </w:rPr>
              <w:t>41 866 834</w:t>
            </w:r>
          </w:p>
        </w:tc>
      </w:tr>
      <w:tr w:rsidR="00C3264D" w14:paraId="02AF42D9" w14:textId="77777777">
        <w:trPr>
          <w:trHeight w:val="522"/>
          <w:jc w:val="center"/>
        </w:trPr>
        <w:tc>
          <w:tcPr>
            <w:tcW w:w="1994" w:type="dxa"/>
          </w:tcPr>
          <w:p w14:paraId="504EF049" w14:textId="77777777" w:rsidR="00C3264D" w:rsidRDefault="003A348D">
            <w:pPr>
              <w:jc w:val="center"/>
              <w:rPr>
                <w:rFonts w:ascii="Times New Roman" w:hAnsi="Times New Roman"/>
              </w:rPr>
            </w:pPr>
            <w:r>
              <w:rPr>
                <w:rFonts w:ascii="Times New Roman" w:hAnsi="Times New Roman"/>
              </w:rPr>
              <w:br/>
              <w:t>2015 г.</w:t>
            </w:r>
          </w:p>
          <w:p w14:paraId="7F650691" w14:textId="77777777" w:rsidR="00C3264D" w:rsidRDefault="00C3264D">
            <w:pPr>
              <w:jc w:val="center"/>
            </w:pPr>
          </w:p>
        </w:tc>
        <w:tc>
          <w:tcPr>
            <w:tcW w:w="3207" w:type="dxa"/>
          </w:tcPr>
          <w:p w14:paraId="61B9F803" w14:textId="77777777" w:rsidR="00C3264D" w:rsidRDefault="003A348D">
            <w:pPr>
              <w:jc w:val="center"/>
            </w:pPr>
            <w:r>
              <w:rPr>
                <w:rFonts w:ascii="Times New Roman" w:hAnsi="Times New Roman"/>
              </w:rPr>
              <w:br/>
              <w:t>2 007 773 364</w:t>
            </w:r>
          </w:p>
        </w:tc>
        <w:tc>
          <w:tcPr>
            <w:tcW w:w="3810" w:type="dxa"/>
          </w:tcPr>
          <w:p w14:paraId="366C775D" w14:textId="77777777" w:rsidR="00C3264D" w:rsidRDefault="00C3264D">
            <w:pPr>
              <w:jc w:val="center"/>
              <w:rPr>
                <w:rFonts w:ascii="Times New Roman" w:hAnsi="Times New Roman"/>
              </w:rPr>
            </w:pPr>
          </w:p>
          <w:p w14:paraId="7A2BF051" w14:textId="77777777" w:rsidR="00C3264D" w:rsidRDefault="003A348D">
            <w:pPr>
              <w:jc w:val="center"/>
              <w:rPr>
                <w:rFonts w:ascii="Times New Roman" w:hAnsi="Times New Roman"/>
              </w:rPr>
            </w:pPr>
            <w:r>
              <w:rPr>
                <w:rFonts w:ascii="Times New Roman" w:hAnsi="Times New Roman"/>
              </w:rPr>
              <w:t>50 669 024</w:t>
            </w:r>
          </w:p>
        </w:tc>
      </w:tr>
      <w:tr w:rsidR="00C3264D" w14:paraId="2C4C51AD" w14:textId="77777777">
        <w:trPr>
          <w:trHeight w:val="510"/>
          <w:jc w:val="center"/>
        </w:trPr>
        <w:tc>
          <w:tcPr>
            <w:tcW w:w="1994" w:type="dxa"/>
          </w:tcPr>
          <w:p w14:paraId="18A43635" w14:textId="77777777" w:rsidR="00C3264D" w:rsidRDefault="003A348D">
            <w:pPr>
              <w:jc w:val="center"/>
              <w:rPr>
                <w:rFonts w:ascii="Times New Roman" w:hAnsi="Times New Roman"/>
              </w:rPr>
            </w:pPr>
            <w:r>
              <w:rPr>
                <w:rFonts w:ascii="Times New Roman" w:hAnsi="Times New Roman"/>
              </w:rPr>
              <w:br/>
              <w:t>2016 г.</w:t>
            </w:r>
          </w:p>
          <w:p w14:paraId="6EC04BA5" w14:textId="77777777" w:rsidR="00C3264D" w:rsidRDefault="00C3264D">
            <w:pPr>
              <w:jc w:val="center"/>
              <w:rPr>
                <w:rFonts w:ascii="Times New Roman" w:hAnsi="Times New Roman"/>
              </w:rPr>
            </w:pPr>
          </w:p>
        </w:tc>
        <w:tc>
          <w:tcPr>
            <w:tcW w:w="3207" w:type="dxa"/>
          </w:tcPr>
          <w:p w14:paraId="6222F938" w14:textId="77777777" w:rsidR="00C3264D" w:rsidRDefault="003A348D">
            <w:pPr>
              <w:jc w:val="center"/>
              <w:rPr>
                <w:rFonts w:ascii="Times New Roman" w:hAnsi="Times New Roman"/>
              </w:rPr>
            </w:pPr>
            <w:r>
              <w:rPr>
                <w:rFonts w:ascii="Times New Roman" w:hAnsi="Times New Roman"/>
              </w:rPr>
              <w:br/>
              <w:t>1 969 509 118</w:t>
            </w:r>
          </w:p>
        </w:tc>
        <w:tc>
          <w:tcPr>
            <w:tcW w:w="3810" w:type="dxa"/>
          </w:tcPr>
          <w:p w14:paraId="72BFB1FB" w14:textId="77777777" w:rsidR="00C3264D" w:rsidRDefault="00C3264D">
            <w:pPr>
              <w:jc w:val="center"/>
              <w:rPr>
                <w:rFonts w:ascii="Times New Roman" w:hAnsi="Times New Roman"/>
              </w:rPr>
            </w:pPr>
          </w:p>
          <w:p w14:paraId="3F1BE5D1" w14:textId="77777777" w:rsidR="00C3264D" w:rsidRDefault="003A348D">
            <w:pPr>
              <w:jc w:val="center"/>
              <w:rPr>
                <w:rFonts w:ascii="Times New Roman" w:hAnsi="Times New Roman"/>
              </w:rPr>
            </w:pPr>
            <w:r>
              <w:rPr>
                <w:rFonts w:ascii="Times New Roman" w:hAnsi="Times New Roman"/>
              </w:rPr>
              <w:t>38 879 316</w:t>
            </w:r>
          </w:p>
        </w:tc>
      </w:tr>
      <w:tr w:rsidR="00C3264D" w14:paraId="447C4087" w14:textId="77777777">
        <w:trPr>
          <w:trHeight w:val="603"/>
          <w:jc w:val="center"/>
        </w:trPr>
        <w:tc>
          <w:tcPr>
            <w:tcW w:w="1994" w:type="dxa"/>
          </w:tcPr>
          <w:p w14:paraId="06E63005" w14:textId="77777777" w:rsidR="00C3264D" w:rsidRDefault="003A348D">
            <w:pPr>
              <w:jc w:val="center"/>
              <w:rPr>
                <w:rFonts w:ascii="Times New Roman" w:hAnsi="Times New Roman"/>
              </w:rPr>
            </w:pPr>
            <w:r>
              <w:rPr>
                <w:rFonts w:ascii="Times New Roman" w:hAnsi="Times New Roman"/>
              </w:rPr>
              <w:br/>
              <w:t>2017 г.</w:t>
            </w:r>
          </w:p>
          <w:p w14:paraId="47CCDEF2" w14:textId="77777777" w:rsidR="00C3264D" w:rsidRDefault="00C3264D">
            <w:pPr>
              <w:jc w:val="center"/>
              <w:rPr>
                <w:rFonts w:ascii="Times New Roman" w:hAnsi="Times New Roman"/>
              </w:rPr>
            </w:pPr>
          </w:p>
        </w:tc>
        <w:tc>
          <w:tcPr>
            <w:tcW w:w="3207" w:type="dxa"/>
          </w:tcPr>
          <w:p w14:paraId="1991CD6C" w14:textId="77777777" w:rsidR="00C3264D" w:rsidRDefault="003A348D">
            <w:pPr>
              <w:jc w:val="center"/>
              <w:rPr>
                <w:rFonts w:ascii="Times New Roman" w:hAnsi="Times New Roman"/>
              </w:rPr>
            </w:pPr>
            <w:r>
              <w:rPr>
                <w:rFonts w:ascii="Times New Roman" w:hAnsi="Times New Roman"/>
              </w:rPr>
              <w:br/>
              <w:t>1 931 244 873</w:t>
            </w:r>
          </w:p>
        </w:tc>
        <w:tc>
          <w:tcPr>
            <w:tcW w:w="3810" w:type="dxa"/>
          </w:tcPr>
          <w:p w14:paraId="0982641B" w14:textId="77777777" w:rsidR="00C3264D" w:rsidRDefault="00C3264D">
            <w:pPr>
              <w:jc w:val="center"/>
              <w:rPr>
                <w:rFonts w:ascii="Times New Roman" w:hAnsi="Times New Roman"/>
              </w:rPr>
            </w:pPr>
          </w:p>
          <w:p w14:paraId="6A47184D" w14:textId="77777777" w:rsidR="00C3264D" w:rsidRDefault="003A348D">
            <w:pPr>
              <w:jc w:val="center"/>
              <w:rPr>
                <w:rFonts w:ascii="Times New Roman" w:hAnsi="Times New Roman"/>
              </w:rPr>
            </w:pPr>
            <w:r>
              <w:rPr>
                <w:rFonts w:ascii="Times New Roman" w:hAnsi="Times New Roman"/>
              </w:rPr>
              <w:t>38 711 651</w:t>
            </w:r>
          </w:p>
        </w:tc>
      </w:tr>
      <w:tr w:rsidR="00C3264D" w14:paraId="7E9EDB71" w14:textId="77777777">
        <w:trPr>
          <w:trHeight w:val="603"/>
          <w:jc w:val="center"/>
        </w:trPr>
        <w:tc>
          <w:tcPr>
            <w:tcW w:w="1994" w:type="dxa"/>
          </w:tcPr>
          <w:p w14:paraId="6DC44CDD" w14:textId="77777777" w:rsidR="00C3264D" w:rsidRDefault="003A348D">
            <w:pPr>
              <w:jc w:val="center"/>
              <w:rPr>
                <w:rFonts w:ascii="Times New Roman" w:hAnsi="Times New Roman"/>
              </w:rPr>
            </w:pPr>
            <w:r>
              <w:rPr>
                <w:rFonts w:ascii="Times New Roman" w:hAnsi="Times New Roman"/>
              </w:rPr>
              <w:br/>
              <w:t>2018 г.</w:t>
            </w:r>
          </w:p>
          <w:p w14:paraId="1EC5A19D" w14:textId="77777777" w:rsidR="00C3264D" w:rsidRDefault="00C3264D">
            <w:pPr>
              <w:jc w:val="center"/>
              <w:rPr>
                <w:rFonts w:ascii="Times New Roman" w:hAnsi="Times New Roman"/>
              </w:rPr>
            </w:pPr>
          </w:p>
        </w:tc>
        <w:tc>
          <w:tcPr>
            <w:tcW w:w="3207" w:type="dxa"/>
          </w:tcPr>
          <w:p w14:paraId="1ED5CA18" w14:textId="77777777" w:rsidR="00C3264D" w:rsidRDefault="003A348D">
            <w:pPr>
              <w:jc w:val="center"/>
              <w:rPr>
                <w:rFonts w:ascii="Times New Roman" w:hAnsi="Times New Roman"/>
              </w:rPr>
            </w:pPr>
            <w:r>
              <w:rPr>
                <w:rFonts w:ascii="Times New Roman" w:hAnsi="Times New Roman"/>
              </w:rPr>
              <w:br/>
              <w:t>1 892 980 627</w:t>
            </w:r>
          </w:p>
        </w:tc>
        <w:tc>
          <w:tcPr>
            <w:tcW w:w="3810" w:type="dxa"/>
          </w:tcPr>
          <w:p w14:paraId="0AB6CE31" w14:textId="77777777" w:rsidR="00C3264D" w:rsidRDefault="00C3264D">
            <w:pPr>
              <w:jc w:val="center"/>
              <w:rPr>
                <w:rFonts w:ascii="Times New Roman" w:hAnsi="Times New Roman"/>
              </w:rPr>
            </w:pPr>
          </w:p>
          <w:p w14:paraId="2210EE9E" w14:textId="77777777" w:rsidR="00C3264D" w:rsidRDefault="0071246D">
            <w:pPr>
              <w:jc w:val="center"/>
              <w:rPr>
                <w:rFonts w:ascii="Times New Roman" w:hAnsi="Times New Roman"/>
              </w:rPr>
            </w:pPr>
            <w:r>
              <w:rPr>
                <w:rFonts w:ascii="Times New Roman" w:hAnsi="Times New Roman"/>
              </w:rPr>
              <w:t>38 909 625</w:t>
            </w:r>
          </w:p>
        </w:tc>
      </w:tr>
      <w:tr w:rsidR="00C3264D" w14:paraId="716B78B1" w14:textId="77777777">
        <w:trPr>
          <w:trHeight w:val="603"/>
          <w:jc w:val="center"/>
        </w:trPr>
        <w:tc>
          <w:tcPr>
            <w:tcW w:w="1994" w:type="dxa"/>
          </w:tcPr>
          <w:p w14:paraId="2F557929" w14:textId="77777777" w:rsidR="00C3264D" w:rsidRDefault="003A348D">
            <w:pPr>
              <w:jc w:val="center"/>
              <w:rPr>
                <w:rFonts w:ascii="Times New Roman" w:hAnsi="Times New Roman"/>
              </w:rPr>
            </w:pPr>
            <w:r>
              <w:rPr>
                <w:rFonts w:ascii="Times New Roman" w:hAnsi="Times New Roman"/>
              </w:rPr>
              <w:br/>
              <w:t>2019 г.</w:t>
            </w:r>
          </w:p>
          <w:p w14:paraId="7D15DE27" w14:textId="77777777" w:rsidR="00C3264D" w:rsidRDefault="00C3264D">
            <w:pPr>
              <w:jc w:val="center"/>
              <w:rPr>
                <w:rFonts w:ascii="Times New Roman" w:hAnsi="Times New Roman"/>
              </w:rPr>
            </w:pPr>
          </w:p>
        </w:tc>
        <w:tc>
          <w:tcPr>
            <w:tcW w:w="3207" w:type="dxa"/>
          </w:tcPr>
          <w:p w14:paraId="4AF86A37" w14:textId="77777777" w:rsidR="00C3264D" w:rsidRDefault="003A348D">
            <w:pPr>
              <w:jc w:val="center"/>
              <w:rPr>
                <w:rFonts w:ascii="Times New Roman" w:hAnsi="Times New Roman"/>
              </w:rPr>
            </w:pPr>
            <w:r>
              <w:rPr>
                <w:rFonts w:ascii="Times New Roman" w:hAnsi="Times New Roman"/>
              </w:rPr>
              <w:br/>
              <w:t>1 854 716 381</w:t>
            </w:r>
          </w:p>
        </w:tc>
        <w:tc>
          <w:tcPr>
            <w:tcW w:w="3810" w:type="dxa"/>
          </w:tcPr>
          <w:p w14:paraId="370F971F" w14:textId="77777777" w:rsidR="00C3264D" w:rsidRDefault="00C3264D">
            <w:pPr>
              <w:jc w:val="center"/>
              <w:rPr>
                <w:rFonts w:ascii="Times New Roman" w:hAnsi="Times New Roman"/>
              </w:rPr>
            </w:pPr>
          </w:p>
          <w:p w14:paraId="6C25639D" w14:textId="77777777" w:rsidR="00C3264D" w:rsidRDefault="0071246D">
            <w:pPr>
              <w:jc w:val="center"/>
              <w:rPr>
                <w:rFonts w:ascii="Times New Roman" w:hAnsi="Times New Roman"/>
              </w:rPr>
            </w:pPr>
            <w:r>
              <w:rPr>
                <w:rFonts w:ascii="Times New Roman" w:hAnsi="Times New Roman"/>
              </w:rPr>
              <w:t>35 172 897</w:t>
            </w:r>
            <w:r>
              <w:rPr>
                <w:rStyle w:val="FootnoteReference"/>
                <w:rFonts w:ascii="Times New Roman" w:hAnsi="Times New Roman"/>
              </w:rPr>
              <w:footnoteReference w:id="17"/>
            </w:r>
          </w:p>
        </w:tc>
      </w:tr>
      <w:tr w:rsidR="00C3264D" w14:paraId="029C7B0D" w14:textId="77777777">
        <w:trPr>
          <w:trHeight w:val="510"/>
          <w:jc w:val="center"/>
        </w:trPr>
        <w:tc>
          <w:tcPr>
            <w:tcW w:w="1994" w:type="dxa"/>
          </w:tcPr>
          <w:p w14:paraId="4302057A" w14:textId="77777777" w:rsidR="00C3264D" w:rsidRDefault="003A348D">
            <w:pPr>
              <w:jc w:val="center"/>
              <w:rPr>
                <w:rFonts w:ascii="Times New Roman" w:hAnsi="Times New Roman"/>
              </w:rPr>
            </w:pPr>
            <w:r>
              <w:rPr>
                <w:rFonts w:ascii="Times New Roman" w:hAnsi="Times New Roman"/>
              </w:rPr>
              <w:br/>
              <w:t>2020 г.</w:t>
            </w:r>
          </w:p>
          <w:p w14:paraId="3F98F7CE" w14:textId="77777777" w:rsidR="00C3264D" w:rsidRDefault="00C3264D">
            <w:pPr>
              <w:jc w:val="center"/>
              <w:rPr>
                <w:rFonts w:ascii="Times New Roman" w:hAnsi="Times New Roman"/>
              </w:rPr>
            </w:pPr>
          </w:p>
        </w:tc>
        <w:tc>
          <w:tcPr>
            <w:tcW w:w="3207" w:type="dxa"/>
          </w:tcPr>
          <w:p w14:paraId="6A67758C" w14:textId="77777777" w:rsidR="00C3264D" w:rsidRDefault="003A348D">
            <w:pPr>
              <w:jc w:val="center"/>
            </w:pPr>
            <w:r>
              <w:rPr>
                <w:rFonts w:ascii="Times New Roman" w:hAnsi="Times New Roman"/>
              </w:rPr>
              <w:br/>
              <w:t>1 816 452 135</w:t>
            </w:r>
          </w:p>
        </w:tc>
        <w:tc>
          <w:tcPr>
            <w:tcW w:w="3810" w:type="dxa"/>
          </w:tcPr>
          <w:p w14:paraId="1E15624A" w14:textId="77777777" w:rsidR="00C3264D" w:rsidRDefault="00C3264D">
            <w:pPr>
              <w:jc w:val="center"/>
              <w:rPr>
                <w:rFonts w:ascii="Times New Roman" w:hAnsi="Times New Roman"/>
              </w:rPr>
            </w:pPr>
          </w:p>
          <w:p w14:paraId="35686FF9" w14:textId="77777777" w:rsidR="00C3264D" w:rsidRDefault="00C3264D">
            <w:pPr>
              <w:jc w:val="center"/>
              <w:rPr>
                <w:rFonts w:ascii="Times New Roman" w:hAnsi="Times New Roman"/>
              </w:rPr>
            </w:pPr>
          </w:p>
        </w:tc>
      </w:tr>
    </w:tbl>
    <w:p w14:paraId="48296229" w14:textId="77777777" w:rsidR="00C3264D" w:rsidRDefault="00A52F4C">
      <w:pPr>
        <w:pStyle w:val="Heading3"/>
        <w:spacing w:before="0" w:after="200"/>
        <w:ind w:left="720"/>
      </w:pPr>
      <w:bookmarkStart w:id="10" w:name="_Toc28015581"/>
      <w:r>
        <w:t>3.1.2. Издадени квоти</w:t>
      </w:r>
      <w:bookmarkEnd w:id="10"/>
    </w:p>
    <w:p w14:paraId="76A7A0D3" w14:textId="77777777" w:rsidR="00C3264D" w:rsidRDefault="00A52F4C">
      <w:pPr>
        <w:pStyle w:val="Heading4"/>
        <w:spacing w:before="0" w:after="200"/>
        <w:ind w:left="1080"/>
      </w:pPr>
      <w:bookmarkStart w:id="11" w:name="_Toc28015582"/>
      <w:r>
        <w:t>3.1.2.1. Безплатно разпределяне на квоти</w:t>
      </w:r>
      <w:bookmarkEnd w:id="11"/>
      <w:r>
        <w:t xml:space="preserve"> </w:t>
      </w:r>
    </w:p>
    <w:p w14:paraId="17D1BF02" w14:textId="77777777" w:rsidR="00C3264D" w:rsidRDefault="003A348D">
      <w:pPr>
        <w:jc w:val="both"/>
        <w:rPr>
          <w:rFonts w:ascii="Times New Roman" w:hAnsi="Times New Roman"/>
          <w:sz w:val="24"/>
          <w:szCs w:val="24"/>
        </w:rPr>
      </w:pPr>
      <w:r>
        <w:rPr>
          <w:rFonts w:ascii="Times New Roman" w:hAnsi="Times New Roman"/>
          <w:noProof/>
          <w:lang w:val="en-GB" w:eastAsia="en-GB"/>
        </w:rPr>
        <mc:AlternateContent>
          <mc:Choice Requires="wps">
            <w:drawing>
              <wp:inline distT="0" distB="0" distL="0" distR="0" wp14:anchorId="580257BA" wp14:editId="09FED26C">
                <wp:extent cx="5749747" cy="5200650"/>
                <wp:effectExtent l="0" t="0" r="22860" b="19050"/>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747" cy="5200650"/>
                        </a:xfrm>
                        <a:prstGeom prst="rect">
                          <a:avLst/>
                        </a:prstGeom>
                        <a:solidFill>
                          <a:schemeClr val="bg1">
                            <a:lumMod val="85000"/>
                          </a:schemeClr>
                        </a:solidFill>
                        <a:ln w="12700">
                          <a:solidFill>
                            <a:srgbClr val="000000"/>
                          </a:solidFill>
                          <a:miter lim="800000"/>
                          <a:headEnd/>
                          <a:tailEnd/>
                        </a:ln>
                      </wps:spPr>
                      <wps:txbx>
                        <w:txbxContent>
                          <w:p w14:paraId="09080025" w14:textId="77777777" w:rsidR="00692F99" w:rsidRPr="00692F99" w:rsidRDefault="00692F99">
                            <w:pPr>
                              <w:jc w:val="both"/>
                              <w:rPr>
                                <w:rFonts w:ascii="Times New Roman" w:hAnsi="Times New Roman"/>
                                <w:sz w:val="24"/>
                                <w:szCs w:val="24"/>
                              </w:rPr>
                            </w:pPr>
                            <w:r w:rsidRPr="00692F99">
                              <w:rPr>
                                <w:rFonts w:ascii="Times New Roman" w:hAnsi="Times New Roman"/>
                                <w:sz w:val="24"/>
                                <w:szCs w:val="24"/>
                              </w:rPr>
                              <w:t>Въпреки че във фаза 3 по СТЕ на ЕС тръжната продажба е основният метод за разпределяне на квоти, значително количество квоти се разпределят безплатно. Прилагат се следните принципи:</w:t>
                            </w:r>
                          </w:p>
                          <w:p w14:paraId="12FA4896" w14:textId="77777777" w:rsidR="00692F99" w:rsidRPr="00692F99" w:rsidRDefault="00692F99">
                            <w:pPr>
                              <w:pStyle w:val="ListParagraph"/>
                              <w:numPr>
                                <w:ilvl w:val="0"/>
                                <w:numId w:val="10"/>
                              </w:numPr>
                              <w:spacing w:after="200" w:line="276" w:lineRule="auto"/>
                              <w:jc w:val="both"/>
                              <w:rPr>
                                <w:rFonts w:ascii="Times New Roman" w:hAnsi="Times New Roman"/>
                                <w:sz w:val="24"/>
                                <w:szCs w:val="24"/>
                              </w:rPr>
                            </w:pPr>
                            <w:r w:rsidRPr="00692F99">
                              <w:rPr>
                                <w:rFonts w:ascii="Times New Roman" w:hAnsi="Times New Roman"/>
                                <w:sz w:val="24"/>
                                <w:szCs w:val="24"/>
                              </w:rPr>
                              <w:t>производството на електроенергия не получава безплатни квоти;</w:t>
                            </w:r>
                          </w:p>
                          <w:p w14:paraId="26BF5E5D" w14:textId="77777777" w:rsidR="00692F99" w:rsidRPr="00692F99" w:rsidRDefault="00692F99">
                            <w:pPr>
                              <w:pStyle w:val="ListParagraph"/>
                              <w:numPr>
                                <w:ilvl w:val="0"/>
                                <w:numId w:val="10"/>
                              </w:numPr>
                              <w:spacing w:after="200" w:line="276" w:lineRule="auto"/>
                              <w:jc w:val="both"/>
                              <w:rPr>
                                <w:rFonts w:ascii="Times New Roman" w:hAnsi="Times New Roman"/>
                                <w:sz w:val="24"/>
                                <w:szCs w:val="24"/>
                              </w:rPr>
                            </w:pPr>
                            <w:r w:rsidRPr="00692F99">
                              <w:rPr>
                                <w:rFonts w:ascii="Times New Roman" w:hAnsi="Times New Roman"/>
                                <w:sz w:val="24"/>
                                <w:szCs w:val="24"/>
                              </w:rPr>
                              <w:t>безплатни квоти за преработващата промишленост се разпределят в съответствие с правила, хармонизирани за целия ЕС;</w:t>
                            </w:r>
                          </w:p>
                          <w:p w14:paraId="1693CE49" w14:textId="77777777" w:rsidR="00692F99" w:rsidRPr="00692F99" w:rsidRDefault="00692F99">
                            <w:pPr>
                              <w:pStyle w:val="ListParagraph"/>
                              <w:numPr>
                                <w:ilvl w:val="0"/>
                                <w:numId w:val="10"/>
                              </w:numPr>
                              <w:spacing w:after="200" w:line="276" w:lineRule="auto"/>
                              <w:jc w:val="both"/>
                              <w:rPr>
                                <w:rFonts w:ascii="Times New Roman" w:hAnsi="Times New Roman"/>
                                <w:sz w:val="24"/>
                                <w:szCs w:val="24"/>
                              </w:rPr>
                            </w:pPr>
                            <w:r w:rsidRPr="00692F99">
                              <w:rPr>
                                <w:rFonts w:ascii="Times New Roman" w:hAnsi="Times New Roman"/>
                                <w:sz w:val="24"/>
                                <w:szCs w:val="24"/>
                              </w:rPr>
                              <w:t>безплатното разпределение се основава на показатели за ефективност, така че да се засилят стимулите за намаляване на емисиите на парникови газове и иновациите и да се възнаградят най-ефективните инсталации;</w:t>
                            </w:r>
                          </w:p>
                          <w:p w14:paraId="3F5D7859" w14:textId="77777777" w:rsidR="00692F99" w:rsidRPr="00692F99" w:rsidRDefault="00692F99">
                            <w:pPr>
                              <w:pStyle w:val="ListParagraph"/>
                              <w:numPr>
                                <w:ilvl w:val="0"/>
                                <w:numId w:val="10"/>
                              </w:numPr>
                              <w:spacing w:after="200" w:line="276" w:lineRule="auto"/>
                              <w:jc w:val="both"/>
                              <w:rPr>
                                <w:rFonts w:ascii="Times New Roman" w:hAnsi="Times New Roman"/>
                                <w:sz w:val="24"/>
                                <w:szCs w:val="24"/>
                              </w:rPr>
                            </w:pPr>
                            <w:r w:rsidRPr="00692F99">
                              <w:rPr>
                                <w:rFonts w:ascii="Times New Roman" w:hAnsi="Times New Roman"/>
                                <w:sz w:val="24"/>
                                <w:szCs w:val="24"/>
                              </w:rPr>
                              <w:t>установен е обхващащ целия ЕС резерв за нови участници (NER) за нови промишлени инсталации и инсталации със значително увеличен капацитет, който се равнява на 5 % от сумарното количество квоти за фаза 3.</w:t>
                            </w:r>
                          </w:p>
                          <w:p w14:paraId="7FDEC026" w14:textId="77777777" w:rsidR="00692F99" w:rsidRPr="00692F99" w:rsidRDefault="00692F99">
                            <w:pPr>
                              <w:jc w:val="both"/>
                              <w:rPr>
                                <w:rFonts w:ascii="Times New Roman" w:hAnsi="Times New Roman"/>
                                <w:sz w:val="24"/>
                                <w:szCs w:val="24"/>
                              </w:rPr>
                            </w:pPr>
                            <w:r w:rsidRPr="00692F99">
                              <w:rPr>
                                <w:rFonts w:ascii="Times New Roman" w:hAnsi="Times New Roman"/>
                                <w:sz w:val="24"/>
                                <w:szCs w:val="24"/>
                              </w:rPr>
                              <w:t>Безплатните квоти се предоставят на промишлени инсталации с цел справяне с риска от изместване на въглеродни емисии (ситуация, в която предприятия прехвърлят производството си към трети държави с не толкова стриктни ограничения относно емисиите на парникови газове, което може да доведе до увеличаване на общото им количество емисии). Секторите и подсекторите, за които се смята, че са изложени на значителен риск от изместване на въглеродни емисии, са включени в списък за изместване на въглеродни емисии*. Въпреки че първоначално списъкът обхващаше периода 2015—2019 г., преразгледаната Директива за СТЕ на ЕС удължи действието му до 31 декември 2020 г.</w:t>
                            </w:r>
                          </w:p>
                          <w:p w14:paraId="1F7E7F7F" w14:textId="77777777" w:rsidR="00692F99" w:rsidRDefault="00692F99">
                            <w:pPr>
                              <w:spacing w:line="240" w:lineRule="auto"/>
                              <w:rPr>
                                <w:rFonts w:ascii="Times New Roman" w:hAnsi="Times New Roman"/>
                                <w:sz w:val="18"/>
                                <w:szCs w:val="18"/>
                              </w:rPr>
                            </w:pPr>
                            <w:r>
                              <w:rPr>
                                <w:rFonts w:ascii="Times New Roman" w:hAnsi="Times New Roman"/>
                                <w:sz w:val="18"/>
                                <w:szCs w:val="18"/>
                              </w:rPr>
                              <w:t>* Настоящият списък за изместване на въглеродни емисии може да бъде намерен тук: https://eur-lex.europa.eu/legal-content/BG/ALL/?uri=CELEX%3A32014D0746</w:t>
                            </w:r>
                          </w:p>
                        </w:txbxContent>
                      </wps:txbx>
                      <wps:bodyPr rot="0" vert="horz" wrap="square" lIns="91440" tIns="45720" rIns="91440" bIns="45720" anchor="t" anchorCtr="0">
                        <a:noAutofit/>
                      </wps:bodyPr>
                    </wps:wsp>
                  </a:graphicData>
                </a:graphic>
              </wp:inline>
            </w:drawing>
          </mc:Choice>
          <mc:Fallback>
            <w:pict>
              <v:shape w14:anchorId="580257BA" id="_x0000_s1030" type="#_x0000_t202" style="width:452.75pt;height:4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" fillcolor="#d8d8d8 [2732]" strokeweight="1pt">
                <v:textbox>
                  <w:txbxContent>
                    <w:p w14:paraId="09080025" w14:textId="77777777" w:rsidR="00692F99" w:rsidRPr="00692F99" w:rsidRDefault="00692F99">
                      <w:pPr>
                        <w:jc w:val="both"/>
                        <w:rPr>
                          <w:rFonts w:ascii="Times New Roman" w:hAnsi="Times New Roman"/>
                          <w:sz w:val="24"/>
                          <w:szCs w:val="24"/>
                        </w:rPr>
                      </w:pPr>
                      <w:r w:rsidRPr="00692F99">
                        <w:rPr>
                          <w:rFonts w:ascii="Times New Roman" w:hAnsi="Times New Roman"/>
                          <w:sz w:val="24"/>
                          <w:szCs w:val="24"/>
                        </w:rPr>
                        <w:t>Въпреки че във фаза 3 по СТЕ на ЕС тръжната продажба е основният метод за разпределяне на квоти, значително количество квоти се разпределят безплатно. Прилагат се следните принципи:</w:t>
                      </w:r>
                    </w:p>
                    <w:p w14:paraId="12FA4896" w14:textId="77777777" w:rsidR="00692F99" w:rsidRPr="00692F99" w:rsidRDefault="00692F99">
                      <w:pPr>
                        <w:pStyle w:val="ListParagraph"/>
                        <w:numPr>
                          <w:ilvl w:val="0"/>
                          <w:numId w:val="10"/>
                        </w:numPr>
                        <w:spacing w:after="200" w:line="276" w:lineRule="auto"/>
                        <w:jc w:val="both"/>
                        <w:rPr>
                          <w:rFonts w:ascii="Times New Roman" w:hAnsi="Times New Roman"/>
                          <w:sz w:val="24"/>
                          <w:szCs w:val="24"/>
                        </w:rPr>
                      </w:pPr>
                      <w:r w:rsidRPr="00692F99">
                        <w:rPr>
                          <w:rFonts w:ascii="Times New Roman" w:hAnsi="Times New Roman"/>
                          <w:sz w:val="24"/>
                          <w:szCs w:val="24"/>
                        </w:rPr>
                        <w:t>производството на електроенергия не получава безплатни квоти;</w:t>
                      </w:r>
                    </w:p>
                    <w:p w14:paraId="26BF5E5D" w14:textId="77777777" w:rsidR="00692F99" w:rsidRPr="00692F99" w:rsidRDefault="00692F99">
                      <w:pPr>
                        <w:pStyle w:val="ListParagraph"/>
                        <w:numPr>
                          <w:ilvl w:val="0"/>
                          <w:numId w:val="10"/>
                        </w:numPr>
                        <w:spacing w:after="200" w:line="276" w:lineRule="auto"/>
                        <w:jc w:val="both"/>
                        <w:rPr>
                          <w:rFonts w:ascii="Times New Roman" w:hAnsi="Times New Roman"/>
                          <w:sz w:val="24"/>
                          <w:szCs w:val="24"/>
                        </w:rPr>
                      </w:pPr>
                      <w:r w:rsidRPr="00692F99">
                        <w:rPr>
                          <w:rFonts w:ascii="Times New Roman" w:hAnsi="Times New Roman"/>
                          <w:sz w:val="24"/>
                          <w:szCs w:val="24"/>
                        </w:rPr>
                        <w:t>безплатни квоти за преработващата промишленост се разпределят в съответствие с правила, хармонизирани за целия ЕС;</w:t>
                      </w:r>
                    </w:p>
                    <w:p w14:paraId="1693CE49" w14:textId="77777777" w:rsidR="00692F99" w:rsidRPr="00692F99" w:rsidRDefault="00692F99">
                      <w:pPr>
                        <w:pStyle w:val="ListParagraph"/>
                        <w:numPr>
                          <w:ilvl w:val="0"/>
                          <w:numId w:val="10"/>
                        </w:numPr>
                        <w:spacing w:after="200" w:line="276" w:lineRule="auto"/>
                        <w:jc w:val="both"/>
                        <w:rPr>
                          <w:rFonts w:ascii="Times New Roman" w:hAnsi="Times New Roman"/>
                          <w:sz w:val="24"/>
                          <w:szCs w:val="24"/>
                        </w:rPr>
                      </w:pPr>
                      <w:r w:rsidRPr="00692F99">
                        <w:rPr>
                          <w:rFonts w:ascii="Times New Roman" w:hAnsi="Times New Roman"/>
                          <w:sz w:val="24"/>
                          <w:szCs w:val="24"/>
                        </w:rPr>
                        <w:t>безплатното разпределение се основава на показатели за ефективност, така че да се засилят стимулите за намаляване на емисиите на парникови газове и иновациите и да се възнаградят най-ефективните инсталации;</w:t>
                      </w:r>
                    </w:p>
                    <w:p w14:paraId="3F5D7859" w14:textId="77777777" w:rsidR="00692F99" w:rsidRPr="00692F99" w:rsidRDefault="00692F99">
                      <w:pPr>
                        <w:pStyle w:val="ListParagraph"/>
                        <w:numPr>
                          <w:ilvl w:val="0"/>
                          <w:numId w:val="10"/>
                        </w:numPr>
                        <w:spacing w:after="200" w:line="276" w:lineRule="auto"/>
                        <w:jc w:val="both"/>
                        <w:rPr>
                          <w:rFonts w:ascii="Times New Roman" w:hAnsi="Times New Roman"/>
                          <w:sz w:val="24"/>
                          <w:szCs w:val="24"/>
                        </w:rPr>
                      </w:pPr>
                      <w:r w:rsidRPr="00692F99">
                        <w:rPr>
                          <w:rFonts w:ascii="Times New Roman" w:hAnsi="Times New Roman"/>
                          <w:sz w:val="24"/>
                          <w:szCs w:val="24"/>
                        </w:rPr>
                        <w:t>установен е обхващащ целия ЕС резерв за нови участници (NER) за нови промишлени инсталации и инсталации със значително увеличен капацитет, който се равнява на 5 % от сумарното количество квоти за фаза 3.</w:t>
                      </w:r>
                    </w:p>
                    <w:p w14:paraId="7FDEC026" w14:textId="77777777" w:rsidR="00692F99" w:rsidRPr="00692F99" w:rsidRDefault="00692F99">
                      <w:pPr>
                        <w:jc w:val="both"/>
                        <w:rPr>
                          <w:rFonts w:ascii="Times New Roman" w:hAnsi="Times New Roman"/>
                          <w:sz w:val="24"/>
                          <w:szCs w:val="24"/>
                        </w:rPr>
                      </w:pPr>
                      <w:r w:rsidRPr="00692F99">
                        <w:rPr>
                          <w:rFonts w:ascii="Times New Roman" w:hAnsi="Times New Roman"/>
                          <w:sz w:val="24"/>
                          <w:szCs w:val="24"/>
                        </w:rPr>
                        <w:t>Безплатните квоти се предоставят на промишлени инсталации с цел справяне с риска от изместване на въглеродни емисии (ситуация, в която предприятия прехвърлят производството си към трети държави с не толкова стриктни ограничения относно емисиите на парникови газове, което може да доведе до увеличаване на общото им количество емисии). Секторите и подсекторите, за които се смята, че са изложени на значителен риск от изместване на въглеродни емисии, са включени в списък за изместване на въглеродни емисии*. Въпреки че първоначално списъкът обхващаше периода 2015—2019 г., преразгледаната Директива за СТЕ на ЕС удължи действието му до 31 декември 2020 г.</w:t>
                      </w:r>
                    </w:p>
                    <w:p w14:paraId="1F7E7F7F" w14:textId="77777777" w:rsidR="00692F99" w:rsidRDefault="00692F99">
                      <w:pPr>
                        <w:spacing w:line="240" w:lineRule="auto"/>
                        <w:rPr>
                          <w:rFonts w:ascii="Times New Roman" w:hAnsi="Times New Roman"/>
                          <w:sz w:val="18"/>
                          <w:szCs w:val="18"/>
                        </w:rPr>
                      </w:pPr>
                      <w:r>
                        <w:rPr>
                          <w:rFonts w:ascii="Times New Roman" w:hAnsi="Times New Roman"/>
                          <w:sz w:val="18"/>
                          <w:szCs w:val="18"/>
                        </w:rPr>
                        <w:t>* Настоящият списък за изместване на въглеродни емисии може да бъде намерен тук: https://eur-lex.europa.eu/legal-content/BG/ALL/?uri=CELEX%3A32014D0746</w:t>
                      </w:r>
                    </w:p>
                  </w:txbxContent>
                </v:textbox>
                <w10:anchorlock/>
              </v:shape>
            </w:pict>
          </mc:Fallback>
        </mc:AlternateContent>
      </w:r>
    </w:p>
    <w:p w14:paraId="6499690B" w14:textId="77777777" w:rsidR="00C3264D" w:rsidRDefault="003A348D">
      <w:pPr>
        <w:pStyle w:val="NormalWeb"/>
        <w:spacing w:line="276" w:lineRule="auto"/>
        <w:jc w:val="both"/>
      </w:pPr>
      <w:r>
        <w:t>В хода на фаза 3 около 43 % от общото количество налични квоти ще бъдат разпределени безплатно, докато делът на квотите, предвидени за тръжна продажба от държавите членки, възлиза на 57 %.</w:t>
      </w:r>
    </w:p>
    <w:p w14:paraId="6C5FC979" w14:textId="77777777" w:rsidR="00C3264D" w:rsidRDefault="003A348D">
      <w:pPr>
        <w:pStyle w:val="NormalWeb"/>
        <w:spacing w:before="0" w:beforeAutospacing="0" w:after="300" w:afterAutospacing="0" w:line="276" w:lineRule="auto"/>
        <w:jc w:val="both"/>
      </w:pPr>
      <w:r>
        <w:t>В първоначалния резерв за нови участници, след изваждането на 300 милиона квоти за програмата NER 300, е имало 480,2 милиона квоти. До юни 2019 г. 167,9 милиона квоти са били резервирани за 937 инсталации за целия период на фаза 3. Оставащият резерв за нови участници възлиза на 312,3 милиона квоти. Очаква се значителен брой от тези квоти да остане неразпределен. В края на фаза 3 те ще бъдат прехвърлени в резерва за стабилност на пазара (MSR), като 200 милиона от тях ще бъдат използвани за създаването на резерв за нови участници за фаза 4.</w:t>
      </w:r>
    </w:p>
    <w:p w14:paraId="31C1182D" w14:textId="77777777" w:rsidR="00C3264D" w:rsidRDefault="003A348D">
      <w:pPr>
        <w:pStyle w:val="NormalWeb"/>
        <w:spacing w:before="0" w:beforeAutospacing="0" w:after="300" w:afterAutospacing="0" w:line="276" w:lineRule="auto"/>
        <w:jc w:val="both"/>
      </w:pPr>
      <w:r>
        <w:t>До края на месец юни 2019 г. безплатното разпределяне на квоти бе намалено с около 457 милиона квоти поради затваряне на инсталации или съответно намаление на производството или на производствения капацитет в сравнение с първоначалните стойности, използвани при изчислението на предоставените квоти за фаза 3.</w:t>
      </w:r>
    </w:p>
    <w:p w14:paraId="57C93B81" w14:textId="77777777" w:rsidR="00C3264D" w:rsidRDefault="003A348D">
      <w:pPr>
        <w:pStyle w:val="Caption"/>
        <w:keepNext/>
        <w:rPr>
          <w:rFonts w:ascii="Times New Roman" w:hAnsi="Times New Roman"/>
          <w:sz w:val="22"/>
          <w:szCs w:val="22"/>
        </w:rPr>
      </w:pPr>
      <w:r>
        <w:rPr>
          <w:rFonts w:ascii="Times New Roman" w:hAnsi="Times New Roman"/>
          <w:sz w:val="22"/>
          <w:szCs w:val="22"/>
        </w:rPr>
        <w:t>Таблица 2: Брой квоти (в милиони), които са разпределени безплатно на промишлени предприятия през периода 2013—2019 г.</w:t>
      </w:r>
      <w:r>
        <w:rPr>
          <w:rStyle w:val="FootnoteReference"/>
          <w:rFonts w:ascii="Times New Roman" w:hAnsi="Times New Roman"/>
          <w:b w:val="0"/>
          <w:sz w:val="22"/>
          <w:szCs w:val="22"/>
        </w:rPr>
        <w:footnoteReference w:id="18"/>
      </w:r>
    </w:p>
    <w:tbl>
      <w:tblPr>
        <w:tblW w:w="8963"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376"/>
        <w:gridCol w:w="940"/>
        <w:gridCol w:w="948"/>
        <w:gridCol w:w="948"/>
        <w:gridCol w:w="948"/>
        <w:gridCol w:w="949"/>
        <w:gridCol w:w="927"/>
        <w:gridCol w:w="927"/>
      </w:tblGrid>
      <w:tr w:rsidR="00C3264D" w14:paraId="301E88E7" w14:textId="77777777" w:rsidTr="005D3412">
        <w:trPr>
          <w:trHeight w:val="517"/>
        </w:trPr>
        <w:tc>
          <w:tcPr>
            <w:tcW w:w="2376" w:type="dxa"/>
            <w:shd w:val="clear" w:color="auto" w:fill="auto"/>
            <w:vAlign w:val="center"/>
          </w:tcPr>
          <w:p w14:paraId="5DFCB6CD" w14:textId="77777777" w:rsidR="00C3264D" w:rsidRDefault="00C3264D">
            <w:pPr>
              <w:jc w:val="center"/>
              <w:rPr>
                <w:rFonts w:ascii="Times New Roman" w:hAnsi="Times New Roman"/>
                <w:b/>
                <w:sz w:val="20"/>
                <w:szCs w:val="20"/>
              </w:rPr>
            </w:pPr>
          </w:p>
        </w:tc>
        <w:tc>
          <w:tcPr>
            <w:tcW w:w="940" w:type="dxa"/>
            <w:shd w:val="clear" w:color="auto" w:fill="auto"/>
            <w:vAlign w:val="center"/>
          </w:tcPr>
          <w:p w14:paraId="42FDC8BD" w14:textId="77777777" w:rsidR="00C3264D" w:rsidRDefault="00A838C0">
            <w:pPr>
              <w:jc w:val="center"/>
              <w:rPr>
                <w:rFonts w:ascii="Times New Roman" w:hAnsi="Times New Roman"/>
                <w:b/>
                <w:sz w:val="20"/>
                <w:szCs w:val="20"/>
              </w:rPr>
            </w:pPr>
            <w:r>
              <w:rPr>
                <w:rFonts w:ascii="Times New Roman" w:hAnsi="Times New Roman"/>
                <w:b/>
                <w:sz w:val="20"/>
                <w:szCs w:val="20"/>
              </w:rPr>
              <w:t>2013</w:t>
            </w:r>
          </w:p>
        </w:tc>
        <w:tc>
          <w:tcPr>
            <w:tcW w:w="948" w:type="dxa"/>
            <w:shd w:val="clear" w:color="auto" w:fill="auto"/>
            <w:vAlign w:val="center"/>
          </w:tcPr>
          <w:p w14:paraId="1D0AD494" w14:textId="77777777" w:rsidR="00C3264D" w:rsidRDefault="00A838C0">
            <w:pPr>
              <w:jc w:val="center"/>
              <w:rPr>
                <w:rFonts w:ascii="Times New Roman" w:hAnsi="Times New Roman"/>
                <w:b/>
                <w:sz w:val="20"/>
                <w:szCs w:val="20"/>
              </w:rPr>
            </w:pPr>
            <w:r>
              <w:rPr>
                <w:rFonts w:ascii="Times New Roman" w:hAnsi="Times New Roman"/>
                <w:b/>
                <w:sz w:val="20"/>
                <w:szCs w:val="20"/>
              </w:rPr>
              <w:t>2014 г.</w:t>
            </w:r>
          </w:p>
        </w:tc>
        <w:tc>
          <w:tcPr>
            <w:tcW w:w="948" w:type="dxa"/>
            <w:vAlign w:val="center"/>
          </w:tcPr>
          <w:p w14:paraId="4389E40B" w14:textId="77777777" w:rsidR="00C3264D" w:rsidRDefault="00A838C0">
            <w:pPr>
              <w:jc w:val="center"/>
              <w:rPr>
                <w:rFonts w:ascii="Times New Roman" w:hAnsi="Times New Roman"/>
                <w:b/>
                <w:sz w:val="20"/>
                <w:szCs w:val="20"/>
              </w:rPr>
            </w:pPr>
            <w:r>
              <w:rPr>
                <w:rFonts w:ascii="Times New Roman" w:hAnsi="Times New Roman"/>
                <w:b/>
                <w:sz w:val="20"/>
                <w:szCs w:val="20"/>
              </w:rPr>
              <w:t>2015 г.</w:t>
            </w:r>
          </w:p>
        </w:tc>
        <w:tc>
          <w:tcPr>
            <w:tcW w:w="948" w:type="dxa"/>
            <w:vAlign w:val="center"/>
          </w:tcPr>
          <w:p w14:paraId="1BFE4F44" w14:textId="77777777" w:rsidR="00C3264D" w:rsidRDefault="00A838C0">
            <w:pPr>
              <w:jc w:val="center"/>
              <w:rPr>
                <w:rFonts w:ascii="Times New Roman" w:hAnsi="Times New Roman"/>
                <w:b/>
                <w:sz w:val="20"/>
                <w:szCs w:val="20"/>
              </w:rPr>
            </w:pPr>
            <w:r>
              <w:rPr>
                <w:rFonts w:ascii="Times New Roman" w:hAnsi="Times New Roman"/>
                <w:b/>
                <w:sz w:val="20"/>
                <w:szCs w:val="20"/>
              </w:rPr>
              <w:t>2016 г.</w:t>
            </w:r>
          </w:p>
        </w:tc>
        <w:tc>
          <w:tcPr>
            <w:tcW w:w="949" w:type="dxa"/>
            <w:vAlign w:val="center"/>
          </w:tcPr>
          <w:p w14:paraId="0633B24F" w14:textId="77777777" w:rsidR="00C3264D" w:rsidRDefault="00A838C0">
            <w:pPr>
              <w:jc w:val="center"/>
              <w:rPr>
                <w:rFonts w:ascii="Times New Roman" w:hAnsi="Times New Roman"/>
                <w:b/>
                <w:sz w:val="20"/>
                <w:szCs w:val="20"/>
              </w:rPr>
            </w:pPr>
            <w:r>
              <w:rPr>
                <w:rFonts w:ascii="Times New Roman" w:hAnsi="Times New Roman"/>
                <w:b/>
                <w:sz w:val="20"/>
                <w:szCs w:val="20"/>
              </w:rPr>
              <w:t>2017 г.</w:t>
            </w:r>
          </w:p>
        </w:tc>
        <w:tc>
          <w:tcPr>
            <w:tcW w:w="927" w:type="dxa"/>
            <w:vAlign w:val="center"/>
          </w:tcPr>
          <w:p w14:paraId="084C2292" w14:textId="77777777" w:rsidR="00C3264D" w:rsidRDefault="00A838C0">
            <w:pPr>
              <w:jc w:val="center"/>
              <w:rPr>
                <w:rFonts w:ascii="Times New Roman" w:hAnsi="Times New Roman"/>
                <w:b/>
                <w:sz w:val="20"/>
                <w:szCs w:val="20"/>
                <w:highlight w:val="yellow"/>
              </w:rPr>
            </w:pPr>
            <w:r>
              <w:rPr>
                <w:rFonts w:ascii="Times New Roman" w:hAnsi="Times New Roman"/>
                <w:b/>
                <w:sz w:val="20"/>
                <w:szCs w:val="20"/>
              </w:rPr>
              <w:t>2018 г.</w:t>
            </w:r>
          </w:p>
        </w:tc>
        <w:tc>
          <w:tcPr>
            <w:tcW w:w="927" w:type="dxa"/>
            <w:vAlign w:val="center"/>
          </w:tcPr>
          <w:p w14:paraId="6BD6F269" w14:textId="77777777" w:rsidR="00C3264D" w:rsidRDefault="00A838C0">
            <w:pPr>
              <w:jc w:val="center"/>
              <w:rPr>
                <w:rFonts w:ascii="Times New Roman" w:hAnsi="Times New Roman"/>
                <w:b/>
                <w:sz w:val="20"/>
                <w:szCs w:val="20"/>
              </w:rPr>
            </w:pPr>
            <w:r>
              <w:rPr>
                <w:rFonts w:ascii="Times New Roman" w:hAnsi="Times New Roman"/>
                <w:b/>
                <w:sz w:val="20"/>
                <w:szCs w:val="20"/>
              </w:rPr>
              <w:t>2019 г.</w:t>
            </w:r>
          </w:p>
        </w:tc>
      </w:tr>
      <w:tr w:rsidR="00C3264D" w14:paraId="1A471EAD" w14:textId="77777777" w:rsidTr="005D3412">
        <w:trPr>
          <w:trHeight w:val="611"/>
        </w:trPr>
        <w:tc>
          <w:tcPr>
            <w:tcW w:w="2376" w:type="dxa"/>
            <w:shd w:val="clear" w:color="auto" w:fill="auto"/>
            <w:vAlign w:val="center"/>
          </w:tcPr>
          <w:p w14:paraId="1E76C8FB" w14:textId="77777777" w:rsidR="00C3264D" w:rsidRDefault="00A838C0">
            <w:pPr>
              <w:jc w:val="center"/>
              <w:rPr>
                <w:rFonts w:ascii="Times New Roman" w:hAnsi="Times New Roman"/>
                <w:b/>
                <w:sz w:val="20"/>
                <w:szCs w:val="20"/>
              </w:rPr>
            </w:pPr>
            <w:r>
              <w:rPr>
                <w:rFonts w:ascii="Times New Roman" w:hAnsi="Times New Roman"/>
                <w:b/>
                <w:sz w:val="20"/>
                <w:szCs w:val="20"/>
              </w:rPr>
              <w:t>Безплатни квоти</w:t>
            </w:r>
            <w:r>
              <w:rPr>
                <w:rFonts w:ascii="Times New Roman" w:hAnsi="Times New Roman"/>
                <w:b/>
                <w:sz w:val="20"/>
                <w:szCs w:val="20"/>
                <w:vertAlign w:val="superscript"/>
              </w:rPr>
              <w:footnoteReference w:id="19"/>
            </w:r>
            <w:r>
              <w:rPr>
                <w:rFonts w:ascii="Times New Roman" w:hAnsi="Times New Roman"/>
                <w:b/>
                <w:sz w:val="20"/>
                <w:szCs w:val="20"/>
              </w:rPr>
              <w:t xml:space="preserve"> </w:t>
            </w:r>
            <w:r>
              <w:rPr>
                <w:rFonts w:ascii="Times New Roman" w:hAnsi="Times New Roman"/>
                <w:b/>
                <w:sz w:val="20"/>
                <w:szCs w:val="20"/>
              </w:rPr>
              <w:br/>
              <w:t>(ЕС-28 + държавите от ЕИП и ЕАСТ)</w:t>
            </w:r>
          </w:p>
        </w:tc>
        <w:tc>
          <w:tcPr>
            <w:tcW w:w="940" w:type="dxa"/>
            <w:shd w:val="clear" w:color="auto" w:fill="auto"/>
            <w:vAlign w:val="center"/>
          </w:tcPr>
          <w:p w14:paraId="4E090E77" w14:textId="77777777" w:rsidR="00C3264D" w:rsidRDefault="00A838C0">
            <w:pPr>
              <w:jc w:val="center"/>
              <w:rPr>
                <w:rFonts w:ascii="Times New Roman" w:hAnsi="Times New Roman"/>
                <w:sz w:val="20"/>
                <w:szCs w:val="20"/>
              </w:rPr>
            </w:pPr>
            <w:r>
              <w:rPr>
                <w:rFonts w:ascii="Times New Roman" w:hAnsi="Times New Roman"/>
                <w:sz w:val="20"/>
                <w:szCs w:val="20"/>
              </w:rPr>
              <w:t>903,0</w:t>
            </w:r>
          </w:p>
        </w:tc>
        <w:tc>
          <w:tcPr>
            <w:tcW w:w="948" w:type="dxa"/>
            <w:shd w:val="clear" w:color="auto" w:fill="auto"/>
            <w:vAlign w:val="center"/>
          </w:tcPr>
          <w:p w14:paraId="4C7CB76F" w14:textId="77777777" w:rsidR="00C3264D" w:rsidRDefault="00A838C0">
            <w:pPr>
              <w:jc w:val="center"/>
              <w:rPr>
                <w:rFonts w:ascii="Times New Roman" w:hAnsi="Times New Roman"/>
                <w:sz w:val="20"/>
                <w:szCs w:val="20"/>
              </w:rPr>
            </w:pPr>
            <w:r>
              <w:rPr>
                <w:rFonts w:ascii="Times New Roman" w:hAnsi="Times New Roman"/>
                <w:sz w:val="20"/>
                <w:szCs w:val="20"/>
              </w:rPr>
              <w:t>874,8</w:t>
            </w:r>
          </w:p>
        </w:tc>
        <w:tc>
          <w:tcPr>
            <w:tcW w:w="948" w:type="dxa"/>
            <w:vAlign w:val="center"/>
          </w:tcPr>
          <w:p w14:paraId="6795ECBF" w14:textId="77777777" w:rsidR="00C3264D" w:rsidRDefault="00A838C0">
            <w:pPr>
              <w:jc w:val="center"/>
              <w:rPr>
                <w:rFonts w:ascii="Times New Roman" w:hAnsi="Times New Roman"/>
                <w:sz w:val="20"/>
                <w:szCs w:val="20"/>
              </w:rPr>
            </w:pPr>
            <w:r>
              <w:rPr>
                <w:rFonts w:ascii="Times New Roman" w:hAnsi="Times New Roman"/>
                <w:sz w:val="20"/>
                <w:szCs w:val="20"/>
              </w:rPr>
              <w:t>847,6</w:t>
            </w:r>
          </w:p>
        </w:tc>
        <w:tc>
          <w:tcPr>
            <w:tcW w:w="948" w:type="dxa"/>
            <w:vAlign w:val="center"/>
          </w:tcPr>
          <w:p w14:paraId="7DA849E7" w14:textId="77777777" w:rsidR="00C3264D" w:rsidRDefault="00A838C0">
            <w:pPr>
              <w:jc w:val="center"/>
              <w:rPr>
                <w:rFonts w:ascii="Times New Roman" w:hAnsi="Times New Roman"/>
                <w:sz w:val="20"/>
                <w:szCs w:val="20"/>
              </w:rPr>
            </w:pPr>
            <w:r>
              <w:rPr>
                <w:rFonts w:ascii="Times New Roman" w:hAnsi="Times New Roman"/>
                <w:sz w:val="20"/>
                <w:szCs w:val="20"/>
              </w:rPr>
              <w:t>821,3</w:t>
            </w:r>
          </w:p>
        </w:tc>
        <w:tc>
          <w:tcPr>
            <w:tcW w:w="949" w:type="dxa"/>
            <w:vAlign w:val="center"/>
          </w:tcPr>
          <w:p w14:paraId="3C28200C" w14:textId="77777777" w:rsidR="00C3264D" w:rsidRDefault="00A838C0">
            <w:pPr>
              <w:jc w:val="center"/>
              <w:rPr>
                <w:rFonts w:ascii="Times New Roman" w:hAnsi="Times New Roman"/>
                <w:sz w:val="20"/>
                <w:szCs w:val="20"/>
              </w:rPr>
            </w:pPr>
            <w:r>
              <w:rPr>
                <w:rFonts w:ascii="Times New Roman" w:hAnsi="Times New Roman"/>
                <w:sz w:val="20"/>
                <w:szCs w:val="20"/>
              </w:rPr>
              <w:t>796,2</w:t>
            </w:r>
          </w:p>
        </w:tc>
        <w:tc>
          <w:tcPr>
            <w:tcW w:w="927" w:type="dxa"/>
            <w:vAlign w:val="center"/>
          </w:tcPr>
          <w:p w14:paraId="6A625362" w14:textId="77777777" w:rsidR="00C3264D" w:rsidRDefault="00A838C0">
            <w:pPr>
              <w:jc w:val="center"/>
              <w:rPr>
                <w:rFonts w:ascii="Times New Roman" w:hAnsi="Times New Roman"/>
                <w:sz w:val="20"/>
                <w:szCs w:val="20"/>
              </w:rPr>
            </w:pPr>
            <w:r>
              <w:rPr>
                <w:rFonts w:ascii="Times New Roman" w:hAnsi="Times New Roman"/>
                <w:sz w:val="20"/>
                <w:szCs w:val="20"/>
              </w:rPr>
              <w:t>771,9</w:t>
            </w:r>
          </w:p>
        </w:tc>
        <w:tc>
          <w:tcPr>
            <w:tcW w:w="927" w:type="dxa"/>
            <w:vAlign w:val="center"/>
          </w:tcPr>
          <w:p w14:paraId="5925CD70" w14:textId="77777777" w:rsidR="00C3264D" w:rsidRDefault="00A838C0">
            <w:pPr>
              <w:jc w:val="center"/>
              <w:rPr>
                <w:rFonts w:ascii="Times New Roman" w:hAnsi="Times New Roman"/>
                <w:sz w:val="20"/>
                <w:szCs w:val="20"/>
              </w:rPr>
            </w:pPr>
            <w:r>
              <w:rPr>
                <w:rFonts w:ascii="Times New Roman" w:hAnsi="Times New Roman"/>
                <w:sz w:val="20"/>
                <w:szCs w:val="20"/>
              </w:rPr>
              <w:t>748,1</w:t>
            </w:r>
            <w:r>
              <w:rPr>
                <w:rStyle w:val="FootnoteReference"/>
                <w:rFonts w:ascii="Times New Roman" w:hAnsi="Times New Roman"/>
                <w:sz w:val="20"/>
                <w:szCs w:val="20"/>
              </w:rPr>
              <w:footnoteReference w:id="20"/>
            </w:r>
          </w:p>
        </w:tc>
      </w:tr>
      <w:tr w:rsidR="00C3264D" w14:paraId="06EC50EF" w14:textId="77777777" w:rsidTr="005D3412">
        <w:trPr>
          <w:trHeight w:val="1191"/>
        </w:trPr>
        <w:tc>
          <w:tcPr>
            <w:tcW w:w="2376" w:type="dxa"/>
            <w:shd w:val="clear" w:color="auto" w:fill="auto"/>
            <w:vAlign w:val="center"/>
          </w:tcPr>
          <w:p w14:paraId="35709649" w14:textId="77777777" w:rsidR="00C3264D" w:rsidRDefault="00A838C0">
            <w:pPr>
              <w:jc w:val="center"/>
              <w:rPr>
                <w:rFonts w:ascii="Times New Roman" w:hAnsi="Times New Roman"/>
                <w:b/>
                <w:sz w:val="20"/>
                <w:szCs w:val="20"/>
              </w:rPr>
            </w:pPr>
            <w:r>
              <w:rPr>
                <w:rFonts w:ascii="Times New Roman" w:hAnsi="Times New Roman"/>
                <w:b/>
                <w:sz w:val="20"/>
                <w:szCs w:val="20"/>
              </w:rPr>
              <w:t>Квоти, разпределени от резерва за нови участници (за инвестиции на зелено и за увеличения на капацитета)</w:t>
            </w:r>
          </w:p>
        </w:tc>
        <w:tc>
          <w:tcPr>
            <w:tcW w:w="940" w:type="dxa"/>
            <w:shd w:val="clear" w:color="auto" w:fill="auto"/>
            <w:vAlign w:val="center"/>
          </w:tcPr>
          <w:p w14:paraId="3B423447" w14:textId="77777777" w:rsidR="00C3264D" w:rsidRDefault="00A838C0">
            <w:pPr>
              <w:jc w:val="center"/>
              <w:rPr>
                <w:rFonts w:ascii="Times New Roman" w:hAnsi="Times New Roman"/>
                <w:sz w:val="20"/>
                <w:szCs w:val="20"/>
              </w:rPr>
            </w:pPr>
            <w:r>
              <w:rPr>
                <w:rFonts w:ascii="Times New Roman" w:hAnsi="Times New Roman"/>
                <w:sz w:val="20"/>
                <w:szCs w:val="20"/>
              </w:rPr>
              <w:t>11,7</w:t>
            </w:r>
          </w:p>
        </w:tc>
        <w:tc>
          <w:tcPr>
            <w:tcW w:w="948" w:type="dxa"/>
            <w:shd w:val="clear" w:color="auto" w:fill="auto"/>
            <w:vAlign w:val="center"/>
          </w:tcPr>
          <w:p w14:paraId="75DC65C0" w14:textId="77777777" w:rsidR="00C3264D" w:rsidRDefault="00A838C0">
            <w:pPr>
              <w:jc w:val="center"/>
              <w:rPr>
                <w:rFonts w:ascii="Times New Roman" w:hAnsi="Times New Roman"/>
                <w:sz w:val="20"/>
                <w:szCs w:val="20"/>
              </w:rPr>
            </w:pPr>
            <w:r>
              <w:rPr>
                <w:rFonts w:ascii="Times New Roman" w:hAnsi="Times New Roman"/>
                <w:sz w:val="20"/>
                <w:szCs w:val="20"/>
              </w:rPr>
              <w:t>15,3</w:t>
            </w:r>
          </w:p>
        </w:tc>
        <w:tc>
          <w:tcPr>
            <w:tcW w:w="948" w:type="dxa"/>
            <w:vAlign w:val="center"/>
          </w:tcPr>
          <w:p w14:paraId="23386E6A" w14:textId="77777777" w:rsidR="00C3264D" w:rsidRDefault="00A838C0">
            <w:pPr>
              <w:jc w:val="center"/>
              <w:rPr>
                <w:rFonts w:ascii="Times New Roman" w:hAnsi="Times New Roman"/>
                <w:sz w:val="20"/>
                <w:szCs w:val="20"/>
              </w:rPr>
            </w:pPr>
            <w:r>
              <w:rPr>
                <w:rFonts w:ascii="Times New Roman" w:hAnsi="Times New Roman"/>
                <w:sz w:val="20"/>
                <w:szCs w:val="20"/>
              </w:rPr>
              <w:t>18,6</w:t>
            </w:r>
          </w:p>
        </w:tc>
        <w:tc>
          <w:tcPr>
            <w:tcW w:w="948" w:type="dxa"/>
            <w:vAlign w:val="center"/>
          </w:tcPr>
          <w:p w14:paraId="46F08F21" w14:textId="77777777" w:rsidR="00C3264D" w:rsidRDefault="00A838C0">
            <w:pPr>
              <w:jc w:val="center"/>
              <w:rPr>
                <w:rFonts w:ascii="Times New Roman" w:hAnsi="Times New Roman"/>
                <w:sz w:val="20"/>
                <w:szCs w:val="20"/>
              </w:rPr>
            </w:pPr>
            <w:r>
              <w:rPr>
                <w:rFonts w:ascii="Times New Roman" w:hAnsi="Times New Roman"/>
                <w:sz w:val="20"/>
                <w:szCs w:val="20"/>
              </w:rPr>
              <w:t>21,8</w:t>
            </w:r>
          </w:p>
        </w:tc>
        <w:tc>
          <w:tcPr>
            <w:tcW w:w="949" w:type="dxa"/>
            <w:vAlign w:val="center"/>
          </w:tcPr>
          <w:p w14:paraId="15AFCECA" w14:textId="77777777" w:rsidR="00C3264D" w:rsidRDefault="00A838C0">
            <w:pPr>
              <w:jc w:val="center"/>
              <w:rPr>
                <w:rFonts w:ascii="Times New Roman" w:hAnsi="Times New Roman"/>
                <w:sz w:val="20"/>
                <w:szCs w:val="20"/>
              </w:rPr>
            </w:pPr>
            <w:r>
              <w:rPr>
                <w:rFonts w:ascii="Times New Roman" w:hAnsi="Times New Roman"/>
                <w:sz w:val="20"/>
                <w:szCs w:val="20"/>
              </w:rPr>
              <w:t>23,4</w:t>
            </w:r>
          </w:p>
        </w:tc>
        <w:tc>
          <w:tcPr>
            <w:tcW w:w="927" w:type="dxa"/>
            <w:vAlign w:val="center"/>
          </w:tcPr>
          <w:p w14:paraId="149CE125" w14:textId="77777777" w:rsidR="00C3264D" w:rsidRDefault="00A838C0">
            <w:pPr>
              <w:jc w:val="center"/>
              <w:rPr>
                <w:rFonts w:ascii="Times New Roman" w:hAnsi="Times New Roman"/>
                <w:sz w:val="20"/>
                <w:szCs w:val="20"/>
              </w:rPr>
            </w:pPr>
            <w:r>
              <w:rPr>
                <w:rFonts w:ascii="Times New Roman" w:hAnsi="Times New Roman"/>
                <w:sz w:val="20"/>
                <w:szCs w:val="20"/>
              </w:rPr>
              <w:t>23,6</w:t>
            </w:r>
          </w:p>
        </w:tc>
        <w:tc>
          <w:tcPr>
            <w:tcW w:w="927" w:type="dxa"/>
            <w:vAlign w:val="center"/>
          </w:tcPr>
          <w:p w14:paraId="61760009" w14:textId="77777777" w:rsidR="00C3264D" w:rsidRDefault="00A838C0">
            <w:pPr>
              <w:jc w:val="center"/>
              <w:rPr>
                <w:rFonts w:ascii="Times New Roman" w:hAnsi="Times New Roman"/>
                <w:sz w:val="20"/>
                <w:szCs w:val="20"/>
              </w:rPr>
            </w:pPr>
            <w:r>
              <w:rPr>
                <w:rFonts w:ascii="Times New Roman" w:hAnsi="Times New Roman"/>
                <w:sz w:val="20"/>
                <w:szCs w:val="20"/>
              </w:rPr>
              <w:t>22,9</w:t>
            </w:r>
          </w:p>
        </w:tc>
      </w:tr>
      <w:tr w:rsidR="00C3264D" w14:paraId="50BD8E4D" w14:textId="77777777" w:rsidTr="005D3412">
        <w:trPr>
          <w:trHeight w:val="947"/>
        </w:trPr>
        <w:tc>
          <w:tcPr>
            <w:tcW w:w="2376" w:type="dxa"/>
            <w:shd w:val="clear" w:color="auto" w:fill="auto"/>
            <w:vAlign w:val="center"/>
          </w:tcPr>
          <w:p w14:paraId="32E99760" w14:textId="77777777" w:rsidR="00C3264D" w:rsidRDefault="00A838C0">
            <w:pPr>
              <w:jc w:val="center"/>
              <w:rPr>
                <w:rFonts w:ascii="Times New Roman" w:hAnsi="Times New Roman"/>
                <w:b/>
                <w:sz w:val="20"/>
                <w:szCs w:val="20"/>
              </w:rPr>
            </w:pPr>
            <w:r>
              <w:rPr>
                <w:rFonts w:ascii="Times New Roman" w:hAnsi="Times New Roman"/>
                <w:b/>
                <w:sz w:val="20"/>
                <w:szCs w:val="20"/>
              </w:rPr>
              <w:t>Безплатни квоти, останали неразпределени поради затваряне на инсталации или поради промени в производството или производствения капацитет</w:t>
            </w:r>
          </w:p>
        </w:tc>
        <w:tc>
          <w:tcPr>
            <w:tcW w:w="940" w:type="dxa"/>
            <w:shd w:val="clear" w:color="auto" w:fill="auto"/>
            <w:vAlign w:val="center"/>
          </w:tcPr>
          <w:p w14:paraId="4660FA58" w14:textId="77777777" w:rsidR="00C3264D" w:rsidRDefault="00A838C0">
            <w:pPr>
              <w:jc w:val="center"/>
              <w:rPr>
                <w:rFonts w:ascii="Times New Roman" w:hAnsi="Times New Roman"/>
                <w:sz w:val="20"/>
                <w:szCs w:val="20"/>
                <w:highlight w:val="yellow"/>
              </w:rPr>
            </w:pPr>
            <w:r>
              <w:rPr>
                <w:rFonts w:ascii="Times New Roman" w:hAnsi="Times New Roman"/>
                <w:sz w:val="20"/>
                <w:szCs w:val="20"/>
              </w:rPr>
              <w:t>40,1</w:t>
            </w:r>
          </w:p>
        </w:tc>
        <w:tc>
          <w:tcPr>
            <w:tcW w:w="948" w:type="dxa"/>
            <w:shd w:val="clear" w:color="auto" w:fill="auto"/>
            <w:vAlign w:val="center"/>
          </w:tcPr>
          <w:p w14:paraId="1170CBDA" w14:textId="77777777" w:rsidR="00C3264D" w:rsidRDefault="00A838C0">
            <w:pPr>
              <w:jc w:val="center"/>
              <w:rPr>
                <w:rFonts w:ascii="Times New Roman" w:hAnsi="Times New Roman"/>
                <w:sz w:val="20"/>
                <w:szCs w:val="20"/>
              </w:rPr>
            </w:pPr>
            <w:r>
              <w:rPr>
                <w:rFonts w:ascii="Times New Roman" w:hAnsi="Times New Roman"/>
                <w:sz w:val="20"/>
                <w:szCs w:val="20"/>
              </w:rPr>
              <w:t>58,9</w:t>
            </w:r>
          </w:p>
        </w:tc>
        <w:tc>
          <w:tcPr>
            <w:tcW w:w="948" w:type="dxa"/>
            <w:vAlign w:val="center"/>
          </w:tcPr>
          <w:p w14:paraId="2F49216B" w14:textId="77777777" w:rsidR="00C3264D" w:rsidRDefault="00A838C0">
            <w:pPr>
              <w:jc w:val="center"/>
              <w:rPr>
                <w:rFonts w:ascii="Times New Roman" w:hAnsi="Times New Roman"/>
                <w:sz w:val="20"/>
                <w:szCs w:val="20"/>
              </w:rPr>
            </w:pPr>
            <w:r>
              <w:rPr>
                <w:rFonts w:ascii="Times New Roman" w:hAnsi="Times New Roman"/>
                <w:sz w:val="20"/>
                <w:szCs w:val="20"/>
              </w:rPr>
              <w:t>70,8</w:t>
            </w:r>
          </w:p>
        </w:tc>
        <w:tc>
          <w:tcPr>
            <w:tcW w:w="948" w:type="dxa"/>
            <w:vAlign w:val="center"/>
          </w:tcPr>
          <w:p w14:paraId="2393DAB1" w14:textId="77777777" w:rsidR="00C3264D" w:rsidRDefault="00711C2B">
            <w:pPr>
              <w:jc w:val="center"/>
              <w:rPr>
                <w:rFonts w:ascii="Times New Roman" w:hAnsi="Times New Roman"/>
                <w:sz w:val="20"/>
                <w:szCs w:val="20"/>
              </w:rPr>
            </w:pPr>
            <w:r>
              <w:rPr>
                <w:rFonts w:ascii="Times New Roman" w:hAnsi="Times New Roman"/>
                <w:sz w:val="20"/>
                <w:szCs w:val="20"/>
              </w:rPr>
              <w:t>67,5</w:t>
            </w:r>
          </w:p>
        </w:tc>
        <w:tc>
          <w:tcPr>
            <w:tcW w:w="949" w:type="dxa"/>
            <w:vAlign w:val="center"/>
          </w:tcPr>
          <w:p w14:paraId="7A398373" w14:textId="77777777" w:rsidR="00C3264D" w:rsidRDefault="00711C2B">
            <w:pPr>
              <w:jc w:val="center"/>
              <w:rPr>
                <w:rFonts w:ascii="Times New Roman" w:hAnsi="Times New Roman"/>
                <w:sz w:val="20"/>
                <w:szCs w:val="20"/>
              </w:rPr>
            </w:pPr>
            <w:r>
              <w:rPr>
                <w:rFonts w:ascii="Times New Roman" w:hAnsi="Times New Roman"/>
                <w:sz w:val="20"/>
                <w:szCs w:val="20"/>
              </w:rPr>
              <w:t>71,6</w:t>
            </w:r>
          </w:p>
        </w:tc>
        <w:tc>
          <w:tcPr>
            <w:tcW w:w="927" w:type="dxa"/>
            <w:vAlign w:val="center"/>
          </w:tcPr>
          <w:p w14:paraId="0B74DA1A" w14:textId="77777777" w:rsidR="00C3264D" w:rsidRDefault="00711C2B">
            <w:pPr>
              <w:jc w:val="center"/>
              <w:rPr>
                <w:rFonts w:ascii="Times New Roman" w:hAnsi="Times New Roman"/>
                <w:sz w:val="20"/>
                <w:szCs w:val="20"/>
              </w:rPr>
            </w:pPr>
            <w:r>
              <w:rPr>
                <w:rFonts w:ascii="Times New Roman" w:hAnsi="Times New Roman"/>
                <w:sz w:val="20"/>
                <w:szCs w:val="20"/>
              </w:rPr>
              <w:t>75,9</w:t>
            </w:r>
          </w:p>
        </w:tc>
        <w:tc>
          <w:tcPr>
            <w:tcW w:w="927" w:type="dxa"/>
            <w:vAlign w:val="center"/>
          </w:tcPr>
          <w:p w14:paraId="1CDFCCB9" w14:textId="77777777" w:rsidR="00C3264D" w:rsidRDefault="00A838C0">
            <w:pPr>
              <w:jc w:val="center"/>
              <w:rPr>
                <w:rFonts w:ascii="Times New Roman" w:hAnsi="Times New Roman"/>
                <w:sz w:val="20"/>
                <w:szCs w:val="20"/>
              </w:rPr>
            </w:pPr>
            <w:r>
              <w:rPr>
                <w:rFonts w:ascii="Times New Roman" w:hAnsi="Times New Roman"/>
                <w:sz w:val="20"/>
                <w:szCs w:val="20"/>
              </w:rPr>
              <w:t>71,9</w:t>
            </w:r>
          </w:p>
        </w:tc>
      </w:tr>
    </w:tbl>
    <w:p w14:paraId="1309098D" w14:textId="77777777" w:rsidR="00C3264D" w:rsidRDefault="003A348D">
      <w:pPr>
        <w:pStyle w:val="NormalWeb"/>
        <w:spacing w:line="276" w:lineRule="auto"/>
        <w:jc w:val="both"/>
      </w:pPr>
      <w:r>
        <w:t>Тъй като търсенето на безплатни квоти е надхвърлило наличните количества, разпределението за всички инсталации в обхвата на СТЕ на ЕС беше намалено със същия процент чрез прилагането на „междуотраслов корекционен коефициент (CSCF)“</w:t>
      </w:r>
      <w:r>
        <w:rPr>
          <w:rStyle w:val="FootnoteReference"/>
        </w:rPr>
        <w:footnoteReference w:id="21"/>
      </w:r>
      <w:r>
        <w:t>. През 2017 г. първоначалните стойности на коефициента CSFC бяха преразгледани</w:t>
      </w:r>
      <w:r>
        <w:rPr>
          <w:rStyle w:val="FootnoteReference"/>
        </w:rPr>
        <w:footnoteReference w:id="22"/>
      </w:r>
      <w:r>
        <w:t>.</w:t>
      </w:r>
    </w:p>
    <w:p w14:paraId="5CC01713" w14:textId="77777777" w:rsidR="00C3264D" w:rsidRDefault="00341982">
      <w:pPr>
        <w:pStyle w:val="NormalWeb"/>
        <w:spacing w:line="276" w:lineRule="auto"/>
        <w:jc w:val="both"/>
      </w:pPr>
      <w:r>
        <w:t>За да се избегне рискът от изместване на въглеродни емисии, безплатното предоставяне на квоти ще продължи и след 2020 г. въз основа на актуализирани стойности на показателите за ефективност, получени от 10 % от най-ефективните инсталации в ЕС. Степента на риска от изместване на емисиите за отраслите бе оценена въз основа на комбиниран показател, отразяващ интензивността на търговията на даден отрасъл с трети държави, умножена по интензивността на емисиите на този отрасъл. Въз основа на тази оценка през февруари 2019 г. Комисията прие списъка за изместване на въглеродни емисии за следващия период на търгуване</w:t>
      </w:r>
      <w:r>
        <w:rPr>
          <w:rStyle w:val="FootnoteReference"/>
        </w:rPr>
        <w:footnoteReference w:id="23"/>
      </w:r>
      <w:r>
        <w:t>, който ще бъде валиден през цялата фаза 4.</w:t>
      </w:r>
    </w:p>
    <w:p w14:paraId="50421E3A" w14:textId="77777777" w:rsidR="00C3264D" w:rsidRPr="00692F99" w:rsidRDefault="00511F9D">
      <w:pPr>
        <w:jc w:val="both"/>
        <w:rPr>
          <w:rFonts w:ascii="Times New Roman" w:eastAsia="Times New Roman" w:hAnsi="Times New Roman"/>
          <w:sz w:val="24"/>
          <w:szCs w:val="24"/>
        </w:rPr>
      </w:pPr>
      <w:r w:rsidRPr="00692F99">
        <w:rPr>
          <w:rFonts w:ascii="Times New Roman" w:hAnsi="Times New Roman"/>
          <w:sz w:val="24"/>
          <w:szCs w:val="24"/>
        </w:rPr>
        <w:t>За да бъде отразен напредъкът на технологиите и иновациите, стойностите на показателите ще бъдат актуализирани два пъти във фаза 4 въз основа на реални данни. Инсталациите, които подават заявления за безплатно разпределяне на квоти през първия период на разпределяне (2021—2025 г.), трябваше да представят необходимите данни на компетентните органи до 30 май 2019 г. Тези данни ще се използват от Комисията за изчисляване на разпределението на квоти за всяка инсталация, както и за актуализиране на стойностите на показателите за периода 2021—2025 г. През декември 2018 г. бе приет делегираният акт за преразглеждане на правилата за безплатното разпределяне на квоти за периода 2021—2030 г.</w:t>
      </w:r>
      <w:r w:rsidRPr="00692F99">
        <w:rPr>
          <w:rFonts w:ascii="Times New Roman" w:eastAsia="Times New Roman" w:hAnsi="Times New Roman"/>
          <w:sz w:val="24"/>
          <w:szCs w:val="24"/>
          <w:vertAlign w:val="superscript"/>
        </w:rPr>
        <w:footnoteReference w:id="24"/>
      </w:r>
      <w:r w:rsidRPr="00692F99">
        <w:rPr>
          <w:rFonts w:ascii="Times New Roman" w:hAnsi="Times New Roman"/>
          <w:sz w:val="24"/>
          <w:szCs w:val="24"/>
        </w:rPr>
        <w:t xml:space="preserve">, като същевременно започна работата по актуализиране на стойностите на показателите за периода 2021—2025 г. (вж. допълнение 7 към приложението). </w:t>
      </w:r>
    </w:p>
    <w:p w14:paraId="138E673F" w14:textId="77777777" w:rsidR="00C3264D" w:rsidRPr="00692F99" w:rsidRDefault="00427EEB">
      <w:pPr>
        <w:jc w:val="both"/>
        <w:rPr>
          <w:sz w:val="24"/>
          <w:szCs w:val="24"/>
        </w:rPr>
      </w:pPr>
      <w:r w:rsidRPr="00692F99">
        <w:rPr>
          <w:rFonts w:ascii="Times New Roman" w:hAnsi="Times New Roman"/>
          <w:sz w:val="24"/>
          <w:szCs w:val="24"/>
        </w:rPr>
        <w:t>През фаза 4 квотите за отделните инсталации ще бъдат коригирани своевременно, за да отразяват значителното увеличаване или намаляване на дейността. За да се предотвратят манипулирането и злоупотребите със системата за извършване на корекции на разпределяните квоти и да се избегне ненужната административна тежест, Комисията ще приеме акт за изпълнение за определяне на допълнителни мерки за извършване на корекции (вж. допълнение 7 към приложението).</w:t>
      </w:r>
    </w:p>
    <w:p w14:paraId="591B9D00" w14:textId="77777777" w:rsidR="00C3264D" w:rsidRPr="00692F99" w:rsidRDefault="00C3264D">
      <w:pPr>
        <w:pStyle w:val="NormalWeb"/>
        <w:spacing w:line="276" w:lineRule="auto"/>
        <w:jc w:val="both"/>
      </w:pPr>
    </w:p>
    <w:p w14:paraId="1362DCEC" w14:textId="77777777" w:rsidR="00C3264D" w:rsidRDefault="003A348D">
      <w:pPr>
        <w:pStyle w:val="NormalWeb"/>
        <w:spacing w:line="276" w:lineRule="auto"/>
        <w:jc w:val="both"/>
      </w:pPr>
      <w:r>
        <w:br w:type="page"/>
      </w:r>
    </w:p>
    <w:p w14:paraId="52C20DFE" w14:textId="77777777" w:rsidR="00C3264D" w:rsidRDefault="00A52F4C">
      <w:pPr>
        <w:pStyle w:val="Heading4"/>
        <w:spacing w:before="0" w:after="200"/>
        <w:ind w:left="1080"/>
      </w:pPr>
      <w:bookmarkStart w:id="12" w:name="_Toc28015583"/>
      <w:r>
        <w:t>3.1.2.2. Програмата NER 300 и Фондът за иновации</w:t>
      </w:r>
      <w:bookmarkEnd w:id="12"/>
      <w:r>
        <w:t xml:space="preserve"> </w:t>
      </w:r>
    </w:p>
    <w:p w14:paraId="799FB551" w14:textId="77777777" w:rsidR="00C3264D" w:rsidRDefault="003A348D">
      <w:pPr>
        <w:pStyle w:val="a3520normalp11"/>
        <w:spacing w:line="276" w:lineRule="auto"/>
      </w:pPr>
      <w:r>
        <w:rPr>
          <w:noProof/>
          <w:lang w:val="en-GB"/>
        </w:rPr>
        <mc:AlternateContent>
          <mc:Choice Requires="wps">
            <w:drawing>
              <wp:inline distT="0" distB="0" distL="0" distR="0" wp14:anchorId="43B3B7B1" wp14:editId="7BEE2370">
                <wp:extent cx="5720486" cy="4086225"/>
                <wp:effectExtent l="0" t="0" r="13970" b="28575"/>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486" cy="4086225"/>
                        </a:xfrm>
                        <a:prstGeom prst="rect">
                          <a:avLst/>
                        </a:prstGeom>
                        <a:solidFill>
                          <a:schemeClr val="bg1">
                            <a:lumMod val="85000"/>
                          </a:schemeClr>
                        </a:solidFill>
                        <a:ln w="12700">
                          <a:solidFill>
                            <a:srgbClr val="000000"/>
                          </a:solidFill>
                          <a:miter lim="800000"/>
                          <a:headEnd/>
                          <a:tailEnd/>
                        </a:ln>
                      </wps:spPr>
                      <wps:txbx>
                        <w:txbxContent>
                          <w:p w14:paraId="0D4ADEA3" w14:textId="77777777" w:rsidR="00692F99" w:rsidRPr="00692F99" w:rsidRDefault="00692F99">
                            <w:pPr>
                              <w:jc w:val="both"/>
                              <w:rPr>
                                <w:rFonts w:ascii="Times New Roman" w:hAnsi="Times New Roman"/>
                                <w:sz w:val="24"/>
                                <w:szCs w:val="24"/>
                              </w:rPr>
                            </w:pPr>
                            <w:r w:rsidRPr="00692F99">
                              <w:rPr>
                                <w:rFonts w:ascii="Times New Roman" w:hAnsi="Times New Roman"/>
                                <w:sz w:val="24"/>
                                <w:szCs w:val="24"/>
                              </w:rPr>
                              <w:t xml:space="preserve">NER 300 е широкомащабна програма за финансиране на иновационни нисковъглеродни демонстрационни проекти в областта на енергетиката. Целта на програмата е в рамките на ЕС да се демонстрират начини за безопасно за околната среда улавяне и съхранение на СО2 (CCS), , както и иновативни технологии за възобновяеми енергийни източници (ВЕИ) в мащаб на стопанска реализация. NER 300 беше финансирана от осребряването на 300 милиона квоти за емисии от NER. Средствата бяха предоставени на проекти, избрани чрез два кръга от покани за представяне на предложения през декември 2012 г. и през юли 2014 г. </w:t>
                            </w:r>
                          </w:p>
                          <w:p w14:paraId="0C4BD408" w14:textId="15685AD9" w:rsidR="00692F99" w:rsidRPr="00692F99" w:rsidRDefault="00692F99">
                            <w:pPr>
                              <w:jc w:val="both"/>
                              <w:rPr>
                                <w:rFonts w:ascii="Times New Roman" w:hAnsi="Times New Roman"/>
                                <w:sz w:val="24"/>
                                <w:szCs w:val="24"/>
                              </w:rPr>
                            </w:pPr>
                            <w:r w:rsidRPr="00692F99">
                              <w:rPr>
                                <w:rFonts w:ascii="Times New Roman" w:hAnsi="Times New Roman"/>
                                <w:sz w:val="24"/>
                                <w:szCs w:val="24"/>
                              </w:rPr>
                              <w:t>Фондът за иновации е един от двата механизма за финансиране на нисковъглеродни технологии, създадени с преразгледаната Директива за СТЕ на ЕС за фаза 4. Той ще подпомага на конкурентна основа първоначалното развитие на пазара и демонстрацията в стопански условия на иновативни технологии и технологии за революционни иновации в сектори, обхванати от СТЕ на ЕС, включително иновативни технологии за възобновяеми енергийни източници, енергоемки отрасли, улавяне и използване на въглероден диоксид (CCU), както и за съхранение на енергия.</w:t>
                            </w:r>
                            <w:r w:rsidRPr="00692F99">
                              <w:rPr>
                                <w:sz w:val="24"/>
                                <w:szCs w:val="24"/>
                              </w:rPr>
                              <w:t xml:space="preserve"> </w:t>
                            </w:r>
                            <w:r w:rsidRPr="00692F99">
                              <w:rPr>
                                <w:rFonts w:ascii="Times New Roman" w:hAnsi="Times New Roman"/>
                                <w:sz w:val="24"/>
                                <w:szCs w:val="24"/>
                              </w:rPr>
                              <w:t>Той ще се финансира от разпределянето чрез търг на най-малко 450 милиона квоти и от неизплатения бюджет по програма NER 300. В процес на подготовка е първата покана за представяне на предложения за 2020 г.</w:t>
                            </w:r>
                          </w:p>
                          <w:p w14:paraId="5411EEF4" w14:textId="77777777" w:rsidR="00692F99" w:rsidRDefault="00692F99">
                            <w:pPr>
                              <w:rPr>
                                <w:rFonts w:ascii="Times New Roman" w:hAnsi="Times New Roman"/>
                                <w:sz w:val="24"/>
                                <w:szCs w:val="24"/>
                              </w:rPr>
                            </w:pPr>
                          </w:p>
                          <w:p w14:paraId="4F08DB62" w14:textId="77777777" w:rsidR="00692F99" w:rsidRDefault="00692F99">
                            <w:pPr>
                              <w:rPr>
                                <w:rFonts w:ascii="Times New Roman" w:hAnsi="Times New Roman"/>
                                <w:sz w:val="24"/>
                                <w:szCs w:val="24"/>
                              </w:rPr>
                            </w:pPr>
                          </w:p>
                        </w:txbxContent>
                      </wps:txbx>
                      <wps:bodyPr rot="0" vert="horz" wrap="square" lIns="91440" tIns="45720" rIns="91440" bIns="45720" anchor="t" anchorCtr="0">
                        <a:noAutofit/>
                      </wps:bodyPr>
                    </wps:wsp>
                  </a:graphicData>
                </a:graphic>
              </wp:inline>
            </w:drawing>
          </mc:Choice>
          <mc:Fallback>
            <w:pict>
              <v:shape w14:anchorId="43B3B7B1" id="_x0000_s1031" type="#_x0000_t202" style="width:450.45pt;height:3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" fillcolor="#d8d8d8 [2732]" strokeweight="1pt">
                <v:textbox>
                  <w:txbxContent>
                    <w:p w14:paraId="0D4ADEA3" w14:textId="77777777" w:rsidR="00692F99" w:rsidRPr="00692F99" w:rsidRDefault="00692F99">
                      <w:pPr>
                        <w:jc w:val="both"/>
                        <w:rPr>
                          <w:rFonts w:ascii="Times New Roman" w:hAnsi="Times New Roman"/>
                          <w:sz w:val="24"/>
                          <w:szCs w:val="24"/>
                        </w:rPr>
                      </w:pPr>
                      <w:r w:rsidRPr="00692F99">
                        <w:rPr>
                          <w:rFonts w:ascii="Times New Roman" w:hAnsi="Times New Roman"/>
                          <w:sz w:val="24"/>
                          <w:szCs w:val="24"/>
                        </w:rPr>
                        <w:t xml:space="preserve">NER 300 е широкомащабна програма за финансиране на иновационни нисковъглеродни демонстрационни проекти в областта на енергетиката. Целта на програмата е в рамките на ЕС да се демонстрират начини за безопасно за околната среда улавяне и съхранение на СО2 (CCS), , както и иновативни технологии за възобновяеми енергийни източници (ВЕИ) в мащаб на стопанска реализация. NER 300 беше финансирана от осребряването на 300 милиона квоти за емисии от NER. Средствата бяха предоставени на проекти, избрани чрез два кръга от покани за представяне на предложения през декември 2012 г. и през юли 2014 г. </w:t>
                      </w:r>
                    </w:p>
                    <w:p w14:paraId="0C4BD408" w14:textId="15685AD9" w:rsidR="00692F99" w:rsidRPr="00692F99" w:rsidRDefault="00692F99">
                      <w:pPr>
                        <w:jc w:val="both"/>
                        <w:rPr>
                          <w:rFonts w:ascii="Times New Roman" w:hAnsi="Times New Roman"/>
                          <w:sz w:val="24"/>
                          <w:szCs w:val="24"/>
                        </w:rPr>
                      </w:pPr>
                      <w:r w:rsidRPr="00692F99">
                        <w:rPr>
                          <w:rFonts w:ascii="Times New Roman" w:hAnsi="Times New Roman"/>
                          <w:sz w:val="24"/>
                          <w:szCs w:val="24"/>
                        </w:rPr>
                        <w:t>Фондът за иновации е един от двата механизма за финансиране на нисковъглеродни технологии, създадени с преразгледаната Директива за СТЕ на ЕС за фаза 4. Той ще подпомага на конкурентна основа първоначалното развитие на пазара и демонстрацията в стопански условия на иновативни технологии и технологии за революционни иновации в сектори, обхванати от СТЕ на ЕС, включително иновативни технологии за възобновяеми енергийни източници, енергоемки отрасли, улавяне и използване на въглероден диоксид (CCU), както и за съхранение на енергия.</w:t>
                      </w:r>
                      <w:r w:rsidRPr="00692F99">
                        <w:rPr>
                          <w:sz w:val="24"/>
                          <w:szCs w:val="24"/>
                        </w:rPr>
                        <w:t xml:space="preserve"> </w:t>
                      </w:r>
                      <w:r w:rsidRPr="00692F99">
                        <w:rPr>
                          <w:rFonts w:ascii="Times New Roman" w:hAnsi="Times New Roman"/>
                          <w:sz w:val="24"/>
                          <w:szCs w:val="24"/>
                        </w:rPr>
                        <w:t>Той ще се финансира от разпределянето чрез търг на най-малко 450 милиона квоти и от неизплатения бюджет по програма NER 300. В процес на подготовка е първата покана за представяне на предложения за 2020 г.</w:t>
                      </w:r>
                    </w:p>
                    <w:p w14:paraId="5411EEF4" w14:textId="77777777" w:rsidR="00692F99" w:rsidRDefault="00692F99">
                      <w:pPr>
                        <w:rPr>
                          <w:rFonts w:ascii="Times New Roman" w:hAnsi="Times New Roman"/>
                          <w:sz w:val="24"/>
                          <w:szCs w:val="24"/>
                        </w:rPr>
                      </w:pPr>
                    </w:p>
                    <w:p w14:paraId="4F08DB62" w14:textId="77777777" w:rsidR="00692F99" w:rsidRDefault="00692F99">
                      <w:pPr>
                        <w:rPr>
                          <w:rFonts w:ascii="Times New Roman" w:hAnsi="Times New Roman"/>
                          <w:sz w:val="24"/>
                          <w:szCs w:val="24"/>
                        </w:rPr>
                      </w:pPr>
                    </w:p>
                  </w:txbxContent>
                </v:textbox>
                <w10:anchorlock/>
              </v:shape>
            </w:pict>
          </mc:Fallback>
        </mc:AlternateContent>
      </w:r>
    </w:p>
    <w:p w14:paraId="7EFBE1C7" w14:textId="348E395B" w:rsidR="00C3264D" w:rsidRPr="00692F99" w:rsidRDefault="003A348D">
      <w:pPr>
        <w:spacing w:after="120"/>
        <w:ind w:right="57"/>
        <w:jc w:val="both"/>
        <w:rPr>
          <w:rFonts w:ascii="Times New Roman" w:eastAsia="Times New Roman" w:hAnsi="Times New Roman"/>
          <w:sz w:val="24"/>
          <w:szCs w:val="24"/>
        </w:rPr>
      </w:pPr>
      <w:r w:rsidRPr="00692F99">
        <w:rPr>
          <w:rFonts w:ascii="Times New Roman" w:hAnsi="Times New Roman"/>
          <w:sz w:val="24"/>
          <w:szCs w:val="24"/>
        </w:rPr>
        <w:t>В резултат на двете покани за представяне на предложения по програма NER 300 финансиране получиха общо 38 проекта за ВЕИ и 1 проект за CCS в 20 държави — членки на ЕС, на обща стойност 2,1 милиарда евро. Седем от тях са влезли в експлоатация: проектите за енергия от биомаса — BEST в Италия и Verbiostraw в Германия, проектите за наземни вятърни инсталации Windpark Blaiken в Швеция и Windpark Handalm в Австрия, проектите за вятърни инсталации с морско разположение Veja Mate и Nordsee One в Германия, както и проектът за интелигентна енергийна мрежа Puglia Active Network в Италия.</w:t>
      </w:r>
    </w:p>
    <w:p w14:paraId="20118B27" w14:textId="77777777" w:rsidR="00C3264D" w:rsidRPr="00692F99" w:rsidRDefault="00FB28EB">
      <w:pPr>
        <w:spacing w:after="120"/>
        <w:ind w:right="57"/>
        <w:jc w:val="both"/>
        <w:rPr>
          <w:rFonts w:ascii="Times New Roman" w:eastAsia="Times New Roman" w:hAnsi="Times New Roman"/>
          <w:sz w:val="24"/>
          <w:szCs w:val="24"/>
        </w:rPr>
      </w:pPr>
      <w:r w:rsidRPr="00692F99">
        <w:rPr>
          <w:rFonts w:ascii="Times New Roman" w:hAnsi="Times New Roman"/>
          <w:sz w:val="24"/>
          <w:szCs w:val="24"/>
        </w:rPr>
        <w:t>До края на 2019 г. се очаква пет проекта от първата покана да бъдат приведени в изпълнение, същевременно напредва подготовката по 4 проекта от втората покана, така че да бъдат приведени в изпълнение до 30 юни 2021 г. С оглед на трудната икономическа и политическа обстановка след създаването на програмата NER 300, по 19 проекта не бе набрана достатъчна допълнителна финансова подкрепа и те бяха оттеглени, при което бяха освободени общо 1,358 милиарда евро. Четири други проекта са в различни етапи на подготовка.</w:t>
      </w:r>
    </w:p>
    <w:p w14:paraId="5C141462" w14:textId="77777777" w:rsidR="00C3264D" w:rsidRPr="00692F99" w:rsidRDefault="003A348D">
      <w:pPr>
        <w:spacing w:after="120"/>
        <w:ind w:right="57"/>
        <w:jc w:val="both"/>
        <w:rPr>
          <w:rFonts w:ascii="Times New Roman" w:eastAsia="Times New Roman" w:hAnsi="Times New Roman"/>
          <w:sz w:val="24"/>
          <w:szCs w:val="24"/>
        </w:rPr>
      </w:pPr>
      <w:r w:rsidRPr="00692F99">
        <w:rPr>
          <w:rFonts w:ascii="Times New Roman" w:hAnsi="Times New Roman"/>
          <w:sz w:val="24"/>
          <w:szCs w:val="24"/>
        </w:rPr>
        <w:t>Измененото Решение NER 300</w:t>
      </w:r>
      <w:r w:rsidRPr="00692F99">
        <w:rPr>
          <w:rFonts w:ascii="Times New Roman" w:eastAsia="Times New Roman" w:hAnsi="Times New Roman"/>
          <w:sz w:val="24"/>
          <w:szCs w:val="24"/>
          <w:vertAlign w:val="superscript"/>
        </w:rPr>
        <w:footnoteReference w:id="25"/>
      </w:r>
      <w:r w:rsidRPr="00692F99">
        <w:rPr>
          <w:rFonts w:ascii="Times New Roman" w:hAnsi="Times New Roman"/>
          <w:sz w:val="24"/>
          <w:szCs w:val="24"/>
        </w:rPr>
        <w:t xml:space="preserve"> даде възможност за повторно инвестиране на освободените средства от отменените проекти по първата покана (623 милиона евро до този момент) в съществуващите финансови инструменти — енергийните демонстрационни проекти InnovFin (EDP) и дълговия инструмент на Механизма за свързване на Европа, и двата управлявани от Европейската инвестиционна банка.</w:t>
      </w:r>
      <w:r w:rsidRPr="00692F99">
        <w:rPr>
          <w:sz w:val="24"/>
          <w:szCs w:val="24"/>
        </w:rPr>
        <w:t xml:space="preserve"> </w:t>
      </w:r>
      <w:r w:rsidRPr="00692F99">
        <w:rPr>
          <w:rFonts w:ascii="Times New Roman" w:hAnsi="Times New Roman"/>
          <w:sz w:val="24"/>
          <w:szCs w:val="24"/>
        </w:rPr>
        <w:t>Това ще даде възможност за извличане на максимални ползи от програмата NER 300 и привличане на допълнителни частни инвестиции в нисковъглеродни иновации.</w:t>
      </w:r>
    </w:p>
    <w:p w14:paraId="095EDCCE" w14:textId="77777777" w:rsidR="00C3264D" w:rsidRPr="00692F99" w:rsidRDefault="00BB416E">
      <w:pPr>
        <w:spacing w:after="120"/>
        <w:ind w:right="57"/>
        <w:jc w:val="both"/>
        <w:rPr>
          <w:rFonts w:ascii="Times New Roman" w:eastAsia="Times New Roman" w:hAnsi="Times New Roman"/>
          <w:sz w:val="24"/>
          <w:szCs w:val="24"/>
        </w:rPr>
      </w:pPr>
      <w:r w:rsidRPr="00692F99">
        <w:rPr>
          <w:rFonts w:ascii="Times New Roman" w:hAnsi="Times New Roman"/>
          <w:sz w:val="24"/>
          <w:szCs w:val="24"/>
        </w:rPr>
        <w:t>До този момент са избрани 3 проекта, които да се възползват от неизразходваните средства по програма NER 300 в рамките на InnovFin EDP, като подкрепата възлиза на около 73 милиона евро (вж. допълнение 9 към приложението).</w:t>
      </w:r>
    </w:p>
    <w:p w14:paraId="17497F37" w14:textId="77777777" w:rsidR="00C3264D" w:rsidRPr="00692F99" w:rsidRDefault="003A348D">
      <w:pPr>
        <w:jc w:val="both"/>
        <w:rPr>
          <w:b/>
          <w:sz w:val="24"/>
          <w:szCs w:val="24"/>
        </w:rPr>
      </w:pPr>
      <w:r w:rsidRPr="00692F99">
        <w:rPr>
          <w:rFonts w:ascii="Times New Roman" w:hAnsi="Times New Roman"/>
          <w:sz w:val="24"/>
          <w:szCs w:val="24"/>
        </w:rPr>
        <w:t xml:space="preserve">Освободените средства от отменените проекти по втората покана (735,5 милиона евро до момента) ще бъдат добавени към средствата на Фонда за иновации. </w:t>
      </w:r>
    </w:p>
    <w:p w14:paraId="79A2132E" w14:textId="77777777" w:rsidR="00C3264D" w:rsidRDefault="003A348D">
      <w:pPr>
        <w:spacing w:after="120"/>
        <w:ind w:right="57"/>
        <w:jc w:val="both"/>
        <w:rPr>
          <w:rFonts w:ascii="Times New Roman" w:eastAsia="Times New Roman" w:hAnsi="Times New Roman"/>
        </w:rPr>
      </w:pPr>
      <w:r>
        <w:rPr>
          <w:rFonts w:ascii="Times New Roman" w:hAnsi="Times New Roman"/>
          <w:b/>
        </w:rPr>
        <w:t>Таблица 3: Проекти по програма NER 300, получили финансиране по първата и втората покана за представяне на предложения</w:t>
      </w:r>
      <w:r>
        <w:rPr>
          <w:rFonts w:ascii="Times New Roman" w:eastAsia="Times New Roman" w:hAnsi="Times New Roman"/>
          <w:b/>
          <w:vertAlign w:val="superscript"/>
        </w:rPr>
        <w:footnoteReference w:id="26"/>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918"/>
        <w:gridCol w:w="3081"/>
        <w:gridCol w:w="3081"/>
      </w:tblGrid>
      <w:tr w:rsidR="00C3264D" w14:paraId="629A31D5" w14:textId="77777777">
        <w:trPr>
          <w:trHeight w:val="481"/>
          <w:jc w:val="center"/>
        </w:trPr>
        <w:tc>
          <w:tcPr>
            <w:tcW w:w="2918" w:type="dxa"/>
            <w:shd w:val="clear" w:color="auto" w:fill="auto"/>
            <w:vAlign w:val="center"/>
          </w:tcPr>
          <w:p w14:paraId="59C6C05F" w14:textId="77777777" w:rsidR="00C3264D" w:rsidRDefault="00C3264D">
            <w:pPr>
              <w:spacing w:after="0"/>
              <w:jc w:val="center"/>
              <w:rPr>
                <w:rFonts w:ascii="Times New Roman" w:hAnsi="Times New Roman"/>
                <w:sz w:val="20"/>
                <w:szCs w:val="20"/>
              </w:rPr>
            </w:pPr>
          </w:p>
        </w:tc>
        <w:tc>
          <w:tcPr>
            <w:tcW w:w="3081" w:type="dxa"/>
            <w:shd w:val="clear" w:color="auto" w:fill="auto"/>
            <w:vAlign w:val="center"/>
          </w:tcPr>
          <w:p w14:paraId="38CEF5AC" w14:textId="77777777" w:rsidR="00C3264D" w:rsidRDefault="003A348D">
            <w:pPr>
              <w:spacing w:after="0"/>
              <w:jc w:val="center"/>
              <w:rPr>
                <w:rFonts w:ascii="Times New Roman" w:hAnsi="Times New Roman"/>
                <w:b/>
                <w:sz w:val="20"/>
                <w:szCs w:val="20"/>
              </w:rPr>
            </w:pPr>
            <w:r>
              <w:rPr>
                <w:rFonts w:ascii="Times New Roman" w:hAnsi="Times New Roman"/>
                <w:b/>
                <w:sz w:val="20"/>
                <w:szCs w:val="20"/>
              </w:rPr>
              <w:t>І покана за представяне на предложения</w:t>
            </w:r>
          </w:p>
        </w:tc>
        <w:tc>
          <w:tcPr>
            <w:tcW w:w="3081" w:type="dxa"/>
            <w:vAlign w:val="center"/>
          </w:tcPr>
          <w:p w14:paraId="76B3964E" w14:textId="77777777" w:rsidR="00C3264D" w:rsidRDefault="003A348D">
            <w:pPr>
              <w:spacing w:after="0"/>
              <w:jc w:val="center"/>
              <w:rPr>
                <w:rFonts w:ascii="Times New Roman" w:hAnsi="Times New Roman"/>
                <w:b/>
                <w:sz w:val="20"/>
                <w:szCs w:val="20"/>
              </w:rPr>
            </w:pPr>
            <w:r>
              <w:rPr>
                <w:rFonts w:ascii="Times New Roman" w:hAnsi="Times New Roman"/>
                <w:b/>
                <w:sz w:val="20"/>
                <w:szCs w:val="20"/>
              </w:rPr>
              <w:t>ІІ покана за представяне на предложения</w:t>
            </w:r>
          </w:p>
        </w:tc>
      </w:tr>
      <w:tr w:rsidR="00C3264D" w14:paraId="561F27E0" w14:textId="77777777">
        <w:trPr>
          <w:trHeight w:val="481"/>
          <w:jc w:val="center"/>
        </w:trPr>
        <w:tc>
          <w:tcPr>
            <w:tcW w:w="2918" w:type="dxa"/>
            <w:shd w:val="clear" w:color="auto" w:fill="auto"/>
            <w:vAlign w:val="center"/>
          </w:tcPr>
          <w:p w14:paraId="5076B030" w14:textId="77777777" w:rsidR="00C3264D" w:rsidRDefault="003A348D">
            <w:pPr>
              <w:spacing w:after="0"/>
              <w:jc w:val="center"/>
              <w:rPr>
                <w:rFonts w:ascii="Times New Roman" w:eastAsia="Times New Roman" w:hAnsi="Times New Roman"/>
                <w:b/>
                <w:sz w:val="20"/>
                <w:szCs w:val="20"/>
              </w:rPr>
            </w:pPr>
            <w:r>
              <w:rPr>
                <w:rFonts w:ascii="Times New Roman" w:hAnsi="Times New Roman"/>
                <w:b/>
                <w:sz w:val="20"/>
                <w:szCs w:val="20"/>
              </w:rPr>
              <w:t>Проекти в процес на подготовка</w:t>
            </w:r>
          </w:p>
        </w:tc>
        <w:tc>
          <w:tcPr>
            <w:tcW w:w="3081" w:type="dxa"/>
            <w:shd w:val="clear" w:color="auto" w:fill="auto"/>
            <w:vAlign w:val="center"/>
          </w:tcPr>
          <w:p w14:paraId="74520C48" w14:textId="77777777" w:rsidR="00C3264D" w:rsidRDefault="00A729A2">
            <w:pPr>
              <w:spacing w:after="0"/>
              <w:jc w:val="center"/>
              <w:rPr>
                <w:rFonts w:ascii="Times New Roman" w:eastAsia="Times New Roman" w:hAnsi="Times New Roman"/>
                <w:sz w:val="20"/>
                <w:szCs w:val="20"/>
              </w:rPr>
            </w:pPr>
            <w:r>
              <w:rPr>
                <w:rFonts w:ascii="Times New Roman" w:hAnsi="Times New Roman"/>
                <w:sz w:val="20"/>
                <w:szCs w:val="20"/>
              </w:rPr>
              <w:t>6</w:t>
            </w:r>
          </w:p>
        </w:tc>
        <w:tc>
          <w:tcPr>
            <w:tcW w:w="3081" w:type="dxa"/>
            <w:vAlign w:val="center"/>
          </w:tcPr>
          <w:p w14:paraId="0AAE271D" w14:textId="77777777" w:rsidR="00C3264D" w:rsidRDefault="00A729A2">
            <w:pPr>
              <w:spacing w:after="0"/>
              <w:jc w:val="center"/>
              <w:rPr>
                <w:rFonts w:ascii="Times New Roman" w:hAnsi="Times New Roman"/>
                <w:sz w:val="20"/>
                <w:szCs w:val="20"/>
              </w:rPr>
            </w:pPr>
            <w:r>
              <w:rPr>
                <w:rFonts w:ascii="Times New Roman" w:hAnsi="Times New Roman"/>
                <w:sz w:val="20"/>
                <w:szCs w:val="20"/>
              </w:rPr>
              <w:t>7</w:t>
            </w:r>
          </w:p>
        </w:tc>
      </w:tr>
      <w:tr w:rsidR="00C3264D" w14:paraId="6DE87C9C" w14:textId="77777777">
        <w:trPr>
          <w:trHeight w:val="403"/>
          <w:jc w:val="center"/>
        </w:trPr>
        <w:tc>
          <w:tcPr>
            <w:tcW w:w="2918" w:type="dxa"/>
            <w:shd w:val="clear" w:color="auto" w:fill="auto"/>
            <w:vAlign w:val="center"/>
          </w:tcPr>
          <w:p w14:paraId="044999E4" w14:textId="77777777" w:rsidR="00C3264D" w:rsidRDefault="003A348D">
            <w:pPr>
              <w:spacing w:after="0"/>
              <w:jc w:val="center"/>
              <w:rPr>
                <w:rFonts w:ascii="Times New Roman" w:eastAsia="Times New Roman" w:hAnsi="Times New Roman"/>
                <w:b/>
                <w:sz w:val="20"/>
                <w:szCs w:val="20"/>
              </w:rPr>
            </w:pPr>
            <w:r>
              <w:rPr>
                <w:rFonts w:ascii="Times New Roman" w:hAnsi="Times New Roman"/>
                <w:b/>
                <w:sz w:val="20"/>
                <w:szCs w:val="20"/>
              </w:rPr>
              <w:t>Проекти в процес на изпълнение</w:t>
            </w:r>
          </w:p>
        </w:tc>
        <w:tc>
          <w:tcPr>
            <w:tcW w:w="3081" w:type="dxa"/>
            <w:shd w:val="clear" w:color="auto" w:fill="auto"/>
            <w:vAlign w:val="center"/>
          </w:tcPr>
          <w:p w14:paraId="16A16751" w14:textId="77777777" w:rsidR="00C3264D" w:rsidRDefault="003A348D">
            <w:pPr>
              <w:spacing w:after="0"/>
              <w:jc w:val="center"/>
              <w:rPr>
                <w:rFonts w:ascii="Times New Roman" w:eastAsia="Times New Roman" w:hAnsi="Times New Roman"/>
                <w:sz w:val="20"/>
                <w:szCs w:val="20"/>
              </w:rPr>
            </w:pPr>
            <w:r>
              <w:rPr>
                <w:rFonts w:ascii="Times New Roman" w:hAnsi="Times New Roman"/>
                <w:sz w:val="20"/>
                <w:szCs w:val="20"/>
              </w:rPr>
              <w:t>6</w:t>
            </w:r>
          </w:p>
        </w:tc>
        <w:tc>
          <w:tcPr>
            <w:tcW w:w="3081" w:type="dxa"/>
            <w:vAlign w:val="center"/>
          </w:tcPr>
          <w:p w14:paraId="49055DB3" w14:textId="77777777" w:rsidR="00C3264D" w:rsidRDefault="00A729A2">
            <w:pPr>
              <w:spacing w:after="0"/>
              <w:jc w:val="center"/>
              <w:rPr>
                <w:rFonts w:ascii="Times New Roman" w:hAnsi="Times New Roman"/>
                <w:sz w:val="20"/>
                <w:szCs w:val="20"/>
              </w:rPr>
            </w:pPr>
            <w:r>
              <w:rPr>
                <w:rFonts w:ascii="Times New Roman" w:hAnsi="Times New Roman"/>
                <w:sz w:val="20"/>
                <w:szCs w:val="20"/>
              </w:rPr>
              <w:t>1</w:t>
            </w:r>
          </w:p>
        </w:tc>
      </w:tr>
      <w:tr w:rsidR="00C3264D" w14:paraId="31D49227" w14:textId="77777777">
        <w:trPr>
          <w:trHeight w:val="422"/>
          <w:jc w:val="center"/>
        </w:trPr>
        <w:tc>
          <w:tcPr>
            <w:tcW w:w="2918" w:type="dxa"/>
            <w:shd w:val="clear" w:color="auto" w:fill="auto"/>
            <w:vAlign w:val="center"/>
          </w:tcPr>
          <w:p w14:paraId="0B014BAF" w14:textId="77777777" w:rsidR="00C3264D" w:rsidRDefault="003A348D">
            <w:pPr>
              <w:spacing w:after="0"/>
              <w:jc w:val="center"/>
              <w:rPr>
                <w:rFonts w:ascii="Times New Roman" w:eastAsia="Times New Roman" w:hAnsi="Times New Roman"/>
                <w:b/>
                <w:sz w:val="20"/>
                <w:szCs w:val="20"/>
              </w:rPr>
            </w:pPr>
            <w:r>
              <w:rPr>
                <w:rFonts w:ascii="Times New Roman" w:hAnsi="Times New Roman"/>
                <w:b/>
                <w:sz w:val="20"/>
                <w:szCs w:val="20"/>
              </w:rPr>
              <w:t>Оттеглени проекти</w:t>
            </w:r>
          </w:p>
        </w:tc>
        <w:tc>
          <w:tcPr>
            <w:tcW w:w="3081" w:type="dxa"/>
            <w:shd w:val="clear" w:color="auto" w:fill="auto"/>
            <w:vAlign w:val="center"/>
          </w:tcPr>
          <w:p w14:paraId="4BC13856" w14:textId="77777777" w:rsidR="00C3264D" w:rsidRDefault="00A729A2">
            <w:pPr>
              <w:spacing w:after="0"/>
              <w:jc w:val="center"/>
              <w:rPr>
                <w:rFonts w:ascii="Times New Roman" w:eastAsia="Times New Roman" w:hAnsi="Times New Roman"/>
                <w:sz w:val="20"/>
                <w:szCs w:val="20"/>
              </w:rPr>
            </w:pPr>
            <w:r>
              <w:rPr>
                <w:rFonts w:ascii="Times New Roman" w:hAnsi="Times New Roman"/>
                <w:sz w:val="20"/>
                <w:szCs w:val="20"/>
              </w:rPr>
              <w:t>8</w:t>
            </w:r>
          </w:p>
        </w:tc>
        <w:tc>
          <w:tcPr>
            <w:tcW w:w="3081" w:type="dxa"/>
            <w:vAlign w:val="center"/>
          </w:tcPr>
          <w:p w14:paraId="4E9B2B2F" w14:textId="77777777" w:rsidR="00C3264D" w:rsidRDefault="00A729A2">
            <w:pPr>
              <w:spacing w:after="0"/>
              <w:jc w:val="center"/>
              <w:rPr>
                <w:rFonts w:ascii="Times New Roman" w:hAnsi="Times New Roman"/>
                <w:sz w:val="20"/>
                <w:szCs w:val="20"/>
              </w:rPr>
            </w:pPr>
            <w:r>
              <w:rPr>
                <w:rFonts w:ascii="Times New Roman" w:hAnsi="Times New Roman"/>
                <w:sz w:val="20"/>
                <w:szCs w:val="20"/>
              </w:rPr>
              <w:t>11</w:t>
            </w:r>
          </w:p>
        </w:tc>
      </w:tr>
      <w:tr w:rsidR="00C3264D" w14:paraId="1D86FED9" w14:textId="77777777">
        <w:trPr>
          <w:trHeight w:val="415"/>
          <w:jc w:val="center"/>
        </w:trPr>
        <w:tc>
          <w:tcPr>
            <w:tcW w:w="2918" w:type="dxa"/>
            <w:shd w:val="clear" w:color="auto" w:fill="auto"/>
            <w:vAlign w:val="center"/>
          </w:tcPr>
          <w:p w14:paraId="42F7A11C" w14:textId="77777777" w:rsidR="00C3264D" w:rsidRDefault="003A348D">
            <w:pPr>
              <w:spacing w:after="0"/>
              <w:jc w:val="center"/>
              <w:rPr>
                <w:rFonts w:ascii="Times New Roman" w:eastAsia="Times New Roman" w:hAnsi="Times New Roman"/>
                <w:b/>
                <w:sz w:val="20"/>
                <w:szCs w:val="20"/>
              </w:rPr>
            </w:pPr>
            <w:r>
              <w:rPr>
                <w:rFonts w:ascii="Times New Roman" w:hAnsi="Times New Roman"/>
                <w:b/>
                <w:i/>
                <w:iCs/>
                <w:sz w:val="20"/>
                <w:szCs w:val="20"/>
              </w:rPr>
              <w:t>Общо</w:t>
            </w:r>
          </w:p>
        </w:tc>
        <w:tc>
          <w:tcPr>
            <w:tcW w:w="3081" w:type="dxa"/>
            <w:shd w:val="clear" w:color="auto" w:fill="auto"/>
            <w:vAlign w:val="center"/>
          </w:tcPr>
          <w:p w14:paraId="30EC78D4" w14:textId="77777777" w:rsidR="00C3264D" w:rsidRDefault="003A348D">
            <w:pPr>
              <w:spacing w:after="0"/>
              <w:jc w:val="center"/>
              <w:rPr>
                <w:rFonts w:ascii="Times New Roman" w:eastAsia="Times New Roman" w:hAnsi="Times New Roman"/>
                <w:sz w:val="20"/>
                <w:szCs w:val="20"/>
              </w:rPr>
            </w:pPr>
            <w:r>
              <w:rPr>
                <w:rFonts w:ascii="Times New Roman" w:hAnsi="Times New Roman"/>
                <w:i/>
                <w:iCs/>
                <w:sz w:val="20"/>
                <w:szCs w:val="20"/>
              </w:rPr>
              <w:t>20</w:t>
            </w:r>
          </w:p>
        </w:tc>
        <w:tc>
          <w:tcPr>
            <w:tcW w:w="3081" w:type="dxa"/>
            <w:vAlign w:val="center"/>
          </w:tcPr>
          <w:p w14:paraId="7AE425B1" w14:textId="77777777" w:rsidR="00C3264D" w:rsidRDefault="003A348D">
            <w:pPr>
              <w:spacing w:after="0"/>
              <w:jc w:val="center"/>
              <w:rPr>
                <w:rFonts w:ascii="Times New Roman" w:hAnsi="Times New Roman"/>
                <w:i/>
                <w:iCs/>
                <w:sz w:val="20"/>
                <w:szCs w:val="20"/>
              </w:rPr>
            </w:pPr>
            <w:r>
              <w:rPr>
                <w:rFonts w:ascii="Times New Roman" w:hAnsi="Times New Roman"/>
                <w:i/>
                <w:iCs/>
                <w:sz w:val="20"/>
                <w:szCs w:val="20"/>
              </w:rPr>
              <w:t>19</w:t>
            </w:r>
          </w:p>
        </w:tc>
      </w:tr>
    </w:tbl>
    <w:p w14:paraId="5EEB94EF" w14:textId="77777777" w:rsidR="00C3264D" w:rsidRDefault="007748C6">
      <w:pPr>
        <w:pStyle w:val="a3520normalp11"/>
        <w:spacing w:line="276" w:lineRule="auto"/>
        <w:rPr>
          <w:sz w:val="22"/>
          <w:szCs w:val="22"/>
        </w:rPr>
      </w:pPr>
      <w:r>
        <w:rPr>
          <w:sz w:val="22"/>
          <w:szCs w:val="22"/>
        </w:rPr>
        <w:t xml:space="preserve"> </w:t>
      </w:r>
    </w:p>
    <w:p w14:paraId="0EBD8751" w14:textId="77777777" w:rsidR="00C3264D" w:rsidRPr="00692F99" w:rsidRDefault="00B0756E">
      <w:pPr>
        <w:jc w:val="both"/>
        <w:rPr>
          <w:rFonts w:ascii="Times New Roman" w:hAnsi="Times New Roman"/>
          <w:sz w:val="24"/>
          <w:szCs w:val="24"/>
        </w:rPr>
      </w:pPr>
      <w:r w:rsidRPr="00692F99">
        <w:rPr>
          <w:rFonts w:ascii="Times New Roman" w:hAnsi="Times New Roman"/>
          <w:sz w:val="24"/>
          <w:szCs w:val="24"/>
        </w:rPr>
        <w:t>През фаза 4 общата стойност на ресурсите на разположение за демонстрация на иновативни технологии и технологии за революционни иновации в рамките на Фонда за иновации вероятно ще надхвърлят значително сумата от 2,1 милиарда евро за програма NER 300</w:t>
      </w:r>
      <w:r w:rsidRPr="00692F99">
        <w:rPr>
          <w:rStyle w:val="FootnoteReference"/>
          <w:rFonts w:ascii="Times New Roman" w:hAnsi="Times New Roman"/>
          <w:sz w:val="24"/>
          <w:szCs w:val="24"/>
        </w:rPr>
        <w:footnoteReference w:id="27"/>
      </w:r>
      <w:r w:rsidRPr="00692F99">
        <w:rPr>
          <w:rFonts w:ascii="Times New Roman" w:hAnsi="Times New Roman"/>
          <w:sz w:val="24"/>
          <w:szCs w:val="24"/>
        </w:rPr>
        <w:t>. През февруари 2019 г. бе приет Делегиран регламент</w:t>
      </w:r>
      <w:r w:rsidRPr="00692F99">
        <w:rPr>
          <w:rStyle w:val="FootnoteReference"/>
          <w:rFonts w:ascii="Times New Roman" w:hAnsi="Times New Roman"/>
          <w:sz w:val="24"/>
          <w:szCs w:val="24"/>
        </w:rPr>
        <w:footnoteReference w:id="28"/>
      </w:r>
      <w:r w:rsidRPr="00692F99">
        <w:rPr>
          <w:rFonts w:ascii="Times New Roman" w:hAnsi="Times New Roman"/>
          <w:sz w:val="24"/>
          <w:szCs w:val="24"/>
        </w:rPr>
        <w:t xml:space="preserve"> относно функционирането на Фонда за иновации. Проекти във всички държави членки, включително малки проекти, ще могат да получават подпомагане от този фонд. </w:t>
      </w:r>
    </w:p>
    <w:p w14:paraId="17FCF6E2" w14:textId="77777777" w:rsidR="00C3264D" w:rsidRPr="00692F99" w:rsidRDefault="00487626">
      <w:pPr>
        <w:jc w:val="both"/>
        <w:rPr>
          <w:sz w:val="24"/>
          <w:szCs w:val="24"/>
        </w:rPr>
      </w:pPr>
      <w:r w:rsidRPr="00692F99">
        <w:rPr>
          <w:rFonts w:ascii="Times New Roman" w:hAnsi="Times New Roman"/>
          <w:sz w:val="24"/>
          <w:szCs w:val="24"/>
        </w:rPr>
        <w:t>С цел повишаване на осведомеността относно Фонда за иновации, през 2019 г. и първото полугодие на 2020 г. Комисията участва активно в дейности за популяризиране сред промишлеността и държавите членки, за да бъдат обсъдени основните въпроси за всеки сектор, свързани с подбора и изпълнението на проекти. Първата покана за представяне на предложения в рамките на Фонда за иновации е планирана за 2020 г. и ще бъда последвана от редовни покани до 2030 г</w:t>
      </w:r>
      <w:r w:rsidRPr="00692F99">
        <w:rPr>
          <w:sz w:val="24"/>
          <w:szCs w:val="24"/>
        </w:rPr>
        <w:t>.</w:t>
      </w:r>
    </w:p>
    <w:p w14:paraId="5E980861" w14:textId="77777777" w:rsidR="00C3264D" w:rsidRPr="00692F99" w:rsidRDefault="00C3264D">
      <w:pPr>
        <w:jc w:val="both"/>
        <w:rPr>
          <w:sz w:val="24"/>
          <w:szCs w:val="24"/>
        </w:rPr>
      </w:pPr>
    </w:p>
    <w:p w14:paraId="098647A2" w14:textId="77777777" w:rsidR="00C3264D" w:rsidRDefault="00C3264D">
      <w:pPr>
        <w:jc w:val="both"/>
      </w:pPr>
    </w:p>
    <w:p w14:paraId="7F76D5E2" w14:textId="77777777" w:rsidR="00C3264D" w:rsidRDefault="00C3264D">
      <w:pPr>
        <w:jc w:val="both"/>
      </w:pPr>
    </w:p>
    <w:p w14:paraId="0CF83C9C" w14:textId="77777777" w:rsidR="00C3264D" w:rsidRDefault="00C3264D">
      <w:pPr>
        <w:jc w:val="both"/>
      </w:pPr>
    </w:p>
    <w:p w14:paraId="2A39E9BD" w14:textId="77777777" w:rsidR="00C3264D" w:rsidRDefault="00C3264D">
      <w:pPr>
        <w:jc w:val="both"/>
      </w:pPr>
    </w:p>
    <w:p w14:paraId="0AC8D2ED" w14:textId="77777777" w:rsidR="00C3264D" w:rsidRDefault="00C3264D">
      <w:pPr>
        <w:jc w:val="both"/>
      </w:pPr>
    </w:p>
    <w:p w14:paraId="55508AB7" w14:textId="77777777" w:rsidR="00C3264D" w:rsidRDefault="00C3264D">
      <w:pPr>
        <w:jc w:val="both"/>
      </w:pPr>
    </w:p>
    <w:p w14:paraId="0DE6664D" w14:textId="77777777" w:rsidR="00C3264D" w:rsidRDefault="00C3264D">
      <w:pPr>
        <w:jc w:val="both"/>
      </w:pPr>
    </w:p>
    <w:p w14:paraId="5AEF46F4" w14:textId="77777777" w:rsidR="00C3264D" w:rsidRDefault="00C3264D">
      <w:pPr>
        <w:jc w:val="both"/>
        <w:rPr>
          <w:rFonts w:ascii="Times New Roman" w:hAnsi="Times New Roman"/>
          <w:sz w:val="24"/>
          <w:szCs w:val="24"/>
        </w:rPr>
      </w:pPr>
    </w:p>
    <w:p w14:paraId="2881D436" w14:textId="77777777" w:rsidR="00C3264D" w:rsidRDefault="00A52F4C">
      <w:pPr>
        <w:pStyle w:val="Heading4"/>
        <w:spacing w:before="0" w:after="200"/>
        <w:ind w:left="1080"/>
        <w:rPr>
          <w:highlight w:val="yellow"/>
        </w:rPr>
      </w:pPr>
      <w:bookmarkStart w:id="13" w:name="_Toc28015584"/>
      <w:r>
        <w:t>3.1.2.3. Компенсиране на непреките разходи за ограничаване на въглеродните емисии</w:t>
      </w:r>
      <w:bookmarkEnd w:id="13"/>
    </w:p>
    <w:p w14:paraId="5DB1C0AE" w14:textId="77777777" w:rsidR="00C3264D" w:rsidRDefault="00E07823">
      <w:pPr>
        <w:spacing w:after="0"/>
        <w:rPr>
          <w:rFonts w:asciiTheme="minorHAnsi" w:hAnsiTheme="minorHAnsi"/>
          <w:b/>
          <w:bCs/>
          <w:sz w:val="24"/>
          <w:szCs w:val="24"/>
        </w:rPr>
      </w:pPr>
      <w:r>
        <w:rPr>
          <w:rFonts w:ascii="Times New Roman" w:hAnsi="Times New Roman"/>
          <w:noProof/>
          <w:lang w:val="en-GB" w:eastAsia="en-GB"/>
        </w:rPr>
        <mc:AlternateContent>
          <mc:Choice Requires="wps">
            <w:drawing>
              <wp:inline distT="0" distB="0" distL="0" distR="0" wp14:anchorId="317F329C" wp14:editId="3A1BD6AB">
                <wp:extent cx="5720486" cy="5495925"/>
                <wp:effectExtent l="0" t="0" r="13970" b="28575"/>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486" cy="5495925"/>
                        </a:xfrm>
                        <a:prstGeom prst="rect">
                          <a:avLst/>
                        </a:prstGeom>
                        <a:solidFill>
                          <a:sysClr val="window" lastClr="FFFFFF">
                            <a:lumMod val="85000"/>
                          </a:sysClr>
                        </a:solidFill>
                        <a:ln w="12700">
                          <a:solidFill>
                            <a:srgbClr val="000000"/>
                          </a:solidFill>
                          <a:miter lim="800000"/>
                          <a:headEnd/>
                          <a:tailEnd/>
                        </a:ln>
                      </wps:spPr>
                      <wps:txbx>
                        <w:txbxContent>
                          <w:p w14:paraId="09987BE3" w14:textId="77777777" w:rsidR="00692F99" w:rsidRPr="00692F99" w:rsidRDefault="00692F99">
                            <w:pPr>
                              <w:jc w:val="both"/>
                              <w:rPr>
                                <w:rFonts w:ascii="Times New Roman" w:hAnsi="Times New Roman"/>
                                <w:sz w:val="24"/>
                                <w:szCs w:val="24"/>
                              </w:rPr>
                            </w:pPr>
                            <w:r w:rsidRPr="00692F99">
                              <w:rPr>
                                <w:rFonts w:ascii="Times New Roman" w:hAnsi="Times New Roman"/>
                                <w:sz w:val="24"/>
                                <w:szCs w:val="24"/>
                              </w:rPr>
                              <w:t xml:space="preserve">В допълнение към безплатно разпределяне на квоти за покриване на преките разходи за ограничаване на въглеродните емисии, държавите — членки на ЕС, могат да предоставят държавна помощ за компенсиране на някои промишлени сектори с интензивно използване на електроенергия за непреките разходи за ограничаване на въглеродните емисии, т.е. разходи, произтичащи от увеличените цени на електроенергията, поради факта, че производителите на електроенергия прехвърлят разходите за покупка на квоти към потребителите. </w:t>
                            </w:r>
                          </w:p>
                          <w:p w14:paraId="39D56837" w14:textId="77777777" w:rsidR="00692F99" w:rsidRPr="00692F99" w:rsidRDefault="00692F99">
                            <w:pPr>
                              <w:jc w:val="both"/>
                              <w:rPr>
                                <w:rFonts w:ascii="Times New Roman" w:hAnsi="Times New Roman"/>
                                <w:sz w:val="24"/>
                                <w:szCs w:val="24"/>
                              </w:rPr>
                            </w:pPr>
                            <w:r w:rsidRPr="00692F99">
                              <w:rPr>
                                <w:rFonts w:ascii="Times New Roman" w:hAnsi="Times New Roman"/>
                                <w:sz w:val="24"/>
                                <w:szCs w:val="24"/>
                              </w:rPr>
                              <w:t xml:space="preserve">За да се гарантира хармонизирано прилагане на компенсирането на непреките разходи за ограничаване на въглеродните емисии във всички държави членки и да се сведат до минимум нарушенията на конкуренцията на вътрешния пазар, Комисията прие Насоките за държавни помощи в контекста на СТЕ на ЕС*, които са валидни до края на 2020 г. В насоките се определят, наред с другото, допустимите сектори и максималните суми за компенсиране на непреките разходи за ограничаване на въглеродните емисии. </w:t>
                            </w:r>
                          </w:p>
                          <w:p w14:paraId="4B0BDB06" w14:textId="77777777" w:rsidR="00692F99" w:rsidRPr="00692F99" w:rsidRDefault="00692F99">
                            <w:pPr>
                              <w:jc w:val="both"/>
                              <w:rPr>
                                <w:rFonts w:ascii="Times New Roman" w:hAnsi="Times New Roman"/>
                                <w:sz w:val="24"/>
                                <w:szCs w:val="24"/>
                              </w:rPr>
                            </w:pPr>
                            <w:r w:rsidRPr="00692F99">
                              <w:rPr>
                                <w:rFonts w:ascii="Times New Roman" w:hAnsi="Times New Roman"/>
                                <w:sz w:val="24"/>
                                <w:szCs w:val="24"/>
                              </w:rPr>
                              <w:t>Преразгледаната Директива за СТЕ позволява на държавите членки да продължат да предоставят компенсации за непреките разходи за ограничаване на въглеродните емисии във фаза 4 и добавя по-голяма прозрачност и по-добри разпоредби за докладване. С оглед на това Комисията започна преразглеждане на Насоките за държавни помощи в контекста на СТЕ на ЕС за следващия период на търгуване (вж. допълнение 7 към приложението). Като част от този процес, въз основа на консултации със заинтересованите страни и държавите членки, проведени в началото на 2019 г., Комисията ще извърши преглед на списъка на допустимите сектори и на факторите, определящи максималните размери на помощта.</w:t>
                            </w:r>
                          </w:p>
                          <w:p w14:paraId="20DE553D" w14:textId="6927CD3D" w:rsidR="00692F99" w:rsidRDefault="00692F99">
                            <w:pPr>
                              <w:jc w:val="both"/>
                              <w:rPr>
                                <w:rFonts w:ascii="Times New Roman" w:hAnsi="Times New Roman"/>
                                <w:sz w:val="18"/>
                                <w:szCs w:val="18"/>
                              </w:rPr>
                            </w:pPr>
                            <w:r>
                              <w:rPr>
                                <w:rFonts w:ascii="Times New Roman" w:hAnsi="Times New Roman"/>
                                <w:sz w:val="18"/>
                                <w:szCs w:val="18"/>
                              </w:rPr>
                              <w:t>* Насоки относно определени мерки за държавна помощ в контекста на схемата за търговия с квоти за емисии на парников газ след 2012 година, ОВ C 158, 5.6.2012 г., стр. 4.</w:t>
                            </w:r>
                          </w:p>
                        </w:txbxContent>
                      </wps:txbx>
                      <wps:bodyPr rot="0" vert="horz" wrap="square" lIns="91440" tIns="45720" rIns="91440" bIns="45720" anchor="t" anchorCtr="0">
                        <a:noAutofit/>
                      </wps:bodyPr>
                    </wps:wsp>
                  </a:graphicData>
                </a:graphic>
              </wp:inline>
            </w:drawing>
          </mc:Choice>
          <mc:Fallback>
            <w:pict>
              <v:shape w14:anchorId="317F329C" id="Text Box 7" o:spid="_x0000_s1032" type="#_x0000_t202" style="width:450.45pt;height:43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" fillcolor="#d9d9d9" strokeweight="1pt">
                <v:textbox>
                  <w:txbxContent>
                    <w:p w14:paraId="09987BE3" w14:textId="77777777" w:rsidR="00692F99" w:rsidRPr="00692F99" w:rsidRDefault="00692F99">
                      <w:pPr>
                        <w:jc w:val="both"/>
                        <w:rPr>
                          <w:rFonts w:ascii="Times New Roman" w:hAnsi="Times New Roman"/>
                          <w:sz w:val="24"/>
                          <w:szCs w:val="24"/>
                        </w:rPr>
                      </w:pPr>
                      <w:r w:rsidRPr="00692F99">
                        <w:rPr>
                          <w:rFonts w:ascii="Times New Roman" w:hAnsi="Times New Roman"/>
                          <w:sz w:val="24"/>
                          <w:szCs w:val="24"/>
                        </w:rPr>
                        <w:t xml:space="preserve">В допълнение към безплатно разпределяне на квоти за покриване на преките разходи за ограничаване на въглеродните емисии, държавите — членки на ЕС, могат да предоставят държавна помощ за компенсиране на някои промишлени сектори с интензивно използване на електроенергия за непреките разходи за ограничаване на въглеродните емисии, т.е. разходи, произтичащи от увеличените цени на електроенергията, поради факта, че производителите на електроенергия прехвърлят разходите за покупка на квоти към потребителите. </w:t>
                      </w:r>
                    </w:p>
                    <w:p w14:paraId="39D56837" w14:textId="77777777" w:rsidR="00692F99" w:rsidRPr="00692F99" w:rsidRDefault="00692F99">
                      <w:pPr>
                        <w:jc w:val="both"/>
                        <w:rPr>
                          <w:rFonts w:ascii="Times New Roman" w:hAnsi="Times New Roman"/>
                          <w:sz w:val="24"/>
                          <w:szCs w:val="24"/>
                        </w:rPr>
                      </w:pPr>
                      <w:r w:rsidRPr="00692F99">
                        <w:rPr>
                          <w:rFonts w:ascii="Times New Roman" w:hAnsi="Times New Roman"/>
                          <w:sz w:val="24"/>
                          <w:szCs w:val="24"/>
                        </w:rPr>
                        <w:t xml:space="preserve">За да се гарантира хармонизирано прилагане на компенсирането на непреките разходи за ограничаване на въглеродните емисии във всички държави членки и да се сведат до минимум нарушенията на конкуренцията на вътрешния пазар, Комисията прие Насоките за държавни помощи в контекста на СТЕ на ЕС*, които са валидни до края на 2020 г. В насоките се определят, наред с другото, допустимите сектори и максималните суми за компенсиране на непреките разходи за ограничаване на въглеродните емисии. </w:t>
                      </w:r>
                    </w:p>
                    <w:p w14:paraId="4B0BDB06" w14:textId="77777777" w:rsidR="00692F99" w:rsidRPr="00692F99" w:rsidRDefault="00692F99">
                      <w:pPr>
                        <w:jc w:val="both"/>
                        <w:rPr>
                          <w:rFonts w:ascii="Times New Roman" w:hAnsi="Times New Roman"/>
                          <w:sz w:val="24"/>
                          <w:szCs w:val="24"/>
                        </w:rPr>
                      </w:pPr>
                      <w:r w:rsidRPr="00692F99">
                        <w:rPr>
                          <w:rFonts w:ascii="Times New Roman" w:hAnsi="Times New Roman"/>
                          <w:sz w:val="24"/>
                          <w:szCs w:val="24"/>
                        </w:rPr>
                        <w:t>Преразгледаната Директива за СТЕ позволява на държавите членки да продължат да предоставят компенсации за непреките разходи за ограничаване на въглеродните емисии във фаза 4 и добавя по-голяма прозрачност и по-добри разпоредби за докладване. С оглед на това Комисията започна преразглеждане на Насоките за държавни помощи в контекста на СТЕ на ЕС за следващия период на търгуване (вж. допълнение 7 към приложението). Като част от този процес, въз основа на консултации със заинтересованите страни и държавите членки, проведени в началото на 2019 г., Комисията ще извърши преглед на списъка на допустимите сектори и на факторите, определящи максималните размери на помощта.</w:t>
                      </w:r>
                    </w:p>
                    <w:p w14:paraId="20DE553D" w14:textId="6927CD3D" w:rsidR="00692F99" w:rsidRDefault="00692F99">
                      <w:pPr>
                        <w:jc w:val="both"/>
                        <w:rPr>
                          <w:rFonts w:ascii="Times New Roman" w:hAnsi="Times New Roman"/>
                          <w:sz w:val="18"/>
                          <w:szCs w:val="18"/>
                        </w:rPr>
                      </w:pPr>
                      <w:r>
                        <w:rPr>
                          <w:rFonts w:ascii="Times New Roman" w:hAnsi="Times New Roman"/>
                          <w:sz w:val="18"/>
                          <w:szCs w:val="18"/>
                        </w:rPr>
                        <w:t>* Насоки относно определени мерки за държавна помощ в контекста на схемата за търговия с квоти за емисии на парников газ след 2012 година, ОВ C 158, 5.6.2012 г., стр. 4.</w:t>
                      </w:r>
                    </w:p>
                  </w:txbxContent>
                </v:textbox>
                <w10:anchorlock/>
              </v:shape>
            </w:pict>
          </mc:Fallback>
        </mc:AlternateContent>
      </w:r>
    </w:p>
    <w:p w14:paraId="0739B273" w14:textId="77777777" w:rsidR="00C3264D" w:rsidRDefault="00C3264D">
      <w:pPr>
        <w:jc w:val="both"/>
        <w:rPr>
          <w:rFonts w:ascii="Times New Roman" w:eastAsia="Times New Roman" w:hAnsi="Times New Roman"/>
          <w:sz w:val="24"/>
          <w:szCs w:val="24"/>
        </w:rPr>
      </w:pPr>
    </w:p>
    <w:p w14:paraId="4B7F9415" w14:textId="77777777" w:rsidR="00C3264D" w:rsidRPr="00692F99" w:rsidRDefault="00E07823">
      <w:pPr>
        <w:jc w:val="both"/>
        <w:rPr>
          <w:rFonts w:ascii="Times New Roman" w:eastAsia="Times New Roman" w:hAnsi="Times New Roman"/>
          <w:sz w:val="24"/>
          <w:szCs w:val="24"/>
        </w:rPr>
      </w:pPr>
      <w:r w:rsidRPr="00692F99">
        <w:rPr>
          <w:rFonts w:ascii="Times New Roman" w:hAnsi="Times New Roman"/>
          <w:sz w:val="24"/>
          <w:szCs w:val="24"/>
        </w:rPr>
        <w:t>Към днешна дата Комисията е одобрила 13</w:t>
      </w:r>
      <w:r w:rsidRPr="00692F99">
        <w:rPr>
          <w:rStyle w:val="FootnoteReference"/>
          <w:rFonts w:ascii="Times New Roman" w:eastAsia="Times New Roman" w:hAnsi="Times New Roman"/>
          <w:sz w:val="24"/>
          <w:szCs w:val="24"/>
        </w:rPr>
        <w:footnoteReference w:id="29"/>
      </w:r>
      <w:r w:rsidRPr="00692F99">
        <w:rPr>
          <w:rFonts w:ascii="Times New Roman" w:hAnsi="Times New Roman"/>
          <w:sz w:val="24"/>
          <w:szCs w:val="24"/>
        </w:rPr>
        <w:t xml:space="preserve"> схеми за компенсиране на непреките разходи за ограничаване на въглеродните емисии в 12 държави членки. През 2018 г. за първи път бяха изплатени компенсации по схемата на регион Валония и схемата на Люксембург. Испанското правителство уведоми Комисията за преразглеждане на своята схема с оглед увеличаване на нейния бюджет. През 2019 г. Полша уведоми Комисията за проект на мярка и получи одобрение за отпускане на държавна помощ за схема, по която през 2020 г. ще започне изплащане на подкрепа за непреки разходи, направени през 2019 г. </w:t>
      </w:r>
    </w:p>
    <w:p w14:paraId="7860CD35" w14:textId="77777777" w:rsidR="00C3264D" w:rsidRPr="00692F99" w:rsidRDefault="00E07823">
      <w:pPr>
        <w:jc w:val="both"/>
        <w:rPr>
          <w:rFonts w:ascii="Times New Roman" w:eastAsia="Times New Roman" w:hAnsi="Times New Roman"/>
          <w:sz w:val="24"/>
          <w:szCs w:val="24"/>
        </w:rPr>
      </w:pPr>
      <w:r w:rsidRPr="00692F99">
        <w:rPr>
          <w:rFonts w:ascii="Times New Roman" w:hAnsi="Times New Roman"/>
          <w:sz w:val="24"/>
          <w:szCs w:val="24"/>
        </w:rPr>
        <w:t>В Директивата за СТЕ на ЕС е определено, че в срок от три месеца след края на всяка година държавите членки, които са въвели схема за компенсиране на непреки разходи, правят публично достояние в лесно достъпен формат общия размер на компенсацията, както и разбивката по отраслите и подотраслите, в полза на които е предоставена.</w:t>
      </w:r>
    </w:p>
    <w:p w14:paraId="34AD5374" w14:textId="77777777" w:rsidR="00C3264D" w:rsidRPr="00692F99" w:rsidRDefault="00E07823">
      <w:pPr>
        <w:jc w:val="both"/>
        <w:rPr>
          <w:rFonts w:ascii="Times New Roman" w:eastAsia="Times New Roman" w:hAnsi="Times New Roman"/>
          <w:sz w:val="24"/>
          <w:szCs w:val="24"/>
        </w:rPr>
      </w:pPr>
      <w:r w:rsidRPr="00692F99">
        <w:rPr>
          <w:rFonts w:ascii="Times New Roman" w:hAnsi="Times New Roman"/>
          <w:sz w:val="24"/>
          <w:szCs w:val="24"/>
        </w:rPr>
        <w:t xml:space="preserve">Обобщение на данните, публикувани от държавите членки за компенсациите, изплатени през 2018 г., е представено в таблица 4. </w:t>
      </w:r>
    </w:p>
    <w:p w14:paraId="786763E0" w14:textId="77777777" w:rsidR="00C3264D" w:rsidRPr="00692F99" w:rsidRDefault="00C3264D">
      <w:pPr>
        <w:jc w:val="both"/>
        <w:rPr>
          <w:rFonts w:ascii="Times New Roman" w:eastAsia="Times New Roman" w:hAnsi="Times New Roman"/>
          <w:sz w:val="24"/>
          <w:szCs w:val="24"/>
          <w:highlight w:val="yellow"/>
        </w:rPr>
      </w:pPr>
    </w:p>
    <w:p w14:paraId="316F874E" w14:textId="77777777" w:rsidR="00C3264D" w:rsidRPr="00692F99" w:rsidRDefault="00C3264D">
      <w:pPr>
        <w:jc w:val="both"/>
        <w:rPr>
          <w:rFonts w:ascii="Times New Roman" w:eastAsia="Times New Roman" w:hAnsi="Times New Roman"/>
          <w:sz w:val="24"/>
          <w:szCs w:val="24"/>
          <w:highlight w:val="yellow"/>
        </w:rPr>
      </w:pPr>
    </w:p>
    <w:p w14:paraId="1EA689CA" w14:textId="77777777" w:rsidR="00C3264D" w:rsidRDefault="00E07823">
      <w:pPr>
        <w:jc w:val="both"/>
        <w:rPr>
          <w:rFonts w:ascii="Times New Roman" w:eastAsia="Times New Roman" w:hAnsi="Times New Roman"/>
          <w:b/>
          <w:sz w:val="24"/>
          <w:szCs w:val="24"/>
        </w:rPr>
      </w:pPr>
      <w:r>
        <w:rPr>
          <w:rFonts w:ascii="Times New Roman" w:hAnsi="Times New Roman"/>
          <w:b/>
        </w:rPr>
        <w:t>Таблица 4: Компенсации за непреките разходи за ограничаване на въглеродните емисии, изплатени от държавите членки през 2018 г.</w:t>
      </w:r>
      <w:r>
        <w:rPr>
          <w:rStyle w:val="FootnoteReference"/>
          <w:rFonts w:ascii="Times New Roman" w:eastAsia="Times New Roman" w:hAnsi="Times New Roman"/>
          <w:b/>
        </w:rPr>
        <w:footnoteReference w:id="30"/>
      </w:r>
    </w:p>
    <w:tbl>
      <w:tblPr>
        <w:tblW w:w="4855"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034"/>
        <w:gridCol w:w="1770"/>
        <w:gridCol w:w="1420"/>
        <w:gridCol w:w="1348"/>
        <w:gridCol w:w="1246"/>
        <w:gridCol w:w="1424"/>
      </w:tblGrid>
      <w:tr w:rsidR="00C3264D" w14:paraId="06757829" w14:textId="77777777" w:rsidTr="00516F65">
        <w:trPr>
          <w:trHeight w:val="1019"/>
          <w:jc w:val="center"/>
        </w:trPr>
        <w:tc>
          <w:tcPr>
            <w:tcW w:w="492" w:type="pct"/>
            <w:tcBorders>
              <w:bottom w:val="double" w:sz="4" w:space="0" w:color="auto"/>
            </w:tcBorders>
            <w:shd w:val="clear" w:color="000000" w:fill="D9D9D9"/>
            <w:vAlign w:val="center"/>
            <w:hideMark/>
          </w:tcPr>
          <w:p w14:paraId="7600C4AD" w14:textId="77777777" w:rsidR="00C3264D" w:rsidRDefault="00E07823">
            <w:pPr>
              <w:spacing w:after="0" w:line="240" w:lineRule="auto"/>
              <w:jc w:val="center"/>
              <w:rPr>
                <w:rFonts w:ascii="Times New Roman" w:eastAsia="Times New Roman" w:hAnsi="Times New Roman"/>
                <w:b/>
                <w:bCs/>
                <w:color w:val="000000"/>
                <w:sz w:val="20"/>
                <w:szCs w:val="20"/>
              </w:rPr>
            </w:pPr>
            <w:r>
              <w:rPr>
                <w:rFonts w:ascii="Times New Roman" w:hAnsi="Times New Roman"/>
                <w:b/>
                <w:bCs/>
                <w:sz w:val="20"/>
                <w:szCs w:val="20"/>
              </w:rPr>
              <w:t>Държава членка</w:t>
            </w:r>
          </w:p>
        </w:tc>
        <w:tc>
          <w:tcPr>
            <w:tcW w:w="647" w:type="pct"/>
            <w:tcBorders>
              <w:bottom w:val="double" w:sz="4" w:space="0" w:color="auto"/>
            </w:tcBorders>
            <w:shd w:val="clear" w:color="000000" w:fill="D9D9D9"/>
            <w:vAlign w:val="center"/>
            <w:hideMark/>
          </w:tcPr>
          <w:p w14:paraId="168606D4" w14:textId="77777777" w:rsidR="00C3264D" w:rsidRDefault="00E07823">
            <w:pPr>
              <w:spacing w:after="0" w:line="240" w:lineRule="auto"/>
              <w:jc w:val="center"/>
              <w:rPr>
                <w:rFonts w:ascii="Times New Roman" w:eastAsia="Times New Roman" w:hAnsi="Times New Roman"/>
                <w:b/>
                <w:bCs/>
                <w:color w:val="000000"/>
                <w:sz w:val="20"/>
                <w:szCs w:val="20"/>
              </w:rPr>
            </w:pPr>
            <w:r>
              <w:rPr>
                <w:rFonts w:ascii="Times New Roman" w:hAnsi="Times New Roman"/>
                <w:b/>
                <w:bCs/>
                <w:sz w:val="20"/>
                <w:szCs w:val="20"/>
              </w:rPr>
              <w:t>Продължителност на схемата</w:t>
            </w:r>
          </w:p>
        </w:tc>
        <w:tc>
          <w:tcPr>
            <w:tcW w:w="995" w:type="pct"/>
            <w:tcBorders>
              <w:bottom w:val="double" w:sz="4" w:space="0" w:color="auto"/>
            </w:tcBorders>
            <w:shd w:val="clear" w:color="000000" w:fill="D9D9D9"/>
            <w:vAlign w:val="center"/>
            <w:hideMark/>
          </w:tcPr>
          <w:p w14:paraId="2EC0AEBC" w14:textId="77777777" w:rsidR="00C3264D" w:rsidRDefault="00E07823">
            <w:pPr>
              <w:spacing w:after="0" w:line="240" w:lineRule="auto"/>
              <w:jc w:val="center"/>
              <w:rPr>
                <w:rFonts w:ascii="Times New Roman" w:eastAsia="Times New Roman" w:hAnsi="Times New Roman"/>
                <w:b/>
                <w:bCs/>
                <w:color w:val="000000"/>
                <w:sz w:val="20"/>
                <w:szCs w:val="20"/>
              </w:rPr>
            </w:pPr>
            <w:r>
              <w:rPr>
                <w:rFonts w:ascii="Times New Roman" w:hAnsi="Times New Roman"/>
                <w:b/>
                <w:bCs/>
                <w:sz w:val="20"/>
                <w:szCs w:val="20"/>
              </w:rPr>
              <w:t>Компенсации, изплатени през 2018 г. за непреки разходи, направени през 2017 г. (в млн. евро)</w:t>
            </w:r>
          </w:p>
        </w:tc>
        <w:tc>
          <w:tcPr>
            <w:tcW w:w="764" w:type="pct"/>
            <w:tcBorders>
              <w:bottom w:val="double" w:sz="4" w:space="0" w:color="auto"/>
            </w:tcBorders>
            <w:shd w:val="clear" w:color="000000" w:fill="D9D9D9"/>
            <w:vAlign w:val="center"/>
            <w:hideMark/>
          </w:tcPr>
          <w:p w14:paraId="30FC3338" w14:textId="77777777" w:rsidR="00C3264D" w:rsidRDefault="00E07823">
            <w:pPr>
              <w:spacing w:after="0" w:line="240" w:lineRule="auto"/>
              <w:jc w:val="center"/>
              <w:rPr>
                <w:rFonts w:ascii="Times New Roman" w:eastAsia="Times New Roman" w:hAnsi="Times New Roman"/>
                <w:b/>
                <w:bCs/>
                <w:color w:val="000000"/>
                <w:sz w:val="20"/>
                <w:szCs w:val="20"/>
              </w:rPr>
            </w:pPr>
            <w:r>
              <w:rPr>
                <w:rFonts w:ascii="Times New Roman" w:hAnsi="Times New Roman"/>
                <w:b/>
                <w:bCs/>
                <w:sz w:val="20"/>
                <w:szCs w:val="20"/>
              </w:rPr>
              <w:t>Брой бенефициери (инсталации)</w:t>
            </w:r>
          </w:p>
        </w:tc>
        <w:tc>
          <w:tcPr>
            <w:tcW w:w="1073" w:type="pct"/>
            <w:tcBorders>
              <w:bottom w:val="double" w:sz="4" w:space="0" w:color="auto"/>
            </w:tcBorders>
            <w:shd w:val="clear" w:color="000000" w:fill="D9D9D9"/>
            <w:vAlign w:val="center"/>
            <w:hideMark/>
          </w:tcPr>
          <w:p w14:paraId="5645CBC7" w14:textId="77777777" w:rsidR="00C3264D" w:rsidRDefault="00E07823">
            <w:pPr>
              <w:spacing w:after="0" w:line="240" w:lineRule="auto"/>
              <w:jc w:val="center"/>
              <w:rPr>
                <w:rFonts w:ascii="Times New Roman" w:eastAsia="Times New Roman" w:hAnsi="Times New Roman"/>
                <w:b/>
                <w:bCs/>
                <w:color w:val="000000"/>
                <w:sz w:val="20"/>
                <w:szCs w:val="20"/>
              </w:rPr>
            </w:pPr>
            <w:r>
              <w:rPr>
                <w:rFonts w:ascii="Times New Roman" w:hAnsi="Times New Roman"/>
                <w:b/>
                <w:bCs/>
                <w:sz w:val="20"/>
                <w:szCs w:val="20"/>
              </w:rPr>
              <w:t>Приходи от тръжни продажби през 2017 г. (с изключение на квоти за авиационни емисии, в млн. евро)</w:t>
            </w:r>
          </w:p>
        </w:tc>
        <w:tc>
          <w:tcPr>
            <w:tcW w:w="1029" w:type="pct"/>
            <w:tcBorders>
              <w:bottom w:val="double" w:sz="4" w:space="0" w:color="auto"/>
            </w:tcBorders>
            <w:shd w:val="clear" w:color="000000" w:fill="D9D9D9"/>
            <w:vAlign w:val="center"/>
            <w:hideMark/>
          </w:tcPr>
          <w:p w14:paraId="4EA7625D" w14:textId="77777777" w:rsidR="00C3264D" w:rsidRDefault="00E07823">
            <w:pPr>
              <w:spacing w:after="0" w:line="240" w:lineRule="auto"/>
              <w:jc w:val="center"/>
              <w:rPr>
                <w:rFonts w:ascii="Times New Roman" w:eastAsia="Times New Roman" w:hAnsi="Times New Roman"/>
                <w:b/>
                <w:bCs/>
                <w:color w:val="000000"/>
                <w:sz w:val="20"/>
                <w:szCs w:val="20"/>
              </w:rPr>
            </w:pPr>
            <w:r>
              <w:rPr>
                <w:rFonts w:ascii="Times New Roman" w:hAnsi="Times New Roman"/>
                <w:b/>
                <w:bCs/>
                <w:sz w:val="20"/>
                <w:szCs w:val="20"/>
              </w:rPr>
              <w:t>Процент от приходите от тръжни продажби, изразходвани за компенсиране на непреки разходи</w:t>
            </w:r>
          </w:p>
        </w:tc>
      </w:tr>
      <w:tr w:rsidR="00C3264D" w14:paraId="1FFB60A8" w14:textId="77777777" w:rsidTr="00516F65">
        <w:trPr>
          <w:trHeight w:val="764"/>
          <w:jc w:val="center"/>
        </w:trPr>
        <w:tc>
          <w:tcPr>
            <w:tcW w:w="492" w:type="pct"/>
            <w:shd w:val="clear" w:color="auto" w:fill="auto"/>
            <w:noWrap/>
            <w:vAlign w:val="center"/>
            <w:hideMark/>
          </w:tcPr>
          <w:p w14:paraId="638F5F5C" w14:textId="77777777" w:rsidR="00C3264D" w:rsidRDefault="00E07823">
            <w:pPr>
              <w:spacing w:after="0" w:line="240" w:lineRule="auto"/>
              <w:jc w:val="center"/>
              <w:rPr>
                <w:rFonts w:ascii="Times New Roman" w:eastAsia="Times New Roman" w:hAnsi="Times New Roman"/>
                <w:sz w:val="20"/>
                <w:szCs w:val="20"/>
              </w:rPr>
            </w:pPr>
            <w:r>
              <w:rPr>
                <w:rFonts w:ascii="Times New Roman" w:hAnsi="Times New Roman"/>
                <w:sz w:val="20"/>
                <w:szCs w:val="20"/>
              </w:rPr>
              <w:t>Обединеното кралство</w:t>
            </w:r>
          </w:p>
        </w:tc>
        <w:tc>
          <w:tcPr>
            <w:tcW w:w="647" w:type="pct"/>
            <w:shd w:val="clear" w:color="auto" w:fill="auto"/>
            <w:noWrap/>
            <w:vAlign w:val="center"/>
            <w:hideMark/>
          </w:tcPr>
          <w:p w14:paraId="0E4A3B8B" w14:textId="77777777" w:rsidR="00C3264D" w:rsidRDefault="00E07823">
            <w:pPr>
              <w:spacing w:after="0" w:line="240" w:lineRule="auto"/>
              <w:jc w:val="center"/>
              <w:rPr>
                <w:rFonts w:ascii="Times New Roman" w:eastAsia="Times New Roman" w:hAnsi="Times New Roman"/>
                <w:sz w:val="20"/>
                <w:szCs w:val="20"/>
              </w:rPr>
            </w:pPr>
            <w:r>
              <w:rPr>
                <w:rFonts w:ascii="Times New Roman" w:hAnsi="Times New Roman"/>
                <w:sz w:val="20"/>
                <w:szCs w:val="20"/>
              </w:rPr>
              <w:t>2013—2020 г.</w:t>
            </w:r>
          </w:p>
        </w:tc>
        <w:tc>
          <w:tcPr>
            <w:tcW w:w="995" w:type="pct"/>
            <w:shd w:val="clear" w:color="auto" w:fill="auto"/>
            <w:vAlign w:val="center"/>
            <w:hideMark/>
          </w:tcPr>
          <w:p w14:paraId="50DB0548" w14:textId="77777777" w:rsidR="00C3264D" w:rsidRDefault="00E07823">
            <w:pPr>
              <w:spacing w:after="0" w:line="240" w:lineRule="auto"/>
              <w:jc w:val="center"/>
              <w:rPr>
                <w:rFonts w:ascii="Times New Roman" w:eastAsia="Times New Roman" w:hAnsi="Times New Roman"/>
                <w:sz w:val="20"/>
                <w:szCs w:val="20"/>
              </w:rPr>
            </w:pPr>
            <w:r>
              <w:rPr>
                <w:rFonts w:ascii="Times New Roman" w:hAnsi="Times New Roman"/>
                <w:sz w:val="20"/>
                <w:szCs w:val="20"/>
              </w:rPr>
              <w:t>22,36</w:t>
            </w:r>
            <w:r>
              <w:rPr>
                <w:rStyle w:val="FootnoteReference"/>
                <w:rFonts w:ascii="Times New Roman" w:eastAsia="Times New Roman" w:hAnsi="Times New Roman"/>
                <w:sz w:val="20"/>
                <w:szCs w:val="20"/>
              </w:rPr>
              <w:footnoteReference w:id="31"/>
            </w:r>
          </w:p>
        </w:tc>
        <w:tc>
          <w:tcPr>
            <w:tcW w:w="764" w:type="pct"/>
            <w:shd w:val="clear" w:color="auto" w:fill="auto"/>
            <w:vAlign w:val="center"/>
            <w:hideMark/>
          </w:tcPr>
          <w:p w14:paraId="7D66876D" w14:textId="77777777" w:rsidR="00C3264D" w:rsidRDefault="00E07823">
            <w:pPr>
              <w:spacing w:after="0" w:line="240" w:lineRule="auto"/>
              <w:jc w:val="center"/>
              <w:rPr>
                <w:rFonts w:ascii="Times New Roman" w:eastAsia="Times New Roman" w:hAnsi="Times New Roman"/>
                <w:sz w:val="20"/>
                <w:szCs w:val="20"/>
              </w:rPr>
            </w:pPr>
            <w:r>
              <w:rPr>
                <w:rFonts w:ascii="Times New Roman" w:hAnsi="Times New Roman"/>
                <w:sz w:val="20"/>
                <w:szCs w:val="20"/>
              </w:rPr>
              <w:t>60</w:t>
            </w:r>
            <w:r>
              <w:rPr>
                <w:rStyle w:val="FootnoteReference"/>
                <w:rFonts w:ascii="Times New Roman" w:eastAsia="Times New Roman" w:hAnsi="Times New Roman"/>
                <w:sz w:val="20"/>
                <w:szCs w:val="20"/>
              </w:rPr>
              <w:footnoteReference w:id="32"/>
            </w:r>
          </w:p>
        </w:tc>
        <w:tc>
          <w:tcPr>
            <w:tcW w:w="1073" w:type="pct"/>
            <w:shd w:val="clear" w:color="auto" w:fill="auto"/>
            <w:vAlign w:val="center"/>
            <w:hideMark/>
          </w:tcPr>
          <w:p w14:paraId="61664C7E" w14:textId="77777777" w:rsidR="00C3264D" w:rsidRDefault="00513707">
            <w:pPr>
              <w:spacing w:after="0" w:line="240" w:lineRule="auto"/>
              <w:jc w:val="center"/>
              <w:rPr>
                <w:rFonts w:ascii="Times New Roman" w:eastAsia="Times New Roman" w:hAnsi="Times New Roman"/>
                <w:sz w:val="20"/>
                <w:szCs w:val="20"/>
              </w:rPr>
            </w:pPr>
            <w:r>
              <w:rPr>
                <w:rFonts w:ascii="Times New Roman" w:hAnsi="Times New Roman"/>
                <w:sz w:val="20"/>
                <w:szCs w:val="20"/>
              </w:rPr>
              <w:t>1607</w:t>
            </w:r>
            <w:r>
              <w:rPr>
                <w:rStyle w:val="FootnoteReference"/>
                <w:rFonts w:ascii="Times New Roman" w:eastAsia="Times New Roman" w:hAnsi="Times New Roman"/>
                <w:sz w:val="20"/>
                <w:szCs w:val="20"/>
              </w:rPr>
              <w:footnoteReference w:id="33"/>
            </w:r>
          </w:p>
        </w:tc>
        <w:tc>
          <w:tcPr>
            <w:tcW w:w="1029" w:type="pct"/>
            <w:shd w:val="clear" w:color="auto" w:fill="auto"/>
            <w:vAlign w:val="center"/>
            <w:hideMark/>
          </w:tcPr>
          <w:p w14:paraId="2C916D31" w14:textId="77777777" w:rsidR="00C3264D" w:rsidRDefault="00E07823">
            <w:pPr>
              <w:spacing w:after="0" w:line="240" w:lineRule="auto"/>
              <w:jc w:val="center"/>
              <w:rPr>
                <w:rFonts w:ascii="Times New Roman" w:eastAsia="Times New Roman" w:hAnsi="Times New Roman"/>
                <w:sz w:val="20"/>
                <w:szCs w:val="20"/>
              </w:rPr>
            </w:pPr>
            <w:r>
              <w:rPr>
                <w:rFonts w:ascii="Times New Roman" w:hAnsi="Times New Roman"/>
                <w:sz w:val="20"/>
                <w:szCs w:val="20"/>
              </w:rPr>
              <w:t>3,7 %</w:t>
            </w:r>
          </w:p>
          <w:p w14:paraId="6216CE76" w14:textId="77777777" w:rsidR="00C3264D" w:rsidRDefault="00E07823">
            <w:pPr>
              <w:spacing w:after="0" w:line="240" w:lineRule="auto"/>
              <w:rPr>
                <w:rFonts w:ascii="Times New Roman" w:eastAsia="Times New Roman" w:hAnsi="Times New Roman"/>
                <w:sz w:val="20"/>
                <w:szCs w:val="20"/>
              </w:rPr>
            </w:pPr>
            <w:r>
              <w:rPr>
                <w:rFonts w:ascii="Times New Roman" w:hAnsi="Times New Roman"/>
                <w:sz w:val="20"/>
                <w:szCs w:val="20"/>
              </w:rPr>
              <w:t> </w:t>
            </w:r>
          </w:p>
        </w:tc>
      </w:tr>
      <w:tr w:rsidR="00C3264D" w14:paraId="0978FDAA" w14:textId="77777777" w:rsidTr="00516F65">
        <w:trPr>
          <w:trHeight w:val="299"/>
          <w:jc w:val="center"/>
        </w:trPr>
        <w:tc>
          <w:tcPr>
            <w:tcW w:w="492" w:type="pct"/>
            <w:shd w:val="clear" w:color="auto" w:fill="auto"/>
            <w:noWrap/>
            <w:vAlign w:val="center"/>
            <w:hideMark/>
          </w:tcPr>
          <w:p w14:paraId="09B7D411" w14:textId="77777777" w:rsidR="00C3264D" w:rsidRDefault="00E07823">
            <w:pPr>
              <w:spacing w:after="0" w:line="240" w:lineRule="auto"/>
              <w:jc w:val="center"/>
              <w:rPr>
                <w:rFonts w:ascii="Times New Roman" w:eastAsia="Times New Roman" w:hAnsi="Times New Roman"/>
                <w:sz w:val="20"/>
                <w:szCs w:val="20"/>
              </w:rPr>
            </w:pPr>
            <w:r>
              <w:rPr>
                <w:rFonts w:ascii="Times New Roman" w:hAnsi="Times New Roman"/>
                <w:sz w:val="20"/>
                <w:szCs w:val="20"/>
              </w:rPr>
              <w:t>Германия</w:t>
            </w:r>
          </w:p>
        </w:tc>
        <w:tc>
          <w:tcPr>
            <w:tcW w:w="647" w:type="pct"/>
            <w:shd w:val="clear" w:color="auto" w:fill="auto"/>
            <w:noWrap/>
            <w:vAlign w:val="center"/>
            <w:hideMark/>
          </w:tcPr>
          <w:p w14:paraId="6C4F4B24" w14:textId="77777777" w:rsidR="00C3264D" w:rsidRDefault="00E07823">
            <w:pPr>
              <w:spacing w:after="0" w:line="240" w:lineRule="auto"/>
              <w:jc w:val="center"/>
              <w:rPr>
                <w:rFonts w:ascii="Times New Roman" w:eastAsia="Times New Roman" w:hAnsi="Times New Roman"/>
                <w:sz w:val="20"/>
                <w:szCs w:val="20"/>
              </w:rPr>
            </w:pPr>
            <w:r>
              <w:rPr>
                <w:rFonts w:ascii="Times New Roman" w:hAnsi="Times New Roman"/>
                <w:sz w:val="20"/>
                <w:szCs w:val="20"/>
              </w:rPr>
              <w:t>2013—2020 г.</w:t>
            </w:r>
          </w:p>
        </w:tc>
        <w:tc>
          <w:tcPr>
            <w:tcW w:w="995" w:type="pct"/>
            <w:shd w:val="clear" w:color="auto" w:fill="auto"/>
            <w:vAlign w:val="center"/>
            <w:hideMark/>
          </w:tcPr>
          <w:p w14:paraId="3902A268" w14:textId="77777777" w:rsidR="00C3264D" w:rsidRDefault="00E07823">
            <w:pPr>
              <w:spacing w:after="0" w:line="240" w:lineRule="auto"/>
              <w:jc w:val="center"/>
              <w:rPr>
                <w:rFonts w:ascii="Times New Roman" w:eastAsia="Times New Roman" w:hAnsi="Times New Roman"/>
                <w:sz w:val="20"/>
                <w:szCs w:val="20"/>
              </w:rPr>
            </w:pPr>
            <w:r>
              <w:rPr>
                <w:rFonts w:ascii="Times New Roman" w:hAnsi="Times New Roman"/>
                <w:sz w:val="20"/>
                <w:szCs w:val="20"/>
              </w:rPr>
              <w:t>202</w:t>
            </w:r>
          </w:p>
        </w:tc>
        <w:tc>
          <w:tcPr>
            <w:tcW w:w="764" w:type="pct"/>
            <w:shd w:val="clear" w:color="auto" w:fill="auto"/>
            <w:vAlign w:val="center"/>
            <w:hideMark/>
          </w:tcPr>
          <w:p w14:paraId="351D5336" w14:textId="77777777" w:rsidR="00C3264D" w:rsidRDefault="00E07823">
            <w:pPr>
              <w:spacing w:after="0" w:line="240" w:lineRule="auto"/>
              <w:jc w:val="center"/>
              <w:rPr>
                <w:rFonts w:ascii="Times New Roman" w:eastAsia="Times New Roman" w:hAnsi="Times New Roman"/>
                <w:sz w:val="20"/>
                <w:szCs w:val="20"/>
              </w:rPr>
            </w:pPr>
            <w:r>
              <w:rPr>
                <w:rFonts w:ascii="Times New Roman" w:hAnsi="Times New Roman"/>
                <w:sz w:val="20"/>
                <w:szCs w:val="20"/>
              </w:rPr>
              <w:t>891</w:t>
            </w:r>
          </w:p>
        </w:tc>
        <w:tc>
          <w:tcPr>
            <w:tcW w:w="1073" w:type="pct"/>
            <w:shd w:val="clear" w:color="auto" w:fill="auto"/>
            <w:vAlign w:val="center"/>
            <w:hideMark/>
          </w:tcPr>
          <w:p w14:paraId="410E19E1" w14:textId="77777777" w:rsidR="00C3264D" w:rsidRDefault="00F92EFD">
            <w:pPr>
              <w:spacing w:after="0" w:line="240" w:lineRule="auto"/>
              <w:jc w:val="center"/>
              <w:rPr>
                <w:rFonts w:ascii="Times New Roman" w:eastAsia="Times New Roman" w:hAnsi="Times New Roman"/>
                <w:sz w:val="20"/>
                <w:szCs w:val="20"/>
              </w:rPr>
            </w:pPr>
            <w:r>
              <w:rPr>
                <w:rFonts w:ascii="Times New Roman" w:hAnsi="Times New Roman"/>
                <w:sz w:val="20"/>
                <w:szCs w:val="20"/>
              </w:rPr>
              <w:t>1 141,7</w:t>
            </w:r>
          </w:p>
        </w:tc>
        <w:tc>
          <w:tcPr>
            <w:tcW w:w="1029" w:type="pct"/>
            <w:shd w:val="clear" w:color="auto" w:fill="auto"/>
            <w:vAlign w:val="center"/>
            <w:hideMark/>
          </w:tcPr>
          <w:p w14:paraId="5503AFB8" w14:textId="77777777" w:rsidR="00C3264D" w:rsidRDefault="00E07823">
            <w:pPr>
              <w:spacing w:after="0" w:line="240" w:lineRule="auto"/>
              <w:jc w:val="center"/>
              <w:rPr>
                <w:rFonts w:ascii="Times New Roman" w:eastAsia="Times New Roman" w:hAnsi="Times New Roman"/>
                <w:sz w:val="20"/>
                <w:szCs w:val="20"/>
              </w:rPr>
            </w:pPr>
            <w:r>
              <w:rPr>
                <w:rFonts w:ascii="Times New Roman" w:hAnsi="Times New Roman"/>
                <w:sz w:val="20"/>
                <w:szCs w:val="20"/>
              </w:rPr>
              <w:t> 17,6 %</w:t>
            </w:r>
          </w:p>
        </w:tc>
      </w:tr>
      <w:tr w:rsidR="00C3264D" w14:paraId="25DF01F7" w14:textId="77777777" w:rsidTr="00516F65">
        <w:trPr>
          <w:trHeight w:val="299"/>
          <w:jc w:val="center"/>
        </w:trPr>
        <w:tc>
          <w:tcPr>
            <w:tcW w:w="492" w:type="pct"/>
            <w:shd w:val="clear" w:color="auto" w:fill="auto"/>
            <w:noWrap/>
            <w:vAlign w:val="center"/>
            <w:hideMark/>
          </w:tcPr>
          <w:p w14:paraId="01A811BE" w14:textId="77777777" w:rsidR="00C3264D" w:rsidRDefault="00E07823">
            <w:pPr>
              <w:spacing w:after="0" w:line="240" w:lineRule="auto"/>
              <w:jc w:val="center"/>
              <w:rPr>
                <w:rFonts w:ascii="Times New Roman" w:eastAsia="Times New Roman" w:hAnsi="Times New Roman"/>
                <w:sz w:val="20"/>
                <w:szCs w:val="20"/>
              </w:rPr>
            </w:pPr>
            <w:r>
              <w:rPr>
                <w:rFonts w:ascii="Times New Roman" w:hAnsi="Times New Roman"/>
                <w:sz w:val="20"/>
                <w:szCs w:val="20"/>
              </w:rPr>
              <w:t>Белгия (Фландрия)</w:t>
            </w:r>
          </w:p>
        </w:tc>
        <w:tc>
          <w:tcPr>
            <w:tcW w:w="647" w:type="pct"/>
            <w:shd w:val="clear" w:color="auto" w:fill="auto"/>
            <w:noWrap/>
            <w:vAlign w:val="center"/>
            <w:hideMark/>
          </w:tcPr>
          <w:p w14:paraId="27BD553B" w14:textId="77777777" w:rsidR="00C3264D" w:rsidRDefault="00E07823">
            <w:pPr>
              <w:spacing w:after="0" w:line="240" w:lineRule="auto"/>
              <w:jc w:val="center"/>
              <w:rPr>
                <w:rFonts w:ascii="Times New Roman" w:eastAsia="Times New Roman" w:hAnsi="Times New Roman"/>
                <w:sz w:val="20"/>
                <w:szCs w:val="20"/>
              </w:rPr>
            </w:pPr>
            <w:r>
              <w:rPr>
                <w:rFonts w:ascii="Times New Roman" w:hAnsi="Times New Roman"/>
                <w:sz w:val="20"/>
                <w:szCs w:val="20"/>
              </w:rPr>
              <w:t>2013—2020 г.</w:t>
            </w:r>
          </w:p>
        </w:tc>
        <w:tc>
          <w:tcPr>
            <w:tcW w:w="995" w:type="pct"/>
            <w:shd w:val="clear" w:color="auto" w:fill="auto"/>
            <w:vAlign w:val="center"/>
            <w:hideMark/>
          </w:tcPr>
          <w:p w14:paraId="257B7C8C" w14:textId="77777777" w:rsidR="00C3264D" w:rsidRDefault="00F92EFD">
            <w:pPr>
              <w:spacing w:after="0" w:line="240" w:lineRule="auto"/>
              <w:jc w:val="center"/>
              <w:rPr>
                <w:rFonts w:ascii="Times New Roman" w:eastAsia="Times New Roman" w:hAnsi="Times New Roman"/>
                <w:sz w:val="20"/>
                <w:szCs w:val="20"/>
              </w:rPr>
            </w:pPr>
            <w:r>
              <w:rPr>
                <w:rFonts w:ascii="Times New Roman" w:hAnsi="Times New Roman"/>
                <w:sz w:val="20"/>
                <w:szCs w:val="20"/>
              </w:rPr>
              <w:t>31,7</w:t>
            </w:r>
          </w:p>
        </w:tc>
        <w:tc>
          <w:tcPr>
            <w:tcW w:w="764" w:type="pct"/>
            <w:shd w:val="clear" w:color="auto" w:fill="auto"/>
            <w:vAlign w:val="center"/>
            <w:hideMark/>
          </w:tcPr>
          <w:p w14:paraId="0D65CA1C" w14:textId="77777777" w:rsidR="00C3264D" w:rsidRDefault="00E07823">
            <w:pPr>
              <w:spacing w:after="0" w:line="240" w:lineRule="auto"/>
              <w:jc w:val="center"/>
              <w:rPr>
                <w:rFonts w:ascii="Times New Roman" w:eastAsia="Times New Roman" w:hAnsi="Times New Roman"/>
                <w:sz w:val="20"/>
                <w:szCs w:val="20"/>
              </w:rPr>
            </w:pPr>
            <w:r>
              <w:rPr>
                <w:rFonts w:ascii="Times New Roman" w:hAnsi="Times New Roman"/>
                <w:sz w:val="20"/>
                <w:szCs w:val="20"/>
              </w:rPr>
              <w:t>106 </w:t>
            </w:r>
          </w:p>
        </w:tc>
        <w:tc>
          <w:tcPr>
            <w:tcW w:w="1073" w:type="pct"/>
            <w:vMerge w:val="restart"/>
            <w:shd w:val="clear" w:color="auto" w:fill="auto"/>
            <w:vAlign w:val="center"/>
            <w:hideMark/>
          </w:tcPr>
          <w:p w14:paraId="15075BB2" w14:textId="77777777" w:rsidR="00C3264D" w:rsidRDefault="00F92EFD">
            <w:pPr>
              <w:spacing w:after="0" w:line="240" w:lineRule="auto"/>
              <w:jc w:val="center"/>
              <w:rPr>
                <w:rFonts w:ascii="Times New Roman" w:eastAsia="Times New Roman" w:hAnsi="Times New Roman"/>
                <w:sz w:val="20"/>
                <w:szCs w:val="20"/>
              </w:rPr>
            </w:pPr>
            <w:r>
              <w:rPr>
                <w:rFonts w:ascii="Times New Roman" w:hAnsi="Times New Roman"/>
                <w:sz w:val="20"/>
                <w:szCs w:val="20"/>
              </w:rPr>
              <w:t>143,5</w:t>
            </w:r>
          </w:p>
        </w:tc>
        <w:tc>
          <w:tcPr>
            <w:tcW w:w="1029" w:type="pct"/>
            <w:vMerge w:val="restart"/>
            <w:shd w:val="clear" w:color="auto" w:fill="auto"/>
            <w:vAlign w:val="center"/>
            <w:hideMark/>
          </w:tcPr>
          <w:p w14:paraId="56556A61" w14:textId="77777777" w:rsidR="00C3264D" w:rsidRDefault="00E07823">
            <w:pPr>
              <w:spacing w:after="0" w:line="240" w:lineRule="auto"/>
              <w:jc w:val="center"/>
              <w:rPr>
                <w:rFonts w:ascii="Times New Roman" w:eastAsia="Times New Roman" w:hAnsi="Times New Roman"/>
                <w:sz w:val="20"/>
                <w:szCs w:val="20"/>
              </w:rPr>
            </w:pPr>
            <w:r>
              <w:rPr>
                <w:rFonts w:ascii="Times New Roman" w:hAnsi="Times New Roman"/>
                <w:sz w:val="20"/>
                <w:szCs w:val="20"/>
              </w:rPr>
              <w:t>27,3 %</w:t>
            </w:r>
          </w:p>
        </w:tc>
      </w:tr>
      <w:tr w:rsidR="00C3264D" w14:paraId="0B7CA88F" w14:textId="77777777" w:rsidTr="00516F65">
        <w:trPr>
          <w:trHeight w:val="299"/>
          <w:jc w:val="center"/>
        </w:trPr>
        <w:tc>
          <w:tcPr>
            <w:tcW w:w="492" w:type="pct"/>
            <w:shd w:val="clear" w:color="auto" w:fill="auto"/>
            <w:noWrap/>
            <w:vAlign w:val="center"/>
            <w:hideMark/>
          </w:tcPr>
          <w:p w14:paraId="775B201E" w14:textId="77777777" w:rsidR="00C3264D" w:rsidRDefault="00E07823">
            <w:pPr>
              <w:spacing w:after="0" w:line="240" w:lineRule="auto"/>
              <w:jc w:val="center"/>
              <w:rPr>
                <w:rFonts w:ascii="Times New Roman" w:eastAsia="Times New Roman" w:hAnsi="Times New Roman"/>
                <w:sz w:val="20"/>
                <w:szCs w:val="20"/>
              </w:rPr>
            </w:pPr>
            <w:r>
              <w:rPr>
                <w:rFonts w:ascii="Times New Roman" w:hAnsi="Times New Roman"/>
                <w:sz w:val="20"/>
                <w:szCs w:val="20"/>
              </w:rPr>
              <w:t>Белгия (Валония)</w:t>
            </w:r>
          </w:p>
        </w:tc>
        <w:tc>
          <w:tcPr>
            <w:tcW w:w="647" w:type="pct"/>
            <w:shd w:val="clear" w:color="auto" w:fill="auto"/>
            <w:noWrap/>
            <w:vAlign w:val="center"/>
            <w:hideMark/>
          </w:tcPr>
          <w:p w14:paraId="7DEC125C" w14:textId="77777777" w:rsidR="00C3264D" w:rsidRDefault="00E07823">
            <w:pPr>
              <w:spacing w:after="0" w:line="240" w:lineRule="auto"/>
              <w:jc w:val="center"/>
              <w:rPr>
                <w:rFonts w:ascii="Times New Roman" w:eastAsia="Times New Roman" w:hAnsi="Times New Roman"/>
                <w:sz w:val="20"/>
                <w:szCs w:val="20"/>
              </w:rPr>
            </w:pPr>
            <w:r>
              <w:rPr>
                <w:rFonts w:ascii="Times New Roman" w:hAnsi="Times New Roman"/>
                <w:sz w:val="20"/>
                <w:szCs w:val="20"/>
              </w:rPr>
              <w:t>2017—2020 г.</w:t>
            </w:r>
          </w:p>
        </w:tc>
        <w:tc>
          <w:tcPr>
            <w:tcW w:w="995" w:type="pct"/>
            <w:shd w:val="clear" w:color="auto" w:fill="auto"/>
            <w:vAlign w:val="center"/>
            <w:hideMark/>
          </w:tcPr>
          <w:p w14:paraId="6489502D" w14:textId="77777777" w:rsidR="00C3264D" w:rsidRDefault="00F92EFD">
            <w:pPr>
              <w:spacing w:after="0" w:line="240" w:lineRule="auto"/>
              <w:jc w:val="center"/>
              <w:rPr>
                <w:rFonts w:ascii="Times New Roman" w:eastAsia="Times New Roman" w:hAnsi="Times New Roman"/>
                <w:sz w:val="20"/>
                <w:szCs w:val="20"/>
              </w:rPr>
            </w:pPr>
            <w:r>
              <w:rPr>
                <w:rFonts w:ascii="Times New Roman" w:hAnsi="Times New Roman"/>
                <w:sz w:val="20"/>
                <w:szCs w:val="20"/>
              </w:rPr>
              <w:t>7,5</w:t>
            </w:r>
          </w:p>
        </w:tc>
        <w:tc>
          <w:tcPr>
            <w:tcW w:w="764" w:type="pct"/>
            <w:shd w:val="clear" w:color="auto" w:fill="auto"/>
            <w:vAlign w:val="center"/>
            <w:hideMark/>
          </w:tcPr>
          <w:p w14:paraId="02D5B8D3" w14:textId="77777777" w:rsidR="00C3264D" w:rsidRDefault="00E07823">
            <w:pPr>
              <w:spacing w:after="0" w:line="240" w:lineRule="auto"/>
              <w:jc w:val="center"/>
              <w:rPr>
                <w:rFonts w:ascii="Times New Roman" w:eastAsia="Times New Roman" w:hAnsi="Times New Roman"/>
                <w:sz w:val="20"/>
                <w:szCs w:val="20"/>
              </w:rPr>
            </w:pPr>
            <w:r>
              <w:rPr>
                <w:rFonts w:ascii="Times New Roman" w:hAnsi="Times New Roman"/>
                <w:sz w:val="20"/>
                <w:szCs w:val="20"/>
              </w:rPr>
              <w:t>30</w:t>
            </w:r>
          </w:p>
        </w:tc>
        <w:tc>
          <w:tcPr>
            <w:tcW w:w="1073" w:type="pct"/>
            <w:vMerge/>
            <w:shd w:val="clear" w:color="auto" w:fill="auto"/>
            <w:vAlign w:val="center"/>
            <w:hideMark/>
          </w:tcPr>
          <w:p w14:paraId="5C202E66" w14:textId="77777777" w:rsidR="00C3264D" w:rsidRDefault="00C3264D">
            <w:pPr>
              <w:spacing w:after="0" w:line="240" w:lineRule="auto"/>
              <w:rPr>
                <w:rFonts w:ascii="Times New Roman" w:eastAsia="Times New Roman" w:hAnsi="Times New Roman"/>
                <w:sz w:val="20"/>
                <w:szCs w:val="20"/>
              </w:rPr>
            </w:pPr>
          </w:p>
        </w:tc>
        <w:tc>
          <w:tcPr>
            <w:tcW w:w="1029" w:type="pct"/>
            <w:vMerge/>
            <w:shd w:val="clear" w:color="auto" w:fill="auto"/>
            <w:vAlign w:val="center"/>
            <w:hideMark/>
          </w:tcPr>
          <w:p w14:paraId="59A0DE4A" w14:textId="77777777" w:rsidR="00C3264D" w:rsidRDefault="00C3264D">
            <w:pPr>
              <w:spacing w:after="0" w:line="240" w:lineRule="auto"/>
              <w:rPr>
                <w:rFonts w:ascii="Times New Roman" w:eastAsia="Times New Roman" w:hAnsi="Times New Roman"/>
                <w:sz w:val="20"/>
                <w:szCs w:val="20"/>
              </w:rPr>
            </w:pPr>
          </w:p>
        </w:tc>
      </w:tr>
      <w:tr w:rsidR="00C3264D" w14:paraId="0A5705B0" w14:textId="77777777" w:rsidTr="00516F65">
        <w:trPr>
          <w:trHeight w:val="299"/>
          <w:jc w:val="center"/>
        </w:trPr>
        <w:tc>
          <w:tcPr>
            <w:tcW w:w="492" w:type="pct"/>
            <w:shd w:val="clear" w:color="auto" w:fill="auto"/>
            <w:noWrap/>
            <w:vAlign w:val="center"/>
            <w:hideMark/>
          </w:tcPr>
          <w:p w14:paraId="485B2A19" w14:textId="77777777" w:rsidR="00C3264D" w:rsidRDefault="00E07823">
            <w:pPr>
              <w:spacing w:after="0" w:line="240" w:lineRule="auto"/>
              <w:jc w:val="center"/>
              <w:rPr>
                <w:rFonts w:ascii="Times New Roman" w:eastAsia="Times New Roman" w:hAnsi="Times New Roman"/>
                <w:sz w:val="20"/>
                <w:szCs w:val="20"/>
              </w:rPr>
            </w:pPr>
            <w:r>
              <w:rPr>
                <w:rFonts w:ascii="Times New Roman" w:hAnsi="Times New Roman"/>
                <w:sz w:val="20"/>
                <w:szCs w:val="20"/>
              </w:rPr>
              <w:t>Нидерландия</w:t>
            </w:r>
          </w:p>
        </w:tc>
        <w:tc>
          <w:tcPr>
            <w:tcW w:w="647" w:type="pct"/>
            <w:shd w:val="clear" w:color="auto" w:fill="auto"/>
            <w:noWrap/>
            <w:vAlign w:val="center"/>
            <w:hideMark/>
          </w:tcPr>
          <w:p w14:paraId="6C6AEB1A" w14:textId="77777777" w:rsidR="00C3264D" w:rsidRDefault="00E07823">
            <w:pPr>
              <w:spacing w:after="0" w:line="240" w:lineRule="auto"/>
              <w:jc w:val="center"/>
              <w:rPr>
                <w:rFonts w:ascii="Times New Roman" w:eastAsia="Times New Roman" w:hAnsi="Times New Roman"/>
                <w:sz w:val="20"/>
                <w:szCs w:val="20"/>
              </w:rPr>
            </w:pPr>
            <w:r>
              <w:rPr>
                <w:rFonts w:ascii="Times New Roman" w:hAnsi="Times New Roman"/>
                <w:sz w:val="20"/>
                <w:szCs w:val="20"/>
              </w:rPr>
              <w:t>2013—2020 г.</w:t>
            </w:r>
          </w:p>
        </w:tc>
        <w:tc>
          <w:tcPr>
            <w:tcW w:w="995" w:type="pct"/>
            <w:shd w:val="clear" w:color="auto" w:fill="auto"/>
            <w:vAlign w:val="center"/>
            <w:hideMark/>
          </w:tcPr>
          <w:p w14:paraId="5CCA4578" w14:textId="77777777" w:rsidR="00C3264D" w:rsidRDefault="00F92EFD">
            <w:pPr>
              <w:spacing w:after="0" w:line="240" w:lineRule="auto"/>
              <w:jc w:val="center"/>
              <w:rPr>
                <w:rFonts w:ascii="Times New Roman" w:eastAsia="Times New Roman" w:hAnsi="Times New Roman"/>
                <w:sz w:val="20"/>
                <w:szCs w:val="20"/>
              </w:rPr>
            </w:pPr>
            <w:r>
              <w:rPr>
                <w:rFonts w:ascii="Times New Roman" w:hAnsi="Times New Roman"/>
                <w:sz w:val="20"/>
                <w:szCs w:val="20"/>
              </w:rPr>
              <w:t>36,9</w:t>
            </w:r>
          </w:p>
        </w:tc>
        <w:tc>
          <w:tcPr>
            <w:tcW w:w="764" w:type="pct"/>
            <w:shd w:val="clear" w:color="auto" w:fill="auto"/>
            <w:vAlign w:val="center"/>
            <w:hideMark/>
          </w:tcPr>
          <w:p w14:paraId="56D804B4" w14:textId="77777777" w:rsidR="00C3264D" w:rsidRDefault="00E07823">
            <w:pPr>
              <w:spacing w:after="0" w:line="240" w:lineRule="auto"/>
              <w:jc w:val="center"/>
              <w:rPr>
                <w:rFonts w:ascii="Times New Roman" w:eastAsia="Times New Roman" w:hAnsi="Times New Roman"/>
                <w:sz w:val="20"/>
                <w:szCs w:val="20"/>
              </w:rPr>
            </w:pPr>
            <w:r>
              <w:rPr>
                <w:rFonts w:ascii="Times New Roman" w:hAnsi="Times New Roman"/>
                <w:sz w:val="20"/>
                <w:szCs w:val="20"/>
              </w:rPr>
              <w:t>96</w:t>
            </w:r>
          </w:p>
        </w:tc>
        <w:tc>
          <w:tcPr>
            <w:tcW w:w="1073" w:type="pct"/>
            <w:shd w:val="clear" w:color="auto" w:fill="auto"/>
            <w:vAlign w:val="center"/>
            <w:hideMark/>
          </w:tcPr>
          <w:p w14:paraId="38394DC0" w14:textId="77777777" w:rsidR="00C3264D" w:rsidRDefault="00E07823">
            <w:pPr>
              <w:spacing w:after="0" w:line="240" w:lineRule="auto"/>
              <w:jc w:val="center"/>
              <w:rPr>
                <w:rFonts w:ascii="Times New Roman" w:eastAsia="Times New Roman" w:hAnsi="Times New Roman"/>
                <w:sz w:val="20"/>
                <w:szCs w:val="20"/>
              </w:rPr>
            </w:pPr>
            <w:r>
              <w:rPr>
                <w:rFonts w:ascii="Times New Roman" w:hAnsi="Times New Roman"/>
                <w:sz w:val="20"/>
                <w:szCs w:val="20"/>
              </w:rPr>
              <w:t>189</w:t>
            </w:r>
          </w:p>
        </w:tc>
        <w:tc>
          <w:tcPr>
            <w:tcW w:w="1029" w:type="pct"/>
            <w:shd w:val="clear" w:color="auto" w:fill="auto"/>
            <w:vAlign w:val="center"/>
            <w:hideMark/>
          </w:tcPr>
          <w:p w14:paraId="096888DC" w14:textId="77777777" w:rsidR="00C3264D" w:rsidRDefault="00E07823">
            <w:pPr>
              <w:spacing w:after="0" w:line="240" w:lineRule="auto"/>
              <w:jc w:val="center"/>
              <w:rPr>
                <w:rFonts w:ascii="Times New Roman" w:eastAsia="Times New Roman" w:hAnsi="Times New Roman"/>
                <w:sz w:val="20"/>
                <w:szCs w:val="20"/>
              </w:rPr>
            </w:pPr>
            <w:r>
              <w:rPr>
                <w:rFonts w:ascii="Times New Roman" w:hAnsi="Times New Roman"/>
                <w:sz w:val="20"/>
                <w:szCs w:val="20"/>
              </w:rPr>
              <w:t>19,5 %</w:t>
            </w:r>
          </w:p>
        </w:tc>
      </w:tr>
      <w:tr w:rsidR="00C3264D" w14:paraId="72DCA1D8" w14:textId="77777777" w:rsidTr="00516F65">
        <w:trPr>
          <w:trHeight w:val="299"/>
          <w:jc w:val="center"/>
        </w:trPr>
        <w:tc>
          <w:tcPr>
            <w:tcW w:w="492" w:type="pct"/>
            <w:shd w:val="clear" w:color="auto" w:fill="auto"/>
            <w:noWrap/>
            <w:vAlign w:val="center"/>
            <w:hideMark/>
          </w:tcPr>
          <w:p w14:paraId="4781F965" w14:textId="77777777" w:rsidR="00C3264D" w:rsidRDefault="00E07823">
            <w:pPr>
              <w:spacing w:after="0" w:line="240" w:lineRule="auto"/>
              <w:jc w:val="center"/>
              <w:rPr>
                <w:rFonts w:ascii="Times New Roman" w:eastAsia="Times New Roman" w:hAnsi="Times New Roman"/>
                <w:sz w:val="20"/>
                <w:szCs w:val="20"/>
              </w:rPr>
            </w:pPr>
            <w:r>
              <w:rPr>
                <w:rFonts w:ascii="Times New Roman" w:hAnsi="Times New Roman"/>
                <w:sz w:val="20"/>
                <w:szCs w:val="20"/>
              </w:rPr>
              <w:t>Гърция</w:t>
            </w:r>
          </w:p>
        </w:tc>
        <w:tc>
          <w:tcPr>
            <w:tcW w:w="647" w:type="pct"/>
            <w:shd w:val="clear" w:color="auto" w:fill="auto"/>
            <w:noWrap/>
            <w:vAlign w:val="center"/>
            <w:hideMark/>
          </w:tcPr>
          <w:p w14:paraId="604963F7" w14:textId="77777777" w:rsidR="00C3264D" w:rsidRDefault="00E07823">
            <w:pPr>
              <w:spacing w:after="0" w:line="240" w:lineRule="auto"/>
              <w:jc w:val="center"/>
              <w:rPr>
                <w:rFonts w:ascii="Times New Roman" w:eastAsia="Times New Roman" w:hAnsi="Times New Roman"/>
                <w:sz w:val="20"/>
                <w:szCs w:val="20"/>
              </w:rPr>
            </w:pPr>
            <w:r>
              <w:rPr>
                <w:rFonts w:ascii="Times New Roman" w:hAnsi="Times New Roman"/>
                <w:sz w:val="20"/>
                <w:szCs w:val="20"/>
              </w:rPr>
              <w:t>2013—2020 г.</w:t>
            </w:r>
          </w:p>
        </w:tc>
        <w:tc>
          <w:tcPr>
            <w:tcW w:w="995" w:type="pct"/>
            <w:shd w:val="clear" w:color="auto" w:fill="auto"/>
            <w:vAlign w:val="center"/>
            <w:hideMark/>
          </w:tcPr>
          <w:p w14:paraId="7A8CF77C" w14:textId="77777777" w:rsidR="00C3264D" w:rsidRDefault="00E07823">
            <w:pPr>
              <w:spacing w:after="0" w:line="240" w:lineRule="auto"/>
              <w:jc w:val="center"/>
              <w:rPr>
                <w:rFonts w:ascii="Times New Roman" w:eastAsia="Times New Roman" w:hAnsi="Times New Roman"/>
                <w:sz w:val="20"/>
                <w:szCs w:val="20"/>
              </w:rPr>
            </w:pPr>
            <w:r>
              <w:rPr>
                <w:rFonts w:ascii="Times New Roman" w:hAnsi="Times New Roman"/>
                <w:sz w:val="20"/>
                <w:szCs w:val="20"/>
              </w:rPr>
              <w:t>16,8</w:t>
            </w:r>
          </w:p>
        </w:tc>
        <w:tc>
          <w:tcPr>
            <w:tcW w:w="764" w:type="pct"/>
            <w:shd w:val="clear" w:color="auto" w:fill="auto"/>
            <w:vAlign w:val="center"/>
            <w:hideMark/>
          </w:tcPr>
          <w:p w14:paraId="0CFF3A73" w14:textId="77777777" w:rsidR="00C3264D" w:rsidRDefault="00E07823">
            <w:pPr>
              <w:spacing w:after="0" w:line="240" w:lineRule="auto"/>
              <w:jc w:val="center"/>
              <w:rPr>
                <w:rFonts w:ascii="Times New Roman" w:eastAsia="Times New Roman" w:hAnsi="Times New Roman"/>
                <w:sz w:val="20"/>
                <w:szCs w:val="20"/>
              </w:rPr>
            </w:pPr>
            <w:r>
              <w:rPr>
                <w:rFonts w:ascii="Times New Roman" w:hAnsi="Times New Roman"/>
                <w:sz w:val="20"/>
                <w:szCs w:val="20"/>
              </w:rPr>
              <w:t> 50</w:t>
            </w:r>
          </w:p>
        </w:tc>
        <w:tc>
          <w:tcPr>
            <w:tcW w:w="1073" w:type="pct"/>
            <w:shd w:val="clear" w:color="auto" w:fill="auto"/>
            <w:vAlign w:val="center"/>
            <w:hideMark/>
          </w:tcPr>
          <w:p w14:paraId="3671FE8E" w14:textId="77777777" w:rsidR="00C3264D" w:rsidRDefault="00F92EFD">
            <w:pPr>
              <w:spacing w:after="0" w:line="240" w:lineRule="auto"/>
              <w:jc w:val="center"/>
              <w:rPr>
                <w:rFonts w:ascii="Times New Roman" w:eastAsia="Times New Roman" w:hAnsi="Times New Roman"/>
                <w:sz w:val="20"/>
                <w:szCs w:val="20"/>
              </w:rPr>
            </w:pPr>
            <w:r>
              <w:rPr>
                <w:rFonts w:ascii="Times New Roman" w:hAnsi="Times New Roman"/>
                <w:sz w:val="20"/>
                <w:szCs w:val="20"/>
              </w:rPr>
              <w:t>196,6</w:t>
            </w:r>
          </w:p>
        </w:tc>
        <w:tc>
          <w:tcPr>
            <w:tcW w:w="1029" w:type="pct"/>
            <w:shd w:val="clear" w:color="auto" w:fill="auto"/>
            <w:vAlign w:val="center"/>
            <w:hideMark/>
          </w:tcPr>
          <w:p w14:paraId="4E3F70F1" w14:textId="77777777" w:rsidR="00C3264D" w:rsidRDefault="00E07823">
            <w:pPr>
              <w:spacing w:after="0" w:line="240" w:lineRule="auto"/>
              <w:jc w:val="center"/>
              <w:rPr>
                <w:rFonts w:ascii="Times New Roman" w:eastAsia="Times New Roman" w:hAnsi="Times New Roman"/>
                <w:sz w:val="20"/>
                <w:szCs w:val="20"/>
              </w:rPr>
            </w:pPr>
            <w:r>
              <w:rPr>
                <w:rFonts w:ascii="Times New Roman" w:hAnsi="Times New Roman"/>
                <w:sz w:val="20"/>
                <w:szCs w:val="20"/>
              </w:rPr>
              <w:t>8,5 %</w:t>
            </w:r>
          </w:p>
        </w:tc>
      </w:tr>
      <w:tr w:rsidR="00C3264D" w14:paraId="6129C85F" w14:textId="77777777" w:rsidTr="00516F65">
        <w:trPr>
          <w:trHeight w:val="299"/>
          <w:jc w:val="center"/>
        </w:trPr>
        <w:tc>
          <w:tcPr>
            <w:tcW w:w="492" w:type="pct"/>
            <w:shd w:val="clear" w:color="auto" w:fill="auto"/>
            <w:noWrap/>
            <w:vAlign w:val="center"/>
            <w:hideMark/>
          </w:tcPr>
          <w:p w14:paraId="1539C293" w14:textId="77777777" w:rsidR="00C3264D" w:rsidRDefault="00E07823">
            <w:pPr>
              <w:spacing w:after="0" w:line="240" w:lineRule="auto"/>
              <w:jc w:val="center"/>
              <w:rPr>
                <w:rFonts w:ascii="Times New Roman" w:eastAsia="Times New Roman" w:hAnsi="Times New Roman"/>
                <w:sz w:val="20"/>
                <w:szCs w:val="20"/>
              </w:rPr>
            </w:pPr>
            <w:r>
              <w:rPr>
                <w:rFonts w:ascii="Times New Roman" w:hAnsi="Times New Roman"/>
                <w:sz w:val="20"/>
                <w:szCs w:val="20"/>
              </w:rPr>
              <w:t>Литва</w:t>
            </w:r>
          </w:p>
        </w:tc>
        <w:tc>
          <w:tcPr>
            <w:tcW w:w="647" w:type="pct"/>
            <w:shd w:val="clear" w:color="auto" w:fill="auto"/>
            <w:noWrap/>
            <w:vAlign w:val="center"/>
            <w:hideMark/>
          </w:tcPr>
          <w:p w14:paraId="63EA327A" w14:textId="77777777" w:rsidR="00C3264D" w:rsidRDefault="00E07823">
            <w:pPr>
              <w:spacing w:after="0" w:line="240" w:lineRule="auto"/>
              <w:jc w:val="center"/>
              <w:rPr>
                <w:rFonts w:ascii="Times New Roman" w:eastAsia="Times New Roman" w:hAnsi="Times New Roman"/>
                <w:sz w:val="20"/>
                <w:szCs w:val="20"/>
              </w:rPr>
            </w:pPr>
            <w:r>
              <w:rPr>
                <w:rFonts w:ascii="Times New Roman" w:hAnsi="Times New Roman"/>
                <w:sz w:val="20"/>
                <w:szCs w:val="20"/>
              </w:rPr>
              <w:t>2014—2020 г.</w:t>
            </w:r>
          </w:p>
        </w:tc>
        <w:tc>
          <w:tcPr>
            <w:tcW w:w="995" w:type="pct"/>
            <w:shd w:val="clear" w:color="auto" w:fill="auto"/>
            <w:vAlign w:val="center"/>
            <w:hideMark/>
          </w:tcPr>
          <w:p w14:paraId="2A9F718D" w14:textId="77777777" w:rsidR="00C3264D" w:rsidRDefault="00E07823">
            <w:pPr>
              <w:spacing w:after="0" w:line="240" w:lineRule="auto"/>
              <w:jc w:val="center"/>
              <w:rPr>
                <w:rFonts w:ascii="Times New Roman" w:eastAsia="Times New Roman" w:hAnsi="Times New Roman"/>
                <w:sz w:val="20"/>
                <w:szCs w:val="20"/>
              </w:rPr>
            </w:pPr>
            <w:r>
              <w:rPr>
                <w:rFonts w:ascii="Times New Roman" w:hAnsi="Times New Roman"/>
                <w:sz w:val="20"/>
                <w:szCs w:val="20"/>
              </w:rPr>
              <w:t> 0,24</w:t>
            </w:r>
          </w:p>
        </w:tc>
        <w:tc>
          <w:tcPr>
            <w:tcW w:w="764" w:type="pct"/>
            <w:shd w:val="clear" w:color="auto" w:fill="auto"/>
            <w:vAlign w:val="center"/>
            <w:hideMark/>
          </w:tcPr>
          <w:p w14:paraId="41D3F208" w14:textId="77777777" w:rsidR="00C3264D" w:rsidRDefault="00E07823">
            <w:pPr>
              <w:spacing w:after="0" w:line="240" w:lineRule="auto"/>
              <w:jc w:val="center"/>
              <w:rPr>
                <w:rFonts w:ascii="Times New Roman" w:eastAsia="Times New Roman" w:hAnsi="Times New Roman"/>
                <w:sz w:val="20"/>
                <w:szCs w:val="20"/>
              </w:rPr>
            </w:pPr>
            <w:r>
              <w:rPr>
                <w:rFonts w:ascii="Times New Roman" w:hAnsi="Times New Roman"/>
                <w:sz w:val="20"/>
                <w:szCs w:val="20"/>
              </w:rPr>
              <w:t>1 </w:t>
            </w:r>
          </w:p>
        </w:tc>
        <w:tc>
          <w:tcPr>
            <w:tcW w:w="1073" w:type="pct"/>
            <w:shd w:val="clear" w:color="auto" w:fill="auto"/>
            <w:vAlign w:val="center"/>
            <w:hideMark/>
          </w:tcPr>
          <w:p w14:paraId="7AF90581" w14:textId="77777777" w:rsidR="00C3264D" w:rsidRDefault="00F92EFD">
            <w:pPr>
              <w:spacing w:after="0" w:line="240" w:lineRule="auto"/>
              <w:jc w:val="center"/>
              <w:rPr>
                <w:rFonts w:ascii="Times New Roman" w:eastAsia="Times New Roman" w:hAnsi="Times New Roman"/>
                <w:sz w:val="20"/>
                <w:szCs w:val="20"/>
              </w:rPr>
            </w:pPr>
            <w:r>
              <w:rPr>
                <w:rFonts w:ascii="Times New Roman" w:hAnsi="Times New Roman"/>
                <w:sz w:val="20"/>
                <w:szCs w:val="20"/>
              </w:rPr>
              <w:t>31,4</w:t>
            </w:r>
          </w:p>
        </w:tc>
        <w:tc>
          <w:tcPr>
            <w:tcW w:w="1029" w:type="pct"/>
            <w:shd w:val="clear" w:color="auto" w:fill="auto"/>
            <w:vAlign w:val="center"/>
            <w:hideMark/>
          </w:tcPr>
          <w:p w14:paraId="3E551595" w14:textId="77777777" w:rsidR="00C3264D" w:rsidRDefault="00E07823">
            <w:pPr>
              <w:spacing w:after="0" w:line="240" w:lineRule="auto"/>
              <w:jc w:val="center"/>
              <w:rPr>
                <w:rFonts w:ascii="Times New Roman" w:eastAsia="Times New Roman" w:hAnsi="Times New Roman"/>
                <w:sz w:val="20"/>
                <w:szCs w:val="20"/>
              </w:rPr>
            </w:pPr>
            <w:r>
              <w:rPr>
                <w:rFonts w:ascii="Times New Roman" w:hAnsi="Times New Roman"/>
                <w:sz w:val="20"/>
                <w:szCs w:val="20"/>
              </w:rPr>
              <w:t> 0,8 %</w:t>
            </w:r>
          </w:p>
        </w:tc>
      </w:tr>
      <w:tr w:rsidR="00C3264D" w14:paraId="0E1FA869" w14:textId="77777777" w:rsidTr="00516F65">
        <w:trPr>
          <w:trHeight w:val="299"/>
          <w:jc w:val="center"/>
        </w:trPr>
        <w:tc>
          <w:tcPr>
            <w:tcW w:w="492" w:type="pct"/>
            <w:shd w:val="clear" w:color="auto" w:fill="auto"/>
            <w:noWrap/>
            <w:vAlign w:val="center"/>
            <w:hideMark/>
          </w:tcPr>
          <w:p w14:paraId="1AF8DD26" w14:textId="77777777" w:rsidR="00C3264D" w:rsidRDefault="00E07823">
            <w:pPr>
              <w:spacing w:after="0" w:line="240" w:lineRule="auto"/>
              <w:jc w:val="center"/>
              <w:rPr>
                <w:rFonts w:ascii="Times New Roman" w:eastAsia="Times New Roman" w:hAnsi="Times New Roman"/>
                <w:sz w:val="20"/>
                <w:szCs w:val="20"/>
              </w:rPr>
            </w:pPr>
            <w:r>
              <w:rPr>
                <w:rFonts w:ascii="Times New Roman" w:hAnsi="Times New Roman"/>
                <w:sz w:val="20"/>
                <w:szCs w:val="20"/>
              </w:rPr>
              <w:t>Словакия</w:t>
            </w:r>
          </w:p>
        </w:tc>
        <w:tc>
          <w:tcPr>
            <w:tcW w:w="647" w:type="pct"/>
            <w:shd w:val="clear" w:color="auto" w:fill="auto"/>
            <w:noWrap/>
            <w:vAlign w:val="center"/>
            <w:hideMark/>
          </w:tcPr>
          <w:p w14:paraId="5848BF37" w14:textId="77777777" w:rsidR="00C3264D" w:rsidRDefault="00E07823">
            <w:pPr>
              <w:spacing w:after="0" w:line="240" w:lineRule="auto"/>
              <w:jc w:val="center"/>
              <w:rPr>
                <w:rFonts w:ascii="Times New Roman" w:eastAsia="Times New Roman" w:hAnsi="Times New Roman"/>
                <w:sz w:val="20"/>
                <w:szCs w:val="20"/>
              </w:rPr>
            </w:pPr>
            <w:r>
              <w:rPr>
                <w:rFonts w:ascii="Times New Roman" w:hAnsi="Times New Roman"/>
                <w:sz w:val="20"/>
                <w:szCs w:val="20"/>
              </w:rPr>
              <w:t>2014—2020 г.</w:t>
            </w:r>
          </w:p>
        </w:tc>
        <w:tc>
          <w:tcPr>
            <w:tcW w:w="995" w:type="pct"/>
            <w:shd w:val="clear" w:color="auto" w:fill="auto"/>
            <w:vAlign w:val="center"/>
            <w:hideMark/>
          </w:tcPr>
          <w:p w14:paraId="79DC7499" w14:textId="77777777" w:rsidR="00C3264D" w:rsidRDefault="00E07823">
            <w:pPr>
              <w:spacing w:after="0" w:line="240" w:lineRule="auto"/>
              <w:jc w:val="center"/>
              <w:rPr>
                <w:rFonts w:ascii="Times New Roman" w:eastAsia="Times New Roman" w:hAnsi="Times New Roman"/>
                <w:sz w:val="20"/>
                <w:szCs w:val="20"/>
              </w:rPr>
            </w:pPr>
            <w:r>
              <w:rPr>
                <w:rFonts w:ascii="Times New Roman" w:hAnsi="Times New Roman"/>
                <w:sz w:val="20"/>
                <w:szCs w:val="20"/>
              </w:rPr>
              <w:t>10</w:t>
            </w:r>
          </w:p>
        </w:tc>
        <w:tc>
          <w:tcPr>
            <w:tcW w:w="764" w:type="pct"/>
            <w:shd w:val="clear" w:color="auto" w:fill="auto"/>
            <w:vAlign w:val="center"/>
            <w:hideMark/>
          </w:tcPr>
          <w:p w14:paraId="197206B3" w14:textId="77777777" w:rsidR="00C3264D" w:rsidRDefault="00E07823">
            <w:pPr>
              <w:spacing w:after="0" w:line="240" w:lineRule="auto"/>
              <w:jc w:val="center"/>
              <w:rPr>
                <w:rFonts w:ascii="Times New Roman" w:eastAsia="Times New Roman" w:hAnsi="Times New Roman"/>
                <w:sz w:val="20"/>
                <w:szCs w:val="20"/>
              </w:rPr>
            </w:pPr>
            <w:r>
              <w:rPr>
                <w:rFonts w:ascii="Times New Roman" w:hAnsi="Times New Roman"/>
                <w:sz w:val="20"/>
                <w:szCs w:val="20"/>
              </w:rPr>
              <w:t>7</w:t>
            </w:r>
          </w:p>
        </w:tc>
        <w:tc>
          <w:tcPr>
            <w:tcW w:w="1073" w:type="pct"/>
            <w:shd w:val="clear" w:color="auto" w:fill="auto"/>
            <w:vAlign w:val="center"/>
            <w:hideMark/>
          </w:tcPr>
          <w:p w14:paraId="4677B0E8" w14:textId="77777777" w:rsidR="00C3264D" w:rsidRDefault="00E07823">
            <w:pPr>
              <w:spacing w:after="0" w:line="240" w:lineRule="auto"/>
              <w:jc w:val="center"/>
              <w:rPr>
                <w:rFonts w:ascii="Times New Roman" w:eastAsia="Times New Roman" w:hAnsi="Times New Roman"/>
                <w:sz w:val="20"/>
                <w:szCs w:val="20"/>
              </w:rPr>
            </w:pPr>
            <w:r>
              <w:rPr>
                <w:rFonts w:ascii="Times New Roman" w:hAnsi="Times New Roman"/>
                <w:sz w:val="20"/>
                <w:szCs w:val="20"/>
              </w:rPr>
              <w:t>87</w:t>
            </w:r>
          </w:p>
        </w:tc>
        <w:tc>
          <w:tcPr>
            <w:tcW w:w="1029" w:type="pct"/>
            <w:shd w:val="clear" w:color="auto" w:fill="auto"/>
            <w:vAlign w:val="center"/>
            <w:hideMark/>
          </w:tcPr>
          <w:p w14:paraId="78CA90BD" w14:textId="77777777" w:rsidR="00C3264D" w:rsidRDefault="00E07823">
            <w:pPr>
              <w:spacing w:after="0" w:line="240" w:lineRule="auto"/>
              <w:jc w:val="center"/>
              <w:rPr>
                <w:rFonts w:ascii="Times New Roman" w:eastAsia="Times New Roman" w:hAnsi="Times New Roman"/>
                <w:sz w:val="20"/>
                <w:szCs w:val="20"/>
              </w:rPr>
            </w:pPr>
            <w:r>
              <w:rPr>
                <w:rFonts w:ascii="Times New Roman" w:hAnsi="Times New Roman"/>
                <w:sz w:val="20"/>
                <w:szCs w:val="20"/>
              </w:rPr>
              <w:t>11,4 %</w:t>
            </w:r>
          </w:p>
        </w:tc>
      </w:tr>
      <w:tr w:rsidR="00C3264D" w14:paraId="4A33C947" w14:textId="77777777" w:rsidTr="00516F65">
        <w:trPr>
          <w:trHeight w:val="299"/>
          <w:jc w:val="center"/>
        </w:trPr>
        <w:tc>
          <w:tcPr>
            <w:tcW w:w="492" w:type="pct"/>
            <w:shd w:val="clear" w:color="auto" w:fill="auto"/>
            <w:noWrap/>
            <w:vAlign w:val="center"/>
            <w:hideMark/>
          </w:tcPr>
          <w:p w14:paraId="6F8C8076" w14:textId="77777777" w:rsidR="00C3264D" w:rsidRDefault="00E07823">
            <w:pPr>
              <w:spacing w:after="0" w:line="240" w:lineRule="auto"/>
              <w:jc w:val="center"/>
              <w:rPr>
                <w:rFonts w:ascii="Times New Roman" w:eastAsia="Times New Roman" w:hAnsi="Times New Roman"/>
                <w:sz w:val="20"/>
                <w:szCs w:val="20"/>
              </w:rPr>
            </w:pPr>
            <w:r>
              <w:rPr>
                <w:rFonts w:ascii="Times New Roman" w:hAnsi="Times New Roman"/>
                <w:sz w:val="20"/>
                <w:szCs w:val="20"/>
              </w:rPr>
              <w:t>Франция</w:t>
            </w:r>
          </w:p>
        </w:tc>
        <w:tc>
          <w:tcPr>
            <w:tcW w:w="647" w:type="pct"/>
            <w:shd w:val="clear" w:color="auto" w:fill="auto"/>
            <w:noWrap/>
            <w:vAlign w:val="center"/>
            <w:hideMark/>
          </w:tcPr>
          <w:p w14:paraId="7C29112B" w14:textId="77777777" w:rsidR="00C3264D" w:rsidRDefault="00E07823">
            <w:pPr>
              <w:spacing w:after="0" w:line="240" w:lineRule="auto"/>
              <w:jc w:val="center"/>
              <w:rPr>
                <w:rFonts w:ascii="Times New Roman" w:eastAsia="Times New Roman" w:hAnsi="Times New Roman"/>
                <w:sz w:val="20"/>
                <w:szCs w:val="20"/>
              </w:rPr>
            </w:pPr>
            <w:r>
              <w:rPr>
                <w:rFonts w:ascii="Times New Roman" w:hAnsi="Times New Roman"/>
                <w:sz w:val="20"/>
                <w:szCs w:val="20"/>
              </w:rPr>
              <w:t>2015—2020 г.</w:t>
            </w:r>
          </w:p>
        </w:tc>
        <w:tc>
          <w:tcPr>
            <w:tcW w:w="995" w:type="pct"/>
            <w:shd w:val="clear" w:color="auto" w:fill="auto"/>
            <w:vAlign w:val="center"/>
            <w:hideMark/>
          </w:tcPr>
          <w:p w14:paraId="4E84AAD0" w14:textId="77777777" w:rsidR="00C3264D" w:rsidRDefault="00F92EFD">
            <w:pPr>
              <w:spacing w:after="0" w:line="240" w:lineRule="auto"/>
              <w:jc w:val="center"/>
              <w:rPr>
                <w:rFonts w:ascii="Times New Roman" w:eastAsia="Times New Roman" w:hAnsi="Times New Roman"/>
                <w:sz w:val="20"/>
                <w:szCs w:val="20"/>
              </w:rPr>
            </w:pPr>
            <w:r>
              <w:rPr>
                <w:rFonts w:ascii="Times New Roman" w:hAnsi="Times New Roman"/>
                <w:sz w:val="20"/>
                <w:szCs w:val="20"/>
              </w:rPr>
              <w:t>98,7</w:t>
            </w:r>
          </w:p>
        </w:tc>
        <w:tc>
          <w:tcPr>
            <w:tcW w:w="764" w:type="pct"/>
            <w:shd w:val="clear" w:color="auto" w:fill="auto"/>
            <w:vAlign w:val="center"/>
            <w:hideMark/>
          </w:tcPr>
          <w:p w14:paraId="5299C1B5" w14:textId="77777777" w:rsidR="00C3264D" w:rsidRDefault="00E07823">
            <w:pPr>
              <w:spacing w:after="0" w:line="240" w:lineRule="auto"/>
              <w:jc w:val="center"/>
              <w:rPr>
                <w:rFonts w:ascii="Times New Roman" w:eastAsia="Times New Roman" w:hAnsi="Times New Roman"/>
                <w:sz w:val="20"/>
                <w:szCs w:val="20"/>
              </w:rPr>
            </w:pPr>
            <w:r>
              <w:rPr>
                <w:rFonts w:ascii="Times New Roman" w:hAnsi="Times New Roman"/>
                <w:sz w:val="20"/>
                <w:szCs w:val="20"/>
              </w:rPr>
              <w:t>296</w:t>
            </w:r>
          </w:p>
        </w:tc>
        <w:tc>
          <w:tcPr>
            <w:tcW w:w="1073" w:type="pct"/>
            <w:shd w:val="clear" w:color="auto" w:fill="auto"/>
            <w:vAlign w:val="center"/>
            <w:hideMark/>
          </w:tcPr>
          <w:p w14:paraId="6FA915EA" w14:textId="77777777" w:rsidR="00C3264D" w:rsidRDefault="00F92EFD">
            <w:pPr>
              <w:spacing w:after="0" w:line="240" w:lineRule="auto"/>
              <w:jc w:val="center"/>
              <w:rPr>
                <w:rFonts w:ascii="Times New Roman" w:eastAsia="Times New Roman" w:hAnsi="Times New Roman"/>
                <w:sz w:val="20"/>
                <w:szCs w:val="20"/>
              </w:rPr>
            </w:pPr>
            <w:r>
              <w:rPr>
                <w:rFonts w:ascii="Times New Roman" w:hAnsi="Times New Roman"/>
                <w:sz w:val="20"/>
                <w:szCs w:val="20"/>
              </w:rPr>
              <w:t>309,8</w:t>
            </w:r>
          </w:p>
        </w:tc>
        <w:tc>
          <w:tcPr>
            <w:tcW w:w="1029" w:type="pct"/>
            <w:shd w:val="clear" w:color="auto" w:fill="auto"/>
            <w:vAlign w:val="center"/>
            <w:hideMark/>
          </w:tcPr>
          <w:p w14:paraId="44BAB80E" w14:textId="77777777" w:rsidR="00C3264D" w:rsidRDefault="00E07823">
            <w:pPr>
              <w:spacing w:after="0" w:line="240" w:lineRule="auto"/>
              <w:jc w:val="center"/>
              <w:rPr>
                <w:rFonts w:ascii="Times New Roman" w:eastAsia="Times New Roman" w:hAnsi="Times New Roman"/>
                <w:sz w:val="20"/>
                <w:szCs w:val="20"/>
              </w:rPr>
            </w:pPr>
            <w:r>
              <w:rPr>
                <w:rFonts w:ascii="Times New Roman" w:hAnsi="Times New Roman"/>
                <w:sz w:val="20"/>
                <w:szCs w:val="20"/>
              </w:rPr>
              <w:t>31,8 %</w:t>
            </w:r>
          </w:p>
        </w:tc>
      </w:tr>
      <w:tr w:rsidR="00C3264D" w14:paraId="63F6199D" w14:textId="77777777" w:rsidTr="00516F65">
        <w:trPr>
          <w:trHeight w:val="299"/>
          <w:jc w:val="center"/>
        </w:trPr>
        <w:tc>
          <w:tcPr>
            <w:tcW w:w="492" w:type="pct"/>
            <w:shd w:val="clear" w:color="auto" w:fill="auto"/>
            <w:noWrap/>
            <w:vAlign w:val="center"/>
            <w:hideMark/>
          </w:tcPr>
          <w:p w14:paraId="3FBD7A9D" w14:textId="77777777" w:rsidR="00C3264D" w:rsidRDefault="00E07823">
            <w:pPr>
              <w:spacing w:after="0" w:line="240" w:lineRule="auto"/>
              <w:jc w:val="center"/>
              <w:rPr>
                <w:rFonts w:ascii="Times New Roman" w:eastAsia="Times New Roman" w:hAnsi="Times New Roman"/>
                <w:sz w:val="20"/>
                <w:szCs w:val="20"/>
              </w:rPr>
            </w:pPr>
            <w:r>
              <w:rPr>
                <w:rFonts w:ascii="Times New Roman" w:hAnsi="Times New Roman"/>
                <w:sz w:val="20"/>
                <w:szCs w:val="20"/>
              </w:rPr>
              <w:t>Финландия</w:t>
            </w:r>
          </w:p>
        </w:tc>
        <w:tc>
          <w:tcPr>
            <w:tcW w:w="647" w:type="pct"/>
            <w:shd w:val="clear" w:color="auto" w:fill="auto"/>
            <w:noWrap/>
            <w:vAlign w:val="center"/>
            <w:hideMark/>
          </w:tcPr>
          <w:p w14:paraId="6315C05C" w14:textId="77777777" w:rsidR="00C3264D" w:rsidRDefault="00E07823">
            <w:pPr>
              <w:spacing w:after="0" w:line="240" w:lineRule="auto"/>
              <w:jc w:val="center"/>
              <w:rPr>
                <w:rFonts w:ascii="Times New Roman" w:eastAsia="Times New Roman" w:hAnsi="Times New Roman"/>
                <w:sz w:val="20"/>
                <w:szCs w:val="20"/>
              </w:rPr>
            </w:pPr>
            <w:r>
              <w:rPr>
                <w:rFonts w:ascii="Times New Roman" w:hAnsi="Times New Roman"/>
                <w:sz w:val="20"/>
                <w:szCs w:val="20"/>
              </w:rPr>
              <w:t>2016—2020 г.</w:t>
            </w:r>
          </w:p>
        </w:tc>
        <w:tc>
          <w:tcPr>
            <w:tcW w:w="995" w:type="pct"/>
            <w:shd w:val="clear" w:color="auto" w:fill="auto"/>
            <w:noWrap/>
            <w:vAlign w:val="center"/>
            <w:hideMark/>
          </w:tcPr>
          <w:p w14:paraId="548175C4" w14:textId="77777777" w:rsidR="00C3264D" w:rsidRDefault="00F92EFD">
            <w:pPr>
              <w:spacing w:after="0" w:line="240" w:lineRule="auto"/>
              <w:jc w:val="center"/>
              <w:rPr>
                <w:rFonts w:ascii="Times New Roman" w:eastAsia="Times New Roman" w:hAnsi="Times New Roman"/>
                <w:sz w:val="20"/>
                <w:szCs w:val="20"/>
              </w:rPr>
            </w:pPr>
            <w:r>
              <w:rPr>
                <w:rFonts w:ascii="Times New Roman" w:hAnsi="Times New Roman"/>
                <w:sz w:val="20"/>
                <w:szCs w:val="20"/>
              </w:rPr>
              <w:t>26,7</w:t>
            </w:r>
          </w:p>
        </w:tc>
        <w:tc>
          <w:tcPr>
            <w:tcW w:w="764" w:type="pct"/>
            <w:shd w:val="clear" w:color="auto" w:fill="auto"/>
            <w:noWrap/>
            <w:vAlign w:val="center"/>
            <w:hideMark/>
          </w:tcPr>
          <w:p w14:paraId="058FD312" w14:textId="77777777" w:rsidR="00C3264D" w:rsidRDefault="00E07823">
            <w:pPr>
              <w:spacing w:after="0" w:line="240" w:lineRule="auto"/>
              <w:jc w:val="center"/>
              <w:rPr>
                <w:rFonts w:ascii="Times New Roman" w:eastAsia="Times New Roman" w:hAnsi="Times New Roman"/>
                <w:sz w:val="20"/>
                <w:szCs w:val="20"/>
              </w:rPr>
            </w:pPr>
            <w:r>
              <w:rPr>
                <w:rFonts w:ascii="Times New Roman" w:hAnsi="Times New Roman"/>
                <w:sz w:val="20"/>
                <w:szCs w:val="20"/>
              </w:rPr>
              <w:t>58</w:t>
            </w:r>
          </w:p>
        </w:tc>
        <w:tc>
          <w:tcPr>
            <w:tcW w:w="1073" w:type="pct"/>
            <w:shd w:val="clear" w:color="auto" w:fill="auto"/>
            <w:vAlign w:val="center"/>
            <w:hideMark/>
          </w:tcPr>
          <w:p w14:paraId="79A11E78" w14:textId="77777777" w:rsidR="00C3264D" w:rsidRDefault="00F92EFD">
            <w:pPr>
              <w:spacing w:after="0" w:line="240" w:lineRule="auto"/>
              <w:jc w:val="center"/>
              <w:rPr>
                <w:rFonts w:ascii="Times New Roman" w:eastAsia="Times New Roman" w:hAnsi="Times New Roman"/>
                <w:sz w:val="20"/>
                <w:szCs w:val="20"/>
              </w:rPr>
            </w:pPr>
            <w:r>
              <w:rPr>
                <w:rFonts w:ascii="Times New Roman" w:hAnsi="Times New Roman"/>
                <w:sz w:val="20"/>
                <w:szCs w:val="20"/>
              </w:rPr>
              <w:t>94,6</w:t>
            </w:r>
          </w:p>
        </w:tc>
        <w:tc>
          <w:tcPr>
            <w:tcW w:w="1029" w:type="pct"/>
            <w:shd w:val="clear" w:color="auto" w:fill="auto"/>
            <w:vAlign w:val="center"/>
            <w:hideMark/>
          </w:tcPr>
          <w:p w14:paraId="351AE5FE" w14:textId="77777777" w:rsidR="00C3264D" w:rsidRDefault="00E07823">
            <w:pPr>
              <w:spacing w:after="0" w:line="240" w:lineRule="auto"/>
              <w:jc w:val="center"/>
              <w:rPr>
                <w:rFonts w:ascii="Times New Roman" w:eastAsia="Times New Roman" w:hAnsi="Times New Roman"/>
                <w:sz w:val="20"/>
                <w:szCs w:val="20"/>
              </w:rPr>
            </w:pPr>
            <w:r>
              <w:rPr>
                <w:rFonts w:ascii="Times New Roman" w:hAnsi="Times New Roman"/>
                <w:sz w:val="20"/>
                <w:szCs w:val="20"/>
              </w:rPr>
              <w:t>28,2 %</w:t>
            </w:r>
          </w:p>
        </w:tc>
      </w:tr>
      <w:tr w:rsidR="00C3264D" w14:paraId="5FD826FD" w14:textId="77777777" w:rsidTr="00516F65">
        <w:trPr>
          <w:trHeight w:val="299"/>
          <w:jc w:val="center"/>
        </w:trPr>
        <w:tc>
          <w:tcPr>
            <w:tcW w:w="492" w:type="pct"/>
            <w:shd w:val="clear" w:color="auto" w:fill="auto"/>
            <w:noWrap/>
            <w:vAlign w:val="center"/>
            <w:hideMark/>
          </w:tcPr>
          <w:p w14:paraId="73417BCA" w14:textId="77777777" w:rsidR="00C3264D" w:rsidRDefault="00E07823">
            <w:pPr>
              <w:spacing w:after="0" w:line="240" w:lineRule="auto"/>
              <w:jc w:val="center"/>
              <w:rPr>
                <w:rFonts w:ascii="Times New Roman" w:eastAsia="Times New Roman" w:hAnsi="Times New Roman"/>
                <w:sz w:val="20"/>
                <w:szCs w:val="20"/>
              </w:rPr>
            </w:pPr>
            <w:r>
              <w:rPr>
                <w:rFonts w:ascii="Times New Roman" w:hAnsi="Times New Roman"/>
                <w:sz w:val="20"/>
                <w:szCs w:val="20"/>
              </w:rPr>
              <w:t>Испания</w:t>
            </w:r>
          </w:p>
        </w:tc>
        <w:tc>
          <w:tcPr>
            <w:tcW w:w="647" w:type="pct"/>
            <w:shd w:val="clear" w:color="auto" w:fill="auto"/>
            <w:noWrap/>
            <w:vAlign w:val="center"/>
            <w:hideMark/>
          </w:tcPr>
          <w:p w14:paraId="3236F9D5" w14:textId="77777777" w:rsidR="00C3264D" w:rsidRDefault="00E07823">
            <w:pPr>
              <w:spacing w:after="0" w:line="240" w:lineRule="auto"/>
              <w:jc w:val="center"/>
              <w:rPr>
                <w:rFonts w:ascii="Times New Roman" w:eastAsia="Times New Roman" w:hAnsi="Times New Roman"/>
                <w:sz w:val="20"/>
                <w:szCs w:val="20"/>
              </w:rPr>
            </w:pPr>
            <w:r>
              <w:rPr>
                <w:rFonts w:ascii="Times New Roman" w:hAnsi="Times New Roman"/>
                <w:sz w:val="20"/>
                <w:szCs w:val="20"/>
              </w:rPr>
              <w:t>2013—2015 г.</w:t>
            </w:r>
          </w:p>
        </w:tc>
        <w:tc>
          <w:tcPr>
            <w:tcW w:w="995" w:type="pct"/>
            <w:shd w:val="clear" w:color="auto" w:fill="auto"/>
            <w:noWrap/>
            <w:vAlign w:val="center"/>
            <w:hideMark/>
          </w:tcPr>
          <w:p w14:paraId="021B2731" w14:textId="77777777" w:rsidR="00C3264D" w:rsidRDefault="00E07823">
            <w:pPr>
              <w:spacing w:after="0" w:line="240" w:lineRule="auto"/>
              <w:jc w:val="center"/>
              <w:rPr>
                <w:rFonts w:ascii="Times New Roman" w:eastAsia="Times New Roman" w:hAnsi="Times New Roman"/>
                <w:sz w:val="20"/>
                <w:szCs w:val="20"/>
              </w:rPr>
            </w:pPr>
            <w:r>
              <w:rPr>
                <w:rFonts w:ascii="Times New Roman" w:hAnsi="Times New Roman"/>
                <w:sz w:val="20"/>
                <w:szCs w:val="20"/>
              </w:rPr>
              <w:t>6</w:t>
            </w:r>
          </w:p>
        </w:tc>
        <w:tc>
          <w:tcPr>
            <w:tcW w:w="764" w:type="pct"/>
            <w:shd w:val="clear" w:color="auto" w:fill="auto"/>
            <w:noWrap/>
            <w:vAlign w:val="center"/>
            <w:hideMark/>
          </w:tcPr>
          <w:p w14:paraId="66BB28DD" w14:textId="77777777" w:rsidR="00C3264D" w:rsidRDefault="00E07823">
            <w:pPr>
              <w:spacing w:after="0" w:line="240" w:lineRule="auto"/>
              <w:jc w:val="center"/>
              <w:rPr>
                <w:rFonts w:ascii="Times New Roman" w:eastAsia="Times New Roman" w:hAnsi="Times New Roman"/>
                <w:sz w:val="20"/>
                <w:szCs w:val="20"/>
              </w:rPr>
            </w:pPr>
            <w:r>
              <w:rPr>
                <w:rFonts w:ascii="Times New Roman" w:hAnsi="Times New Roman"/>
                <w:sz w:val="20"/>
                <w:szCs w:val="20"/>
              </w:rPr>
              <w:t>151</w:t>
            </w:r>
          </w:p>
        </w:tc>
        <w:tc>
          <w:tcPr>
            <w:tcW w:w="1073" w:type="pct"/>
            <w:shd w:val="clear" w:color="auto" w:fill="auto"/>
            <w:vAlign w:val="center"/>
            <w:hideMark/>
          </w:tcPr>
          <w:p w14:paraId="351B8A9E" w14:textId="77777777" w:rsidR="00C3264D" w:rsidRDefault="00F92EFD">
            <w:pPr>
              <w:spacing w:after="0" w:line="240" w:lineRule="auto"/>
              <w:jc w:val="center"/>
              <w:rPr>
                <w:rFonts w:ascii="Times New Roman" w:eastAsia="Times New Roman" w:hAnsi="Times New Roman"/>
                <w:sz w:val="20"/>
                <w:szCs w:val="20"/>
              </w:rPr>
            </w:pPr>
            <w:r>
              <w:rPr>
                <w:rFonts w:ascii="Times New Roman" w:hAnsi="Times New Roman"/>
                <w:sz w:val="20"/>
                <w:szCs w:val="20"/>
              </w:rPr>
              <w:t>488,8</w:t>
            </w:r>
          </w:p>
        </w:tc>
        <w:tc>
          <w:tcPr>
            <w:tcW w:w="1029" w:type="pct"/>
            <w:shd w:val="clear" w:color="auto" w:fill="auto"/>
            <w:vAlign w:val="center"/>
            <w:hideMark/>
          </w:tcPr>
          <w:p w14:paraId="7CA1A231" w14:textId="554DA010" w:rsidR="00C3264D" w:rsidRDefault="00E07823" w:rsidP="006E6ABC">
            <w:pPr>
              <w:spacing w:after="0" w:line="240" w:lineRule="auto"/>
              <w:jc w:val="center"/>
              <w:rPr>
                <w:rFonts w:ascii="Times New Roman" w:eastAsia="Times New Roman" w:hAnsi="Times New Roman"/>
                <w:sz w:val="20"/>
                <w:szCs w:val="20"/>
              </w:rPr>
            </w:pPr>
            <w:r>
              <w:rPr>
                <w:rFonts w:ascii="Times New Roman" w:hAnsi="Times New Roman"/>
                <w:sz w:val="20"/>
                <w:szCs w:val="20"/>
              </w:rPr>
              <w:t>1,2 %</w:t>
            </w:r>
          </w:p>
        </w:tc>
      </w:tr>
      <w:tr w:rsidR="00C3264D" w14:paraId="6064E2EE" w14:textId="77777777" w:rsidTr="00516F65">
        <w:trPr>
          <w:trHeight w:val="299"/>
          <w:jc w:val="center"/>
        </w:trPr>
        <w:tc>
          <w:tcPr>
            <w:tcW w:w="492" w:type="pct"/>
            <w:shd w:val="clear" w:color="auto" w:fill="auto"/>
            <w:noWrap/>
            <w:vAlign w:val="center"/>
            <w:hideMark/>
          </w:tcPr>
          <w:p w14:paraId="025C950D" w14:textId="77777777" w:rsidR="00C3264D" w:rsidRDefault="00E07823">
            <w:pPr>
              <w:spacing w:after="0" w:line="240" w:lineRule="auto"/>
              <w:jc w:val="center"/>
              <w:rPr>
                <w:rFonts w:ascii="Times New Roman" w:eastAsia="Times New Roman" w:hAnsi="Times New Roman"/>
                <w:sz w:val="20"/>
                <w:szCs w:val="20"/>
              </w:rPr>
            </w:pPr>
            <w:r>
              <w:rPr>
                <w:rFonts w:ascii="Times New Roman" w:hAnsi="Times New Roman"/>
                <w:sz w:val="20"/>
                <w:szCs w:val="20"/>
              </w:rPr>
              <w:t>Люксембург</w:t>
            </w:r>
          </w:p>
        </w:tc>
        <w:tc>
          <w:tcPr>
            <w:tcW w:w="647" w:type="pct"/>
            <w:shd w:val="clear" w:color="auto" w:fill="auto"/>
            <w:noWrap/>
            <w:vAlign w:val="center"/>
            <w:hideMark/>
          </w:tcPr>
          <w:p w14:paraId="34CEBEBC" w14:textId="77777777" w:rsidR="00C3264D" w:rsidRDefault="00E07823">
            <w:pPr>
              <w:spacing w:after="0" w:line="240" w:lineRule="auto"/>
              <w:jc w:val="center"/>
              <w:rPr>
                <w:rFonts w:ascii="Times New Roman" w:eastAsia="Times New Roman" w:hAnsi="Times New Roman"/>
                <w:sz w:val="20"/>
                <w:szCs w:val="20"/>
              </w:rPr>
            </w:pPr>
            <w:r>
              <w:rPr>
                <w:rFonts w:ascii="Times New Roman" w:hAnsi="Times New Roman"/>
                <w:sz w:val="20"/>
                <w:szCs w:val="20"/>
              </w:rPr>
              <w:t>2018—2020 г.</w:t>
            </w:r>
          </w:p>
        </w:tc>
        <w:tc>
          <w:tcPr>
            <w:tcW w:w="995" w:type="pct"/>
            <w:shd w:val="clear" w:color="auto" w:fill="auto"/>
            <w:noWrap/>
            <w:vAlign w:val="bottom"/>
            <w:hideMark/>
          </w:tcPr>
          <w:p w14:paraId="7A77EFD0" w14:textId="77777777" w:rsidR="00C3264D" w:rsidRDefault="00F92EFD">
            <w:pPr>
              <w:spacing w:after="0" w:line="240" w:lineRule="auto"/>
              <w:jc w:val="center"/>
              <w:rPr>
                <w:rFonts w:ascii="Times New Roman" w:eastAsia="Times New Roman" w:hAnsi="Times New Roman"/>
                <w:sz w:val="20"/>
                <w:szCs w:val="20"/>
              </w:rPr>
            </w:pPr>
            <w:r>
              <w:rPr>
                <w:rFonts w:ascii="Times New Roman" w:hAnsi="Times New Roman"/>
                <w:sz w:val="20"/>
                <w:szCs w:val="20"/>
              </w:rPr>
              <w:t>3,4</w:t>
            </w:r>
          </w:p>
        </w:tc>
        <w:tc>
          <w:tcPr>
            <w:tcW w:w="764" w:type="pct"/>
            <w:shd w:val="clear" w:color="auto" w:fill="auto"/>
            <w:noWrap/>
            <w:vAlign w:val="bottom"/>
            <w:hideMark/>
          </w:tcPr>
          <w:p w14:paraId="6637F446" w14:textId="77777777" w:rsidR="00C3264D" w:rsidRDefault="00E07823">
            <w:pPr>
              <w:spacing w:after="0" w:line="240" w:lineRule="auto"/>
              <w:jc w:val="center"/>
              <w:rPr>
                <w:rFonts w:ascii="Times New Roman" w:eastAsia="Times New Roman" w:hAnsi="Times New Roman"/>
                <w:sz w:val="20"/>
                <w:szCs w:val="20"/>
              </w:rPr>
            </w:pPr>
            <w:r>
              <w:rPr>
                <w:rFonts w:ascii="Times New Roman" w:hAnsi="Times New Roman"/>
                <w:sz w:val="20"/>
                <w:szCs w:val="20"/>
              </w:rPr>
              <w:t>2</w:t>
            </w:r>
          </w:p>
        </w:tc>
        <w:tc>
          <w:tcPr>
            <w:tcW w:w="1073" w:type="pct"/>
            <w:shd w:val="clear" w:color="auto" w:fill="auto"/>
            <w:vAlign w:val="center"/>
            <w:hideMark/>
          </w:tcPr>
          <w:p w14:paraId="0BA3090F" w14:textId="77777777" w:rsidR="00C3264D" w:rsidRDefault="00F92EFD">
            <w:pPr>
              <w:spacing w:after="0" w:line="240" w:lineRule="auto"/>
              <w:jc w:val="center"/>
              <w:rPr>
                <w:rFonts w:ascii="Times New Roman" w:eastAsia="Times New Roman" w:hAnsi="Times New Roman"/>
                <w:sz w:val="20"/>
                <w:szCs w:val="20"/>
              </w:rPr>
            </w:pPr>
            <w:r>
              <w:rPr>
                <w:rFonts w:ascii="Times New Roman" w:hAnsi="Times New Roman"/>
                <w:sz w:val="20"/>
                <w:szCs w:val="20"/>
              </w:rPr>
              <w:t>6,8</w:t>
            </w:r>
          </w:p>
        </w:tc>
        <w:tc>
          <w:tcPr>
            <w:tcW w:w="1029" w:type="pct"/>
            <w:shd w:val="clear" w:color="auto" w:fill="auto"/>
            <w:noWrap/>
            <w:vAlign w:val="bottom"/>
            <w:hideMark/>
          </w:tcPr>
          <w:p w14:paraId="089F3FF2" w14:textId="77777777" w:rsidR="00C3264D" w:rsidRDefault="00E07823">
            <w:pPr>
              <w:spacing w:after="0" w:line="240" w:lineRule="auto"/>
              <w:jc w:val="center"/>
              <w:rPr>
                <w:rFonts w:ascii="Times New Roman" w:eastAsia="Times New Roman" w:hAnsi="Times New Roman"/>
                <w:sz w:val="20"/>
                <w:szCs w:val="20"/>
              </w:rPr>
            </w:pPr>
            <w:r>
              <w:rPr>
                <w:rFonts w:ascii="Times New Roman" w:hAnsi="Times New Roman"/>
                <w:sz w:val="20"/>
                <w:szCs w:val="20"/>
              </w:rPr>
              <w:t> 50 %</w:t>
            </w:r>
          </w:p>
        </w:tc>
      </w:tr>
    </w:tbl>
    <w:p w14:paraId="1962B142" w14:textId="77777777" w:rsidR="00C3264D" w:rsidRDefault="00C3264D">
      <w:pPr>
        <w:jc w:val="both"/>
        <w:rPr>
          <w:rFonts w:ascii="Times New Roman" w:eastAsia="Times New Roman" w:hAnsi="Times New Roman"/>
          <w:sz w:val="24"/>
          <w:szCs w:val="24"/>
        </w:rPr>
      </w:pPr>
    </w:p>
    <w:p w14:paraId="7A3700EC" w14:textId="77777777" w:rsidR="00C3264D" w:rsidRPr="00692F99" w:rsidRDefault="00E07823">
      <w:pPr>
        <w:jc w:val="both"/>
        <w:rPr>
          <w:rFonts w:ascii="Times New Roman" w:eastAsia="Times New Roman" w:hAnsi="Times New Roman"/>
          <w:sz w:val="24"/>
          <w:szCs w:val="24"/>
        </w:rPr>
      </w:pPr>
      <w:r w:rsidRPr="00692F99">
        <w:rPr>
          <w:rFonts w:ascii="Times New Roman" w:hAnsi="Times New Roman"/>
          <w:sz w:val="24"/>
          <w:szCs w:val="24"/>
        </w:rPr>
        <w:t>Общият размер на компенсацията за непреки разходи, изплатена от 11 държави членки</w:t>
      </w:r>
      <w:r w:rsidRPr="00692F99">
        <w:rPr>
          <w:rStyle w:val="FootnoteReference"/>
          <w:rFonts w:ascii="Times New Roman" w:eastAsia="Times New Roman" w:hAnsi="Times New Roman"/>
          <w:sz w:val="24"/>
          <w:szCs w:val="24"/>
        </w:rPr>
        <w:footnoteReference w:id="34"/>
      </w:r>
      <w:r w:rsidRPr="00692F99">
        <w:rPr>
          <w:rFonts w:ascii="Times New Roman" w:hAnsi="Times New Roman"/>
          <w:sz w:val="24"/>
          <w:szCs w:val="24"/>
        </w:rPr>
        <w:t xml:space="preserve"> през 2018 г., възлезе на около 462 милиона евро, т.е. близо 11 % от приходите от тръжни продажби на тези държави членки. Общо на държавите членки, в които са въведени схеми за компенсиране, се падат около 70 % от БВП на ЕС. Най-големите получатели на компенсации бяха химическият сектор, секторът за цветни метали и секторът на черната металургия.</w:t>
      </w:r>
    </w:p>
    <w:p w14:paraId="2B2B56AC" w14:textId="77777777" w:rsidR="00C3264D" w:rsidRPr="00692F99" w:rsidRDefault="00E07823">
      <w:pPr>
        <w:jc w:val="both"/>
        <w:rPr>
          <w:rFonts w:ascii="Times New Roman" w:eastAsia="Times New Roman" w:hAnsi="Times New Roman"/>
          <w:bCs/>
          <w:i/>
          <w:sz w:val="24"/>
          <w:szCs w:val="24"/>
        </w:rPr>
      </w:pPr>
      <w:r w:rsidRPr="00692F99">
        <w:rPr>
          <w:rFonts w:ascii="Times New Roman" w:hAnsi="Times New Roman"/>
          <w:sz w:val="24"/>
          <w:szCs w:val="24"/>
        </w:rPr>
        <w:t>Една от разпоредбите за прозрачност в преразгледаната Директива за СТЕ на ЕС определя, че държавите членки, които изразходват повече от 25 % от своите приходи от тръжни продажби за компенсиране на непреки разходи през която и да е година, трябва да публикуват доклад, в който се посочват причините, поради които тази сума е надвишена. Въз основа на приходите о тръжна продажба за календарната 2017 г., през 2018 г. четири държави надхвърлиха прага от 25 %</w:t>
      </w:r>
      <w:r w:rsidRPr="00692F99">
        <w:rPr>
          <w:rFonts w:ascii="Times New Roman" w:eastAsia="Times New Roman" w:hAnsi="Times New Roman"/>
          <w:sz w:val="24"/>
          <w:szCs w:val="24"/>
          <w:vertAlign w:val="superscript"/>
        </w:rPr>
        <w:footnoteReference w:id="35"/>
      </w:r>
      <w:r w:rsidRPr="00692F99">
        <w:rPr>
          <w:rFonts w:ascii="Times New Roman" w:hAnsi="Times New Roman"/>
          <w:sz w:val="24"/>
          <w:szCs w:val="24"/>
        </w:rPr>
        <w:t xml:space="preserve">.  </w:t>
      </w:r>
    </w:p>
    <w:p w14:paraId="38A8BE8E" w14:textId="77777777" w:rsidR="00C3264D" w:rsidRDefault="00C3264D">
      <w:pPr>
        <w:jc w:val="both"/>
        <w:rPr>
          <w:rFonts w:ascii="Times New Roman" w:eastAsia="Times New Roman" w:hAnsi="Times New Roman"/>
          <w:bCs/>
          <w:sz w:val="24"/>
          <w:szCs w:val="28"/>
        </w:rPr>
      </w:pPr>
    </w:p>
    <w:p w14:paraId="3CA31EA9" w14:textId="77777777" w:rsidR="00C3264D" w:rsidRDefault="00A52F4C">
      <w:pPr>
        <w:keepNext/>
        <w:ind w:left="1080"/>
        <w:outlineLvl w:val="3"/>
        <w:rPr>
          <w:rFonts w:ascii="Times New Roman" w:eastAsia="Times New Roman" w:hAnsi="Times New Roman"/>
          <w:color w:val="000000" w:themeColor="text1"/>
          <w:sz w:val="24"/>
          <w:szCs w:val="24"/>
        </w:rPr>
      </w:pPr>
      <w:bookmarkStart w:id="14" w:name="_Toc28015585"/>
      <w:r>
        <w:rPr>
          <w:rFonts w:ascii="Times New Roman" w:hAnsi="Times New Roman"/>
          <w:bCs/>
          <w:i/>
          <w:szCs w:val="28"/>
        </w:rPr>
        <w:t>3.1.2.4. Тръжна продажба на квоти</w:t>
      </w:r>
      <w:bookmarkEnd w:id="14"/>
    </w:p>
    <w:p w14:paraId="58DC0166" w14:textId="77777777" w:rsidR="00C3264D" w:rsidRDefault="003A348D">
      <w:pPr>
        <w:pStyle w:val="a3520normalp11"/>
        <w:spacing w:line="276" w:lineRule="auto"/>
      </w:pPr>
      <w:r>
        <w:rPr>
          <w:noProof/>
          <w:lang w:val="en-GB"/>
        </w:rPr>
        <mc:AlternateContent>
          <mc:Choice Requires="wps">
            <w:drawing>
              <wp:inline distT="0" distB="0" distL="0" distR="0" wp14:anchorId="6B32014F" wp14:editId="0DE6A1DA">
                <wp:extent cx="5719648" cy="1876425"/>
                <wp:effectExtent l="0" t="0" r="14605" b="28575"/>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9648" cy="1876425"/>
                        </a:xfrm>
                        <a:prstGeom prst="rect">
                          <a:avLst/>
                        </a:prstGeom>
                        <a:solidFill>
                          <a:schemeClr val="bg1">
                            <a:lumMod val="85000"/>
                          </a:schemeClr>
                        </a:solidFill>
                        <a:ln w="12700">
                          <a:solidFill>
                            <a:srgbClr val="000000"/>
                          </a:solidFill>
                          <a:miter lim="800000"/>
                          <a:headEnd/>
                          <a:tailEnd/>
                        </a:ln>
                      </wps:spPr>
                      <wps:txbx>
                        <w:txbxContent>
                          <w:p w14:paraId="13469DBA" w14:textId="77777777" w:rsidR="00692F99" w:rsidRDefault="00692F99">
                            <w:pPr>
                              <w:spacing w:after="120"/>
                              <w:ind w:right="57"/>
                              <w:jc w:val="both"/>
                              <w:rPr>
                                <w:rFonts w:ascii="Times New Roman" w:eastAsia="Times New Roman" w:hAnsi="Times New Roman"/>
                              </w:rPr>
                            </w:pPr>
                            <w:r w:rsidRPr="00692F99">
                              <w:rPr>
                                <w:rFonts w:ascii="Times New Roman" w:hAnsi="Times New Roman"/>
                                <w:sz w:val="24"/>
                                <w:szCs w:val="24"/>
                              </w:rPr>
                              <w:t>През фаза 3 тръжната продажба е основният начин за разпределяне на квоти. Първичните търгове се уреждат от Регламента за тръжната продажба*, който определя графика, управлението и други аспекти, свързани с провеждането на търговете, с цел да се гарантира открит, прозрачен, хармонизиран и недискриминационен процес</w:t>
                            </w:r>
                            <w:r>
                              <w:rPr>
                                <w:rFonts w:ascii="Times New Roman" w:hAnsi="Times New Roman"/>
                              </w:rPr>
                              <w:t>.</w:t>
                            </w:r>
                          </w:p>
                          <w:p w14:paraId="171DAF88" w14:textId="77777777" w:rsidR="00692F99" w:rsidRDefault="00692F99">
                            <w:pPr>
                              <w:spacing w:after="120"/>
                              <w:ind w:right="57"/>
                              <w:jc w:val="both"/>
                              <w:rPr>
                                <w:rFonts w:ascii="Times New Roman" w:eastAsia="Times New Roman" w:hAnsi="Times New Roman"/>
                                <w:sz w:val="18"/>
                                <w:szCs w:val="18"/>
                              </w:rPr>
                            </w:pPr>
                            <w:r>
                              <w:rPr>
                                <w:rFonts w:ascii="Times New Roman" w:hAnsi="Times New Roman"/>
                                <w:sz w:val="18"/>
                                <w:szCs w:val="18"/>
                              </w:rPr>
                              <w:t>* Регламент (ЕС) № 1031/2010 на Комисията от 12 ноември 2010 г. относно графика, управлението и други аспекти на търга на квоти за емисии на парникови газове съгласно Директива 2003/87/ЕО на Европейския парламент и на Съвета за установяване на схема за търговия с квоти за емисии на парникови газове в рамките на Общността, ОВ L 302, 18.11.2010 г., стр. 1.</w:t>
                            </w:r>
                          </w:p>
                          <w:p w14:paraId="68E3A868" w14:textId="77777777" w:rsidR="00692F99" w:rsidRDefault="00692F99">
                            <w:pPr>
                              <w:pStyle w:val="a3520normalp11"/>
                              <w:spacing w:line="276" w:lineRule="auto"/>
                            </w:pPr>
                          </w:p>
                          <w:p w14:paraId="00C079DF" w14:textId="77777777" w:rsidR="00692F99" w:rsidRDefault="00692F99">
                            <w:pPr>
                              <w:ind w:left="-142" w:firstLine="142"/>
                            </w:pPr>
                          </w:p>
                        </w:txbxContent>
                      </wps:txbx>
                      <wps:bodyPr rot="0" vert="horz" wrap="square" lIns="91440" tIns="45720" rIns="91440" bIns="45720" anchor="t" anchorCtr="0">
                        <a:noAutofit/>
                      </wps:bodyPr>
                    </wps:wsp>
                  </a:graphicData>
                </a:graphic>
              </wp:inline>
            </w:drawing>
          </mc:Choice>
          <mc:Fallback>
            <w:pict>
              <v:shape w14:anchorId="6B32014F" id="_x0000_s1033" type="#_x0000_t202" style="width:450.35pt;height:14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" fillcolor="#d8d8d8 [2732]" strokeweight="1pt">
                <v:textbox>
                  <w:txbxContent>
                    <w:p w14:paraId="13469DBA" w14:textId="77777777" w:rsidR="00692F99" w:rsidRDefault="00692F99">
                      <w:pPr>
                        <w:spacing w:after="120"/>
                        <w:ind w:right="57"/>
                        <w:jc w:val="both"/>
                        <w:rPr>
                          <w:rFonts w:ascii="Times New Roman" w:eastAsia="Times New Roman" w:hAnsi="Times New Roman"/>
                        </w:rPr>
                      </w:pPr>
                      <w:r w:rsidRPr="00692F99">
                        <w:rPr>
                          <w:rFonts w:ascii="Times New Roman" w:hAnsi="Times New Roman"/>
                          <w:sz w:val="24"/>
                          <w:szCs w:val="24"/>
                        </w:rPr>
                        <w:t>През фаза 3 тръжната продажба е основният начин за разпределяне на квоти. Първичните търгове се уреждат от Регламента за тръжната продажба*, който определя графика, управлението и други аспекти, свързани с провеждането на търговете, с цел да се гарантира открит, прозрачен, хармонизиран и недискриминационен процес</w:t>
                      </w:r>
                      <w:r>
                        <w:rPr>
                          <w:rFonts w:ascii="Times New Roman" w:hAnsi="Times New Roman"/>
                        </w:rPr>
                        <w:t>.</w:t>
                      </w:r>
                    </w:p>
                    <w:p w14:paraId="171DAF88" w14:textId="77777777" w:rsidR="00692F99" w:rsidRDefault="00692F99">
                      <w:pPr>
                        <w:spacing w:after="120"/>
                        <w:ind w:right="57"/>
                        <w:jc w:val="both"/>
                        <w:rPr>
                          <w:rFonts w:ascii="Times New Roman" w:eastAsia="Times New Roman" w:hAnsi="Times New Roman"/>
                          <w:sz w:val="18"/>
                          <w:szCs w:val="18"/>
                        </w:rPr>
                      </w:pPr>
                      <w:r>
                        <w:rPr>
                          <w:rFonts w:ascii="Times New Roman" w:hAnsi="Times New Roman"/>
                          <w:sz w:val="18"/>
                          <w:szCs w:val="18"/>
                        </w:rPr>
                        <w:t>* Регламент (ЕС) № 1031/2010 на Комисията от 12 ноември 2010 г. относно графика, управлението и други аспекти на търга на квоти за емисии на парникови газове съгласно Директива 2003/87/ЕО на Европейския парламент и на Съвета за установяване на схема за търговия с квоти за емисии на парникови газове в рамките на Общността, ОВ L 302, 18.11.2010 г., стр. 1.</w:t>
                      </w:r>
                    </w:p>
                    <w:p w14:paraId="68E3A868" w14:textId="77777777" w:rsidR="00692F99" w:rsidRDefault="00692F99">
                      <w:pPr>
                        <w:pStyle w:val="a3520normalp11"/>
                        <w:spacing w:line="276" w:lineRule="auto"/>
                      </w:pPr>
                    </w:p>
                    <w:p w14:paraId="00C079DF" w14:textId="77777777" w:rsidR="00692F99" w:rsidRDefault="00692F99">
                      <w:pPr>
                        <w:ind w:left="-142" w:firstLine="142"/>
                      </w:pPr>
                    </w:p>
                  </w:txbxContent>
                </v:textbox>
                <w10:anchorlock/>
              </v:shape>
            </w:pict>
          </mc:Fallback>
        </mc:AlternateContent>
      </w:r>
    </w:p>
    <w:p w14:paraId="0B2E9540" w14:textId="77777777" w:rsidR="00C3264D" w:rsidRPr="00692F99" w:rsidRDefault="007B6B06">
      <w:pPr>
        <w:spacing w:after="120"/>
        <w:ind w:right="57"/>
        <w:jc w:val="both"/>
        <w:rPr>
          <w:rFonts w:ascii="Times New Roman" w:eastAsia="Times New Roman" w:hAnsi="Times New Roman"/>
          <w:sz w:val="24"/>
          <w:szCs w:val="24"/>
        </w:rPr>
      </w:pPr>
      <w:r w:rsidRPr="00692F99">
        <w:rPr>
          <w:rFonts w:ascii="Times New Roman" w:hAnsi="Times New Roman"/>
          <w:sz w:val="24"/>
          <w:szCs w:val="24"/>
        </w:rPr>
        <w:t>През 2018 г. Регламентът за тръжната продажба беше изменен</w:t>
      </w:r>
      <w:r w:rsidRPr="00692F99">
        <w:rPr>
          <w:rStyle w:val="FootnoteReference"/>
          <w:rFonts w:ascii="Times New Roman" w:eastAsia="Times New Roman" w:hAnsi="Times New Roman"/>
          <w:sz w:val="24"/>
          <w:szCs w:val="24"/>
        </w:rPr>
        <w:footnoteReference w:id="36"/>
      </w:r>
      <w:r w:rsidRPr="00692F99">
        <w:rPr>
          <w:rFonts w:ascii="Times New Roman" w:hAnsi="Times New Roman"/>
          <w:sz w:val="24"/>
          <w:szCs w:val="24"/>
        </w:rPr>
        <w:t>, с цел European Energy Exchange („EEX“) отново да бъде избрана като алтернативната тръжна платформа на Германия и да се позволи осребряването на първата партида от 50 милиона квоти от резерва за стабилност на пазара за финансирането на Фонда за новации през 2020 г.</w:t>
      </w:r>
    </w:p>
    <w:p w14:paraId="15208102" w14:textId="77777777" w:rsidR="00C3264D" w:rsidRPr="00692F99" w:rsidRDefault="004724FA">
      <w:pPr>
        <w:spacing w:after="120"/>
        <w:ind w:right="57"/>
        <w:jc w:val="both"/>
        <w:rPr>
          <w:rFonts w:ascii="Times New Roman" w:eastAsia="Times New Roman" w:hAnsi="Times New Roman"/>
          <w:sz w:val="24"/>
          <w:szCs w:val="24"/>
        </w:rPr>
      </w:pPr>
      <w:r w:rsidRPr="00692F99">
        <w:rPr>
          <w:rFonts w:ascii="Times New Roman" w:hAnsi="Times New Roman"/>
          <w:sz w:val="24"/>
          <w:szCs w:val="24"/>
        </w:rPr>
        <w:t>Допълнително изменение на Регламента за тръжната продажба беше прието от Комисията през август 2019 г. с цел да се създаде рамката за разпределяне на квоти чрез търгове и за управление на проекти в рамките на Фонда за иновации и Фонда за модернизация през фаза 4. Изменението отразява също така класифицирането на квотите по СТЕ на ЕС като финансови инструменти съгласно Директива 2014/65/ЕС относно пазарите на финансови инструменти (ДПФИ II).</w:t>
      </w:r>
    </w:p>
    <w:p w14:paraId="1B01EB84" w14:textId="77777777" w:rsidR="00C3264D" w:rsidRPr="00692F99" w:rsidRDefault="005C40E5">
      <w:pPr>
        <w:spacing w:after="120"/>
        <w:ind w:right="57"/>
        <w:jc w:val="both"/>
        <w:rPr>
          <w:rFonts w:ascii="Times New Roman" w:eastAsia="Times New Roman" w:hAnsi="Times New Roman"/>
          <w:sz w:val="24"/>
          <w:szCs w:val="24"/>
        </w:rPr>
      </w:pPr>
      <w:r w:rsidRPr="00692F99">
        <w:rPr>
          <w:rFonts w:ascii="Times New Roman" w:hAnsi="Times New Roman"/>
          <w:sz w:val="24"/>
          <w:szCs w:val="24"/>
        </w:rPr>
        <w:t>В съответствие със защитните мерки, приети с цел да се запази целостта на СТЕ на ЕС в областта на околната среда (вж. глава 2.2), беше прието връщането на квоти, издадени от Обединеното кралство за 2018 г., но през 2019 г. не бяха продадени на търг квоти от името на Обединеното кралство.</w:t>
      </w:r>
    </w:p>
    <w:p w14:paraId="33B4ECDD" w14:textId="77777777" w:rsidR="00C3264D" w:rsidRPr="00692F99" w:rsidRDefault="00D20456">
      <w:pPr>
        <w:spacing w:after="120"/>
        <w:ind w:right="57"/>
        <w:jc w:val="both"/>
        <w:rPr>
          <w:rFonts w:ascii="Times New Roman" w:eastAsia="Times New Roman" w:hAnsi="Times New Roman"/>
          <w:sz w:val="24"/>
          <w:szCs w:val="24"/>
        </w:rPr>
      </w:pPr>
      <w:r w:rsidRPr="00692F99">
        <w:rPr>
          <w:rFonts w:ascii="Times New Roman" w:hAnsi="Times New Roman"/>
          <w:sz w:val="24"/>
          <w:szCs w:val="24"/>
        </w:rPr>
        <w:t>Търговете през 2018 г. са провеждани посредством следните тръжни платформи:</w:t>
      </w:r>
    </w:p>
    <w:p w14:paraId="3EEF9FD2" w14:textId="77777777" w:rsidR="00C3264D" w:rsidRPr="00692F99" w:rsidRDefault="00D20456">
      <w:pPr>
        <w:numPr>
          <w:ilvl w:val="0"/>
          <w:numId w:val="2"/>
        </w:numPr>
        <w:spacing w:after="120"/>
        <w:ind w:right="57"/>
        <w:jc w:val="both"/>
        <w:rPr>
          <w:rFonts w:ascii="Times New Roman" w:eastAsia="Times New Roman" w:hAnsi="Times New Roman"/>
          <w:sz w:val="24"/>
          <w:szCs w:val="24"/>
        </w:rPr>
      </w:pPr>
      <w:r w:rsidRPr="00692F99">
        <w:rPr>
          <w:rFonts w:ascii="Times New Roman" w:hAnsi="Times New Roman"/>
          <w:sz w:val="24"/>
          <w:szCs w:val="24"/>
        </w:rPr>
        <w:t xml:space="preserve">EEX, действаща като обща тръжна платформа за 25-те държави членки, които участват в процедура за съвместно възлагане, и Полша, която се възползва от възможността да не участва в процедурата за съвместно възлагане, но все още не е избрала отделна тръжна платформа. Считано от 5 септември 2016 г., EEX провежда търговете в качеството си на втората обща тръжна платформа, определена на 13 юли 2016 г.; </w:t>
      </w:r>
    </w:p>
    <w:p w14:paraId="09D30459" w14:textId="77777777" w:rsidR="00C3264D" w:rsidRPr="00692F99" w:rsidRDefault="00D20456">
      <w:pPr>
        <w:numPr>
          <w:ilvl w:val="0"/>
          <w:numId w:val="2"/>
        </w:numPr>
        <w:spacing w:after="120"/>
        <w:ind w:right="57"/>
        <w:jc w:val="both"/>
        <w:rPr>
          <w:rFonts w:ascii="Times New Roman" w:eastAsia="Times New Roman" w:hAnsi="Times New Roman"/>
          <w:sz w:val="24"/>
          <w:szCs w:val="24"/>
        </w:rPr>
      </w:pPr>
      <w:r w:rsidRPr="00692F99">
        <w:rPr>
          <w:rFonts w:ascii="Times New Roman" w:hAnsi="Times New Roman"/>
          <w:sz w:val="24"/>
          <w:szCs w:val="24"/>
        </w:rPr>
        <w:t>EEX, действаща като алтернативна тръжна платформа за Германия;</w:t>
      </w:r>
    </w:p>
    <w:p w14:paraId="7F5A81A0" w14:textId="77777777" w:rsidR="00C3264D" w:rsidRPr="00692F99" w:rsidRDefault="00D20456">
      <w:pPr>
        <w:numPr>
          <w:ilvl w:val="0"/>
          <w:numId w:val="2"/>
        </w:numPr>
        <w:spacing w:after="120"/>
        <w:ind w:right="57"/>
        <w:jc w:val="both"/>
        <w:rPr>
          <w:rFonts w:ascii="Times New Roman" w:eastAsia="Times New Roman" w:hAnsi="Times New Roman"/>
          <w:sz w:val="24"/>
          <w:szCs w:val="24"/>
        </w:rPr>
      </w:pPr>
      <w:r w:rsidRPr="00692F99">
        <w:rPr>
          <w:rFonts w:ascii="Times New Roman" w:hAnsi="Times New Roman"/>
          <w:sz w:val="24"/>
          <w:szCs w:val="24"/>
        </w:rPr>
        <w:t>ICE, действаща като алтернативна тръжна платформа за Обединеното кралство.</w:t>
      </w:r>
    </w:p>
    <w:p w14:paraId="4E2BD946" w14:textId="77777777" w:rsidR="00C3264D" w:rsidRPr="00692F99" w:rsidRDefault="00D20456">
      <w:pPr>
        <w:spacing w:after="120"/>
        <w:ind w:right="57"/>
        <w:jc w:val="both"/>
        <w:rPr>
          <w:rFonts w:ascii="Times New Roman" w:eastAsia="Times New Roman" w:hAnsi="Times New Roman"/>
          <w:sz w:val="24"/>
          <w:szCs w:val="24"/>
        </w:rPr>
      </w:pPr>
      <w:r w:rsidRPr="00692F99">
        <w:rPr>
          <w:rFonts w:ascii="Times New Roman" w:hAnsi="Times New Roman"/>
          <w:sz w:val="24"/>
          <w:szCs w:val="24"/>
        </w:rPr>
        <w:t>Исландия, Лихтенщайн и Норвегия започнаха тръжна продажба на квоти през юни 2019 г., след като Споразумението за ЕИП беше изменено, за да им се даде възможност да участват в споразумението за съвместно възлагане за общата тръжна платформа.</w:t>
      </w:r>
      <w:r w:rsidRPr="00692F99">
        <w:rPr>
          <w:sz w:val="24"/>
          <w:szCs w:val="24"/>
        </w:rPr>
        <w:t xml:space="preserve"> </w:t>
      </w:r>
      <w:r w:rsidRPr="00692F99">
        <w:rPr>
          <w:rFonts w:ascii="Times New Roman" w:hAnsi="Times New Roman"/>
          <w:sz w:val="24"/>
          <w:szCs w:val="24"/>
        </w:rPr>
        <w:t>В споразумението с трите държави обемите на квотите, предназначени за тръжна продажба за периода 2013—2018 г., са разпределени за 2019 и 2020 година, за да се гарантира устойчиво и предвидимо предлагане на квоти на пазара и да се избегнат евентуални неблагоприятни въздействия върху пазара на въглеродни емисии поради това допълнително предлагане. По този начин преразгледаните тръжни календари за 2019 г. и 2020 г. включват част от обемите за предходни периоди, които са били изтеглени от търгове.</w:t>
      </w:r>
    </w:p>
    <w:p w14:paraId="033B3FE7" w14:textId="77777777" w:rsidR="00C3264D" w:rsidRPr="00692F99" w:rsidRDefault="00D20456">
      <w:pPr>
        <w:spacing w:after="120"/>
        <w:ind w:right="57"/>
        <w:jc w:val="both"/>
        <w:rPr>
          <w:rFonts w:ascii="Times New Roman" w:eastAsia="Times New Roman" w:hAnsi="Times New Roman"/>
          <w:sz w:val="24"/>
          <w:szCs w:val="24"/>
        </w:rPr>
      </w:pPr>
      <w:r w:rsidRPr="00692F99">
        <w:rPr>
          <w:rFonts w:ascii="Times New Roman" w:hAnsi="Times New Roman"/>
          <w:sz w:val="24"/>
          <w:szCs w:val="24"/>
        </w:rPr>
        <w:t xml:space="preserve">През 2018 г. EEX, действаща от името на 27-те държави членки, е продала на търгове 89 % от общото количество квоти, а ICE е продала 11 % от общото количество от името на Обединеното кралство. До 30 юни 2019 г. са проведени над 1 480 търга. </w:t>
      </w:r>
    </w:p>
    <w:p w14:paraId="130F42DC" w14:textId="77777777" w:rsidR="00C3264D" w:rsidRPr="00692F99" w:rsidRDefault="003A348D">
      <w:pPr>
        <w:spacing w:after="0"/>
        <w:ind w:right="57"/>
        <w:jc w:val="both"/>
        <w:rPr>
          <w:rFonts w:ascii="Times New Roman" w:eastAsia="Times New Roman" w:hAnsi="Times New Roman"/>
          <w:sz w:val="24"/>
          <w:szCs w:val="24"/>
        </w:rPr>
      </w:pPr>
      <w:r w:rsidRPr="00692F99">
        <w:rPr>
          <w:rFonts w:ascii="Times New Roman" w:hAnsi="Times New Roman"/>
          <w:sz w:val="24"/>
          <w:szCs w:val="24"/>
        </w:rPr>
        <w:t>В таблица 5 е представен преглед на обемите на квотите</w:t>
      </w:r>
      <w:r w:rsidRPr="00692F99">
        <w:rPr>
          <w:rStyle w:val="FootnoteReference"/>
          <w:rFonts w:ascii="Times New Roman" w:eastAsia="Times New Roman" w:hAnsi="Times New Roman"/>
          <w:sz w:val="24"/>
          <w:szCs w:val="24"/>
        </w:rPr>
        <w:footnoteReference w:id="37"/>
      </w:r>
      <w:r w:rsidRPr="00692F99">
        <w:rPr>
          <w:rFonts w:ascii="Times New Roman" w:hAnsi="Times New Roman"/>
          <w:sz w:val="24"/>
          <w:szCs w:val="24"/>
        </w:rPr>
        <w:t>, предназначени за тръжна продажба от EEX и ІСЕ, до 30 юни 2019 г., включително ранните търгове</w:t>
      </w:r>
      <w:r w:rsidRPr="00692F99">
        <w:rPr>
          <w:rFonts w:ascii="Times New Roman" w:eastAsia="Times New Roman" w:hAnsi="Times New Roman"/>
          <w:sz w:val="24"/>
          <w:szCs w:val="24"/>
          <w:vertAlign w:val="superscript"/>
        </w:rPr>
        <w:footnoteReference w:id="38"/>
      </w:r>
      <w:r w:rsidRPr="00692F99">
        <w:rPr>
          <w:rFonts w:ascii="Times New Roman" w:hAnsi="Times New Roman"/>
          <w:sz w:val="24"/>
          <w:szCs w:val="24"/>
        </w:rPr>
        <w:t xml:space="preserve"> на общите квоти. </w:t>
      </w:r>
    </w:p>
    <w:p w14:paraId="4B849F68" w14:textId="77777777" w:rsidR="00C3264D" w:rsidRDefault="00C3264D">
      <w:pPr>
        <w:spacing w:after="0"/>
        <w:ind w:right="57"/>
        <w:jc w:val="both"/>
        <w:rPr>
          <w:rFonts w:ascii="Times New Roman" w:eastAsia="Times New Roman" w:hAnsi="Times New Roman"/>
          <w:sz w:val="24"/>
          <w:szCs w:val="24"/>
        </w:rPr>
      </w:pPr>
    </w:p>
    <w:p w14:paraId="39E42D14" w14:textId="77777777" w:rsidR="00C3264D" w:rsidRDefault="003A348D">
      <w:pPr>
        <w:keepNext/>
        <w:rPr>
          <w:rFonts w:ascii="Times New Roman" w:hAnsi="Times New Roman"/>
          <w:b/>
          <w:bCs/>
        </w:rPr>
      </w:pPr>
      <w:r>
        <w:rPr>
          <w:rFonts w:ascii="Times New Roman" w:hAnsi="Times New Roman"/>
          <w:b/>
          <w:bCs/>
        </w:rPr>
        <w:t>Таблица 5: Общо количество квоти по фаза 3, продадени на търг през периода 2012—2019 г.</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908"/>
        <w:gridCol w:w="3051"/>
        <w:gridCol w:w="2989"/>
      </w:tblGrid>
      <w:tr w:rsidR="00C3264D" w14:paraId="66060B7D" w14:textId="77777777" w:rsidTr="002802C4">
        <w:trPr>
          <w:trHeight w:val="414"/>
          <w:jc w:val="center"/>
        </w:trPr>
        <w:tc>
          <w:tcPr>
            <w:tcW w:w="2908" w:type="dxa"/>
            <w:tcBorders>
              <w:top w:val="double" w:sz="4" w:space="0" w:color="auto"/>
              <w:left w:val="double" w:sz="4" w:space="0" w:color="auto"/>
              <w:bottom w:val="double" w:sz="4" w:space="0" w:color="auto"/>
              <w:right w:val="double" w:sz="4" w:space="0" w:color="auto"/>
            </w:tcBorders>
            <w:shd w:val="clear" w:color="auto" w:fill="auto"/>
            <w:vAlign w:val="center"/>
          </w:tcPr>
          <w:p w14:paraId="01A21902" w14:textId="77777777" w:rsidR="00C3264D" w:rsidRDefault="003A348D">
            <w:pPr>
              <w:spacing w:after="0"/>
              <w:jc w:val="center"/>
              <w:rPr>
                <w:rFonts w:ascii="Times New Roman" w:eastAsia="Times New Roman" w:hAnsi="Times New Roman"/>
                <w:sz w:val="20"/>
                <w:szCs w:val="20"/>
              </w:rPr>
            </w:pPr>
            <w:r>
              <w:rPr>
                <w:rFonts w:ascii="Times New Roman" w:hAnsi="Times New Roman"/>
                <w:sz w:val="20"/>
                <w:szCs w:val="20"/>
              </w:rPr>
              <w:t>Година</w:t>
            </w:r>
          </w:p>
        </w:tc>
        <w:tc>
          <w:tcPr>
            <w:tcW w:w="3051" w:type="dxa"/>
            <w:tcBorders>
              <w:top w:val="double" w:sz="4" w:space="0" w:color="auto"/>
              <w:left w:val="double" w:sz="4" w:space="0" w:color="auto"/>
              <w:bottom w:val="double" w:sz="4" w:space="0" w:color="auto"/>
              <w:right w:val="double" w:sz="4" w:space="0" w:color="auto"/>
            </w:tcBorders>
            <w:shd w:val="clear" w:color="auto" w:fill="auto"/>
            <w:vAlign w:val="center"/>
          </w:tcPr>
          <w:p w14:paraId="42A612CE" w14:textId="77777777" w:rsidR="00C3264D" w:rsidRDefault="003A348D">
            <w:pPr>
              <w:spacing w:after="0"/>
              <w:jc w:val="center"/>
              <w:rPr>
                <w:rFonts w:ascii="Times New Roman" w:eastAsia="Times New Roman" w:hAnsi="Times New Roman"/>
                <w:sz w:val="20"/>
                <w:szCs w:val="20"/>
              </w:rPr>
            </w:pPr>
            <w:r>
              <w:rPr>
                <w:rFonts w:ascii="Times New Roman" w:hAnsi="Times New Roman"/>
                <w:sz w:val="20"/>
                <w:szCs w:val="20"/>
              </w:rPr>
              <w:br/>
              <w:t xml:space="preserve">Общи квоти </w:t>
            </w:r>
          </w:p>
          <w:p w14:paraId="782C41B3" w14:textId="77777777" w:rsidR="00C3264D" w:rsidRDefault="00C3264D">
            <w:pPr>
              <w:spacing w:after="0"/>
              <w:jc w:val="center"/>
              <w:rPr>
                <w:rFonts w:ascii="Times New Roman" w:eastAsia="Times New Roman" w:hAnsi="Times New Roman"/>
                <w:sz w:val="20"/>
                <w:szCs w:val="20"/>
              </w:rPr>
            </w:pPr>
          </w:p>
        </w:tc>
        <w:tc>
          <w:tcPr>
            <w:tcW w:w="2989" w:type="dxa"/>
            <w:tcBorders>
              <w:top w:val="double" w:sz="4" w:space="0" w:color="auto"/>
              <w:left w:val="double" w:sz="4" w:space="0" w:color="auto"/>
              <w:bottom w:val="double" w:sz="4" w:space="0" w:color="auto"/>
              <w:right w:val="double" w:sz="4" w:space="0" w:color="auto"/>
            </w:tcBorders>
            <w:shd w:val="clear" w:color="auto" w:fill="auto"/>
            <w:vAlign w:val="center"/>
          </w:tcPr>
          <w:p w14:paraId="54E165AA" w14:textId="77777777" w:rsidR="00C3264D" w:rsidRDefault="003A348D">
            <w:pPr>
              <w:spacing w:after="0"/>
              <w:jc w:val="center"/>
              <w:rPr>
                <w:rFonts w:ascii="Times New Roman" w:hAnsi="Times New Roman"/>
                <w:bCs/>
                <w:color w:val="000000"/>
                <w:sz w:val="20"/>
                <w:szCs w:val="20"/>
              </w:rPr>
            </w:pPr>
            <w:r>
              <w:rPr>
                <w:rFonts w:ascii="Times New Roman" w:hAnsi="Times New Roman"/>
                <w:bCs/>
                <w:sz w:val="20"/>
                <w:szCs w:val="20"/>
              </w:rPr>
              <w:t xml:space="preserve">Квоти за авиационни емисии </w:t>
            </w:r>
          </w:p>
        </w:tc>
      </w:tr>
      <w:tr w:rsidR="00C3264D" w14:paraId="7085048E" w14:textId="77777777" w:rsidTr="002802C4">
        <w:trPr>
          <w:trHeight w:val="414"/>
          <w:jc w:val="center"/>
        </w:trPr>
        <w:tc>
          <w:tcPr>
            <w:tcW w:w="2908" w:type="dxa"/>
            <w:tcBorders>
              <w:top w:val="double" w:sz="4" w:space="0" w:color="auto"/>
              <w:left w:val="double" w:sz="4" w:space="0" w:color="auto"/>
              <w:bottom w:val="double" w:sz="4" w:space="0" w:color="auto"/>
              <w:right w:val="double" w:sz="4" w:space="0" w:color="auto"/>
            </w:tcBorders>
            <w:shd w:val="clear" w:color="auto" w:fill="auto"/>
            <w:vAlign w:val="center"/>
          </w:tcPr>
          <w:p w14:paraId="10F3A75C" w14:textId="77777777" w:rsidR="00C3264D" w:rsidRDefault="003A348D">
            <w:pPr>
              <w:spacing w:after="0"/>
              <w:jc w:val="center"/>
              <w:rPr>
                <w:rFonts w:ascii="Times New Roman" w:eastAsia="Times New Roman" w:hAnsi="Times New Roman"/>
                <w:sz w:val="20"/>
                <w:szCs w:val="20"/>
              </w:rPr>
            </w:pPr>
            <w:r>
              <w:rPr>
                <w:rFonts w:ascii="Times New Roman" w:hAnsi="Times New Roman"/>
                <w:sz w:val="20"/>
                <w:szCs w:val="20"/>
              </w:rPr>
              <w:t>2012 г.</w:t>
            </w:r>
          </w:p>
        </w:tc>
        <w:tc>
          <w:tcPr>
            <w:tcW w:w="3051" w:type="dxa"/>
            <w:tcBorders>
              <w:top w:val="double" w:sz="4" w:space="0" w:color="auto"/>
              <w:left w:val="double" w:sz="4" w:space="0" w:color="auto"/>
              <w:bottom w:val="double" w:sz="4" w:space="0" w:color="auto"/>
              <w:right w:val="double" w:sz="4" w:space="0" w:color="auto"/>
            </w:tcBorders>
            <w:shd w:val="clear" w:color="auto" w:fill="auto"/>
            <w:vAlign w:val="center"/>
          </w:tcPr>
          <w:p w14:paraId="6E682BF1" w14:textId="77777777" w:rsidR="00C3264D" w:rsidRDefault="003A348D">
            <w:pPr>
              <w:spacing w:after="0"/>
              <w:jc w:val="center"/>
              <w:rPr>
                <w:rFonts w:ascii="Times New Roman" w:eastAsia="Times New Roman" w:hAnsi="Times New Roman"/>
                <w:sz w:val="20"/>
                <w:szCs w:val="20"/>
              </w:rPr>
            </w:pPr>
            <w:r>
              <w:rPr>
                <w:rFonts w:ascii="Times New Roman" w:hAnsi="Times New Roman"/>
                <w:sz w:val="20"/>
                <w:szCs w:val="20"/>
              </w:rPr>
              <w:t>89 701 500</w:t>
            </w:r>
          </w:p>
        </w:tc>
        <w:tc>
          <w:tcPr>
            <w:tcW w:w="2989" w:type="dxa"/>
            <w:tcBorders>
              <w:top w:val="double" w:sz="4" w:space="0" w:color="auto"/>
              <w:left w:val="double" w:sz="4" w:space="0" w:color="auto"/>
              <w:bottom w:val="double" w:sz="4" w:space="0" w:color="auto"/>
              <w:right w:val="double" w:sz="4" w:space="0" w:color="auto"/>
            </w:tcBorders>
            <w:shd w:val="clear" w:color="auto" w:fill="auto"/>
            <w:vAlign w:val="center"/>
          </w:tcPr>
          <w:p w14:paraId="2D6AAD3F" w14:textId="77777777" w:rsidR="00C3264D" w:rsidRDefault="003A348D">
            <w:pPr>
              <w:spacing w:after="0"/>
              <w:jc w:val="center"/>
              <w:rPr>
                <w:rFonts w:ascii="Times New Roman" w:hAnsi="Times New Roman"/>
                <w:bCs/>
                <w:color w:val="000000"/>
                <w:sz w:val="20"/>
                <w:szCs w:val="20"/>
              </w:rPr>
            </w:pPr>
            <w:r>
              <w:rPr>
                <w:rFonts w:ascii="Times New Roman" w:hAnsi="Times New Roman"/>
                <w:bCs/>
                <w:sz w:val="20"/>
                <w:szCs w:val="20"/>
              </w:rPr>
              <w:t>2 500 000</w:t>
            </w:r>
          </w:p>
        </w:tc>
      </w:tr>
      <w:tr w:rsidR="00C3264D" w14:paraId="69D529D4" w14:textId="77777777" w:rsidTr="002802C4">
        <w:trPr>
          <w:trHeight w:val="414"/>
          <w:jc w:val="center"/>
        </w:trPr>
        <w:tc>
          <w:tcPr>
            <w:tcW w:w="2908" w:type="dxa"/>
            <w:tcBorders>
              <w:top w:val="double" w:sz="4" w:space="0" w:color="auto"/>
              <w:left w:val="double" w:sz="4" w:space="0" w:color="auto"/>
              <w:bottom w:val="double" w:sz="4" w:space="0" w:color="auto"/>
              <w:right w:val="double" w:sz="4" w:space="0" w:color="auto"/>
            </w:tcBorders>
            <w:shd w:val="clear" w:color="auto" w:fill="auto"/>
            <w:vAlign w:val="center"/>
          </w:tcPr>
          <w:p w14:paraId="3A0C9E0B" w14:textId="77777777" w:rsidR="00C3264D" w:rsidRDefault="003A348D">
            <w:pPr>
              <w:spacing w:after="0"/>
              <w:jc w:val="center"/>
              <w:rPr>
                <w:rFonts w:ascii="Times New Roman" w:eastAsia="Times New Roman" w:hAnsi="Times New Roman"/>
                <w:sz w:val="20"/>
                <w:szCs w:val="20"/>
              </w:rPr>
            </w:pPr>
            <w:r>
              <w:rPr>
                <w:rFonts w:ascii="Times New Roman" w:hAnsi="Times New Roman"/>
                <w:sz w:val="20"/>
                <w:szCs w:val="20"/>
              </w:rPr>
              <w:t>2013 г.</w:t>
            </w:r>
          </w:p>
        </w:tc>
        <w:tc>
          <w:tcPr>
            <w:tcW w:w="3051" w:type="dxa"/>
            <w:tcBorders>
              <w:top w:val="double" w:sz="4" w:space="0" w:color="auto"/>
              <w:left w:val="double" w:sz="4" w:space="0" w:color="auto"/>
              <w:bottom w:val="double" w:sz="4" w:space="0" w:color="auto"/>
              <w:right w:val="double" w:sz="4" w:space="0" w:color="auto"/>
            </w:tcBorders>
            <w:shd w:val="clear" w:color="auto" w:fill="auto"/>
            <w:vAlign w:val="center"/>
          </w:tcPr>
          <w:p w14:paraId="1117D98D" w14:textId="77777777" w:rsidR="00C3264D" w:rsidRDefault="003A348D">
            <w:pPr>
              <w:spacing w:after="0"/>
              <w:jc w:val="center"/>
              <w:rPr>
                <w:rFonts w:ascii="Times New Roman" w:eastAsia="Times New Roman" w:hAnsi="Times New Roman"/>
                <w:sz w:val="20"/>
                <w:szCs w:val="20"/>
              </w:rPr>
            </w:pPr>
            <w:r>
              <w:rPr>
                <w:rFonts w:ascii="Times New Roman" w:hAnsi="Times New Roman"/>
                <w:sz w:val="20"/>
                <w:szCs w:val="20"/>
              </w:rPr>
              <w:t>808 146 500</w:t>
            </w:r>
          </w:p>
        </w:tc>
        <w:tc>
          <w:tcPr>
            <w:tcW w:w="2989" w:type="dxa"/>
            <w:tcBorders>
              <w:top w:val="double" w:sz="4" w:space="0" w:color="auto"/>
              <w:left w:val="double" w:sz="4" w:space="0" w:color="auto"/>
              <w:bottom w:val="double" w:sz="4" w:space="0" w:color="auto"/>
              <w:right w:val="double" w:sz="4" w:space="0" w:color="auto"/>
            </w:tcBorders>
            <w:shd w:val="clear" w:color="auto" w:fill="auto"/>
            <w:vAlign w:val="center"/>
          </w:tcPr>
          <w:p w14:paraId="5B01A99F" w14:textId="77777777" w:rsidR="00C3264D" w:rsidRDefault="003A348D">
            <w:pPr>
              <w:spacing w:after="0"/>
              <w:jc w:val="center"/>
              <w:rPr>
                <w:rFonts w:ascii="Times New Roman" w:hAnsi="Times New Roman"/>
                <w:bCs/>
                <w:color w:val="000000"/>
                <w:sz w:val="20"/>
                <w:szCs w:val="20"/>
              </w:rPr>
            </w:pPr>
            <w:r>
              <w:rPr>
                <w:rFonts w:ascii="Times New Roman" w:hAnsi="Times New Roman"/>
                <w:bCs/>
                <w:sz w:val="20"/>
                <w:szCs w:val="20"/>
              </w:rPr>
              <w:t xml:space="preserve">0 </w:t>
            </w:r>
          </w:p>
        </w:tc>
      </w:tr>
      <w:tr w:rsidR="00C3264D" w14:paraId="58C940D0" w14:textId="77777777" w:rsidTr="002802C4">
        <w:trPr>
          <w:trHeight w:val="414"/>
          <w:jc w:val="center"/>
        </w:trPr>
        <w:tc>
          <w:tcPr>
            <w:tcW w:w="2908" w:type="dxa"/>
            <w:tcBorders>
              <w:top w:val="double" w:sz="4" w:space="0" w:color="auto"/>
              <w:left w:val="double" w:sz="4" w:space="0" w:color="auto"/>
              <w:bottom w:val="double" w:sz="4" w:space="0" w:color="auto"/>
              <w:right w:val="double" w:sz="4" w:space="0" w:color="auto"/>
            </w:tcBorders>
            <w:shd w:val="clear" w:color="auto" w:fill="auto"/>
            <w:vAlign w:val="center"/>
          </w:tcPr>
          <w:p w14:paraId="31B28787" w14:textId="77777777" w:rsidR="00C3264D" w:rsidRDefault="003A348D">
            <w:pPr>
              <w:spacing w:after="0"/>
              <w:jc w:val="center"/>
              <w:rPr>
                <w:rFonts w:ascii="Times New Roman" w:eastAsia="Times New Roman" w:hAnsi="Times New Roman"/>
                <w:sz w:val="20"/>
                <w:szCs w:val="20"/>
              </w:rPr>
            </w:pPr>
            <w:r>
              <w:rPr>
                <w:rFonts w:ascii="Times New Roman" w:hAnsi="Times New Roman"/>
                <w:sz w:val="20"/>
                <w:szCs w:val="20"/>
              </w:rPr>
              <w:t>2014 г.</w:t>
            </w:r>
          </w:p>
        </w:tc>
        <w:tc>
          <w:tcPr>
            <w:tcW w:w="3051" w:type="dxa"/>
            <w:tcBorders>
              <w:top w:val="double" w:sz="4" w:space="0" w:color="auto"/>
              <w:left w:val="double" w:sz="4" w:space="0" w:color="auto"/>
              <w:bottom w:val="double" w:sz="4" w:space="0" w:color="auto"/>
              <w:right w:val="double" w:sz="4" w:space="0" w:color="auto"/>
            </w:tcBorders>
            <w:shd w:val="clear" w:color="auto" w:fill="auto"/>
            <w:vAlign w:val="center"/>
          </w:tcPr>
          <w:p w14:paraId="290613E5" w14:textId="77777777" w:rsidR="00C3264D" w:rsidRDefault="003A348D">
            <w:pPr>
              <w:spacing w:after="0"/>
              <w:jc w:val="center"/>
              <w:rPr>
                <w:rFonts w:ascii="Times New Roman" w:eastAsia="Times New Roman" w:hAnsi="Times New Roman"/>
                <w:sz w:val="20"/>
                <w:szCs w:val="20"/>
              </w:rPr>
            </w:pPr>
            <w:r>
              <w:rPr>
                <w:rFonts w:ascii="Times New Roman" w:hAnsi="Times New Roman"/>
                <w:sz w:val="20"/>
                <w:szCs w:val="20"/>
              </w:rPr>
              <w:t>528 399 500</w:t>
            </w:r>
          </w:p>
        </w:tc>
        <w:tc>
          <w:tcPr>
            <w:tcW w:w="2989" w:type="dxa"/>
            <w:tcBorders>
              <w:top w:val="double" w:sz="4" w:space="0" w:color="auto"/>
              <w:left w:val="double" w:sz="4" w:space="0" w:color="auto"/>
              <w:bottom w:val="double" w:sz="4" w:space="0" w:color="auto"/>
              <w:right w:val="double" w:sz="4" w:space="0" w:color="auto"/>
            </w:tcBorders>
            <w:shd w:val="clear" w:color="auto" w:fill="auto"/>
            <w:vAlign w:val="center"/>
          </w:tcPr>
          <w:p w14:paraId="69360777" w14:textId="77777777" w:rsidR="00C3264D" w:rsidRDefault="003A348D">
            <w:pPr>
              <w:spacing w:after="0"/>
              <w:jc w:val="center"/>
              <w:rPr>
                <w:rFonts w:ascii="Times New Roman" w:hAnsi="Times New Roman"/>
                <w:bCs/>
                <w:color w:val="000000"/>
                <w:sz w:val="20"/>
                <w:szCs w:val="20"/>
              </w:rPr>
            </w:pPr>
            <w:r>
              <w:rPr>
                <w:rFonts w:ascii="Times New Roman" w:hAnsi="Times New Roman"/>
                <w:bCs/>
                <w:sz w:val="20"/>
                <w:szCs w:val="20"/>
              </w:rPr>
              <w:t>9 278 000</w:t>
            </w:r>
          </w:p>
        </w:tc>
      </w:tr>
      <w:tr w:rsidR="00C3264D" w14:paraId="62C5AC9A" w14:textId="77777777" w:rsidTr="002802C4">
        <w:trPr>
          <w:trHeight w:val="414"/>
          <w:jc w:val="center"/>
        </w:trPr>
        <w:tc>
          <w:tcPr>
            <w:tcW w:w="2908" w:type="dxa"/>
            <w:tcBorders>
              <w:top w:val="double" w:sz="4" w:space="0" w:color="auto"/>
              <w:left w:val="double" w:sz="4" w:space="0" w:color="auto"/>
              <w:bottom w:val="double" w:sz="4" w:space="0" w:color="auto"/>
              <w:right w:val="double" w:sz="4" w:space="0" w:color="auto"/>
            </w:tcBorders>
            <w:shd w:val="clear" w:color="auto" w:fill="auto"/>
            <w:vAlign w:val="center"/>
          </w:tcPr>
          <w:p w14:paraId="3BC84A92" w14:textId="77777777" w:rsidR="00C3264D" w:rsidRDefault="003A348D">
            <w:pPr>
              <w:spacing w:after="0"/>
              <w:jc w:val="center"/>
              <w:rPr>
                <w:rFonts w:ascii="Times New Roman" w:eastAsia="Times New Roman" w:hAnsi="Times New Roman"/>
                <w:sz w:val="20"/>
                <w:szCs w:val="20"/>
              </w:rPr>
            </w:pPr>
            <w:r>
              <w:rPr>
                <w:rFonts w:ascii="Times New Roman" w:hAnsi="Times New Roman"/>
                <w:sz w:val="20"/>
                <w:szCs w:val="20"/>
              </w:rPr>
              <w:t>2015 г.</w:t>
            </w:r>
          </w:p>
        </w:tc>
        <w:tc>
          <w:tcPr>
            <w:tcW w:w="3051" w:type="dxa"/>
            <w:tcBorders>
              <w:top w:val="double" w:sz="4" w:space="0" w:color="auto"/>
              <w:left w:val="double" w:sz="4" w:space="0" w:color="auto"/>
              <w:bottom w:val="double" w:sz="4" w:space="0" w:color="auto"/>
              <w:right w:val="double" w:sz="4" w:space="0" w:color="auto"/>
            </w:tcBorders>
            <w:shd w:val="clear" w:color="auto" w:fill="auto"/>
            <w:vAlign w:val="center"/>
          </w:tcPr>
          <w:p w14:paraId="0DE1A92B" w14:textId="77777777" w:rsidR="00C3264D" w:rsidRDefault="003A348D">
            <w:pPr>
              <w:spacing w:after="0"/>
              <w:jc w:val="center"/>
              <w:rPr>
                <w:rFonts w:ascii="Times New Roman" w:eastAsia="Times New Roman" w:hAnsi="Times New Roman"/>
                <w:sz w:val="20"/>
                <w:szCs w:val="20"/>
              </w:rPr>
            </w:pPr>
            <w:r>
              <w:rPr>
                <w:rFonts w:ascii="Times New Roman" w:hAnsi="Times New Roman"/>
                <w:sz w:val="20"/>
                <w:szCs w:val="20"/>
              </w:rPr>
              <w:t>632 725 500</w:t>
            </w:r>
          </w:p>
        </w:tc>
        <w:tc>
          <w:tcPr>
            <w:tcW w:w="2989" w:type="dxa"/>
            <w:tcBorders>
              <w:top w:val="double" w:sz="4" w:space="0" w:color="auto"/>
              <w:left w:val="double" w:sz="4" w:space="0" w:color="auto"/>
              <w:bottom w:val="double" w:sz="4" w:space="0" w:color="auto"/>
              <w:right w:val="double" w:sz="4" w:space="0" w:color="auto"/>
            </w:tcBorders>
            <w:shd w:val="clear" w:color="auto" w:fill="auto"/>
            <w:vAlign w:val="center"/>
          </w:tcPr>
          <w:p w14:paraId="2523A034" w14:textId="77777777" w:rsidR="00C3264D" w:rsidRDefault="003A348D">
            <w:pPr>
              <w:spacing w:after="0"/>
              <w:jc w:val="center"/>
              <w:rPr>
                <w:rFonts w:ascii="Times New Roman" w:hAnsi="Times New Roman"/>
                <w:bCs/>
                <w:color w:val="000000"/>
                <w:sz w:val="20"/>
                <w:szCs w:val="20"/>
              </w:rPr>
            </w:pPr>
            <w:r>
              <w:rPr>
                <w:rFonts w:ascii="Times New Roman" w:hAnsi="Times New Roman"/>
                <w:bCs/>
                <w:sz w:val="20"/>
                <w:szCs w:val="20"/>
              </w:rPr>
              <w:t>16 390 500</w:t>
            </w:r>
          </w:p>
        </w:tc>
      </w:tr>
      <w:tr w:rsidR="00C3264D" w14:paraId="7C82438C" w14:textId="77777777" w:rsidTr="002802C4">
        <w:trPr>
          <w:trHeight w:val="414"/>
          <w:jc w:val="center"/>
        </w:trPr>
        <w:tc>
          <w:tcPr>
            <w:tcW w:w="2908" w:type="dxa"/>
            <w:tcBorders>
              <w:top w:val="double" w:sz="4" w:space="0" w:color="auto"/>
              <w:left w:val="double" w:sz="4" w:space="0" w:color="auto"/>
              <w:bottom w:val="double" w:sz="4" w:space="0" w:color="auto"/>
              <w:right w:val="double" w:sz="4" w:space="0" w:color="auto"/>
            </w:tcBorders>
            <w:shd w:val="clear" w:color="auto" w:fill="auto"/>
            <w:vAlign w:val="center"/>
          </w:tcPr>
          <w:p w14:paraId="547B753F" w14:textId="77777777" w:rsidR="00C3264D" w:rsidRDefault="003A348D">
            <w:pPr>
              <w:spacing w:after="0"/>
              <w:jc w:val="center"/>
              <w:rPr>
                <w:rFonts w:ascii="Times New Roman" w:eastAsia="Times New Roman" w:hAnsi="Times New Roman"/>
                <w:sz w:val="20"/>
                <w:szCs w:val="20"/>
              </w:rPr>
            </w:pPr>
            <w:r>
              <w:rPr>
                <w:rFonts w:ascii="Times New Roman" w:hAnsi="Times New Roman"/>
                <w:sz w:val="20"/>
                <w:szCs w:val="20"/>
              </w:rPr>
              <w:t>2016 г.</w:t>
            </w:r>
          </w:p>
        </w:tc>
        <w:tc>
          <w:tcPr>
            <w:tcW w:w="3051" w:type="dxa"/>
            <w:tcBorders>
              <w:top w:val="double" w:sz="4" w:space="0" w:color="auto"/>
              <w:left w:val="double" w:sz="4" w:space="0" w:color="auto"/>
              <w:bottom w:val="double" w:sz="4" w:space="0" w:color="auto"/>
              <w:right w:val="double" w:sz="4" w:space="0" w:color="auto"/>
            </w:tcBorders>
            <w:shd w:val="clear" w:color="auto" w:fill="auto"/>
            <w:vAlign w:val="center"/>
          </w:tcPr>
          <w:p w14:paraId="1F4DE1E8" w14:textId="77777777" w:rsidR="00C3264D" w:rsidRDefault="003A348D">
            <w:pPr>
              <w:spacing w:after="0"/>
              <w:jc w:val="center"/>
              <w:rPr>
                <w:rFonts w:ascii="Times New Roman" w:eastAsia="Times New Roman" w:hAnsi="Times New Roman"/>
                <w:sz w:val="20"/>
                <w:szCs w:val="20"/>
              </w:rPr>
            </w:pPr>
            <w:r>
              <w:rPr>
                <w:rFonts w:ascii="Times New Roman" w:hAnsi="Times New Roman"/>
                <w:sz w:val="20"/>
                <w:szCs w:val="20"/>
              </w:rPr>
              <w:t>715 289 500</w:t>
            </w:r>
          </w:p>
        </w:tc>
        <w:tc>
          <w:tcPr>
            <w:tcW w:w="2989" w:type="dxa"/>
            <w:tcBorders>
              <w:top w:val="double" w:sz="4" w:space="0" w:color="auto"/>
              <w:left w:val="double" w:sz="4" w:space="0" w:color="auto"/>
              <w:bottom w:val="double" w:sz="4" w:space="0" w:color="auto"/>
              <w:right w:val="double" w:sz="4" w:space="0" w:color="auto"/>
            </w:tcBorders>
            <w:shd w:val="clear" w:color="auto" w:fill="auto"/>
            <w:vAlign w:val="center"/>
          </w:tcPr>
          <w:p w14:paraId="09E049F7" w14:textId="77777777" w:rsidR="00C3264D" w:rsidRDefault="003A348D">
            <w:pPr>
              <w:spacing w:after="0"/>
              <w:jc w:val="center"/>
              <w:rPr>
                <w:rFonts w:ascii="Times New Roman" w:hAnsi="Times New Roman"/>
                <w:bCs/>
                <w:color w:val="000000"/>
                <w:sz w:val="20"/>
                <w:szCs w:val="20"/>
              </w:rPr>
            </w:pPr>
            <w:r>
              <w:rPr>
                <w:rFonts w:ascii="Times New Roman" w:hAnsi="Times New Roman"/>
                <w:bCs/>
                <w:sz w:val="20"/>
                <w:szCs w:val="20"/>
              </w:rPr>
              <w:t>5 997 500</w:t>
            </w:r>
          </w:p>
        </w:tc>
      </w:tr>
      <w:tr w:rsidR="00C3264D" w14:paraId="4F933B21" w14:textId="77777777" w:rsidTr="002802C4">
        <w:trPr>
          <w:trHeight w:val="414"/>
          <w:jc w:val="center"/>
        </w:trPr>
        <w:tc>
          <w:tcPr>
            <w:tcW w:w="2908" w:type="dxa"/>
            <w:tcBorders>
              <w:top w:val="double" w:sz="4" w:space="0" w:color="auto"/>
              <w:left w:val="double" w:sz="4" w:space="0" w:color="auto"/>
              <w:bottom w:val="double" w:sz="4" w:space="0" w:color="auto"/>
              <w:right w:val="double" w:sz="4" w:space="0" w:color="auto"/>
            </w:tcBorders>
            <w:shd w:val="clear" w:color="auto" w:fill="auto"/>
            <w:vAlign w:val="center"/>
          </w:tcPr>
          <w:p w14:paraId="2C664241" w14:textId="77777777" w:rsidR="00C3264D" w:rsidRDefault="003A348D">
            <w:pPr>
              <w:spacing w:after="0"/>
              <w:jc w:val="center"/>
              <w:rPr>
                <w:rFonts w:ascii="Times New Roman" w:eastAsia="Times New Roman" w:hAnsi="Times New Roman"/>
                <w:sz w:val="20"/>
                <w:szCs w:val="20"/>
              </w:rPr>
            </w:pPr>
            <w:r>
              <w:rPr>
                <w:rFonts w:ascii="Times New Roman" w:hAnsi="Times New Roman"/>
                <w:sz w:val="20"/>
                <w:szCs w:val="20"/>
              </w:rPr>
              <w:t xml:space="preserve">2017 г.  </w:t>
            </w:r>
          </w:p>
        </w:tc>
        <w:tc>
          <w:tcPr>
            <w:tcW w:w="3051" w:type="dxa"/>
            <w:tcBorders>
              <w:top w:val="double" w:sz="4" w:space="0" w:color="auto"/>
              <w:left w:val="double" w:sz="4" w:space="0" w:color="auto"/>
              <w:bottom w:val="double" w:sz="4" w:space="0" w:color="auto"/>
              <w:right w:val="double" w:sz="4" w:space="0" w:color="auto"/>
            </w:tcBorders>
            <w:shd w:val="clear" w:color="auto" w:fill="auto"/>
            <w:vAlign w:val="center"/>
          </w:tcPr>
          <w:p w14:paraId="6A087CC5" w14:textId="77777777" w:rsidR="00C3264D" w:rsidRDefault="003A348D">
            <w:pPr>
              <w:spacing w:after="0"/>
              <w:jc w:val="center"/>
              <w:rPr>
                <w:rFonts w:ascii="Times New Roman" w:eastAsia="Times New Roman" w:hAnsi="Times New Roman"/>
                <w:sz w:val="20"/>
                <w:szCs w:val="20"/>
              </w:rPr>
            </w:pPr>
            <w:r>
              <w:rPr>
                <w:rFonts w:ascii="Times New Roman" w:hAnsi="Times New Roman"/>
                <w:sz w:val="20"/>
                <w:szCs w:val="20"/>
              </w:rPr>
              <w:t>951 195 500</w:t>
            </w:r>
          </w:p>
        </w:tc>
        <w:tc>
          <w:tcPr>
            <w:tcW w:w="2989" w:type="dxa"/>
            <w:tcBorders>
              <w:top w:val="double" w:sz="4" w:space="0" w:color="auto"/>
              <w:left w:val="double" w:sz="4" w:space="0" w:color="auto"/>
              <w:bottom w:val="double" w:sz="4" w:space="0" w:color="auto"/>
              <w:right w:val="double" w:sz="4" w:space="0" w:color="auto"/>
            </w:tcBorders>
            <w:shd w:val="clear" w:color="auto" w:fill="auto"/>
            <w:vAlign w:val="center"/>
          </w:tcPr>
          <w:p w14:paraId="62A78481" w14:textId="77777777" w:rsidR="00C3264D" w:rsidRDefault="003A348D">
            <w:pPr>
              <w:spacing w:after="0"/>
              <w:jc w:val="center"/>
              <w:rPr>
                <w:rFonts w:ascii="Times New Roman" w:hAnsi="Times New Roman"/>
                <w:bCs/>
                <w:color w:val="000000"/>
                <w:sz w:val="20"/>
                <w:szCs w:val="20"/>
              </w:rPr>
            </w:pPr>
            <w:r>
              <w:rPr>
                <w:rFonts w:ascii="Times New Roman" w:hAnsi="Times New Roman"/>
                <w:bCs/>
                <w:sz w:val="20"/>
                <w:szCs w:val="20"/>
              </w:rPr>
              <w:t>4 730 500</w:t>
            </w:r>
          </w:p>
        </w:tc>
      </w:tr>
      <w:tr w:rsidR="00C3264D" w14:paraId="4BBC51F1" w14:textId="77777777" w:rsidTr="002802C4">
        <w:trPr>
          <w:trHeight w:val="414"/>
          <w:jc w:val="center"/>
        </w:trPr>
        <w:tc>
          <w:tcPr>
            <w:tcW w:w="2908" w:type="dxa"/>
            <w:tcBorders>
              <w:top w:val="double" w:sz="4" w:space="0" w:color="auto"/>
              <w:left w:val="double" w:sz="4" w:space="0" w:color="auto"/>
              <w:bottom w:val="double" w:sz="4" w:space="0" w:color="auto"/>
              <w:right w:val="double" w:sz="4" w:space="0" w:color="auto"/>
            </w:tcBorders>
            <w:shd w:val="clear" w:color="auto" w:fill="auto"/>
            <w:vAlign w:val="center"/>
          </w:tcPr>
          <w:p w14:paraId="5E503AE7" w14:textId="77777777" w:rsidR="00C3264D" w:rsidRDefault="003A348D">
            <w:pPr>
              <w:spacing w:after="0"/>
              <w:jc w:val="center"/>
              <w:rPr>
                <w:rFonts w:ascii="Times New Roman" w:eastAsia="Times New Roman" w:hAnsi="Times New Roman"/>
                <w:sz w:val="20"/>
                <w:szCs w:val="20"/>
              </w:rPr>
            </w:pPr>
            <w:r>
              <w:rPr>
                <w:rFonts w:ascii="Times New Roman" w:hAnsi="Times New Roman"/>
                <w:sz w:val="20"/>
                <w:szCs w:val="20"/>
              </w:rPr>
              <w:t xml:space="preserve">2018 г. </w:t>
            </w:r>
          </w:p>
        </w:tc>
        <w:tc>
          <w:tcPr>
            <w:tcW w:w="3051" w:type="dxa"/>
            <w:tcBorders>
              <w:top w:val="double" w:sz="4" w:space="0" w:color="auto"/>
              <w:left w:val="double" w:sz="4" w:space="0" w:color="auto"/>
              <w:bottom w:val="double" w:sz="4" w:space="0" w:color="auto"/>
              <w:right w:val="double" w:sz="4" w:space="0" w:color="auto"/>
            </w:tcBorders>
            <w:shd w:val="clear" w:color="auto" w:fill="auto"/>
            <w:vAlign w:val="center"/>
          </w:tcPr>
          <w:p w14:paraId="46F0888F" w14:textId="77777777" w:rsidR="00C3264D" w:rsidRDefault="00D20456">
            <w:pPr>
              <w:spacing w:after="0"/>
              <w:jc w:val="center"/>
              <w:rPr>
                <w:rFonts w:ascii="Times New Roman" w:eastAsia="Times New Roman" w:hAnsi="Times New Roman"/>
                <w:sz w:val="20"/>
                <w:szCs w:val="20"/>
              </w:rPr>
            </w:pPr>
            <w:r>
              <w:rPr>
                <w:rFonts w:ascii="Times New Roman" w:hAnsi="Times New Roman"/>
                <w:sz w:val="20"/>
                <w:szCs w:val="20"/>
              </w:rPr>
              <w:t>915 750 000</w:t>
            </w:r>
          </w:p>
        </w:tc>
        <w:tc>
          <w:tcPr>
            <w:tcW w:w="2989" w:type="dxa"/>
            <w:tcBorders>
              <w:top w:val="double" w:sz="4" w:space="0" w:color="auto"/>
              <w:left w:val="double" w:sz="4" w:space="0" w:color="auto"/>
              <w:bottom w:val="double" w:sz="4" w:space="0" w:color="auto"/>
              <w:right w:val="double" w:sz="4" w:space="0" w:color="auto"/>
            </w:tcBorders>
            <w:shd w:val="clear" w:color="auto" w:fill="auto"/>
            <w:vAlign w:val="center"/>
          </w:tcPr>
          <w:p w14:paraId="14B3AB38" w14:textId="77777777" w:rsidR="00C3264D" w:rsidRDefault="00D20456">
            <w:pPr>
              <w:spacing w:after="0"/>
              <w:jc w:val="center"/>
              <w:rPr>
                <w:rFonts w:ascii="Times New Roman" w:hAnsi="Times New Roman"/>
                <w:bCs/>
                <w:color w:val="000000"/>
                <w:sz w:val="20"/>
                <w:szCs w:val="20"/>
              </w:rPr>
            </w:pPr>
            <w:r>
              <w:rPr>
                <w:rFonts w:ascii="Times New Roman" w:hAnsi="Times New Roman"/>
                <w:sz w:val="20"/>
                <w:szCs w:val="20"/>
              </w:rPr>
              <w:t>5 601 500</w:t>
            </w:r>
          </w:p>
        </w:tc>
      </w:tr>
      <w:tr w:rsidR="00C3264D" w14:paraId="01BC19B9" w14:textId="77777777" w:rsidTr="002802C4">
        <w:trPr>
          <w:trHeight w:val="414"/>
          <w:jc w:val="center"/>
        </w:trPr>
        <w:tc>
          <w:tcPr>
            <w:tcW w:w="2908" w:type="dxa"/>
            <w:tcBorders>
              <w:top w:val="double" w:sz="4" w:space="0" w:color="auto"/>
              <w:left w:val="double" w:sz="4" w:space="0" w:color="auto"/>
              <w:bottom w:val="double" w:sz="4" w:space="0" w:color="auto"/>
              <w:right w:val="double" w:sz="4" w:space="0" w:color="auto"/>
            </w:tcBorders>
            <w:shd w:val="clear" w:color="auto" w:fill="auto"/>
            <w:vAlign w:val="center"/>
          </w:tcPr>
          <w:p w14:paraId="12A07926" w14:textId="77777777" w:rsidR="00C3264D" w:rsidRDefault="00DA23BD">
            <w:pPr>
              <w:spacing w:after="0"/>
              <w:jc w:val="center"/>
              <w:rPr>
                <w:rFonts w:ascii="Times New Roman" w:eastAsia="Times New Roman" w:hAnsi="Times New Roman"/>
                <w:sz w:val="20"/>
                <w:szCs w:val="20"/>
              </w:rPr>
            </w:pPr>
            <w:r>
              <w:rPr>
                <w:rFonts w:ascii="Times New Roman" w:hAnsi="Times New Roman"/>
                <w:sz w:val="20"/>
                <w:szCs w:val="20"/>
              </w:rPr>
              <w:t>2019 г. (до 30 юни 2019 г.)</w:t>
            </w:r>
            <w:r>
              <w:rPr>
                <w:rStyle w:val="FootnoteReference"/>
                <w:rFonts w:ascii="Times New Roman" w:eastAsia="Times New Roman" w:hAnsi="Times New Roman"/>
                <w:sz w:val="20"/>
                <w:szCs w:val="20"/>
              </w:rPr>
              <w:footnoteReference w:id="39"/>
            </w:r>
          </w:p>
        </w:tc>
        <w:tc>
          <w:tcPr>
            <w:tcW w:w="3051" w:type="dxa"/>
            <w:tcBorders>
              <w:top w:val="double" w:sz="4" w:space="0" w:color="auto"/>
              <w:left w:val="double" w:sz="4" w:space="0" w:color="auto"/>
              <w:bottom w:val="double" w:sz="4" w:space="0" w:color="auto"/>
              <w:right w:val="double" w:sz="4" w:space="0" w:color="auto"/>
            </w:tcBorders>
            <w:shd w:val="clear" w:color="auto" w:fill="auto"/>
            <w:vAlign w:val="center"/>
          </w:tcPr>
          <w:p w14:paraId="31545E2E" w14:textId="77777777" w:rsidR="00C3264D" w:rsidRDefault="00DA23BD">
            <w:pPr>
              <w:spacing w:after="0"/>
              <w:jc w:val="center"/>
              <w:rPr>
                <w:rFonts w:ascii="Times New Roman" w:eastAsia="Times New Roman" w:hAnsi="Times New Roman"/>
                <w:sz w:val="20"/>
                <w:szCs w:val="20"/>
              </w:rPr>
            </w:pPr>
            <w:r>
              <w:rPr>
                <w:rFonts w:ascii="Times New Roman" w:hAnsi="Times New Roman"/>
                <w:sz w:val="20"/>
                <w:szCs w:val="20"/>
              </w:rPr>
              <w:t>292 975 500</w:t>
            </w:r>
          </w:p>
        </w:tc>
        <w:tc>
          <w:tcPr>
            <w:tcW w:w="2989" w:type="dxa"/>
            <w:tcBorders>
              <w:top w:val="double" w:sz="4" w:space="0" w:color="auto"/>
              <w:left w:val="double" w:sz="4" w:space="0" w:color="auto"/>
              <w:bottom w:val="double" w:sz="4" w:space="0" w:color="auto"/>
              <w:right w:val="double" w:sz="4" w:space="0" w:color="auto"/>
            </w:tcBorders>
            <w:shd w:val="clear" w:color="auto" w:fill="auto"/>
            <w:vAlign w:val="center"/>
          </w:tcPr>
          <w:p w14:paraId="0CADC71B" w14:textId="77777777" w:rsidR="00C3264D" w:rsidRDefault="00DA23BD">
            <w:pPr>
              <w:spacing w:after="0"/>
              <w:jc w:val="center"/>
              <w:rPr>
                <w:rFonts w:ascii="Times New Roman" w:eastAsia="Times New Roman" w:hAnsi="Times New Roman"/>
                <w:sz w:val="20"/>
                <w:szCs w:val="20"/>
              </w:rPr>
            </w:pPr>
            <w:r>
              <w:rPr>
                <w:rFonts w:ascii="Times New Roman" w:hAnsi="Times New Roman"/>
                <w:sz w:val="20"/>
                <w:szCs w:val="20"/>
              </w:rPr>
              <w:t>2 032 500</w:t>
            </w:r>
          </w:p>
        </w:tc>
      </w:tr>
    </w:tbl>
    <w:p w14:paraId="2833898D" w14:textId="77777777" w:rsidR="00C3264D" w:rsidRDefault="00BE16E5">
      <w:pPr>
        <w:spacing w:after="120" w:line="240" w:lineRule="auto"/>
        <w:ind w:right="57"/>
        <w:jc w:val="both"/>
        <w:rPr>
          <w:rFonts w:ascii="Times New Roman" w:eastAsia="Times New Roman" w:hAnsi="Times New Roman"/>
          <w:sz w:val="18"/>
          <w:szCs w:val="18"/>
        </w:rPr>
      </w:pPr>
      <w:r>
        <w:rPr>
          <w:rFonts w:ascii="Times New Roman" w:hAnsi="Times New Roman"/>
          <w:sz w:val="18"/>
          <w:szCs w:val="18"/>
        </w:rPr>
        <w:t>Източник: ЕЕХ</w:t>
      </w:r>
    </w:p>
    <w:p w14:paraId="5C30BAAB" w14:textId="77777777" w:rsidR="00C3264D" w:rsidRPr="00692F99" w:rsidRDefault="00C505AB">
      <w:pPr>
        <w:jc w:val="both"/>
        <w:rPr>
          <w:rFonts w:ascii="Times New Roman" w:hAnsi="Times New Roman"/>
          <w:sz w:val="24"/>
          <w:szCs w:val="24"/>
        </w:rPr>
      </w:pPr>
      <w:r w:rsidRPr="00692F99">
        <w:rPr>
          <w:rFonts w:ascii="Times New Roman" w:hAnsi="Times New Roman"/>
          <w:sz w:val="24"/>
          <w:szCs w:val="24"/>
        </w:rPr>
        <w:t xml:space="preserve">Цифрите за 2019 г. отразяват ефекта от влизането в сила на резерва за стабилност на пазара през януари 2019 г., в резултат на което тръжното предлагане на квоти значително намаля през 2019 г. (вж. глава 3.3). Търговете обикновено са протичали гладко и тръжните клирингови цени са били общо взето близки до цените на вторичния пазар. </w:t>
      </w:r>
    </w:p>
    <w:p w14:paraId="547617CC" w14:textId="1CDFE480" w:rsidR="00C3264D" w:rsidRPr="00692F99" w:rsidRDefault="003A348D">
      <w:pPr>
        <w:jc w:val="both"/>
        <w:rPr>
          <w:rFonts w:ascii="Times New Roman" w:hAnsi="Times New Roman"/>
          <w:sz w:val="24"/>
          <w:szCs w:val="24"/>
        </w:rPr>
      </w:pPr>
      <w:r w:rsidRPr="00692F99">
        <w:rPr>
          <w:rFonts w:ascii="Times New Roman" w:hAnsi="Times New Roman"/>
          <w:sz w:val="24"/>
          <w:szCs w:val="24"/>
        </w:rPr>
        <w:t xml:space="preserve">Между януари 2018 г. и юни 2019 г. бяха отменени пет търга поради това, че не бе достигната цената, предлагана от резерва, или това, че общият предлаган обем оставаше под обема, обявен за продажба. Заедно с тях, от над 1480 търга, проведени от края на 2012 г. насетне, са били отменени общо </w:t>
      </w:r>
      <w:r w:rsidR="0047312E">
        <w:rPr>
          <w:rFonts w:ascii="Times New Roman" w:hAnsi="Times New Roman"/>
          <w:sz w:val="24"/>
          <w:szCs w:val="24"/>
        </w:rPr>
        <w:t>три</w:t>
      </w:r>
      <w:r w:rsidRPr="00692F99">
        <w:rPr>
          <w:rFonts w:ascii="Times New Roman" w:hAnsi="Times New Roman"/>
          <w:sz w:val="24"/>
          <w:szCs w:val="24"/>
        </w:rPr>
        <w:t>надесет търга. Преглед на тръжните клирингови цени за периода от 2013 г. до 30 юни 2019 г. е представен на фигура 1.</w:t>
      </w:r>
    </w:p>
    <w:p w14:paraId="517BD99B" w14:textId="77777777" w:rsidR="00C3264D" w:rsidRDefault="00C3264D">
      <w:pPr>
        <w:rPr>
          <w:rFonts w:ascii="Times New Roman" w:hAnsi="Times New Roman"/>
          <w:b/>
          <w:sz w:val="20"/>
          <w:szCs w:val="20"/>
        </w:rPr>
      </w:pPr>
    </w:p>
    <w:p w14:paraId="1757E9C0" w14:textId="77777777" w:rsidR="00C3264D" w:rsidRDefault="001D5A68">
      <w:pPr>
        <w:rPr>
          <w:rFonts w:ascii="Times New Roman" w:hAnsi="Times New Roman"/>
          <w:b/>
          <w:sz w:val="20"/>
          <w:szCs w:val="20"/>
        </w:rPr>
      </w:pPr>
      <w:r>
        <w:rPr>
          <w:rFonts w:ascii="Times New Roman" w:hAnsi="Times New Roman"/>
          <w:b/>
          <w:sz w:val="20"/>
          <w:szCs w:val="20"/>
        </w:rPr>
        <w:t>Фигура 1: Клирингови цени на общите квоти, продавани на търг от 2013 г. до 30 юни 2019 г.</w:t>
      </w:r>
    </w:p>
    <w:p w14:paraId="22AF2772" w14:textId="77777777" w:rsidR="00C3264D" w:rsidRDefault="001D5A68">
      <w:pPr>
        <w:spacing w:after="0"/>
        <w:jc w:val="both"/>
        <w:rPr>
          <w:rFonts w:ascii="Times New Roman" w:hAnsi="Times New Roman"/>
          <w:sz w:val="24"/>
          <w:szCs w:val="24"/>
        </w:rPr>
      </w:pPr>
      <w:r>
        <w:rPr>
          <w:rFonts w:ascii="Times New Roman" w:hAnsi="Times New Roman"/>
          <w:noProof/>
          <w:lang w:val="en-GB" w:eastAsia="en-GB"/>
        </w:rPr>
        <w:drawing>
          <wp:inline distT="0" distB="0" distL="0" distR="0" wp14:anchorId="773DF38F" wp14:editId="1EB5A592">
            <wp:extent cx="5575300" cy="2790731"/>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98291" cy="2802239"/>
                    </a:xfrm>
                    <a:prstGeom prst="rect">
                      <a:avLst/>
                    </a:prstGeom>
                    <a:noFill/>
                  </pic:spPr>
                </pic:pic>
              </a:graphicData>
            </a:graphic>
          </wp:inline>
        </w:drawing>
      </w:r>
    </w:p>
    <w:p w14:paraId="3488F8D6" w14:textId="77777777" w:rsidR="00C3264D" w:rsidRDefault="00626D3C">
      <w:pPr>
        <w:spacing w:after="0"/>
        <w:jc w:val="both"/>
        <w:rPr>
          <w:rFonts w:ascii="Times New Roman" w:hAnsi="Times New Roman"/>
          <w:sz w:val="18"/>
          <w:szCs w:val="18"/>
        </w:rPr>
      </w:pPr>
      <w:r>
        <w:rPr>
          <w:rFonts w:ascii="Times New Roman" w:hAnsi="Times New Roman"/>
          <w:sz w:val="18"/>
          <w:szCs w:val="18"/>
        </w:rPr>
        <w:t>Източник: ЕЕХ</w:t>
      </w:r>
    </w:p>
    <w:p w14:paraId="05BEFAF8" w14:textId="77777777" w:rsidR="00C3264D" w:rsidRDefault="001D5A68">
      <w:pPr>
        <w:rPr>
          <w:rFonts w:ascii="Times New Roman" w:hAnsi="Times New Roman"/>
          <w:sz w:val="20"/>
          <w:szCs w:val="20"/>
        </w:rPr>
      </w:pPr>
      <w:r>
        <w:rPr>
          <w:rFonts w:ascii="Times New Roman" w:hAnsi="Times New Roman"/>
          <w:b/>
          <w:color w:val="00B050"/>
          <w:sz w:val="20"/>
          <w:szCs w:val="20"/>
        </w:rPr>
        <w:t>___</w:t>
      </w:r>
      <w:r>
        <w:rPr>
          <w:rFonts w:ascii="Times New Roman" w:hAnsi="Times New Roman"/>
          <w:sz w:val="20"/>
          <w:szCs w:val="20"/>
        </w:rPr>
        <w:t xml:space="preserve"> Тръжна клирингова цена</w:t>
      </w:r>
    </w:p>
    <w:p w14:paraId="0AAEABAD" w14:textId="77777777" w:rsidR="00C3264D" w:rsidRPr="00692F99" w:rsidRDefault="001D5A68">
      <w:pPr>
        <w:jc w:val="both"/>
        <w:rPr>
          <w:rFonts w:ascii="Times New Roman" w:hAnsi="Times New Roman"/>
          <w:sz w:val="24"/>
          <w:szCs w:val="24"/>
        </w:rPr>
      </w:pPr>
      <w:r w:rsidRPr="00692F99">
        <w:rPr>
          <w:rFonts w:ascii="Times New Roman" w:hAnsi="Times New Roman"/>
          <w:sz w:val="24"/>
          <w:szCs w:val="24"/>
        </w:rPr>
        <w:t>Броят на участниците в търговете на общи квоти за периода от 2013 г. до 30 юни 2019 г. е представен в допълнение 2. Тръжните платформи публикуват своевременно подробни резултати от всеки търг в специално предназначени за целта уебсайтове. Допълнителна информация за изпълнението на търговете, включително относно участието, коефициентите на покритие и цените, може да бъде намерена в докладите на държавите членки, публикувани на уебсайта на Комисията</w:t>
      </w:r>
      <w:r w:rsidRPr="00692F99">
        <w:rPr>
          <w:rFonts w:ascii="Times New Roman" w:hAnsi="Times New Roman"/>
          <w:sz w:val="24"/>
          <w:szCs w:val="24"/>
          <w:vertAlign w:val="superscript"/>
        </w:rPr>
        <w:footnoteReference w:id="40"/>
      </w:r>
      <w:r w:rsidRPr="00692F99">
        <w:rPr>
          <w:rFonts w:ascii="Times New Roman" w:hAnsi="Times New Roman"/>
          <w:sz w:val="24"/>
          <w:szCs w:val="24"/>
        </w:rPr>
        <w:t>.</w:t>
      </w:r>
    </w:p>
    <w:p w14:paraId="69FCCC6F" w14:textId="77777777" w:rsidR="00C3264D" w:rsidRPr="00692F99" w:rsidRDefault="00952A42">
      <w:pPr>
        <w:jc w:val="both"/>
        <w:rPr>
          <w:rFonts w:ascii="Times New Roman" w:hAnsi="Times New Roman"/>
          <w:sz w:val="24"/>
          <w:szCs w:val="24"/>
        </w:rPr>
      </w:pPr>
      <w:r w:rsidRPr="00692F99">
        <w:rPr>
          <w:rFonts w:ascii="Times New Roman" w:hAnsi="Times New Roman"/>
          <w:sz w:val="24"/>
          <w:szCs w:val="24"/>
        </w:rPr>
        <w:t>Общите приходи, генерирани от държавите членки от търговете, проведени от 2012 г. до 30 юни 2019 г., надхвърлиха 42 милиарда евро (вж. таблица 2.1 в допълнение 2). Само през 2018 г. получените общи приходи достигнаха 14 милиарда евро. В Директивата за СТЕ на ЕС е посочено, че поне 50 % от приходите от тръжните продажби на квоти за емисии, включително всички приходи, генерирани от разпределянето на квоти за целите на солидарността и растежа, следва да бъдат използвани от държавите членки за цели, свързани с климата и енергетиката. Според информацията, предоставена на Комисията от държавите членки, последните са изразходвали или са планирали да изразходват през 2018 г. близо 70 % от тези приходи за определени цели, свързани с климата и енергетиката. През периода 2013—2018 г. около 80 % от приходите от тръжни продажби бяха изразходвани за такива цели.</w:t>
      </w:r>
    </w:p>
    <w:p w14:paraId="223BAE32" w14:textId="77777777" w:rsidR="00C3264D" w:rsidRDefault="00A52F4C">
      <w:pPr>
        <w:pStyle w:val="Heading4"/>
        <w:spacing w:before="0" w:after="200"/>
        <w:ind w:left="1080"/>
      </w:pPr>
      <w:bookmarkStart w:id="15" w:name="_Toc28015586"/>
      <w:r>
        <w:t>3.1.2.5. Дерогация от задължението за тръжна продажба на всички квоти за сектора за производство на електрическа и топлинна енергия</w:t>
      </w:r>
      <w:bookmarkEnd w:id="15"/>
    </w:p>
    <w:p w14:paraId="66966EE8" w14:textId="77777777" w:rsidR="00C3264D" w:rsidRDefault="003A348D">
      <w:pPr>
        <w:jc w:val="both"/>
      </w:pPr>
      <w:r>
        <w:rPr>
          <w:rFonts w:ascii="Times New Roman" w:hAnsi="Times New Roman"/>
          <w:noProof/>
          <w:lang w:val="en-GB" w:eastAsia="en-GB"/>
        </w:rPr>
        <mc:AlternateContent>
          <mc:Choice Requires="wps">
            <w:drawing>
              <wp:inline distT="0" distB="0" distL="0" distR="0" wp14:anchorId="399D85D1" wp14:editId="64D6FB38">
                <wp:extent cx="5720487" cy="7486650"/>
                <wp:effectExtent l="0" t="0" r="13970" b="19050"/>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487" cy="7486650"/>
                        </a:xfrm>
                        <a:prstGeom prst="rect">
                          <a:avLst/>
                        </a:prstGeom>
                        <a:solidFill>
                          <a:sysClr val="window" lastClr="FFFFFF">
                            <a:lumMod val="85000"/>
                          </a:sysClr>
                        </a:solidFill>
                        <a:ln w="12700">
                          <a:solidFill>
                            <a:srgbClr val="000000">
                              <a:alpha val="70000"/>
                            </a:srgbClr>
                          </a:solidFill>
                          <a:miter lim="800000"/>
                          <a:headEnd/>
                          <a:tailEnd/>
                        </a:ln>
                      </wps:spPr>
                      <wps:txbx>
                        <w:txbxContent>
                          <w:p w14:paraId="4C24446F" w14:textId="77777777" w:rsidR="00692F99" w:rsidRPr="004F62FA" w:rsidRDefault="00692F99">
                            <w:pPr>
                              <w:pStyle w:val="FootnoteText"/>
                              <w:spacing w:after="200" w:line="276" w:lineRule="auto"/>
                              <w:jc w:val="both"/>
                              <w:rPr>
                                <w:sz w:val="24"/>
                                <w:szCs w:val="24"/>
                              </w:rPr>
                            </w:pPr>
                            <w:r w:rsidRPr="004F62FA">
                              <w:rPr>
                                <w:sz w:val="24"/>
                                <w:szCs w:val="24"/>
                              </w:rPr>
                              <w:t xml:space="preserve">В член 10в от Директивата за СТЕ на ЕС е предвидена дерогация от общото правило за тръжна продажба, за да се подкрепят инвестициите в модернизацията на електроенергийния сектор в някои държави членки на ЕС с нисък доход. През фаза 3 тази дерогация се използва от осем от десетте държави членки*, отговарящи на съответните условия, като те предоставят известен брой безплатни квоти на производители на електроенергия в замяна на осъществяването на съответни инвестиции. </w:t>
                            </w:r>
                          </w:p>
                          <w:p w14:paraId="26623B68" w14:textId="6FD7686E" w:rsidR="00692F99" w:rsidRPr="004F62FA" w:rsidRDefault="00692F99">
                            <w:pPr>
                              <w:pStyle w:val="FootnoteText"/>
                              <w:spacing w:after="200" w:line="276" w:lineRule="auto"/>
                              <w:jc w:val="both"/>
                              <w:rPr>
                                <w:sz w:val="24"/>
                                <w:szCs w:val="24"/>
                              </w:rPr>
                            </w:pPr>
                            <w:r w:rsidRPr="004F62FA">
                              <w:rPr>
                                <w:sz w:val="24"/>
                                <w:szCs w:val="24"/>
                              </w:rPr>
                              <w:t>Безплатните квоти по член 10в се изваждат от количеството квоти, които съответната държава членка би предоставила иначе чрез тръжна продажба. В зависимост от националните разпоредби за прилагане на дерогацията, производителите на електроенергия могат да получават безплатни квоти на еквивалентна стойност на инвестициите, които правят от своите национални инвестиционни планове, или на еквивалентна стойност на плащанията им в национален фонд, служещ за финансиране на такива инвестиции. Тъй като безплатното разпределяне на квоти на производителите на електроенергия съгласно член 10в от Директивата за СТЕ по принцип би включвало държавна помощ, националните схеми за прилагане на дерогацията по член 10в са били разрешени съгласно правилата за държавна помощ и са предмет на изискванията на Насоките за държавни помощи.**</w:t>
                            </w:r>
                          </w:p>
                          <w:p w14:paraId="218DB988" w14:textId="1F2BD2AE" w:rsidR="00692F99" w:rsidRPr="004F62FA" w:rsidRDefault="00692F99">
                            <w:pPr>
                              <w:pStyle w:val="FootnoteText"/>
                              <w:spacing w:after="120" w:line="276" w:lineRule="auto"/>
                              <w:jc w:val="both"/>
                              <w:rPr>
                                <w:sz w:val="24"/>
                                <w:szCs w:val="24"/>
                              </w:rPr>
                            </w:pPr>
                            <w:r w:rsidRPr="004F62FA">
                              <w:rPr>
                                <w:sz w:val="24"/>
                                <w:szCs w:val="24"/>
                              </w:rPr>
                              <w:t>Преходното безплатно разпределяне на квоти съгласно член 10в ще продължи да бъде на разположение и през фаза 4, но с по-строги разпоредби за прозрачност и възможност за отговарящите на условията държави членки да използват всички или част от своите квоти по член 10в за подпомагане на инвестициите в рамките на Фонда за модернизация. Въз основа на информацията, подадена на Комисията от държавите членки, през следващия период на търгуване прибягването до на дерогацията по член 10в ще бъде твърде ограничено. Седем от десетте държави членки, отговарящи на условията за ползване на дерогацията, в това число Полша и Чешката република, които са се ползвали в най-голяма степен от преходното безплатно разпределение на квоти през фаза 3, взеха решение да не използват повече тази дерогация.</w:t>
                            </w:r>
                          </w:p>
                          <w:p w14:paraId="55136B73" w14:textId="77777777" w:rsidR="00692F99" w:rsidRPr="004F62FA" w:rsidRDefault="00692F99">
                            <w:pPr>
                              <w:spacing w:after="120"/>
                              <w:jc w:val="both"/>
                              <w:rPr>
                                <w:rFonts w:ascii="Times New Roman" w:hAnsi="Times New Roman"/>
                                <w:sz w:val="18"/>
                                <w:szCs w:val="18"/>
                              </w:rPr>
                            </w:pPr>
                            <w:r w:rsidRPr="004F62FA">
                              <w:rPr>
                                <w:rFonts w:ascii="Times New Roman" w:hAnsi="Times New Roman"/>
                                <w:sz w:val="18"/>
                                <w:szCs w:val="18"/>
                              </w:rPr>
                              <w:t>*На условията за ползване на дерогацията отговарят България, Естония, Кипър, Латвия, Литва, Малта, Полша, Румъния, Унгария и Чешката република. Латвия и Малта са взели решение да не ползват тази дерогация по време на фаза 3.</w:t>
                            </w:r>
                          </w:p>
                          <w:p w14:paraId="650DFAD5" w14:textId="43F69296" w:rsidR="00692F99" w:rsidRPr="004F62FA" w:rsidRDefault="00692F99">
                            <w:pPr>
                              <w:spacing w:after="120"/>
                              <w:jc w:val="both"/>
                              <w:rPr>
                                <w:rFonts w:ascii="Times New Roman" w:hAnsi="Times New Roman"/>
                                <w:sz w:val="18"/>
                                <w:szCs w:val="18"/>
                              </w:rPr>
                            </w:pPr>
                            <w:r w:rsidRPr="004F62FA">
                              <w:rPr>
                                <w:rFonts w:ascii="Times New Roman" w:hAnsi="Times New Roman"/>
                                <w:sz w:val="18"/>
                                <w:szCs w:val="18"/>
                              </w:rPr>
                              <w:t>** Насоки относно определени мерки за държавна помощ в контекста на схемата за търговия с квоти за емисии на парников газ след 2012 година, ОВ C 158, 5.6.2012 г., стр. 4.</w:t>
                            </w:r>
                          </w:p>
                        </w:txbxContent>
                      </wps:txbx>
                      <wps:bodyPr rot="0" vert="horz" wrap="square" lIns="91440" tIns="45720" rIns="91440" bIns="45720" anchor="t" anchorCtr="0">
                        <a:noAutofit/>
                      </wps:bodyPr>
                    </wps:wsp>
                  </a:graphicData>
                </a:graphic>
              </wp:inline>
            </w:drawing>
          </mc:Choice>
          <mc:Fallback>
            <w:pict>
              <v:shape w14:anchorId="399D85D1" id="_x0000_s1034" type="#_x0000_t202" style="width:450.45pt;height:5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" fillcolor="#d9d9d9" strokeweight="1pt">
                <v:stroke opacity="46003f"/>
                <v:textbox>
                  <w:txbxContent>
                    <w:p w14:paraId="4C24446F" w14:textId="77777777" w:rsidR="00692F99" w:rsidRPr="004F62FA" w:rsidRDefault="00692F99">
                      <w:pPr>
                        <w:pStyle w:val="FootnoteText"/>
                        <w:spacing w:after="200" w:line="276" w:lineRule="auto"/>
                        <w:jc w:val="both"/>
                        <w:rPr>
                          <w:sz w:val="24"/>
                          <w:szCs w:val="24"/>
                        </w:rPr>
                      </w:pPr>
                      <w:r w:rsidRPr="004F62FA">
                        <w:rPr>
                          <w:sz w:val="24"/>
                          <w:szCs w:val="24"/>
                        </w:rPr>
                        <w:t xml:space="preserve">В член 10в от Директивата за СТЕ на ЕС е предвидена дерогация от общото правило за тръжна продажба, за да се подкрепят инвестициите в модернизацията на електроенергийния сектор в някои държави членки на ЕС с нисък доход. През фаза 3 тази дерогация се използва от осем от десетте държави членки*, отговарящи на съответните условия, като те предоставят известен брой безплатни квоти на производители на електроенергия в замяна на осъществяването на съответни инвестиции. </w:t>
                      </w:r>
                    </w:p>
                    <w:p w14:paraId="26623B68" w14:textId="6FD7686E" w:rsidR="00692F99" w:rsidRPr="004F62FA" w:rsidRDefault="00692F99">
                      <w:pPr>
                        <w:pStyle w:val="FootnoteText"/>
                        <w:spacing w:after="200" w:line="276" w:lineRule="auto"/>
                        <w:jc w:val="both"/>
                        <w:rPr>
                          <w:sz w:val="24"/>
                          <w:szCs w:val="24"/>
                        </w:rPr>
                      </w:pPr>
                      <w:r w:rsidRPr="004F62FA">
                        <w:rPr>
                          <w:sz w:val="24"/>
                          <w:szCs w:val="24"/>
                        </w:rPr>
                        <w:t>Безплатните квоти по член 10в се изваждат от количеството квоти, които съответната държава членка би предоставила иначе чрез тръжна продажба. В зависимост от националните разпоредби за прилагане на дерогацията, производителите на електроенергия могат да получават безплатни квоти на еквивалентна стойност на инвестициите, които правят от своите национални инвестиционни планове, или на еквивалентна стойност на плащанията им в национален фонд, служещ за финансиране на такива инвестиции. Тъй като безплатното разпределяне на квоти на производителите на електроенергия съгласно член 10в от Директивата за СТЕ по принцип би включвало държавна помощ, националните схеми за прилагане на дерогацията по член 10в са били разрешени съгласно правилата за държавна помощ и са предмет на изискванията на Насоките за държавни помощи.**</w:t>
                      </w:r>
                    </w:p>
                    <w:p w14:paraId="218DB988" w14:textId="1F2BD2AE" w:rsidR="00692F99" w:rsidRPr="004F62FA" w:rsidRDefault="00692F99">
                      <w:pPr>
                        <w:pStyle w:val="FootnoteText"/>
                        <w:spacing w:after="120" w:line="276" w:lineRule="auto"/>
                        <w:jc w:val="both"/>
                        <w:rPr>
                          <w:sz w:val="24"/>
                          <w:szCs w:val="24"/>
                        </w:rPr>
                      </w:pPr>
                      <w:r w:rsidRPr="004F62FA">
                        <w:rPr>
                          <w:sz w:val="24"/>
                          <w:szCs w:val="24"/>
                        </w:rPr>
                        <w:t>Преходното безплатно разпределяне на квоти съгласно член 10в ще продължи да бъде на разположение и през фаза 4, но с по-строги разпоредби за прозрачност и възможност за отговарящите на условията държави членки да използват всички или част от своите квоти по член 10в за подпомагане на инвестициите в рамките на Фонда за модернизация. Въз основа на информацията, подадена на Комисията от държавите членки, през следващия период на търгуване прибягването до на дерогацията по член 10в ще бъде твърде ограничено. Седем от десетте държави членки, отговарящи на условията за ползване на дерогацията, в това число Полша и Чешката република, които са се ползвали в най-голяма степен от преходното безплатно разпределение на квоти през фаза 3, взеха решение да не използват повече тази дерогация.</w:t>
                      </w:r>
                    </w:p>
                    <w:p w14:paraId="55136B73" w14:textId="77777777" w:rsidR="00692F99" w:rsidRPr="004F62FA" w:rsidRDefault="00692F99">
                      <w:pPr>
                        <w:spacing w:after="120"/>
                        <w:jc w:val="both"/>
                        <w:rPr>
                          <w:rFonts w:ascii="Times New Roman" w:hAnsi="Times New Roman"/>
                          <w:sz w:val="18"/>
                          <w:szCs w:val="18"/>
                        </w:rPr>
                      </w:pPr>
                      <w:r w:rsidRPr="004F62FA">
                        <w:rPr>
                          <w:rFonts w:ascii="Times New Roman" w:hAnsi="Times New Roman"/>
                          <w:sz w:val="18"/>
                          <w:szCs w:val="18"/>
                        </w:rPr>
                        <w:t>*На условията за ползване на дерогацията отговарят България, Естония, Кипър, Латвия, Литва, Малта, Полша, Румъния, Унгария и Чешката република. Латвия и Малта са взели решение да не ползват тази дерогация по време на фаза 3.</w:t>
                      </w:r>
                    </w:p>
                    <w:p w14:paraId="650DFAD5" w14:textId="43F69296" w:rsidR="00692F99" w:rsidRPr="004F62FA" w:rsidRDefault="00692F99">
                      <w:pPr>
                        <w:spacing w:after="120"/>
                        <w:jc w:val="both"/>
                        <w:rPr>
                          <w:rFonts w:ascii="Times New Roman" w:hAnsi="Times New Roman"/>
                          <w:sz w:val="18"/>
                          <w:szCs w:val="18"/>
                        </w:rPr>
                      </w:pPr>
                      <w:r w:rsidRPr="004F62FA">
                        <w:rPr>
                          <w:rFonts w:ascii="Times New Roman" w:hAnsi="Times New Roman"/>
                          <w:sz w:val="18"/>
                          <w:szCs w:val="18"/>
                        </w:rPr>
                        <w:t>** Насоки относно определени мерки за държавна помощ в контекста на схемата за търговия с квоти за емисии на парников газ след 2012 година, ОВ C 158, 5.6.2012 г., стр. 4.</w:t>
                      </w:r>
                    </w:p>
                  </w:txbxContent>
                </v:textbox>
                <w10:anchorlock/>
              </v:shape>
            </w:pict>
          </mc:Fallback>
        </mc:AlternateContent>
      </w:r>
    </w:p>
    <w:p w14:paraId="3429A3B5" w14:textId="77777777" w:rsidR="00C3264D" w:rsidRPr="004F62FA" w:rsidRDefault="003A348D">
      <w:pPr>
        <w:spacing w:after="160" w:line="259" w:lineRule="auto"/>
        <w:contextualSpacing/>
        <w:jc w:val="both"/>
        <w:rPr>
          <w:rFonts w:ascii="Times New Roman" w:hAnsi="Times New Roman"/>
          <w:sz w:val="24"/>
          <w:szCs w:val="24"/>
        </w:rPr>
      </w:pPr>
      <w:r w:rsidRPr="004F62FA">
        <w:rPr>
          <w:rFonts w:ascii="Times New Roman" w:hAnsi="Times New Roman"/>
          <w:sz w:val="24"/>
          <w:szCs w:val="24"/>
        </w:rPr>
        <w:t xml:space="preserve">Общата стойност на отчетената за периода 2009—2018 г. инвестиционна подкрепа възлиза приблизително на 12,4 милиарда евро. Около 82 % от тази сума са били предназначени за подобряване и реконструиране на инфраструктурата, а останалите инвестиции са в чисти технологии или в диверсифициране на предлагането. </w:t>
      </w:r>
    </w:p>
    <w:p w14:paraId="3C7A2009" w14:textId="77777777" w:rsidR="00C3264D" w:rsidRPr="004F62FA" w:rsidRDefault="00C3264D">
      <w:pPr>
        <w:spacing w:after="160" w:line="259" w:lineRule="auto"/>
        <w:contextualSpacing/>
        <w:jc w:val="both"/>
        <w:rPr>
          <w:rFonts w:ascii="Times New Roman" w:hAnsi="Times New Roman"/>
          <w:sz w:val="24"/>
          <w:szCs w:val="24"/>
        </w:rPr>
      </w:pPr>
    </w:p>
    <w:p w14:paraId="342BC579" w14:textId="77777777" w:rsidR="00C3264D" w:rsidRPr="004F62FA" w:rsidRDefault="00FE4E64">
      <w:pPr>
        <w:jc w:val="both"/>
        <w:rPr>
          <w:rFonts w:ascii="Times New Roman" w:hAnsi="Times New Roman"/>
          <w:sz w:val="24"/>
          <w:szCs w:val="24"/>
        </w:rPr>
      </w:pPr>
      <w:r w:rsidRPr="004F62FA">
        <w:rPr>
          <w:rFonts w:ascii="Times New Roman" w:hAnsi="Times New Roman"/>
          <w:sz w:val="24"/>
          <w:szCs w:val="24"/>
        </w:rPr>
        <w:t>Броят на квотите, предоставени безплатно на производители на електроенергия през 2018 г., е посочен в таблица 1.1, допълнение 1 към приложението, докато максималният брой квоти по години е посочен в таблица 1.2 от допълнение 1.</w:t>
      </w:r>
    </w:p>
    <w:p w14:paraId="0E438262" w14:textId="77777777" w:rsidR="00C3264D" w:rsidRPr="004F62FA" w:rsidRDefault="003A348D">
      <w:pPr>
        <w:jc w:val="both"/>
        <w:rPr>
          <w:rFonts w:ascii="Times New Roman" w:hAnsi="Times New Roman"/>
          <w:sz w:val="24"/>
          <w:szCs w:val="24"/>
        </w:rPr>
      </w:pPr>
      <w:r w:rsidRPr="004F62FA">
        <w:rPr>
          <w:rFonts w:ascii="Times New Roman" w:hAnsi="Times New Roman"/>
          <w:sz w:val="24"/>
          <w:szCs w:val="24"/>
        </w:rPr>
        <w:t>Неразпределените квоти могат да бъдат продадени или, съгласно разпоредбите на преразгледаната Директива за СТЕ на ЕС, могат да бъдат разпределени за периода 2021—2030 г. за инвестиции, избрани чрез състезателната тръжна процедура по член 10в. На фигура 2 е показан броят на квотите, които са били разпределени през периода 2013—2018 г.</w:t>
      </w:r>
    </w:p>
    <w:p w14:paraId="4EEDB1C2" w14:textId="77777777" w:rsidR="00C3264D" w:rsidRDefault="00C3264D">
      <w:pPr>
        <w:jc w:val="both"/>
        <w:rPr>
          <w:rFonts w:ascii="Times New Roman" w:hAnsi="Times New Roman"/>
          <w:sz w:val="24"/>
          <w:szCs w:val="24"/>
        </w:rPr>
      </w:pPr>
    </w:p>
    <w:p w14:paraId="0FC9363F" w14:textId="77777777" w:rsidR="00C3264D" w:rsidRDefault="003A348D">
      <w:pPr>
        <w:jc w:val="both"/>
        <w:rPr>
          <w:rFonts w:ascii="Times New Roman" w:hAnsi="Times New Roman"/>
          <w:b/>
        </w:rPr>
      </w:pPr>
      <w:r>
        <w:rPr>
          <w:rFonts w:ascii="Times New Roman" w:hAnsi="Times New Roman"/>
          <w:b/>
        </w:rPr>
        <w:t xml:space="preserve"> Фигура 2: Квоти, разпределени безплатно съгласно член 10в</w:t>
      </w:r>
    </w:p>
    <w:p w14:paraId="3532CF67" w14:textId="77777777" w:rsidR="00C3264D" w:rsidRDefault="00F47B94">
      <w:pPr>
        <w:spacing w:after="160" w:line="259" w:lineRule="auto"/>
        <w:contextualSpacing/>
        <w:rPr>
          <w:rFonts w:ascii="Times New Roman" w:hAnsi="Times New Roman"/>
          <w:sz w:val="24"/>
          <w:szCs w:val="24"/>
        </w:rPr>
      </w:pPr>
      <w:r>
        <w:rPr>
          <w:rFonts w:ascii="Times New Roman" w:hAnsi="Times New Roman"/>
          <w:noProof/>
          <w:lang w:val="en-GB" w:eastAsia="en-GB"/>
        </w:rPr>
        <w:drawing>
          <wp:inline distT="0" distB="0" distL="0" distR="0" wp14:anchorId="48AA7D14" wp14:editId="4F8D3810">
            <wp:extent cx="5694218" cy="2910011"/>
            <wp:effectExtent l="0" t="0" r="1905"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2132" cy="2914056"/>
                    </a:xfrm>
                    <a:prstGeom prst="rect">
                      <a:avLst/>
                    </a:prstGeom>
                    <a:noFill/>
                  </pic:spPr>
                </pic:pic>
              </a:graphicData>
            </a:graphic>
          </wp:inline>
        </w:drawing>
      </w:r>
    </w:p>
    <w:p w14:paraId="794B64F3" w14:textId="77777777" w:rsidR="00C3264D" w:rsidRDefault="00A92C10">
      <w:pPr>
        <w:jc w:val="both"/>
        <w:rPr>
          <w:rFonts w:ascii="Times New Roman" w:hAnsi="Times New Roman"/>
          <w:sz w:val="18"/>
          <w:szCs w:val="18"/>
        </w:rPr>
      </w:pPr>
      <w:r>
        <w:rPr>
          <w:rFonts w:ascii="Times New Roman" w:hAnsi="Times New Roman"/>
          <w:sz w:val="18"/>
          <w:szCs w:val="18"/>
        </w:rPr>
        <w:t>Източник: ГД „Действия по климата“</w:t>
      </w:r>
    </w:p>
    <w:p w14:paraId="5C6CC9DE" w14:textId="77777777" w:rsidR="00C3264D" w:rsidRPr="004F62FA" w:rsidRDefault="00967BB6">
      <w:pPr>
        <w:jc w:val="both"/>
        <w:rPr>
          <w:rFonts w:ascii="Times New Roman" w:hAnsi="Times New Roman"/>
          <w:b/>
          <w:sz w:val="24"/>
          <w:szCs w:val="24"/>
        </w:rPr>
      </w:pPr>
      <w:r>
        <w:rPr>
          <w:rFonts w:ascii="Times New Roman" w:hAnsi="Times New Roman"/>
        </w:rPr>
        <w:t xml:space="preserve">През декември 2018 г. Полша уведоми Комисията, че възнамерява през 2019 г. да разпредели </w:t>
      </w:r>
      <w:r w:rsidRPr="004F62FA">
        <w:rPr>
          <w:rFonts w:ascii="Times New Roman" w:hAnsi="Times New Roman"/>
          <w:sz w:val="24"/>
          <w:szCs w:val="24"/>
        </w:rPr>
        <w:t xml:space="preserve">чрез тръжна продажба 55,8 милиона от своите неразпределени квоти по дерогацията съгласно член 10в. През май 2019 г. Полша допълнително уведоми Комисията за намерението си да добави 49,52 милиона неразпределени квоти по член 10в към количеството, което страната ще разпредели чрез тръжна продажба през 2020 г. </w:t>
      </w:r>
    </w:p>
    <w:p w14:paraId="548932C6" w14:textId="77777777" w:rsidR="00C3264D" w:rsidRPr="004F62FA" w:rsidRDefault="00967BB6">
      <w:pPr>
        <w:jc w:val="both"/>
        <w:rPr>
          <w:rFonts w:ascii="Times New Roman" w:hAnsi="Times New Roman"/>
          <w:b/>
          <w:sz w:val="24"/>
          <w:szCs w:val="24"/>
        </w:rPr>
      </w:pPr>
      <w:r w:rsidRPr="004F62FA">
        <w:rPr>
          <w:rFonts w:ascii="Times New Roman" w:hAnsi="Times New Roman"/>
          <w:sz w:val="24"/>
          <w:szCs w:val="24"/>
        </w:rPr>
        <w:t xml:space="preserve">На фигура 3 за квоти по член 10в е показан обемът, в който те са били разпределени, добавени  към квотите за тръжна продажба или остават неизползвани (неразпределени и все още недобавени към квотите за тръжна продажба). </w:t>
      </w:r>
    </w:p>
    <w:p w14:paraId="2E6DA9B3" w14:textId="77777777" w:rsidR="00C3264D" w:rsidRDefault="00C3264D">
      <w:pPr>
        <w:jc w:val="both"/>
        <w:rPr>
          <w:rFonts w:ascii="Times New Roman" w:hAnsi="Times New Roman"/>
          <w:b/>
        </w:rPr>
      </w:pPr>
    </w:p>
    <w:p w14:paraId="401414B7" w14:textId="77777777" w:rsidR="00C3264D" w:rsidRDefault="00C3264D">
      <w:pPr>
        <w:jc w:val="both"/>
        <w:rPr>
          <w:rFonts w:ascii="Times New Roman" w:hAnsi="Times New Roman"/>
          <w:b/>
        </w:rPr>
      </w:pPr>
    </w:p>
    <w:p w14:paraId="5D6B7E68" w14:textId="77777777" w:rsidR="00C3264D" w:rsidRDefault="00C3264D">
      <w:pPr>
        <w:jc w:val="both"/>
        <w:rPr>
          <w:rFonts w:ascii="Times New Roman" w:hAnsi="Times New Roman"/>
          <w:b/>
        </w:rPr>
      </w:pPr>
    </w:p>
    <w:p w14:paraId="7FDD3205" w14:textId="77777777" w:rsidR="00C3264D" w:rsidRDefault="00C3264D">
      <w:pPr>
        <w:jc w:val="both"/>
        <w:rPr>
          <w:rFonts w:ascii="Times New Roman" w:hAnsi="Times New Roman"/>
          <w:b/>
        </w:rPr>
      </w:pPr>
    </w:p>
    <w:p w14:paraId="63D4ECA4" w14:textId="77777777" w:rsidR="00C3264D" w:rsidRDefault="00C3264D">
      <w:pPr>
        <w:jc w:val="both"/>
        <w:rPr>
          <w:rFonts w:ascii="Times New Roman" w:hAnsi="Times New Roman"/>
          <w:b/>
        </w:rPr>
      </w:pPr>
    </w:p>
    <w:p w14:paraId="7A872F1C" w14:textId="77777777" w:rsidR="00C3264D" w:rsidRDefault="00C3264D">
      <w:pPr>
        <w:jc w:val="both"/>
        <w:rPr>
          <w:rFonts w:ascii="Times New Roman" w:hAnsi="Times New Roman"/>
          <w:b/>
        </w:rPr>
      </w:pPr>
    </w:p>
    <w:p w14:paraId="2F2735B7" w14:textId="77777777" w:rsidR="00C3264D" w:rsidRDefault="00C3264D">
      <w:pPr>
        <w:jc w:val="both"/>
        <w:rPr>
          <w:rFonts w:ascii="Times New Roman" w:hAnsi="Times New Roman"/>
          <w:b/>
        </w:rPr>
      </w:pPr>
    </w:p>
    <w:p w14:paraId="0E4480BB" w14:textId="77777777" w:rsidR="00C3264D" w:rsidRDefault="00C3264D">
      <w:pPr>
        <w:jc w:val="both"/>
        <w:rPr>
          <w:rFonts w:ascii="Times New Roman" w:hAnsi="Times New Roman"/>
          <w:b/>
        </w:rPr>
      </w:pPr>
    </w:p>
    <w:p w14:paraId="750B31D7" w14:textId="77777777" w:rsidR="00C3264D" w:rsidRDefault="00C3264D">
      <w:pPr>
        <w:jc w:val="both"/>
        <w:rPr>
          <w:rFonts w:ascii="Times New Roman" w:hAnsi="Times New Roman"/>
          <w:b/>
        </w:rPr>
      </w:pPr>
    </w:p>
    <w:p w14:paraId="4983EFE1" w14:textId="77777777" w:rsidR="00C3264D" w:rsidRDefault="00C3264D">
      <w:pPr>
        <w:jc w:val="both"/>
        <w:rPr>
          <w:rFonts w:ascii="Times New Roman" w:hAnsi="Times New Roman"/>
          <w:b/>
        </w:rPr>
      </w:pPr>
    </w:p>
    <w:p w14:paraId="65965E6E" w14:textId="77777777" w:rsidR="00C3264D" w:rsidRDefault="00C3264D">
      <w:pPr>
        <w:jc w:val="both"/>
        <w:rPr>
          <w:rFonts w:ascii="Times New Roman" w:hAnsi="Times New Roman"/>
          <w:b/>
        </w:rPr>
      </w:pPr>
    </w:p>
    <w:p w14:paraId="54B19E0B" w14:textId="77777777" w:rsidR="00C3264D" w:rsidRDefault="003A348D">
      <w:pPr>
        <w:jc w:val="both"/>
        <w:rPr>
          <w:rFonts w:ascii="Times New Roman" w:hAnsi="Times New Roman"/>
          <w:sz w:val="24"/>
          <w:szCs w:val="24"/>
        </w:rPr>
      </w:pPr>
      <w:r>
        <w:rPr>
          <w:rFonts w:ascii="Times New Roman" w:hAnsi="Times New Roman"/>
          <w:b/>
        </w:rPr>
        <w:t>Фигура 3: Разпределение на квотите (разпределени, продадени на търг, останали неизползвани)</w:t>
      </w:r>
      <w:r>
        <w:rPr>
          <w:rStyle w:val="FootnoteReference"/>
          <w:rFonts w:ascii="Times New Roman" w:hAnsi="Times New Roman"/>
          <w:b/>
        </w:rPr>
        <w:footnoteReference w:id="41"/>
      </w:r>
    </w:p>
    <w:p w14:paraId="3D08DE0B" w14:textId="77777777" w:rsidR="00C3264D" w:rsidRDefault="007D07C5">
      <w:pPr>
        <w:keepNext/>
        <w:spacing w:after="0" w:line="240" w:lineRule="auto"/>
        <w:rPr>
          <w:rFonts w:ascii="Times New Roman" w:hAnsi="Times New Roman"/>
          <w:sz w:val="24"/>
          <w:szCs w:val="24"/>
        </w:rPr>
      </w:pPr>
      <w:r>
        <w:rPr>
          <w:rFonts w:ascii="Times New Roman" w:hAnsi="Times New Roman"/>
          <w:noProof/>
          <w:lang w:val="en-GB" w:eastAsia="en-GB"/>
        </w:rPr>
        <w:drawing>
          <wp:inline distT="0" distB="0" distL="0" distR="0" wp14:anchorId="77ACA8CF" wp14:editId="35D4F5BA">
            <wp:extent cx="5583382" cy="2848221"/>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87766" cy="2850457"/>
                    </a:xfrm>
                    <a:prstGeom prst="rect">
                      <a:avLst/>
                    </a:prstGeom>
                    <a:noFill/>
                  </pic:spPr>
                </pic:pic>
              </a:graphicData>
            </a:graphic>
          </wp:inline>
        </w:drawing>
      </w:r>
    </w:p>
    <w:p w14:paraId="183B21DE" w14:textId="77777777" w:rsidR="00C3264D" w:rsidRDefault="00A92C10">
      <w:pPr>
        <w:keepNext/>
        <w:spacing w:after="0" w:line="240" w:lineRule="auto"/>
        <w:rPr>
          <w:rFonts w:ascii="Times New Roman" w:hAnsi="Times New Roman"/>
          <w:sz w:val="18"/>
          <w:szCs w:val="18"/>
        </w:rPr>
      </w:pPr>
      <w:r>
        <w:rPr>
          <w:rFonts w:ascii="Times New Roman" w:hAnsi="Times New Roman"/>
          <w:sz w:val="18"/>
          <w:szCs w:val="18"/>
        </w:rPr>
        <w:t>Източник: ГД „Действия по климата“</w:t>
      </w:r>
    </w:p>
    <w:tbl>
      <w:tblPr>
        <w:tblStyle w:val="TableGrid5"/>
        <w:tblpPr w:leftFromText="180" w:rightFromText="180" w:vertAnchor="text" w:horzAnchor="page" w:tblpX="1794" w:tblpY="142"/>
        <w:tblW w:w="1157" w:type="pct"/>
        <w:tblLook w:val="04A0" w:firstRow="1" w:lastRow="0" w:firstColumn="1" w:lastColumn="0" w:noHBand="0" w:noVBand="1"/>
      </w:tblPr>
      <w:tblGrid>
        <w:gridCol w:w="537"/>
        <w:gridCol w:w="1602"/>
      </w:tblGrid>
      <w:tr w:rsidR="00C3264D" w14:paraId="0D798E09" w14:textId="77777777" w:rsidTr="00276918">
        <w:trPr>
          <w:trHeight w:val="461"/>
        </w:trPr>
        <w:tc>
          <w:tcPr>
            <w:tcW w:w="1255" w:type="pct"/>
            <w:shd w:val="clear" w:color="auto" w:fill="4F81BD"/>
          </w:tcPr>
          <w:p w14:paraId="2F8EFB45" w14:textId="77777777" w:rsidR="00C3264D" w:rsidRDefault="00C3264D">
            <w:pPr>
              <w:rPr>
                <w:highlight w:val="yellow"/>
              </w:rPr>
            </w:pPr>
          </w:p>
        </w:tc>
        <w:tc>
          <w:tcPr>
            <w:tcW w:w="3745" w:type="pct"/>
            <w:vAlign w:val="center"/>
          </w:tcPr>
          <w:p w14:paraId="1B4A53B2" w14:textId="77777777" w:rsidR="00C3264D" w:rsidRDefault="007708E7">
            <w:pPr>
              <w:rPr>
                <w:rFonts w:ascii="Times New Roman" w:hAnsi="Times New Roman"/>
                <w:sz w:val="18"/>
                <w:szCs w:val="18"/>
              </w:rPr>
            </w:pPr>
            <w:r>
              <w:rPr>
                <w:rFonts w:ascii="Times New Roman" w:hAnsi="Times New Roman"/>
                <w:sz w:val="18"/>
                <w:szCs w:val="18"/>
              </w:rPr>
              <w:t>Разпределени квоти</w:t>
            </w:r>
          </w:p>
        </w:tc>
      </w:tr>
      <w:tr w:rsidR="00C3264D" w14:paraId="4D39D1F5" w14:textId="77777777" w:rsidTr="00276918">
        <w:trPr>
          <w:trHeight w:val="461"/>
        </w:trPr>
        <w:tc>
          <w:tcPr>
            <w:tcW w:w="1255" w:type="pct"/>
            <w:shd w:val="clear" w:color="auto" w:fill="C00000"/>
          </w:tcPr>
          <w:p w14:paraId="0B4AB5DB" w14:textId="77777777" w:rsidR="00C3264D" w:rsidRDefault="00C3264D">
            <w:pPr>
              <w:jc w:val="both"/>
              <w:rPr>
                <w:highlight w:val="yellow"/>
              </w:rPr>
            </w:pPr>
          </w:p>
        </w:tc>
        <w:tc>
          <w:tcPr>
            <w:tcW w:w="3745" w:type="pct"/>
            <w:vAlign w:val="center"/>
          </w:tcPr>
          <w:p w14:paraId="4C2F4A14" w14:textId="77777777" w:rsidR="00C3264D" w:rsidRDefault="007708E7">
            <w:pPr>
              <w:rPr>
                <w:rFonts w:ascii="Times New Roman" w:hAnsi="Times New Roman"/>
                <w:sz w:val="18"/>
                <w:szCs w:val="18"/>
              </w:rPr>
            </w:pPr>
            <w:r>
              <w:rPr>
                <w:rFonts w:ascii="Times New Roman" w:hAnsi="Times New Roman"/>
                <w:sz w:val="18"/>
                <w:szCs w:val="18"/>
              </w:rPr>
              <w:t>Продадени на търг квоти</w:t>
            </w:r>
          </w:p>
        </w:tc>
      </w:tr>
      <w:tr w:rsidR="00C3264D" w14:paraId="5BA788F8" w14:textId="77777777" w:rsidTr="00276918">
        <w:trPr>
          <w:trHeight w:val="461"/>
        </w:trPr>
        <w:tc>
          <w:tcPr>
            <w:tcW w:w="1255" w:type="pct"/>
            <w:shd w:val="clear" w:color="auto" w:fill="9BBB59"/>
          </w:tcPr>
          <w:p w14:paraId="3E388509" w14:textId="77777777" w:rsidR="00C3264D" w:rsidRDefault="00C3264D">
            <w:pPr>
              <w:rPr>
                <w:highlight w:val="yellow"/>
              </w:rPr>
            </w:pPr>
          </w:p>
        </w:tc>
        <w:tc>
          <w:tcPr>
            <w:tcW w:w="3745" w:type="pct"/>
            <w:vAlign w:val="center"/>
          </w:tcPr>
          <w:p w14:paraId="19548CBA" w14:textId="77777777" w:rsidR="00C3264D" w:rsidRDefault="007708E7">
            <w:pPr>
              <w:rPr>
                <w:rFonts w:ascii="Times New Roman" w:hAnsi="Times New Roman"/>
                <w:sz w:val="18"/>
                <w:szCs w:val="18"/>
              </w:rPr>
            </w:pPr>
            <w:r>
              <w:rPr>
                <w:rFonts w:ascii="Times New Roman" w:hAnsi="Times New Roman"/>
                <w:sz w:val="18"/>
                <w:szCs w:val="18"/>
              </w:rPr>
              <w:t>Останали неизползвани квоти</w:t>
            </w:r>
          </w:p>
        </w:tc>
      </w:tr>
    </w:tbl>
    <w:p w14:paraId="453E8449" w14:textId="77777777" w:rsidR="00C3264D" w:rsidRDefault="00C3264D">
      <w:pPr>
        <w:keepNext/>
        <w:spacing w:line="240" w:lineRule="auto"/>
        <w:jc w:val="both"/>
        <w:rPr>
          <w:rFonts w:ascii="Times New Roman" w:hAnsi="Times New Roman"/>
          <w:sz w:val="24"/>
          <w:szCs w:val="24"/>
        </w:rPr>
      </w:pPr>
    </w:p>
    <w:p w14:paraId="0A65B778" w14:textId="77777777" w:rsidR="00C3264D" w:rsidRDefault="00C3264D">
      <w:pPr>
        <w:keepNext/>
        <w:spacing w:line="240" w:lineRule="auto"/>
        <w:jc w:val="both"/>
        <w:rPr>
          <w:rFonts w:ascii="Times New Roman" w:hAnsi="Times New Roman"/>
          <w:sz w:val="24"/>
          <w:szCs w:val="24"/>
        </w:rPr>
      </w:pPr>
    </w:p>
    <w:p w14:paraId="7B3C2CFD" w14:textId="77777777" w:rsidR="00C3264D" w:rsidRDefault="00C3264D">
      <w:pPr>
        <w:keepNext/>
        <w:spacing w:line="240" w:lineRule="auto"/>
        <w:jc w:val="both"/>
        <w:rPr>
          <w:rFonts w:ascii="Times New Roman" w:hAnsi="Times New Roman"/>
          <w:sz w:val="24"/>
          <w:szCs w:val="24"/>
        </w:rPr>
      </w:pPr>
    </w:p>
    <w:p w14:paraId="4E96E12B" w14:textId="77777777" w:rsidR="00C3264D" w:rsidRDefault="00C3264D">
      <w:pPr>
        <w:jc w:val="both"/>
        <w:rPr>
          <w:rFonts w:ascii="Times New Roman" w:hAnsi="Times New Roman"/>
          <w:sz w:val="24"/>
          <w:szCs w:val="24"/>
        </w:rPr>
      </w:pPr>
    </w:p>
    <w:p w14:paraId="0D4900D2" w14:textId="77777777" w:rsidR="00C3264D" w:rsidRPr="004F62FA" w:rsidRDefault="003A348D">
      <w:pPr>
        <w:jc w:val="both"/>
        <w:rPr>
          <w:rFonts w:ascii="Times New Roman" w:hAnsi="Times New Roman"/>
          <w:sz w:val="24"/>
          <w:szCs w:val="24"/>
        </w:rPr>
      </w:pPr>
      <w:r w:rsidRPr="004F62FA">
        <w:rPr>
          <w:rFonts w:ascii="Times New Roman" w:hAnsi="Times New Roman"/>
          <w:sz w:val="24"/>
          <w:szCs w:val="24"/>
        </w:rPr>
        <w:t xml:space="preserve">В таблица 6 е показан броят на квотите по член 10в, които са били продадени на търг през периода 2013—2018 г., както и броят на останалите неизползвани квоти. </w:t>
      </w:r>
    </w:p>
    <w:p w14:paraId="44B135BB" w14:textId="77777777" w:rsidR="00C3264D" w:rsidRDefault="003A348D">
      <w:pPr>
        <w:keepNext/>
        <w:rPr>
          <w:rFonts w:ascii="Times New Roman" w:hAnsi="Times New Roman"/>
          <w:b/>
          <w:bCs/>
        </w:rPr>
      </w:pPr>
      <w:r>
        <w:rPr>
          <w:rFonts w:ascii="Times New Roman" w:hAnsi="Times New Roman"/>
          <w:b/>
          <w:bCs/>
        </w:rPr>
        <w:t>Таблица 6: Третиране на неизползваните квоти по член 10в през периода 2013—2018 г.</w:t>
      </w:r>
      <w:r>
        <w:rPr>
          <w:rStyle w:val="FootnoteReference"/>
          <w:rFonts w:ascii="Times New Roman" w:hAnsi="Times New Roman"/>
          <w:b/>
          <w:bCs/>
        </w:rPr>
        <w:footnoteReference w:id="42"/>
      </w:r>
    </w:p>
    <w:tbl>
      <w:tblPr>
        <w:tblW w:w="8854"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0" w:type="dxa"/>
          <w:right w:w="0" w:type="dxa"/>
        </w:tblCellMar>
        <w:tblLook w:val="04A0" w:firstRow="1" w:lastRow="0" w:firstColumn="1" w:lastColumn="0" w:noHBand="0" w:noVBand="1"/>
      </w:tblPr>
      <w:tblGrid>
        <w:gridCol w:w="1805"/>
        <w:gridCol w:w="3561"/>
        <w:gridCol w:w="3488"/>
      </w:tblGrid>
      <w:tr w:rsidR="00C3264D" w14:paraId="31DE2C04" w14:textId="77777777" w:rsidTr="00AF42BE">
        <w:trPr>
          <w:trHeight w:val="298"/>
          <w:jc w:val="center"/>
        </w:trPr>
        <w:tc>
          <w:tcPr>
            <w:tcW w:w="1805"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5D671EAC" w14:textId="77777777" w:rsidR="00C3264D" w:rsidRDefault="00AF42BE">
            <w:pPr>
              <w:spacing w:after="0" w:line="240" w:lineRule="auto"/>
              <w:jc w:val="center"/>
              <w:rPr>
                <w:rFonts w:ascii="Times New Roman" w:hAnsi="Times New Roman"/>
                <w:b/>
                <w:bCs/>
                <w:color w:val="000000"/>
                <w:sz w:val="20"/>
                <w:szCs w:val="20"/>
              </w:rPr>
            </w:pPr>
            <w:r>
              <w:rPr>
                <w:rFonts w:ascii="Times New Roman" w:hAnsi="Times New Roman"/>
                <w:b/>
                <w:bCs/>
                <w:sz w:val="20"/>
                <w:szCs w:val="20"/>
              </w:rPr>
              <w:t>Държава членка</w:t>
            </w:r>
          </w:p>
        </w:tc>
        <w:tc>
          <w:tcPr>
            <w:tcW w:w="3561"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5810A139" w14:textId="77777777" w:rsidR="00C3264D" w:rsidRDefault="00AF42BE">
            <w:pPr>
              <w:spacing w:after="0" w:line="240" w:lineRule="auto"/>
              <w:jc w:val="center"/>
              <w:rPr>
                <w:rFonts w:ascii="Times New Roman" w:hAnsi="Times New Roman"/>
                <w:b/>
                <w:bCs/>
                <w:color w:val="000000"/>
                <w:sz w:val="20"/>
                <w:szCs w:val="20"/>
              </w:rPr>
            </w:pPr>
            <w:r>
              <w:rPr>
                <w:rFonts w:ascii="Times New Roman" w:hAnsi="Times New Roman"/>
                <w:b/>
                <w:bCs/>
                <w:sz w:val="20"/>
                <w:szCs w:val="20"/>
              </w:rPr>
              <w:t xml:space="preserve">Брой на квотите по член 10в, </w:t>
            </w:r>
          </w:p>
          <w:p w14:paraId="1105E166" w14:textId="77777777" w:rsidR="00C3264D" w:rsidRDefault="00AF42BE">
            <w:pPr>
              <w:spacing w:after="0" w:line="240" w:lineRule="auto"/>
              <w:jc w:val="center"/>
              <w:rPr>
                <w:rFonts w:ascii="Times New Roman" w:hAnsi="Times New Roman"/>
                <w:b/>
                <w:bCs/>
                <w:color w:val="000000"/>
                <w:sz w:val="20"/>
                <w:szCs w:val="20"/>
              </w:rPr>
            </w:pPr>
            <w:r>
              <w:rPr>
                <w:rFonts w:ascii="Times New Roman" w:hAnsi="Times New Roman"/>
                <w:b/>
                <w:bCs/>
                <w:sz w:val="20"/>
                <w:szCs w:val="20"/>
              </w:rPr>
              <w:t>които са били продадени на търг (в милиони)</w:t>
            </w:r>
          </w:p>
        </w:tc>
        <w:tc>
          <w:tcPr>
            <w:tcW w:w="3488"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29A4C9CB" w14:textId="77777777" w:rsidR="00C3264D" w:rsidRDefault="00AF42BE">
            <w:pPr>
              <w:spacing w:after="0" w:line="240" w:lineRule="auto"/>
              <w:jc w:val="center"/>
              <w:rPr>
                <w:rFonts w:ascii="Times New Roman" w:hAnsi="Times New Roman"/>
                <w:b/>
                <w:bCs/>
                <w:color w:val="000000"/>
                <w:sz w:val="20"/>
                <w:szCs w:val="20"/>
              </w:rPr>
            </w:pPr>
            <w:r>
              <w:rPr>
                <w:rFonts w:ascii="Times New Roman" w:hAnsi="Times New Roman"/>
                <w:b/>
                <w:bCs/>
                <w:sz w:val="20"/>
                <w:szCs w:val="20"/>
              </w:rPr>
              <w:t>Брой на останалите неизползвани квоти (в милиони)</w:t>
            </w:r>
          </w:p>
        </w:tc>
      </w:tr>
      <w:tr w:rsidR="00C3264D" w14:paraId="643A4E9B" w14:textId="77777777" w:rsidTr="00AF42BE">
        <w:trPr>
          <w:trHeight w:val="298"/>
          <w:jc w:val="center"/>
        </w:trPr>
        <w:tc>
          <w:tcPr>
            <w:tcW w:w="1805"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334B62EE" w14:textId="77777777" w:rsidR="00C3264D" w:rsidRDefault="00AF42BE">
            <w:pPr>
              <w:spacing w:after="0" w:line="240" w:lineRule="auto"/>
              <w:jc w:val="center"/>
              <w:rPr>
                <w:rFonts w:ascii="Times New Roman" w:hAnsi="Times New Roman"/>
                <w:b/>
                <w:bCs/>
                <w:color w:val="000000"/>
                <w:sz w:val="20"/>
                <w:szCs w:val="20"/>
              </w:rPr>
            </w:pPr>
            <w:r>
              <w:rPr>
                <w:rFonts w:ascii="Times New Roman" w:hAnsi="Times New Roman"/>
                <w:b/>
                <w:bCs/>
                <w:sz w:val="20"/>
                <w:szCs w:val="20"/>
              </w:rPr>
              <w:t>България</w:t>
            </w:r>
          </w:p>
        </w:tc>
        <w:tc>
          <w:tcPr>
            <w:tcW w:w="3561"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6E1F1741" w14:textId="77777777" w:rsidR="00C3264D" w:rsidRDefault="00544382">
            <w:pPr>
              <w:spacing w:after="0" w:line="240" w:lineRule="auto"/>
              <w:jc w:val="center"/>
              <w:rPr>
                <w:rFonts w:ascii="Times New Roman" w:hAnsi="Times New Roman"/>
                <w:b/>
                <w:bCs/>
                <w:color w:val="000000"/>
                <w:sz w:val="20"/>
                <w:szCs w:val="20"/>
              </w:rPr>
            </w:pPr>
            <w:r>
              <w:rPr>
                <w:rFonts w:ascii="Times New Roman" w:hAnsi="Times New Roman"/>
                <w:b/>
                <w:bCs/>
                <w:sz w:val="20"/>
                <w:szCs w:val="20"/>
              </w:rPr>
              <w:t>9,5</w:t>
            </w:r>
          </w:p>
        </w:tc>
        <w:tc>
          <w:tcPr>
            <w:tcW w:w="3488"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39CC0DCD" w14:textId="77777777" w:rsidR="00C3264D" w:rsidRDefault="00544382">
            <w:pPr>
              <w:spacing w:after="0" w:line="240" w:lineRule="auto"/>
              <w:jc w:val="center"/>
              <w:rPr>
                <w:rFonts w:ascii="Times New Roman" w:hAnsi="Times New Roman"/>
                <w:b/>
                <w:bCs/>
                <w:color w:val="000000"/>
                <w:sz w:val="20"/>
                <w:szCs w:val="20"/>
              </w:rPr>
            </w:pPr>
            <w:r>
              <w:rPr>
                <w:rFonts w:ascii="Times New Roman" w:hAnsi="Times New Roman"/>
                <w:b/>
                <w:bCs/>
                <w:sz w:val="20"/>
                <w:szCs w:val="20"/>
              </w:rPr>
              <w:t>0,8</w:t>
            </w:r>
          </w:p>
        </w:tc>
      </w:tr>
      <w:tr w:rsidR="00C3264D" w14:paraId="1DDDFF40" w14:textId="77777777" w:rsidTr="00AF42BE">
        <w:trPr>
          <w:trHeight w:val="298"/>
          <w:jc w:val="center"/>
        </w:trPr>
        <w:tc>
          <w:tcPr>
            <w:tcW w:w="1805"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2BE6880C" w14:textId="77777777" w:rsidR="00C3264D" w:rsidRDefault="00AF42BE">
            <w:pPr>
              <w:spacing w:after="0" w:line="240" w:lineRule="auto"/>
              <w:jc w:val="center"/>
              <w:rPr>
                <w:rFonts w:ascii="Times New Roman" w:hAnsi="Times New Roman"/>
                <w:b/>
                <w:bCs/>
                <w:color w:val="000000"/>
                <w:sz w:val="20"/>
                <w:szCs w:val="20"/>
              </w:rPr>
            </w:pPr>
            <w:r>
              <w:rPr>
                <w:rFonts w:ascii="Times New Roman" w:hAnsi="Times New Roman"/>
                <w:b/>
                <w:bCs/>
                <w:sz w:val="20"/>
                <w:szCs w:val="20"/>
              </w:rPr>
              <w:t>2016 г.</w:t>
            </w:r>
          </w:p>
        </w:tc>
        <w:tc>
          <w:tcPr>
            <w:tcW w:w="3561"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45FDF1E0" w14:textId="77777777" w:rsidR="00C3264D" w:rsidRDefault="00AF42BE">
            <w:pPr>
              <w:spacing w:after="0" w:line="240" w:lineRule="auto"/>
              <w:jc w:val="center"/>
              <w:rPr>
                <w:rFonts w:ascii="Times New Roman" w:hAnsi="Times New Roman"/>
                <w:b/>
                <w:bCs/>
                <w:color w:val="000000"/>
                <w:sz w:val="20"/>
                <w:szCs w:val="20"/>
              </w:rPr>
            </w:pPr>
            <w:r>
              <w:rPr>
                <w:rFonts w:ascii="Times New Roman" w:hAnsi="Times New Roman"/>
                <w:b/>
                <w:bCs/>
                <w:sz w:val="20"/>
                <w:szCs w:val="20"/>
              </w:rPr>
              <w:t>0,0</w:t>
            </w:r>
          </w:p>
        </w:tc>
        <w:tc>
          <w:tcPr>
            <w:tcW w:w="3488"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3A34FD16" w14:textId="77777777" w:rsidR="00C3264D" w:rsidRDefault="00AF42BE">
            <w:pPr>
              <w:spacing w:after="0" w:line="240" w:lineRule="auto"/>
              <w:jc w:val="center"/>
              <w:rPr>
                <w:rFonts w:ascii="Times New Roman" w:hAnsi="Times New Roman"/>
                <w:b/>
                <w:bCs/>
                <w:color w:val="000000"/>
                <w:sz w:val="20"/>
                <w:szCs w:val="20"/>
              </w:rPr>
            </w:pPr>
            <w:r>
              <w:rPr>
                <w:rFonts w:ascii="Times New Roman" w:hAnsi="Times New Roman"/>
                <w:b/>
                <w:bCs/>
                <w:sz w:val="20"/>
                <w:szCs w:val="20"/>
              </w:rPr>
              <w:t>0,0</w:t>
            </w:r>
          </w:p>
        </w:tc>
      </w:tr>
      <w:tr w:rsidR="00C3264D" w14:paraId="350720D8" w14:textId="77777777" w:rsidTr="00AF42BE">
        <w:trPr>
          <w:trHeight w:val="298"/>
          <w:jc w:val="center"/>
        </w:trPr>
        <w:tc>
          <w:tcPr>
            <w:tcW w:w="1805"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6895EDF3" w14:textId="77777777" w:rsidR="00C3264D" w:rsidRDefault="00AF42BE">
            <w:pPr>
              <w:spacing w:after="0" w:line="240" w:lineRule="auto"/>
              <w:jc w:val="center"/>
              <w:rPr>
                <w:rFonts w:ascii="Times New Roman" w:hAnsi="Times New Roman"/>
                <w:b/>
                <w:bCs/>
                <w:color w:val="000000"/>
                <w:sz w:val="20"/>
                <w:szCs w:val="20"/>
              </w:rPr>
            </w:pPr>
            <w:r>
              <w:rPr>
                <w:rFonts w:ascii="Times New Roman" w:hAnsi="Times New Roman"/>
                <w:b/>
                <w:bCs/>
                <w:sz w:val="20"/>
                <w:szCs w:val="20"/>
              </w:rPr>
              <w:t>2017 г.</w:t>
            </w:r>
          </w:p>
        </w:tc>
        <w:tc>
          <w:tcPr>
            <w:tcW w:w="3561"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5AD669DA" w14:textId="77777777" w:rsidR="00C3264D" w:rsidRDefault="00AF42BE">
            <w:pPr>
              <w:spacing w:after="0" w:line="240" w:lineRule="auto"/>
              <w:jc w:val="center"/>
              <w:rPr>
                <w:rFonts w:ascii="Times New Roman" w:hAnsi="Times New Roman"/>
                <w:b/>
                <w:bCs/>
                <w:color w:val="000000"/>
                <w:sz w:val="20"/>
                <w:szCs w:val="20"/>
              </w:rPr>
            </w:pPr>
            <w:r>
              <w:rPr>
                <w:rFonts w:ascii="Times New Roman" w:hAnsi="Times New Roman"/>
                <w:b/>
                <w:bCs/>
                <w:sz w:val="20"/>
                <w:szCs w:val="20"/>
              </w:rPr>
              <w:t>0,3</w:t>
            </w:r>
          </w:p>
        </w:tc>
        <w:tc>
          <w:tcPr>
            <w:tcW w:w="3488"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6EA7C395" w14:textId="77777777" w:rsidR="00C3264D" w:rsidRDefault="00AF42BE">
            <w:pPr>
              <w:spacing w:after="0" w:line="240" w:lineRule="auto"/>
              <w:jc w:val="center"/>
              <w:rPr>
                <w:rFonts w:ascii="Times New Roman" w:hAnsi="Times New Roman"/>
                <w:b/>
                <w:bCs/>
                <w:color w:val="000000"/>
                <w:sz w:val="20"/>
                <w:szCs w:val="20"/>
              </w:rPr>
            </w:pPr>
            <w:r>
              <w:rPr>
                <w:rFonts w:ascii="Times New Roman" w:hAnsi="Times New Roman"/>
                <w:b/>
                <w:bCs/>
                <w:sz w:val="20"/>
                <w:szCs w:val="20"/>
              </w:rPr>
              <w:t>0,1</w:t>
            </w:r>
          </w:p>
        </w:tc>
      </w:tr>
      <w:tr w:rsidR="00C3264D" w14:paraId="3E1A2A74" w14:textId="77777777" w:rsidTr="00AF42BE">
        <w:trPr>
          <w:trHeight w:val="298"/>
          <w:jc w:val="center"/>
        </w:trPr>
        <w:tc>
          <w:tcPr>
            <w:tcW w:w="1805"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6D83BFBB" w14:textId="77777777" w:rsidR="00C3264D" w:rsidRDefault="00AF42BE">
            <w:pPr>
              <w:spacing w:after="0" w:line="240" w:lineRule="auto"/>
              <w:jc w:val="center"/>
              <w:rPr>
                <w:rFonts w:ascii="Times New Roman" w:hAnsi="Times New Roman"/>
                <w:b/>
                <w:bCs/>
                <w:color w:val="000000"/>
                <w:sz w:val="20"/>
                <w:szCs w:val="20"/>
              </w:rPr>
            </w:pPr>
            <w:r>
              <w:rPr>
                <w:rFonts w:ascii="Times New Roman" w:hAnsi="Times New Roman"/>
                <w:b/>
                <w:bCs/>
                <w:sz w:val="20"/>
                <w:szCs w:val="20"/>
              </w:rPr>
              <w:t>Естония</w:t>
            </w:r>
          </w:p>
        </w:tc>
        <w:tc>
          <w:tcPr>
            <w:tcW w:w="3561"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725F4ACA" w14:textId="77777777" w:rsidR="00C3264D" w:rsidRDefault="00544382">
            <w:pPr>
              <w:spacing w:after="0" w:line="240" w:lineRule="auto"/>
              <w:jc w:val="center"/>
              <w:rPr>
                <w:rFonts w:ascii="Times New Roman" w:hAnsi="Times New Roman"/>
                <w:b/>
                <w:bCs/>
                <w:color w:val="000000"/>
                <w:sz w:val="20"/>
                <w:szCs w:val="20"/>
              </w:rPr>
            </w:pPr>
            <w:r>
              <w:rPr>
                <w:rFonts w:ascii="Times New Roman" w:hAnsi="Times New Roman"/>
                <w:b/>
                <w:bCs/>
                <w:sz w:val="20"/>
                <w:szCs w:val="20"/>
              </w:rPr>
              <w:t>2,1</w:t>
            </w:r>
          </w:p>
        </w:tc>
        <w:tc>
          <w:tcPr>
            <w:tcW w:w="3488"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4CC509EA" w14:textId="77777777" w:rsidR="00C3264D" w:rsidRDefault="00544382">
            <w:pPr>
              <w:spacing w:after="0" w:line="240" w:lineRule="auto"/>
              <w:jc w:val="center"/>
              <w:rPr>
                <w:rFonts w:ascii="Times New Roman" w:hAnsi="Times New Roman"/>
                <w:b/>
                <w:bCs/>
                <w:color w:val="000000"/>
                <w:sz w:val="20"/>
                <w:szCs w:val="20"/>
              </w:rPr>
            </w:pPr>
            <w:r>
              <w:rPr>
                <w:rFonts w:ascii="Times New Roman" w:hAnsi="Times New Roman"/>
                <w:b/>
                <w:bCs/>
                <w:sz w:val="20"/>
                <w:szCs w:val="20"/>
              </w:rPr>
              <w:t>0,0</w:t>
            </w:r>
          </w:p>
        </w:tc>
      </w:tr>
      <w:tr w:rsidR="00C3264D" w14:paraId="3F591B4A" w14:textId="77777777" w:rsidTr="00AF42BE">
        <w:trPr>
          <w:trHeight w:val="298"/>
          <w:jc w:val="center"/>
        </w:trPr>
        <w:tc>
          <w:tcPr>
            <w:tcW w:w="1805"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0CDB72D2" w14:textId="77777777" w:rsidR="00C3264D" w:rsidRDefault="00AF42BE">
            <w:pPr>
              <w:spacing w:after="0" w:line="240" w:lineRule="auto"/>
              <w:jc w:val="center"/>
              <w:rPr>
                <w:rFonts w:ascii="Times New Roman" w:hAnsi="Times New Roman"/>
                <w:b/>
                <w:bCs/>
                <w:color w:val="000000"/>
                <w:sz w:val="20"/>
                <w:szCs w:val="20"/>
              </w:rPr>
            </w:pPr>
            <w:r>
              <w:rPr>
                <w:rFonts w:ascii="Times New Roman" w:hAnsi="Times New Roman"/>
                <w:b/>
                <w:bCs/>
                <w:sz w:val="20"/>
                <w:szCs w:val="20"/>
              </w:rPr>
              <w:t>Литва</w:t>
            </w:r>
          </w:p>
        </w:tc>
        <w:tc>
          <w:tcPr>
            <w:tcW w:w="3561"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59D08B20" w14:textId="77777777" w:rsidR="00C3264D" w:rsidRDefault="00AF42BE">
            <w:pPr>
              <w:spacing w:after="0" w:line="240" w:lineRule="auto"/>
              <w:jc w:val="center"/>
              <w:rPr>
                <w:rFonts w:ascii="Times New Roman" w:hAnsi="Times New Roman"/>
                <w:b/>
                <w:bCs/>
                <w:color w:val="000000"/>
                <w:sz w:val="20"/>
                <w:szCs w:val="20"/>
              </w:rPr>
            </w:pPr>
            <w:r>
              <w:rPr>
                <w:rFonts w:ascii="Times New Roman" w:hAnsi="Times New Roman"/>
                <w:b/>
                <w:bCs/>
                <w:sz w:val="20"/>
                <w:szCs w:val="20"/>
              </w:rPr>
              <w:t>1,1</w:t>
            </w:r>
          </w:p>
        </w:tc>
        <w:tc>
          <w:tcPr>
            <w:tcW w:w="3488"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3076243E" w14:textId="77777777" w:rsidR="00C3264D" w:rsidRDefault="00AF42BE">
            <w:pPr>
              <w:spacing w:after="0" w:line="240" w:lineRule="auto"/>
              <w:jc w:val="center"/>
              <w:rPr>
                <w:rFonts w:ascii="Times New Roman" w:hAnsi="Times New Roman"/>
                <w:b/>
                <w:bCs/>
                <w:color w:val="000000"/>
                <w:sz w:val="20"/>
                <w:szCs w:val="20"/>
              </w:rPr>
            </w:pPr>
            <w:r>
              <w:rPr>
                <w:rFonts w:ascii="Times New Roman" w:hAnsi="Times New Roman"/>
                <w:b/>
                <w:bCs/>
                <w:sz w:val="20"/>
                <w:szCs w:val="20"/>
              </w:rPr>
              <w:t>0,1</w:t>
            </w:r>
          </w:p>
        </w:tc>
      </w:tr>
      <w:tr w:rsidR="00C3264D" w14:paraId="24325275" w14:textId="77777777" w:rsidTr="00AF42BE">
        <w:trPr>
          <w:trHeight w:val="298"/>
          <w:jc w:val="center"/>
        </w:trPr>
        <w:tc>
          <w:tcPr>
            <w:tcW w:w="1805"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5878CBA2" w14:textId="77777777" w:rsidR="00C3264D" w:rsidRDefault="00AF42BE">
            <w:pPr>
              <w:spacing w:after="0" w:line="240" w:lineRule="auto"/>
              <w:jc w:val="center"/>
              <w:rPr>
                <w:rFonts w:ascii="Times New Roman" w:hAnsi="Times New Roman"/>
                <w:b/>
                <w:bCs/>
                <w:color w:val="000000"/>
                <w:sz w:val="20"/>
                <w:szCs w:val="20"/>
              </w:rPr>
            </w:pPr>
            <w:r>
              <w:rPr>
                <w:rFonts w:ascii="Times New Roman" w:hAnsi="Times New Roman"/>
                <w:b/>
                <w:bCs/>
                <w:sz w:val="20"/>
                <w:szCs w:val="20"/>
              </w:rPr>
              <w:t>Полша</w:t>
            </w:r>
          </w:p>
        </w:tc>
        <w:tc>
          <w:tcPr>
            <w:tcW w:w="3561"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2D28F951" w14:textId="77777777" w:rsidR="00C3264D" w:rsidRDefault="00AF42BE">
            <w:pPr>
              <w:spacing w:after="0" w:line="240" w:lineRule="auto"/>
              <w:jc w:val="center"/>
              <w:rPr>
                <w:rFonts w:ascii="Times New Roman" w:hAnsi="Times New Roman"/>
                <w:b/>
                <w:bCs/>
                <w:color w:val="000000"/>
                <w:sz w:val="20"/>
                <w:szCs w:val="20"/>
              </w:rPr>
            </w:pPr>
            <w:r>
              <w:rPr>
                <w:rFonts w:ascii="Times New Roman" w:hAnsi="Times New Roman"/>
                <w:b/>
                <w:bCs/>
                <w:sz w:val="20"/>
                <w:szCs w:val="20"/>
              </w:rPr>
              <w:t>55,8</w:t>
            </w:r>
          </w:p>
        </w:tc>
        <w:tc>
          <w:tcPr>
            <w:tcW w:w="3488"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17F16EBF" w14:textId="77777777" w:rsidR="00C3264D" w:rsidRDefault="00AF42BE">
            <w:pPr>
              <w:spacing w:after="0" w:line="240" w:lineRule="auto"/>
              <w:jc w:val="center"/>
              <w:rPr>
                <w:rFonts w:ascii="Times New Roman" w:hAnsi="Times New Roman"/>
                <w:b/>
                <w:bCs/>
                <w:color w:val="000000"/>
                <w:sz w:val="20"/>
                <w:szCs w:val="20"/>
              </w:rPr>
            </w:pPr>
            <w:r>
              <w:rPr>
                <w:rFonts w:ascii="Times New Roman" w:hAnsi="Times New Roman"/>
                <w:b/>
                <w:bCs/>
                <w:sz w:val="20"/>
                <w:szCs w:val="20"/>
              </w:rPr>
              <w:t>68,9</w:t>
            </w:r>
          </w:p>
        </w:tc>
      </w:tr>
      <w:tr w:rsidR="00C3264D" w14:paraId="7B3E655A" w14:textId="77777777" w:rsidTr="00AF42BE">
        <w:trPr>
          <w:trHeight w:val="298"/>
          <w:jc w:val="center"/>
        </w:trPr>
        <w:tc>
          <w:tcPr>
            <w:tcW w:w="1805"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39920767" w14:textId="77777777" w:rsidR="00C3264D" w:rsidRDefault="00AF42BE">
            <w:pPr>
              <w:spacing w:after="0" w:line="240" w:lineRule="auto"/>
              <w:jc w:val="center"/>
              <w:rPr>
                <w:rFonts w:ascii="Times New Roman" w:hAnsi="Times New Roman"/>
                <w:b/>
                <w:bCs/>
                <w:color w:val="000000"/>
                <w:sz w:val="20"/>
                <w:szCs w:val="20"/>
              </w:rPr>
            </w:pPr>
            <w:r>
              <w:rPr>
                <w:rFonts w:ascii="Times New Roman" w:hAnsi="Times New Roman"/>
                <w:b/>
                <w:bCs/>
                <w:sz w:val="20"/>
                <w:szCs w:val="20"/>
              </w:rPr>
              <w:t>Румъния</w:t>
            </w:r>
          </w:p>
        </w:tc>
        <w:tc>
          <w:tcPr>
            <w:tcW w:w="3561"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3232DD66" w14:textId="77777777" w:rsidR="00C3264D" w:rsidRDefault="00AF42BE">
            <w:pPr>
              <w:spacing w:after="0" w:line="240" w:lineRule="auto"/>
              <w:jc w:val="center"/>
              <w:rPr>
                <w:rFonts w:ascii="Times New Roman" w:hAnsi="Times New Roman"/>
                <w:b/>
                <w:bCs/>
                <w:color w:val="000000"/>
                <w:sz w:val="20"/>
                <w:szCs w:val="20"/>
              </w:rPr>
            </w:pPr>
            <w:r>
              <w:rPr>
                <w:rFonts w:ascii="Times New Roman" w:hAnsi="Times New Roman"/>
                <w:b/>
                <w:bCs/>
                <w:sz w:val="20"/>
                <w:szCs w:val="20"/>
              </w:rPr>
              <w:t>15,4</w:t>
            </w:r>
          </w:p>
        </w:tc>
        <w:tc>
          <w:tcPr>
            <w:tcW w:w="3488"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646469DE" w14:textId="77777777" w:rsidR="00C3264D" w:rsidRDefault="00AF42BE">
            <w:pPr>
              <w:spacing w:after="0" w:line="240" w:lineRule="auto"/>
              <w:jc w:val="center"/>
              <w:rPr>
                <w:rFonts w:ascii="Times New Roman" w:hAnsi="Times New Roman"/>
                <w:b/>
                <w:bCs/>
                <w:color w:val="000000"/>
                <w:sz w:val="20"/>
                <w:szCs w:val="20"/>
              </w:rPr>
            </w:pPr>
            <w:r>
              <w:rPr>
                <w:rFonts w:ascii="Times New Roman" w:hAnsi="Times New Roman"/>
                <w:b/>
                <w:bCs/>
                <w:sz w:val="20"/>
                <w:szCs w:val="20"/>
              </w:rPr>
              <w:t>2,8</w:t>
            </w:r>
          </w:p>
        </w:tc>
      </w:tr>
      <w:tr w:rsidR="00C3264D" w14:paraId="41F9C951" w14:textId="77777777" w:rsidTr="00AF42BE">
        <w:trPr>
          <w:trHeight w:val="298"/>
          <w:jc w:val="center"/>
        </w:trPr>
        <w:tc>
          <w:tcPr>
            <w:tcW w:w="1805"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23C329A1" w14:textId="77777777" w:rsidR="00C3264D" w:rsidRDefault="00AF42BE">
            <w:pPr>
              <w:spacing w:after="0" w:line="240" w:lineRule="auto"/>
              <w:jc w:val="center"/>
              <w:rPr>
                <w:rFonts w:ascii="Times New Roman" w:hAnsi="Times New Roman"/>
                <w:b/>
                <w:bCs/>
                <w:color w:val="000000"/>
                <w:sz w:val="20"/>
                <w:szCs w:val="20"/>
              </w:rPr>
            </w:pPr>
            <w:r>
              <w:rPr>
                <w:rFonts w:ascii="Times New Roman" w:hAnsi="Times New Roman"/>
                <w:b/>
                <w:bCs/>
                <w:sz w:val="20"/>
                <w:szCs w:val="20"/>
              </w:rPr>
              <w:t>Унгария</w:t>
            </w:r>
          </w:p>
        </w:tc>
        <w:tc>
          <w:tcPr>
            <w:tcW w:w="3561"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1120C9C0" w14:textId="77777777" w:rsidR="00C3264D" w:rsidRDefault="00AF42BE">
            <w:pPr>
              <w:spacing w:after="0" w:line="240" w:lineRule="auto"/>
              <w:jc w:val="center"/>
              <w:rPr>
                <w:rFonts w:ascii="Times New Roman" w:hAnsi="Times New Roman"/>
                <w:b/>
                <w:bCs/>
                <w:color w:val="000000"/>
                <w:sz w:val="20"/>
                <w:szCs w:val="20"/>
              </w:rPr>
            </w:pPr>
            <w:r>
              <w:rPr>
                <w:rFonts w:ascii="Times New Roman" w:hAnsi="Times New Roman"/>
                <w:b/>
                <w:bCs/>
                <w:sz w:val="20"/>
                <w:szCs w:val="20"/>
              </w:rPr>
              <w:t>0</w:t>
            </w:r>
          </w:p>
        </w:tc>
        <w:tc>
          <w:tcPr>
            <w:tcW w:w="3488"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31E8906F" w14:textId="77777777" w:rsidR="00C3264D" w:rsidRDefault="00AF42BE">
            <w:pPr>
              <w:spacing w:after="0" w:line="240" w:lineRule="auto"/>
              <w:jc w:val="center"/>
              <w:rPr>
                <w:rFonts w:ascii="Times New Roman" w:hAnsi="Times New Roman"/>
                <w:b/>
                <w:bCs/>
                <w:color w:val="000000"/>
                <w:sz w:val="20"/>
                <w:szCs w:val="20"/>
              </w:rPr>
            </w:pPr>
            <w:r>
              <w:rPr>
                <w:rFonts w:ascii="Times New Roman" w:hAnsi="Times New Roman"/>
                <w:b/>
                <w:bCs/>
                <w:sz w:val="20"/>
                <w:szCs w:val="20"/>
              </w:rPr>
              <w:t>0,9</w:t>
            </w:r>
          </w:p>
        </w:tc>
      </w:tr>
      <w:tr w:rsidR="00C3264D" w14:paraId="0CC8EAF8" w14:textId="77777777" w:rsidTr="00AF42BE">
        <w:trPr>
          <w:trHeight w:val="298"/>
          <w:jc w:val="center"/>
        </w:trPr>
        <w:tc>
          <w:tcPr>
            <w:tcW w:w="1805"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26ACFDD9" w14:textId="77777777" w:rsidR="00C3264D" w:rsidRDefault="00AF42BE">
            <w:pPr>
              <w:spacing w:after="0" w:line="240" w:lineRule="auto"/>
              <w:jc w:val="center"/>
              <w:rPr>
                <w:rFonts w:ascii="Times New Roman" w:hAnsi="Times New Roman"/>
                <w:b/>
                <w:bCs/>
                <w:color w:val="000000"/>
                <w:sz w:val="20"/>
                <w:szCs w:val="20"/>
              </w:rPr>
            </w:pPr>
            <w:r>
              <w:rPr>
                <w:rFonts w:ascii="Times New Roman" w:hAnsi="Times New Roman"/>
                <w:b/>
                <w:bCs/>
                <w:sz w:val="20"/>
                <w:szCs w:val="20"/>
              </w:rPr>
              <w:t>Общо</w:t>
            </w:r>
          </w:p>
        </w:tc>
        <w:tc>
          <w:tcPr>
            <w:tcW w:w="3561"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55932401" w14:textId="77777777" w:rsidR="00C3264D" w:rsidRDefault="00544382">
            <w:pPr>
              <w:spacing w:after="0" w:line="240" w:lineRule="auto"/>
              <w:jc w:val="center"/>
              <w:rPr>
                <w:rFonts w:ascii="Times New Roman" w:hAnsi="Times New Roman"/>
                <w:b/>
                <w:bCs/>
                <w:color w:val="000000"/>
                <w:sz w:val="20"/>
                <w:szCs w:val="20"/>
              </w:rPr>
            </w:pPr>
            <w:r>
              <w:rPr>
                <w:rFonts w:ascii="Times New Roman" w:hAnsi="Times New Roman"/>
                <w:b/>
                <w:bCs/>
                <w:sz w:val="20"/>
                <w:szCs w:val="20"/>
              </w:rPr>
              <w:t>84,2</w:t>
            </w:r>
          </w:p>
        </w:tc>
        <w:tc>
          <w:tcPr>
            <w:tcW w:w="3488"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08D920B8" w14:textId="77777777" w:rsidR="00C3264D" w:rsidRDefault="00544382">
            <w:pPr>
              <w:spacing w:after="0" w:line="240" w:lineRule="auto"/>
              <w:jc w:val="center"/>
              <w:rPr>
                <w:rFonts w:ascii="Times New Roman" w:hAnsi="Times New Roman"/>
                <w:b/>
                <w:bCs/>
                <w:color w:val="000000"/>
                <w:sz w:val="20"/>
                <w:szCs w:val="20"/>
              </w:rPr>
            </w:pPr>
            <w:r>
              <w:rPr>
                <w:rFonts w:ascii="Times New Roman" w:hAnsi="Times New Roman"/>
                <w:b/>
                <w:bCs/>
                <w:sz w:val="20"/>
                <w:szCs w:val="20"/>
              </w:rPr>
              <w:t>73,5</w:t>
            </w:r>
          </w:p>
        </w:tc>
      </w:tr>
    </w:tbl>
    <w:p w14:paraId="12EAE172" w14:textId="77777777" w:rsidR="00C3264D" w:rsidRDefault="00A92C10">
      <w:pPr>
        <w:jc w:val="both"/>
        <w:rPr>
          <w:rFonts w:ascii="Times New Roman" w:hAnsi="Times New Roman"/>
          <w:sz w:val="18"/>
          <w:szCs w:val="18"/>
        </w:rPr>
      </w:pPr>
      <w:r>
        <w:rPr>
          <w:rFonts w:ascii="Times New Roman" w:hAnsi="Times New Roman"/>
          <w:sz w:val="18"/>
          <w:szCs w:val="18"/>
        </w:rPr>
        <w:t xml:space="preserve"> Източник: ГД „Действия по климата“</w:t>
      </w:r>
    </w:p>
    <w:p w14:paraId="57D7927A" w14:textId="77777777" w:rsidR="00C3264D" w:rsidRPr="004F62FA" w:rsidRDefault="00A063FC">
      <w:pPr>
        <w:jc w:val="both"/>
        <w:rPr>
          <w:sz w:val="24"/>
          <w:szCs w:val="24"/>
        </w:rPr>
      </w:pPr>
      <w:r w:rsidRPr="004F62FA">
        <w:rPr>
          <w:rFonts w:ascii="Times New Roman" w:hAnsi="Times New Roman"/>
          <w:sz w:val="24"/>
          <w:szCs w:val="24"/>
        </w:rPr>
        <w:t>Броят на неразпределените квоти, които са били продадени на търг (или планирани за продажба на търг) от държавите членки съгласно дерогацията по член 10в за всяка година от фаза 3, е посочен в таблица 1.3 в допълнение 1 към приложението.</w:t>
      </w:r>
    </w:p>
    <w:p w14:paraId="041B37C7" w14:textId="77777777" w:rsidR="00C3264D" w:rsidRDefault="00A52F4C">
      <w:pPr>
        <w:pStyle w:val="Heading3"/>
        <w:spacing w:before="0" w:after="200"/>
        <w:ind w:left="720"/>
      </w:pPr>
      <w:bookmarkStart w:id="16" w:name="_Toc28015587"/>
      <w:r>
        <w:t>3.1.3. Международни кредити</w:t>
      </w:r>
      <w:bookmarkEnd w:id="16"/>
    </w:p>
    <w:p w14:paraId="23377E86" w14:textId="77777777" w:rsidR="00C3264D" w:rsidRDefault="003A348D">
      <w:pPr>
        <w:jc w:val="both"/>
        <w:rPr>
          <w:rFonts w:ascii="Times New Roman" w:hAnsi="Times New Roman"/>
          <w:sz w:val="24"/>
          <w:szCs w:val="24"/>
        </w:rPr>
      </w:pPr>
      <w:r>
        <w:rPr>
          <w:rFonts w:ascii="Times New Roman" w:hAnsi="Times New Roman"/>
          <w:noProof/>
          <w:lang w:val="en-GB" w:eastAsia="en-GB"/>
        </w:rPr>
        <mc:AlternateContent>
          <mc:Choice Requires="wps">
            <w:drawing>
              <wp:inline distT="0" distB="0" distL="0" distR="0" wp14:anchorId="45E3A308" wp14:editId="3A66B005">
                <wp:extent cx="5742432" cy="3400425"/>
                <wp:effectExtent l="0" t="0" r="10795" b="28575"/>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2432" cy="3400425"/>
                        </a:xfrm>
                        <a:prstGeom prst="rect">
                          <a:avLst/>
                        </a:prstGeom>
                        <a:solidFill>
                          <a:schemeClr val="bg1">
                            <a:lumMod val="85000"/>
                          </a:schemeClr>
                        </a:solidFill>
                        <a:ln w="12700">
                          <a:solidFill>
                            <a:srgbClr val="000000"/>
                          </a:solidFill>
                          <a:miter lim="800000"/>
                          <a:headEnd/>
                          <a:tailEnd/>
                        </a:ln>
                      </wps:spPr>
                      <wps:txbx>
                        <w:txbxContent>
                          <w:p w14:paraId="541897DA" w14:textId="77777777" w:rsidR="00692F99" w:rsidRPr="004F62FA" w:rsidRDefault="00692F99">
                            <w:pPr>
                              <w:jc w:val="both"/>
                              <w:rPr>
                                <w:rFonts w:ascii="Times New Roman" w:hAnsi="Times New Roman"/>
                                <w:sz w:val="24"/>
                                <w:szCs w:val="24"/>
                              </w:rPr>
                            </w:pPr>
                            <w:r w:rsidRPr="004F62FA">
                              <w:rPr>
                                <w:rFonts w:ascii="Times New Roman" w:hAnsi="Times New Roman"/>
                                <w:sz w:val="24"/>
                                <w:szCs w:val="24"/>
                              </w:rPr>
                              <w:t>Участниците в СТЕ на ЕС все още могат да използват международни кредити от Механизма за чисто развитие (МЧР) и Съвместното изпълнение (JI) на Протокола от Киото за изпълнение на част от своите задължения съгласно СТЕ на ЕС до 2020 г.</w:t>
                            </w:r>
                            <w:r w:rsidRPr="004F62FA">
                              <w:rPr>
                                <w:rStyle w:val="FootnoteReference"/>
                                <w:rFonts w:ascii="Times New Roman" w:hAnsi="Times New Roman"/>
                                <w:sz w:val="24"/>
                                <w:szCs w:val="24"/>
                              </w:rPr>
                              <w:t>*</w:t>
                            </w:r>
                            <w:r w:rsidRPr="004F62FA">
                              <w:rPr>
                                <w:rFonts w:ascii="Times New Roman" w:hAnsi="Times New Roman"/>
                                <w:sz w:val="24"/>
                                <w:szCs w:val="24"/>
                              </w:rPr>
                              <w:t>, при условие че спазват качествени и количествени ограничения. Тези кредити са финансови инструменти, които представляват един тон СО</w:t>
                            </w:r>
                            <w:r w:rsidRPr="004F62FA">
                              <w:rPr>
                                <w:rFonts w:ascii="Times New Roman" w:hAnsi="Times New Roman"/>
                                <w:sz w:val="24"/>
                                <w:szCs w:val="24"/>
                                <w:vertAlign w:val="subscript"/>
                              </w:rPr>
                              <w:t>2</w:t>
                            </w:r>
                            <w:r w:rsidRPr="004F62FA">
                              <w:rPr>
                                <w:rFonts w:ascii="Times New Roman" w:hAnsi="Times New Roman"/>
                                <w:sz w:val="24"/>
                                <w:szCs w:val="24"/>
                              </w:rPr>
                              <w:t>, който е отстранен от атмосферата или чието изпускане е избегнато в резултат на проект за намаляване на емисиите. Във фаза 3 кредитите вече не се връщат пряко, а вместо това могат да бъдат заменени срещу квоти за емисии по всяко време в рамките на календарната година.</w:t>
                            </w:r>
                            <w:r w:rsidRPr="004F62FA">
                              <w:rPr>
                                <w:sz w:val="24"/>
                                <w:szCs w:val="24"/>
                              </w:rPr>
                              <w:t xml:space="preserve"> </w:t>
                            </w:r>
                          </w:p>
                          <w:p w14:paraId="4E867384" w14:textId="77777777" w:rsidR="00692F99" w:rsidRPr="004F62FA" w:rsidRDefault="00692F99">
                            <w:pPr>
                              <w:jc w:val="both"/>
                              <w:rPr>
                                <w:rFonts w:ascii="Times New Roman" w:hAnsi="Times New Roman"/>
                                <w:sz w:val="24"/>
                                <w:szCs w:val="24"/>
                              </w:rPr>
                            </w:pPr>
                            <w:r w:rsidRPr="004F62FA">
                              <w:rPr>
                                <w:rFonts w:ascii="Times New Roman" w:hAnsi="Times New Roman"/>
                                <w:sz w:val="24"/>
                                <w:szCs w:val="24"/>
                              </w:rPr>
                              <w:t>Съгласно разпоредбите на преразгледаната Директива за СТЕ на ЕС международните кредити вече няма да се използват за спазване на изискванията по СТЕ на ЕС през следващия период на търгуване.</w:t>
                            </w:r>
                          </w:p>
                          <w:p w14:paraId="170A6952" w14:textId="77777777" w:rsidR="00692F99" w:rsidRDefault="00692F99">
                            <w:pPr>
                              <w:jc w:val="both"/>
                              <w:rPr>
                                <w:rFonts w:ascii="Times New Roman" w:hAnsi="Times New Roman"/>
                                <w:sz w:val="18"/>
                                <w:szCs w:val="18"/>
                              </w:rPr>
                            </w:pPr>
                            <w:r>
                              <w:rPr>
                                <w:rFonts w:ascii="Times New Roman" w:hAnsi="Times New Roman"/>
                                <w:sz w:val="18"/>
                                <w:szCs w:val="18"/>
                              </w:rPr>
                              <w:t xml:space="preserve">* Проектите по МЧР и проектите по JI генерират кредити за намалени емисии по Протокола от Киото: съответно сертифицирани единици редуцирани емисии (СЕРЕ) и единици редуцирани емисии (ЕРЕ). </w:t>
                            </w:r>
                          </w:p>
                        </w:txbxContent>
                      </wps:txbx>
                      <wps:bodyPr rot="0" vert="horz" wrap="square" lIns="91440" tIns="45720" rIns="91440" bIns="45720" anchor="t" anchorCtr="0">
                        <a:noAutofit/>
                      </wps:bodyPr>
                    </wps:wsp>
                  </a:graphicData>
                </a:graphic>
              </wp:inline>
            </w:drawing>
          </mc:Choice>
          <mc:Fallback>
            <w:pict>
              <v:shape w14:anchorId="45E3A308" id="_x0000_s1035" type="#_x0000_t202" style="width:452.15pt;height:26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" fillcolor="#d8d8d8 [2732]" strokeweight="1pt">
                <v:textbox>
                  <w:txbxContent>
                    <w:p w14:paraId="541897DA" w14:textId="77777777" w:rsidR="00692F99" w:rsidRPr="004F62FA" w:rsidRDefault="00692F99">
                      <w:pPr>
                        <w:jc w:val="both"/>
                        <w:rPr>
                          <w:rFonts w:ascii="Times New Roman" w:hAnsi="Times New Roman"/>
                          <w:sz w:val="24"/>
                          <w:szCs w:val="24"/>
                        </w:rPr>
                      </w:pPr>
                      <w:r w:rsidRPr="004F62FA">
                        <w:rPr>
                          <w:rFonts w:ascii="Times New Roman" w:hAnsi="Times New Roman"/>
                          <w:sz w:val="24"/>
                          <w:szCs w:val="24"/>
                        </w:rPr>
                        <w:t>Участниците в СТЕ на ЕС все още могат да използват международни кредити от Механизма за чисто развитие (МЧР) и Съвместното изпълнение (JI) на Протокола от Киото за изпълнение на част от своите задължения съгласно СТЕ на ЕС до 2020 г.</w:t>
                      </w:r>
                      <w:r w:rsidRPr="004F62FA">
                        <w:rPr>
                          <w:rStyle w:val="FootnoteReference"/>
                          <w:rFonts w:ascii="Times New Roman" w:hAnsi="Times New Roman"/>
                          <w:sz w:val="24"/>
                          <w:szCs w:val="24"/>
                        </w:rPr>
                        <w:t>*</w:t>
                      </w:r>
                      <w:r w:rsidRPr="004F62FA">
                        <w:rPr>
                          <w:rFonts w:ascii="Times New Roman" w:hAnsi="Times New Roman"/>
                          <w:sz w:val="24"/>
                          <w:szCs w:val="24"/>
                        </w:rPr>
                        <w:t>, при условие че спазват качествени и количествени ограничения. Тези кредити са финансови инструменти, които представляват един тон СО</w:t>
                      </w:r>
                      <w:r w:rsidRPr="004F62FA">
                        <w:rPr>
                          <w:rFonts w:ascii="Times New Roman" w:hAnsi="Times New Roman"/>
                          <w:sz w:val="24"/>
                          <w:szCs w:val="24"/>
                          <w:vertAlign w:val="subscript"/>
                        </w:rPr>
                        <w:t>2</w:t>
                      </w:r>
                      <w:r w:rsidRPr="004F62FA">
                        <w:rPr>
                          <w:rFonts w:ascii="Times New Roman" w:hAnsi="Times New Roman"/>
                          <w:sz w:val="24"/>
                          <w:szCs w:val="24"/>
                        </w:rPr>
                        <w:t>, който е отстранен от атмосферата или чието изпускане е избегнато в резултат на проект за намаляване на емисиите. Във фаза 3 кредитите вече не се връщат пряко, а вместо това могат да бъдат заменени срещу квоти за емисии по всяко време в рамките на календарната година.</w:t>
                      </w:r>
                      <w:r w:rsidRPr="004F62FA">
                        <w:rPr>
                          <w:sz w:val="24"/>
                          <w:szCs w:val="24"/>
                        </w:rPr>
                        <w:t xml:space="preserve"> </w:t>
                      </w:r>
                    </w:p>
                    <w:p w14:paraId="4E867384" w14:textId="77777777" w:rsidR="00692F99" w:rsidRPr="004F62FA" w:rsidRDefault="00692F99">
                      <w:pPr>
                        <w:jc w:val="both"/>
                        <w:rPr>
                          <w:rFonts w:ascii="Times New Roman" w:hAnsi="Times New Roman"/>
                          <w:sz w:val="24"/>
                          <w:szCs w:val="24"/>
                        </w:rPr>
                      </w:pPr>
                      <w:r w:rsidRPr="004F62FA">
                        <w:rPr>
                          <w:rFonts w:ascii="Times New Roman" w:hAnsi="Times New Roman"/>
                          <w:sz w:val="24"/>
                          <w:szCs w:val="24"/>
                        </w:rPr>
                        <w:t>Съгласно разпоредбите на преразгледаната Директива за СТЕ на ЕС международните кредити вече няма да се използват за спазване на изискванията по СТЕ на ЕС през следващия период на търгуване.</w:t>
                      </w:r>
                    </w:p>
                    <w:p w14:paraId="170A6952" w14:textId="77777777" w:rsidR="00692F99" w:rsidRDefault="00692F99">
                      <w:pPr>
                        <w:jc w:val="both"/>
                        <w:rPr>
                          <w:rFonts w:ascii="Times New Roman" w:hAnsi="Times New Roman"/>
                          <w:sz w:val="18"/>
                          <w:szCs w:val="18"/>
                        </w:rPr>
                      </w:pPr>
                      <w:r>
                        <w:rPr>
                          <w:rFonts w:ascii="Times New Roman" w:hAnsi="Times New Roman"/>
                          <w:sz w:val="18"/>
                          <w:szCs w:val="18"/>
                        </w:rPr>
                        <w:t xml:space="preserve">* Проектите по МЧР и проектите по JI генерират кредити за намалени емисии по Протокола от Киото: съответно сертифицирани единици редуцирани емисии (СЕРЕ) и единици редуцирани емисии (ЕРЕ). </w:t>
                      </w:r>
                    </w:p>
                  </w:txbxContent>
                </v:textbox>
                <w10:anchorlock/>
              </v:shape>
            </w:pict>
          </mc:Fallback>
        </mc:AlternateContent>
      </w:r>
    </w:p>
    <w:p w14:paraId="22FD9B1F" w14:textId="77777777" w:rsidR="00C3264D" w:rsidRPr="004F62FA" w:rsidRDefault="003A348D">
      <w:pPr>
        <w:jc w:val="both"/>
        <w:rPr>
          <w:rFonts w:ascii="Times New Roman" w:hAnsi="Times New Roman"/>
          <w:sz w:val="24"/>
          <w:szCs w:val="24"/>
        </w:rPr>
      </w:pPr>
      <w:r w:rsidRPr="004F62FA">
        <w:rPr>
          <w:rFonts w:ascii="Times New Roman" w:hAnsi="Times New Roman"/>
          <w:sz w:val="24"/>
          <w:szCs w:val="24"/>
        </w:rPr>
        <w:t>Въпреки че точното количество на правата за международни кредити през фаза 2 и фаза 3 (2008—2020 г.) ще зависи отчасти от количествата на бъдещите верифицирани емисии, пазарните анализатори прогнозират, че то ще възлезе на около 1,6 милиарда кредита. Към края на юни 2019 г. общият брой на използваните или обменените международни кредити възлиза на около 1,51 милиарда, което представлява над 90 % от прогнозната стойност на допустимия максимум.</w:t>
      </w:r>
    </w:p>
    <w:p w14:paraId="7634AFD4" w14:textId="77777777" w:rsidR="00C3264D" w:rsidRPr="004F62FA" w:rsidRDefault="003A348D">
      <w:pPr>
        <w:spacing w:after="0"/>
        <w:jc w:val="both"/>
        <w:rPr>
          <w:rFonts w:ascii="Times New Roman" w:hAnsi="Times New Roman"/>
          <w:sz w:val="24"/>
          <w:szCs w:val="24"/>
        </w:rPr>
      </w:pPr>
      <w:r w:rsidRPr="004F62FA">
        <w:rPr>
          <w:rFonts w:ascii="Times New Roman" w:hAnsi="Times New Roman"/>
          <w:sz w:val="24"/>
          <w:szCs w:val="24"/>
        </w:rPr>
        <w:t>За пълен преглед на международния обмен на кредити вж. допълнение 3 към приложението.</w:t>
      </w:r>
    </w:p>
    <w:p w14:paraId="5E4A415D" w14:textId="77777777" w:rsidR="00C3264D" w:rsidRPr="004F62FA" w:rsidRDefault="00C3264D">
      <w:pPr>
        <w:spacing w:after="0"/>
        <w:jc w:val="both"/>
        <w:rPr>
          <w:rFonts w:ascii="Times New Roman" w:hAnsi="Times New Roman"/>
          <w:sz w:val="24"/>
          <w:szCs w:val="24"/>
        </w:rPr>
      </w:pPr>
    </w:p>
    <w:p w14:paraId="61BA759C" w14:textId="77777777" w:rsidR="00C3264D" w:rsidRPr="004F62FA" w:rsidRDefault="00C3264D">
      <w:pPr>
        <w:spacing w:after="0"/>
        <w:jc w:val="both"/>
        <w:rPr>
          <w:rFonts w:ascii="Times New Roman" w:hAnsi="Times New Roman"/>
          <w:sz w:val="24"/>
          <w:szCs w:val="24"/>
        </w:rPr>
      </w:pPr>
    </w:p>
    <w:p w14:paraId="493EBFEE" w14:textId="77777777" w:rsidR="00C3264D" w:rsidRDefault="00C3264D">
      <w:pPr>
        <w:spacing w:after="0"/>
        <w:jc w:val="both"/>
        <w:rPr>
          <w:rFonts w:ascii="Times New Roman" w:hAnsi="Times New Roman"/>
          <w:sz w:val="24"/>
          <w:szCs w:val="24"/>
        </w:rPr>
      </w:pPr>
    </w:p>
    <w:p w14:paraId="0755FAA3" w14:textId="77777777" w:rsidR="00C3264D" w:rsidRDefault="00C3264D">
      <w:pPr>
        <w:spacing w:after="0"/>
        <w:jc w:val="both"/>
        <w:rPr>
          <w:rFonts w:ascii="Times New Roman" w:hAnsi="Times New Roman"/>
          <w:sz w:val="24"/>
          <w:szCs w:val="24"/>
        </w:rPr>
      </w:pPr>
    </w:p>
    <w:p w14:paraId="087CE548" w14:textId="77777777" w:rsidR="00C3264D" w:rsidRDefault="00C3264D">
      <w:pPr>
        <w:spacing w:after="0"/>
        <w:jc w:val="both"/>
        <w:rPr>
          <w:rFonts w:ascii="Times New Roman" w:hAnsi="Times New Roman"/>
          <w:sz w:val="24"/>
          <w:szCs w:val="24"/>
        </w:rPr>
      </w:pPr>
    </w:p>
    <w:p w14:paraId="3A74B91F" w14:textId="77777777" w:rsidR="00C3264D" w:rsidRDefault="00C3264D">
      <w:pPr>
        <w:spacing w:after="0"/>
        <w:jc w:val="both"/>
        <w:rPr>
          <w:rFonts w:ascii="Times New Roman" w:hAnsi="Times New Roman"/>
          <w:sz w:val="24"/>
          <w:szCs w:val="24"/>
        </w:rPr>
      </w:pPr>
    </w:p>
    <w:p w14:paraId="2AEEBC6B" w14:textId="77777777" w:rsidR="00C3264D" w:rsidRDefault="00C3264D">
      <w:pPr>
        <w:spacing w:after="0"/>
        <w:jc w:val="both"/>
        <w:rPr>
          <w:rFonts w:ascii="Times New Roman" w:hAnsi="Times New Roman"/>
          <w:sz w:val="24"/>
          <w:szCs w:val="24"/>
        </w:rPr>
      </w:pPr>
    </w:p>
    <w:p w14:paraId="23BF2CC4" w14:textId="77777777" w:rsidR="00C3264D" w:rsidRDefault="00C3264D">
      <w:pPr>
        <w:spacing w:after="0"/>
        <w:jc w:val="both"/>
        <w:rPr>
          <w:rFonts w:ascii="Times New Roman" w:hAnsi="Times New Roman"/>
          <w:sz w:val="24"/>
          <w:szCs w:val="24"/>
        </w:rPr>
      </w:pPr>
    </w:p>
    <w:p w14:paraId="78251126" w14:textId="77777777" w:rsidR="00C3264D" w:rsidRDefault="00C3264D">
      <w:pPr>
        <w:spacing w:after="0"/>
        <w:jc w:val="both"/>
        <w:rPr>
          <w:rFonts w:ascii="Times New Roman" w:hAnsi="Times New Roman"/>
          <w:sz w:val="24"/>
          <w:szCs w:val="24"/>
        </w:rPr>
      </w:pPr>
    </w:p>
    <w:p w14:paraId="410FD69E" w14:textId="77777777" w:rsidR="00C3264D" w:rsidRDefault="00C3264D">
      <w:pPr>
        <w:spacing w:after="0"/>
        <w:jc w:val="both"/>
        <w:rPr>
          <w:rFonts w:ascii="Times New Roman" w:hAnsi="Times New Roman"/>
          <w:sz w:val="24"/>
          <w:szCs w:val="24"/>
        </w:rPr>
      </w:pPr>
    </w:p>
    <w:p w14:paraId="17A92FF6" w14:textId="77777777" w:rsidR="00C3264D" w:rsidRDefault="00C3264D">
      <w:pPr>
        <w:spacing w:after="0"/>
        <w:jc w:val="both"/>
        <w:rPr>
          <w:rFonts w:ascii="Times New Roman" w:hAnsi="Times New Roman"/>
          <w:sz w:val="24"/>
          <w:szCs w:val="24"/>
        </w:rPr>
      </w:pPr>
    </w:p>
    <w:p w14:paraId="50A1AB8F" w14:textId="77777777" w:rsidR="00C3264D" w:rsidRDefault="00C3264D">
      <w:pPr>
        <w:spacing w:after="0"/>
        <w:jc w:val="both"/>
        <w:rPr>
          <w:rFonts w:ascii="Times New Roman" w:hAnsi="Times New Roman"/>
          <w:sz w:val="24"/>
          <w:szCs w:val="24"/>
        </w:rPr>
      </w:pPr>
    </w:p>
    <w:p w14:paraId="653F79D1" w14:textId="77777777" w:rsidR="00C3264D" w:rsidRDefault="00C3264D">
      <w:pPr>
        <w:spacing w:after="0"/>
        <w:jc w:val="both"/>
        <w:rPr>
          <w:rFonts w:ascii="Times New Roman" w:hAnsi="Times New Roman"/>
          <w:sz w:val="24"/>
          <w:szCs w:val="24"/>
        </w:rPr>
      </w:pPr>
    </w:p>
    <w:p w14:paraId="4F314435" w14:textId="77777777" w:rsidR="00C3264D" w:rsidRDefault="00C3264D">
      <w:pPr>
        <w:spacing w:after="0"/>
        <w:jc w:val="both"/>
        <w:rPr>
          <w:rFonts w:ascii="Times New Roman" w:hAnsi="Times New Roman"/>
          <w:sz w:val="24"/>
          <w:szCs w:val="24"/>
        </w:rPr>
      </w:pPr>
    </w:p>
    <w:p w14:paraId="301273B5" w14:textId="77777777" w:rsidR="00C3264D" w:rsidRDefault="00C3264D">
      <w:pPr>
        <w:spacing w:after="0"/>
        <w:jc w:val="both"/>
        <w:rPr>
          <w:rFonts w:ascii="Times New Roman" w:hAnsi="Times New Roman"/>
          <w:sz w:val="24"/>
          <w:szCs w:val="24"/>
        </w:rPr>
      </w:pPr>
    </w:p>
    <w:p w14:paraId="4EEDA10C" w14:textId="77777777" w:rsidR="00C3264D" w:rsidRDefault="00A52F4C">
      <w:pPr>
        <w:pStyle w:val="Heading2"/>
        <w:rPr>
          <w:i w:val="0"/>
        </w:rPr>
      </w:pPr>
      <w:bookmarkStart w:id="17" w:name="_Toc28015588"/>
      <w:r>
        <w:rPr>
          <w:i w:val="0"/>
        </w:rPr>
        <w:t>3.2. Търсене: извадени от обръщение квоти</w:t>
      </w:r>
      <w:bookmarkEnd w:id="17"/>
    </w:p>
    <w:p w14:paraId="0D482F57" w14:textId="77777777" w:rsidR="00C3264D" w:rsidRPr="004F62FA" w:rsidRDefault="003A348D">
      <w:pPr>
        <w:jc w:val="both"/>
        <w:rPr>
          <w:sz w:val="24"/>
          <w:szCs w:val="24"/>
        </w:rPr>
      </w:pPr>
      <w:r w:rsidRPr="004F62FA">
        <w:rPr>
          <w:rFonts w:ascii="Times New Roman" w:hAnsi="Times New Roman"/>
          <w:sz w:val="24"/>
          <w:szCs w:val="24"/>
        </w:rPr>
        <w:t xml:space="preserve">Оценено е, че през 2018 г. емисиите от инсталации, участващи в СТЕ на ЕС, са намалели с 4,1 % спрямо 2017 г. съгласно вписаната в Регистъра на ЕС информация. Както е показано на таблица 7, намалението на емисиите се дължи главно на производството на електрическа и топлинна енергия, докато емисиите от промишлеността са отбелязали съвсем леко намаление. </w:t>
      </w:r>
    </w:p>
    <w:p w14:paraId="254CD840" w14:textId="77777777" w:rsidR="00C3264D" w:rsidRDefault="003A348D">
      <w:pPr>
        <w:pStyle w:val="Caption"/>
        <w:keepNext/>
        <w:rPr>
          <w:rFonts w:ascii="Times New Roman" w:hAnsi="Times New Roman"/>
          <w:color w:val="000000"/>
          <w:sz w:val="22"/>
          <w:szCs w:val="22"/>
        </w:rPr>
      </w:pPr>
      <w:r>
        <w:rPr>
          <w:rFonts w:ascii="Times New Roman" w:hAnsi="Times New Roman"/>
          <w:sz w:val="22"/>
          <w:szCs w:val="22"/>
        </w:rPr>
        <w:t>Таблица 7: Верифицирани емисии (в милиони тонове CO</w:t>
      </w:r>
      <w:r>
        <w:rPr>
          <w:rFonts w:ascii="Times New Roman" w:hAnsi="Times New Roman"/>
          <w:b w:val="0"/>
          <w:bCs w:val="0"/>
          <w:sz w:val="22"/>
          <w:szCs w:val="22"/>
        </w:rPr>
        <w:t>CO</w:t>
      </w:r>
      <w:r>
        <w:rPr>
          <w:rFonts w:ascii="Times New Roman" w:hAnsi="Times New Roman"/>
          <w:b w:val="0"/>
          <w:bCs w:val="0"/>
          <w:sz w:val="22"/>
          <w:szCs w:val="22"/>
          <w:vertAlign w:val="subscript"/>
        </w:rPr>
        <w:t>2</w:t>
      </w:r>
      <w:r>
        <w:rPr>
          <w:rFonts w:ascii="Times New Roman" w:hAnsi="Times New Roman"/>
          <w:b w:val="0"/>
          <w:bCs w:val="0"/>
          <w:sz w:val="22"/>
          <w:szCs w:val="22"/>
        </w:rPr>
        <w:t xml:space="preserve"> </w:t>
      </w:r>
      <w:r>
        <w:rPr>
          <w:rFonts w:ascii="Times New Roman" w:hAnsi="Times New Roman"/>
          <w:sz w:val="22"/>
          <w:szCs w:val="22"/>
        </w:rPr>
        <w:t>еквивалент)</w:t>
      </w:r>
      <w:r>
        <w:rPr>
          <w:rStyle w:val="FootnoteReference"/>
          <w:rFonts w:ascii="Times New Roman" w:hAnsi="Times New Roman"/>
          <w:sz w:val="22"/>
          <w:szCs w:val="22"/>
        </w:rPr>
        <w:footnoteReference w:id="43"/>
      </w:r>
    </w:p>
    <w:tbl>
      <w:tblPr>
        <w:tblW w:w="4992" w:type="pct"/>
        <w:tblInd w:w="108" w:type="dxa"/>
        <w:tblLayout w:type="fixed"/>
        <w:tblCellMar>
          <w:left w:w="0" w:type="dxa"/>
          <w:right w:w="0" w:type="dxa"/>
        </w:tblCellMar>
        <w:tblLook w:val="04A0" w:firstRow="1" w:lastRow="0" w:firstColumn="1" w:lastColumn="0" w:noHBand="0" w:noVBand="1"/>
      </w:tblPr>
      <w:tblGrid>
        <w:gridCol w:w="2077"/>
        <w:gridCol w:w="895"/>
        <w:gridCol w:w="881"/>
        <w:gridCol w:w="882"/>
        <w:gridCol w:w="882"/>
        <w:gridCol w:w="881"/>
        <w:gridCol w:w="882"/>
        <w:gridCol w:w="879"/>
        <w:gridCol w:w="875"/>
      </w:tblGrid>
      <w:tr w:rsidR="00C3264D" w14:paraId="167E3B00" w14:textId="77777777" w:rsidTr="00E72EF9">
        <w:trPr>
          <w:trHeight w:val="474"/>
        </w:trPr>
        <w:tc>
          <w:tcPr>
            <w:tcW w:w="1137" w:type="pct"/>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vAlign w:val="center"/>
          </w:tcPr>
          <w:p w14:paraId="1010D935" w14:textId="77777777" w:rsidR="00C3264D" w:rsidRDefault="00250CD2">
            <w:pPr>
              <w:jc w:val="center"/>
              <w:rPr>
                <w:rFonts w:ascii="Times New Roman" w:hAnsi="Times New Roman"/>
                <w:b/>
                <w:bCs/>
                <w:color w:val="000000"/>
                <w:sz w:val="20"/>
                <w:szCs w:val="20"/>
              </w:rPr>
            </w:pPr>
            <w:r>
              <w:rPr>
                <w:rFonts w:ascii="Times New Roman" w:hAnsi="Times New Roman"/>
                <w:b/>
                <w:bCs/>
                <w:sz w:val="20"/>
                <w:szCs w:val="20"/>
              </w:rPr>
              <w:t>Година</w:t>
            </w:r>
          </w:p>
        </w:tc>
        <w:tc>
          <w:tcPr>
            <w:tcW w:w="490" w:type="pct"/>
            <w:tcBorders>
              <w:top w:val="double" w:sz="4" w:space="0" w:color="auto"/>
              <w:left w:val="nil"/>
              <w:bottom w:val="double" w:sz="4" w:space="0" w:color="auto"/>
              <w:right w:val="double" w:sz="4" w:space="0" w:color="auto"/>
            </w:tcBorders>
            <w:tcMar>
              <w:top w:w="0" w:type="dxa"/>
              <w:left w:w="108" w:type="dxa"/>
              <w:bottom w:w="0" w:type="dxa"/>
              <w:right w:w="108" w:type="dxa"/>
            </w:tcMar>
            <w:vAlign w:val="center"/>
          </w:tcPr>
          <w:p w14:paraId="71698471" w14:textId="77777777" w:rsidR="00C3264D" w:rsidRDefault="00250CD2">
            <w:pPr>
              <w:jc w:val="center"/>
              <w:rPr>
                <w:rFonts w:ascii="Times New Roman" w:hAnsi="Times New Roman"/>
                <w:b/>
                <w:sz w:val="20"/>
                <w:szCs w:val="20"/>
              </w:rPr>
            </w:pPr>
            <w:r>
              <w:rPr>
                <w:rFonts w:ascii="Times New Roman" w:hAnsi="Times New Roman"/>
                <w:b/>
                <w:sz w:val="20"/>
                <w:szCs w:val="20"/>
              </w:rPr>
              <w:t>2011 г.</w:t>
            </w:r>
          </w:p>
        </w:tc>
        <w:tc>
          <w:tcPr>
            <w:tcW w:w="482" w:type="pct"/>
            <w:tcBorders>
              <w:top w:val="double" w:sz="4" w:space="0" w:color="auto"/>
              <w:left w:val="nil"/>
              <w:bottom w:val="double" w:sz="4" w:space="0" w:color="auto"/>
              <w:right w:val="double" w:sz="4" w:space="0" w:color="auto"/>
            </w:tcBorders>
            <w:tcMar>
              <w:top w:w="0" w:type="dxa"/>
              <w:left w:w="108" w:type="dxa"/>
              <w:bottom w:w="0" w:type="dxa"/>
              <w:right w:w="108" w:type="dxa"/>
            </w:tcMar>
            <w:vAlign w:val="center"/>
          </w:tcPr>
          <w:p w14:paraId="780ADA1C" w14:textId="77777777" w:rsidR="00C3264D" w:rsidRDefault="00250CD2">
            <w:pPr>
              <w:jc w:val="center"/>
              <w:rPr>
                <w:rFonts w:ascii="Times New Roman" w:hAnsi="Times New Roman"/>
                <w:b/>
                <w:sz w:val="20"/>
                <w:szCs w:val="20"/>
              </w:rPr>
            </w:pPr>
            <w:r>
              <w:rPr>
                <w:rFonts w:ascii="Times New Roman" w:hAnsi="Times New Roman"/>
                <w:b/>
                <w:sz w:val="20"/>
                <w:szCs w:val="20"/>
              </w:rPr>
              <w:t>2012 г.</w:t>
            </w:r>
          </w:p>
        </w:tc>
        <w:tc>
          <w:tcPr>
            <w:tcW w:w="483" w:type="pct"/>
            <w:tcBorders>
              <w:top w:val="double" w:sz="4" w:space="0" w:color="auto"/>
              <w:left w:val="nil"/>
              <w:bottom w:val="double" w:sz="4" w:space="0" w:color="auto"/>
              <w:right w:val="double" w:sz="4" w:space="0" w:color="auto"/>
            </w:tcBorders>
            <w:tcMar>
              <w:top w:w="0" w:type="dxa"/>
              <w:left w:w="108" w:type="dxa"/>
              <w:bottom w:w="0" w:type="dxa"/>
              <w:right w:w="108" w:type="dxa"/>
            </w:tcMar>
            <w:vAlign w:val="center"/>
          </w:tcPr>
          <w:p w14:paraId="535E5623" w14:textId="77777777" w:rsidR="00C3264D" w:rsidRDefault="00250CD2">
            <w:pPr>
              <w:jc w:val="center"/>
              <w:rPr>
                <w:rFonts w:ascii="Times New Roman" w:hAnsi="Times New Roman"/>
                <w:b/>
                <w:sz w:val="20"/>
                <w:szCs w:val="20"/>
              </w:rPr>
            </w:pPr>
            <w:r>
              <w:rPr>
                <w:rFonts w:ascii="Times New Roman" w:hAnsi="Times New Roman"/>
                <w:b/>
                <w:sz w:val="20"/>
                <w:szCs w:val="20"/>
              </w:rPr>
              <w:t>2013 г.</w:t>
            </w:r>
          </w:p>
        </w:tc>
        <w:tc>
          <w:tcPr>
            <w:tcW w:w="483" w:type="pct"/>
            <w:tcBorders>
              <w:top w:val="double" w:sz="4" w:space="0" w:color="auto"/>
              <w:left w:val="nil"/>
              <w:bottom w:val="double" w:sz="4" w:space="0" w:color="auto"/>
              <w:right w:val="double" w:sz="4" w:space="0" w:color="auto"/>
            </w:tcBorders>
            <w:tcMar>
              <w:top w:w="0" w:type="dxa"/>
              <w:left w:w="108" w:type="dxa"/>
              <w:bottom w:w="0" w:type="dxa"/>
              <w:right w:w="108" w:type="dxa"/>
            </w:tcMar>
            <w:vAlign w:val="center"/>
          </w:tcPr>
          <w:p w14:paraId="651B6131" w14:textId="77777777" w:rsidR="00C3264D" w:rsidRDefault="00250CD2">
            <w:pPr>
              <w:jc w:val="center"/>
              <w:rPr>
                <w:rFonts w:ascii="Times New Roman" w:hAnsi="Times New Roman"/>
                <w:b/>
                <w:sz w:val="20"/>
                <w:szCs w:val="20"/>
              </w:rPr>
            </w:pPr>
            <w:r>
              <w:rPr>
                <w:rFonts w:ascii="Times New Roman" w:hAnsi="Times New Roman"/>
                <w:b/>
                <w:sz w:val="20"/>
                <w:szCs w:val="20"/>
              </w:rPr>
              <w:t>2014 г.</w:t>
            </w:r>
          </w:p>
        </w:tc>
        <w:tc>
          <w:tcPr>
            <w:tcW w:w="482" w:type="pct"/>
            <w:tcBorders>
              <w:top w:val="double" w:sz="4" w:space="0" w:color="auto"/>
              <w:left w:val="nil"/>
              <w:bottom w:val="double" w:sz="4" w:space="0" w:color="auto"/>
              <w:right w:val="double" w:sz="4" w:space="0" w:color="auto"/>
            </w:tcBorders>
            <w:tcMar>
              <w:top w:w="0" w:type="dxa"/>
              <w:left w:w="108" w:type="dxa"/>
              <w:bottom w:w="0" w:type="dxa"/>
              <w:right w:w="108" w:type="dxa"/>
            </w:tcMar>
            <w:vAlign w:val="center"/>
          </w:tcPr>
          <w:p w14:paraId="666C84E4" w14:textId="77777777" w:rsidR="00C3264D" w:rsidRDefault="00250CD2">
            <w:pPr>
              <w:jc w:val="center"/>
              <w:rPr>
                <w:rFonts w:ascii="Times New Roman" w:hAnsi="Times New Roman"/>
                <w:b/>
                <w:sz w:val="20"/>
                <w:szCs w:val="20"/>
              </w:rPr>
            </w:pPr>
            <w:r>
              <w:rPr>
                <w:rFonts w:ascii="Times New Roman" w:hAnsi="Times New Roman"/>
                <w:b/>
                <w:sz w:val="20"/>
                <w:szCs w:val="20"/>
              </w:rPr>
              <w:t>2015 г.</w:t>
            </w:r>
          </w:p>
        </w:tc>
        <w:tc>
          <w:tcPr>
            <w:tcW w:w="483" w:type="pct"/>
            <w:tcBorders>
              <w:top w:val="double" w:sz="4" w:space="0" w:color="auto"/>
              <w:left w:val="nil"/>
              <w:bottom w:val="double" w:sz="4" w:space="0" w:color="auto"/>
              <w:right w:val="double" w:sz="4" w:space="0" w:color="auto"/>
            </w:tcBorders>
            <w:tcMar>
              <w:top w:w="0" w:type="dxa"/>
              <w:left w:w="108" w:type="dxa"/>
              <w:bottom w:w="0" w:type="dxa"/>
              <w:right w:w="108" w:type="dxa"/>
            </w:tcMar>
            <w:vAlign w:val="center"/>
          </w:tcPr>
          <w:p w14:paraId="6C3314D6" w14:textId="77777777" w:rsidR="00C3264D" w:rsidRDefault="00250CD2">
            <w:pPr>
              <w:jc w:val="center"/>
              <w:rPr>
                <w:rFonts w:ascii="Times New Roman" w:hAnsi="Times New Roman"/>
                <w:b/>
                <w:sz w:val="20"/>
                <w:szCs w:val="20"/>
              </w:rPr>
            </w:pPr>
            <w:r>
              <w:rPr>
                <w:rFonts w:ascii="Times New Roman" w:hAnsi="Times New Roman"/>
                <w:b/>
                <w:sz w:val="20"/>
                <w:szCs w:val="20"/>
              </w:rPr>
              <w:t>2016 г.</w:t>
            </w:r>
          </w:p>
        </w:tc>
        <w:tc>
          <w:tcPr>
            <w:tcW w:w="481" w:type="pct"/>
            <w:tcBorders>
              <w:top w:val="double" w:sz="4" w:space="0" w:color="auto"/>
              <w:left w:val="nil"/>
              <w:bottom w:val="double" w:sz="4" w:space="0" w:color="auto"/>
              <w:right w:val="double" w:sz="4" w:space="0" w:color="auto"/>
            </w:tcBorders>
            <w:tcMar>
              <w:top w:w="0" w:type="dxa"/>
              <w:left w:w="108" w:type="dxa"/>
              <w:bottom w:w="0" w:type="dxa"/>
              <w:right w:w="108" w:type="dxa"/>
            </w:tcMar>
            <w:vAlign w:val="center"/>
          </w:tcPr>
          <w:p w14:paraId="7EB3592A" w14:textId="77777777" w:rsidR="00C3264D" w:rsidRDefault="00250CD2">
            <w:pPr>
              <w:jc w:val="center"/>
              <w:rPr>
                <w:rFonts w:ascii="Times New Roman" w:hAnsi="Times New Roman"/>
                <w:b/>
                <w:sz w:val="20"/>
                <w:szCs w:val="20"/>
              </w:rPr>
            </w:pPr>
            <w:r>
              <w:rPr>
                <w:rFonts w:ascii="Times New Roman" w:hAnsi="Times New Roman"/>
                <w:b/>
                <w:sz w:val="20"/>
                <w:szCs w:val="20"/>
              </w:rPr>
              <w:t>2017 г.</w:t>
            </w:r>
          </w:p>
        </w:tc>
        <w:tc>
          <w:tcPr>
            <w:tcW w:w="479" w:type="pct"/>
            <w:tcBorders>
              <w:top w:val="double" w:sz="4" w:space="0" w:color="auto"/>
              <w:left w:val="nil"/>
              <w:bottom w:val="double" w:sz="4" w:space="0" w:color="auto"/>
              <w:right w:val="double" w:sz="4" w:space="0" w:color="auto"/>
            </w:tcBorders>
            <w:vAlign w:val="center"/>
          </w:tcPr>
          <w:p w14:paraId="4170912D" w14:textId="77777777" w:rsidR="00C3264D" w:rsidRDefault="00250CD2">
            <w:pPr>
              <w:jc w:val="center"/>
              <w:rPr>
                <w:rFonts w:ascii="Times New Roman" w:hAnsi="Times New Roman"/>
                <w:b/>
                <w:sz w:val="20"/>
                <w:szCs w:val="20"/>
              </w:rPr>
            </w:pPr>
            <w:r>
              <w:rPr>
                <w:rFonts w:ascii="Times New Roman" w:hAnsi="Times New Roman"/>
                <w:b/>
                <w:sz w:val="20"/>
                <w:szCs w:val="20"/>
              </w:rPr>
              <w:t>2018 г.</w:t>
            </w:r>
          </w:p>
        </w:tc>
      </w:tr>
      <w:tr w:rsidR="00C3264D" w14:paraId="4BB93598" w14:textId="77777777" w:rsidTr="00E72EF9">
        <w:trPr>
          <w:trHeight w:val="474"/>
        </w:trPr>
        <w:tc>
          <w:tcPr>
            <w:tcW w:w="1137" w:type="pct"/>
            <w:tcBorders>
              <w:top w:val="nil"/>
              <w:left w:val="double" w:sz="4" w:space="0" w:color="auto"/>
              <w:bottom w:val="double" w:sz="4" w:space="0" w:color="auto"/>
              <w:right w:val="double" w:sz="4" w:space="0" w:color="auto"/>
            </w:tcBorders>
            <w:tcMar>
              <w:top w:w="0" w:type="dxa"/>
              <w:left w:w="108" w:type="dxa"/>
              <w:bottom w:w="0" w:type="dxa"/>
              <w:right w:w="108" w:type="dxa"/>
            </w:tcMar>
            <w:vAlign w:val="center"/>
            <w:hideMark/>
          </w:tcPr>
          <w:p w14:paraId="03AA25B4" w14:textId="77777777" w:rsidR="00C3264D" w:rsidRDefault="00250CD2">
            <w:pPr>
              <w:jc w:val="center"/>
              <w:rPr>
                <w:rFonts w:ascii="Times New Roman" w:hAnsi="Times New Roman"/>
                <w:color w:val="FF0000"/>
                <w:sz w:val="20"/>
                <w:szCs w:val="20"/>
              </w:rPr>
            </w:pPr>
            <w:r>
              <w:rPr>
                <w:rFonts w:ascii="Times New Roman" w:hAnsi="Times New Roman"/>
                <w:b/>
                <w:bCs/>
                <w:sz w:val="20"/>
                <w:szCs w:val="20"/>
              </w:rPr>
              <w:t>Верифицирани общи емисии</w:t>
            </w:r>
          </w:p>
        </w:tc>
        <w:tc>
          <w:tcPr>
            <w:tcW w:w="490"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31750E6F" w14:textId="77777777" w:rsidR="00C3264D" w:rsidRDefault="00250CD2">
            <w:pPr>
              <w:jc w:val="center"/>
              <w:rPr>
                <w:rFonts w:ascii="Times New Roman" w:hAnsi="Times New Roman"/>
                <w:sz w:val="20"/>
                <w:szCs w:val="20"/>
              </w:rPr>
            </w:pPr>
            <w:r>
              <w:rPr>
                <w:rFonts w:ascii="Times New Roman" w:hAnsi="Times New Roman"/>
                <w:sz w:val="20"/>
                <w:szCs w:val="20"/>
              </w:rPr>
              <w:t>1 904</w:t>
            </w:r>
          </w:p>
        </w:tc>
        <w:tc>
          <w:tcPr>
            <w:tcW w:w="482"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72B779F5" w14:textId="77777777" w:rsidR="00C3264D" w:rsidRDefault="00250CD2">
            <w:pPr>
              <w:jc w:val="center"/>
              <w:rPr>
                <w:rFonts w:ascii="Times New Roman" w:hAnsi="Times New Roman"/>
                <w:sz w:val="20"/>
                <w:szCs w:val="20"/>
              </w:rPr>
            </w:pPr>
            <w:r>
              <w:rPr>
                <w:rFonts w:ascii="Times New Roman" w:hAnsi="Times New Roman"/>
                <w:sz w:val="20"/>
                <w:szCs w:val="20"/>
              </w:rPr>
              <w:t>1 867</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03CEB0B5" w14:textId="77777777" w:rsidR="00C3264D" w:rsidRDefault="00250CD2">
            <w:pPr>
              <w:jc w:val="center"/>
              <w:rPr>
                <w:rFonts w:ascii="Times New Roman" w:hAnsi="Times New Roman"/>
                <w:sz w:val="20"/>
                <w:szCs w:val="20"/>
              </w:rPr>
            </w:pPr>
            <w:r>
              <w:rPr>
                <w:rFonts w:ascii="Times New Roman" w:hAnsi="Times New Roman"/>
                <w:sz w:val="20"/>
                <w:szCs w:val="20"/>
              </w:rPr>
              <w:t>1 908</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2B5DB73E" w14:textId="77777777" w:rsidR="00C3264D" w:rsidRDefault="00250CD2">
            <w:pPr>
              <w:jc w:val="center"/>
              <w:rPr>
                <w:rFonts w:ascii="Times New Roman" w:hAnsi="Times New Roman"/>
                <w:sz w:val="20"/>
                <w:szCs w:val="20"/>
              </w:rPr>
            </w:pPr>
            <w:r>
              <w:rPr>
                <w:rFonts w:ascii="Times New Roman" w:hAnsi="Times New Roman"/>
                <w:sz w:val="20"/>
                <w:szCs w:val="20"/>
              </w:rPr>
              <w:t>1 814</w:t>
            </w:r>
          </w:p>
        </w:tc>
        <w:tc>
          <w:tcPr>
            <w:tcW w:w="482"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454B94CC" w14:textId="77777777" w:rsidR="00C3264D" w:rsidRDefault="00250CD2">
            <w:pPr>
              <w:jc w:val="center"/>
              <w:rPr>
                <w:rFonts w:ascii="Times New Roman" w:hAnsi="Times New Roman"/>
                <w:sz w:val="20"/>
                <w:szCs w:val="20"/>
              </w:rPr>
            </w:pPr>
            <w:r>
              <w:rPr>
                <w:rFonts w:ascii="Times New Roman" w:hAnsi="Times New Roman"/>
                <w:sz w:val="20"/>
                <w:szCs w:val="20"/>
              </w:rPr>
              <w:t>1 803</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7F9836B0" w14:textId="77777777" w:rsidR="00C3264D" w:rsidRDefault="00250CD2">
            <w:pPr>
              <w:jc w:val="center"/>
              <w:rPr>
                <w:rFonts w:ascii="Times New Roman" w:hAnsi="Times New Roman"/>
                <w:sz w:val="20"/>
                <w:szCs w:val="20"/>
              </w:rPr>
            </w:pPr>
            <w:r>
              <w:rPr>
                <w:rFonts w:ascii="Times New Roman" w:hAnsi="Times New Roman"/>
                <w:sz w:val="20"/>
                <w:szCs w:val="20"/>
              </w:rPr>
              <w:t>1 750</w:t>
            </w:r>
          </w:p>
        </w:tc>
        <w:tc>
          <w:tcPr>
            <w:tcW w:w="481"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0D770350" w14:textId="77777777" w:rsidR="00C3264D" w:rsidRDefault="00250CD2">
            <w:pPr>
              <w:jc w:val="center"/>
              <w:rPr>
                <w:rFonts w:ascii="Times New Roman" w:hAnsi="Times New Roman"/>
                <w:sz w:val="20"/>
                <w:szCs w:val="20"/>
              </w:rPr>
            </w:pPr>
            <w:r>
              <w:rPr>
                <w:rFonts w:ascii="Times New Roman" w:hAnsi="Times New Roman"/>
                <w:sz w:val="20"/>
                <w:szCs w:val="20"/>
              </w:rPr>
              <w:t>1 755</w:t>
            </w:r>
          </w:p>
        </w:tc>
        <w:tc>
          <w:tcPr>
            <w:tcW w:w="479" w:type="pct"/>
            <w:tcBorders>
              <w:top w:val="nil"/>
              <w:left w:val="nil"/>
              <w:bottom w:val="double" w:sz="4" w:space="0" w:color="auto"/>
              <w:right w:val="double" w:sz="4" w:space="0" w:color="auto"/>
            </w:tcBorders>
            <w:vAlign w:val="center"/>
          </w:tcPr>
          <w:p w14:paraId="29C6D3D4" w14:textId="77777777" w:rsidR="00C3264D" w:rsidRDefault="00E20A97">
            <w:pPr>
              <w:jc w:val="center"/>
              <w:rPr>
                <w:rFonts w:ascii="Times New Roman" w:hAnsi="Times New Roman"/>
                <w:sz w:val="20"/>
                <w:szCs w:val="20"/>
              </w:rPr>
            </w:pPr>
            <w:r>
              <w:rPr>
                <w:rFonts w:ascii="Times New Roman" w:hAnsi="Times New Roman"/>
                <w:sz w:val="20"/>
                <w:szCs w:val="20"/>
              </w:rPr>
              <w:t>1 682</w:t>
            </w:r>
          </w:p>
        </w:tc>
      </w:tr>
      <w:tr w:rsidR="00C3264D" w14:paraId="13F898C8" w14:textId="77777777" w:rsidTr="00E72EF9">
        <w:tc>
          <w:tcPr>
            <w:tcW w:w="1137" w:type="pct"/>
            <w:tcBorders>
              <w:top w:val="nil"/>
              <w:left w:val="double" w:sz="4" w:space="0" w:color="auto"/>
              <w:bottom w:val="double" w:sz="4" w:space="0" w:color="auto"/>
              <w:right w:val="double" w:sz="4" w:space="0" w:color="auto"/>
            </w:tcBorders>
            <w:tcMar>
              <w:top w:w="0" w:type="dxa"/>
              <w:left w:w="108" w:type="dxa"/>
              <w:bottom w:w="0" w:type="dxa"/>
              <w:right w:w="108" w:type="dxa"/>
            </w:tcMar>
            <w:vAlign w:val="center"/>
            <w:hideMark/>
          </w:tcPr>
          <w:p w14:paraId="1B49F04C" w14:textId="77777777" w:rsidR="00C3264D" w:rsidRDefault="00250CD2">
            <w:pPr>
              <w:jc w:val="center"/>
              <w:rPr>
                <w:rFonts w:ascii="Times New Roman" w:hAnsi="Times New Roman"/>
                <w:b/>
                <w:bCs/>
                <w:color w:val="000000"/>
                <w:sz w:val="20"/>
                <w:szCs w:val="20"/>
              </w:rPr>
            </w:pPr>
            <w:r>
              <w:rPr>
                <w:rFonts w:ascii="Times New Roman" w:hAnsi="Times New Roman"/>
                <w:b/>
                <w:bCs/>
                <w:sz w:val="20"/>
                <w:szCs w:val="20"/>
              </w:rPr>
              <w:t>Изменение спрямо година x-1</w:t>
            </w:r>
          </w:p>
        </w:tc>
        <w:tc>
          <w:tcPr>
            <w:tcW w:w="490"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7E94528C" w14:textId="77777777" w:rsidR="00C3264D" w:rsidRDefault="00250CD2">
            <w:pPr>
              <w:jc w:val="center"/>
              <w:rPr>
                <w:rFonts w:ascii="Times New Roman" w:hAnsi="Times New Roman"/>
                <w:color w:val="FF0000"/>
                <w:sz w:val="20"/>
                <w:szCs w:val="20"/>
              </w:rPr>
            </w:pPr>
            <w:r>
              <w:rPr>
                <w:rFonts w:ascii="Times New Roman" w:hAnsi="Times New Roman"/>
                <w:sz w:val="20"/>
                <w:szCs w:val="20"/>
              </w:rPr>
              <w:t>-1,8 %</w:t>
            </w:r>
          </w:p>
        </w:tc>
        <w:tc>
          <w:tcPr>
            <w:tcW w:w="482"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1B2FB4E1" w14:textId="77777777" w:rsidR="00C3264D" w:rsidRDefault="00250CD2">
            <w:pPr>
              <w:jc w:val="center"/>
              <w:rPr>
                <w:rFonts w:ascii="Times New Roman" w:hAnsi="Times New Roman"/>
                <w:color w:val="FF0000"/>
                <w:sz w:val="20"/>
                <w:szCs w:val="20"/>
              </w:rPr>
            </w:pPr>
            <w:r>
              <w:rPr>
                <w:rFonts w:ascii="Times New Roman" w:hAnsi="Times New Roman"/>
                <w:sz w:val="20"/>
                <w:szCs w:val="20"/>
              </w:rPr>
              <w:t>-2 %</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103AE47F" w14:textId="77777777" w:rsidR="00C3264D" w:rsidRDefault="00250CD2">
            <w:pPr>
              <w:jc w:val="center"/>
              <w:rPr>
                <w:rFonts w:ascii="Times New Roman" w:hAnsi="Times New Roman"/>
                <w:color w:val="FF0000"/>
                <w:sz w:val="20"/>
                <w:szCs w:val="20"/>
              </w:rPr>
            </w:pPr>
            <w:r>
              <w:rPr>
                <w:rFonts w:ascii="Times New Roman" w:hAnsi="Times New Roman"/>
                <w:sz w:val="20"/>
                <w:szCs w:val="20"/>
              </w:rPr>
              <w:t>2,2 %</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3E5C9DED" w14:textId="77777777" w:rsidR="00C3264D" w:rsidRDefault="00250CD2">
            <w:pPr>
              <w:jc w:val="center"/>
              <w:rPr>
                <w:rFonts w:ascii="Times New Roman" w:hAnsi="Times New Roman"/>
                <w:color w:val="000000"/>
                <w:sz w:val="20"/>
                <w:szCs w:val="20"/>
              </w:rPr>
            </w:pPr>
            <w:r>
              <w:rPr>
                <w:rFonts w:ascii="Times New Roman" w:hAnsi="Times New Roman"/>
                <w:sz w:val="20"/>
                <w:szCs w:val="20"/>
              </w:rPr>
              <w:t>-4,9 %</w:t>
            </w:r>
          </w:p>
        </w:tc>
        <w:tc>
          <w:tcPr>
            <w:tcW w:w="482"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02235303" w14:textId="77777777" w:rsidR="00C3264D" w:rsidRDefault="00250CD2">
            <w:pPr>
              <w:jc w:val="center"/>
              <w:rPr>
                <w:rFonts w:ascii="Times New Roman" w:hAnsi="Times New Roman"/>
                <w:color w:val="000000"/>
                <w:sz w:val="20"/>
                <w:szCs w:val="20"/>
              </w:rPr>
            </w:pPr>
            <w:r>
              <w:rPr>
                <w:rFonts w:ascii="Times New Roman" w:hAnsi="Times New Roman"/>
                <w:sz w:val="20"/>
                <w:szCs w:val="20"/>
              </w:rPr>
              <w:t>-0,6 %</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20343943" w14:textId="77777777" w:rsidR="00C3264D" w:rsidRDefault="00250CD2">
            <w:pPr>
              <w:jc w:val="center"/>
              <w:rPr>
                <w:rFonts w:ascii="Times New Roman" w:hAnsi="Times New Roman"/>
                <w:color w:val="000000"/>
                <w:sz w:val="20"/>
                <w:szCs w:val="20"/>
              </w:rPr>
            </w:pPr>
            <w:r>
              <w:rPr>
                <w:rFonts w:ascii="Times New Roman" w:hAnsi="Times New Roman"/>
                <w:sz w:val="20"/>
                <w:szCs w:val="20"/>
              </w:rPr>
              <w:t>-2,9 %</w:t>
            </w:r>
          </w:p>
        </w:tc>
        <w:tc>
          <w:tcPr>
            <w:tcW w:w="481"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0E858867" w14:textId="77777777" w:rsidR="00C3264D" w:rsidRDefault="00250CD2">
            <w:pPr>
              <w:jc w:val="center"/>
              <w:rPr>
                <w:rFonts w:ascii="Times New Roman" w:hAnsi="Times New Roman"/>
                <w:color w:val="000000"/>
                <w:sz w:val="20"/>
                <w:szCs w:val="20"/>
              </w:rPr>
            </w:pPr>
            <w:r>
              <w:rPr>
                <w:rFonts w:ascii="Times New Roman" w:hAnsi="Times New Roman"/>
                <w:sz w:val="20"/>
                <w:szCs w:val="20"/>
              </w:rPr>
              <w:t>0,2 %</w:t>
            </w:r>
          </w:p>
        </w:tc>
        <w:tc>
          <w:tcPr>
            <w:tcW w:w="479" w:type="pct"/>
            <w:tcBorders>
              <w:top w:val="nil"/>
              <w:left w:val="nil"/>
              <w:bottom w:val="double" w:sz="4" w:space="0" w:color="auto"/>
              <w:right w:val="double" w:sz="4" w:space="0" w:color="auto"/>
            </w:tcBorders>
            <w:vAlign w:val="center"/>
          </w:tcPr>
          <w:p w14:paraId="33CE7F5B" w14:textId="77777777" w:rsidR="00C3264D" w:rsidRDefault="00E20A97">
            <w:pPr>
              <w:jc w:val="center"/>
              <w:rPr>
                <w:rFonts w:ascii="Times New Roman" w:hAnsi="Times New Roman"/>
                <w:color w:val="000000"/>
                <w:sz w:val="20"/>
                <w:szCs w:val="20"/>
              </w:rPr>
            </w:pPr>
            <w:r>
              <w:rPr>
                <w:rFonts w:ascii="Times New Roman" w:hAnsi="Times New Roman"/>
                <w:sz w:val="20"/>
                <w:szCs w:val="20"/>
              </w:rPr>
              <w:t>-4,1 %</w:t>
            </w:r>
          </w:p>
        </w:tc>
      </w:tr>
      <w:tr w:rsidR="00C3264D" w14:paraId="5A19CCEC" w14:textId="77777777" w:rsidTr="00E72EF9">
        <w:trPr>
          <w:trHeight w:val="558"/>
        </w:trPr>
        <w:tc>
          <w:tcPr>
            <w:tcW w:w="1137" w:type="pct"/>
            <w:tcBorders>
              <w:top w:val="nil"/>
              <w:left w:val="double" w:sz="4" w:space="0" w:color="auto"/>
              <w:bottom w:val="double" w:sz="4" w:space="0" w:color="auto"/>
              <w:right w:val="double" w:sz="4" w:space="0" w:color="auto"/>
            </w:tcBorders>
            <w:tcMar>
              <w:top w:w="0" w:type="dxa"/>
              <w:left w:w="108" w:type="dxa"/>
              <w:bottom w:w="0" w:type="dxa"/>
              <w:right w:w="108" w:type="dxa"/>
            </w:tcMar>
            <w:vAlign w:val="center"/>
            <w:hideMark/>
          </w:tcPr>
          <w:p w14:paraId="4309F883" w14:textId="77777777" w:rsidR="00C3264D" w:rsidRDefault="00250CD2">
            <w:pPr>
              <w:jc w:val="center"/>
              <w:rPr>
                <w:rFonts w:ascii="Times New Roman" w:hAnsi="Times New Roman"/>
                <w:b/>
                <w:bCs/>
                <w:color w:val="000000"/>
                <w:sz w:val="20"/>
                <w:szCs w:val="20"/>
              </w:rPr>
            </w:pPr>
            <w:r>
              <w:rPr>
                <w:rFonts w:ascii="Times New Roman" w:hAnsi="Times New Roman"/>
                <w:b/>
                <w:bCs/>
                <w:sz w:val="20"/>
                <w:szCs w:val="20"/>
              </w:rPr>
              <w:t>Верифицирани емисии от производство на електрическа и топлинна енергия</w:t>
            </w:r>
          </w:p>
        </w:tc>
        <w:tc>
          <w:tcPr>
            <w:tcW w:w="490"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708F9AD8" w14:textId="77777777" w:rsidR="00C3264D" w:rsidRDefault="00117A8A">
            <w:pPr>
              <w:jc w:val="center"/>
              <w:rPr>
                <w:rFonts w:ascii="Times New Roman" w:hAnsi="Times New Roman"/>
                <w:color w:val="000000"/>
                <w:sz w:val="20"/>
                <w:szCs w:val="20"/>
              </w:rPr>
            </w:pPr>
            <w:r>
              <w:rPr>
                <w:rFonts w:ascii="Times New Roman" w:hAnsi="Times New Roman"/>
                <w:sz w:val="20"/>
                <w:szCs w:val="20"/>
              </w:rPr>
              <w:t>1 190</w:t>
            </w:r>
          </w:p>
        </w:tc>
        <w:tc>
          <w:tcPr>
            <w:tcW w:w="482"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503447D4" w14:textId="77777777" w:rsidR="00C3264D" w:rsidRDefault="00117A8A">
            <w:pPr>
              <w:jc w:val="center"/>
              <w:rPr>
                <w:rFonts w:ascii="Times New Roman" w:hAnsi="Times New Roman"/>
                <w:color w:val="000000"/>
                <w:sz w:val="20"/>
                <w:szCs w:val="20"/>
              </w:rPr>
            </w:pPr>
            <w:r>
              <w:rPr>
                <w:rFonts w:ascii="Times New Roman" w:hAnsi="Times New Roman"/>
                <w:sz w:val="20"/>
                <w:szCs w:val="20"/>
              </w:rPr>
              <w:t>1 184</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00B4777F" w14:textId="77777777" w:rsidR="00C3264D" w:rsidRDefault="00117A8A">
            <w:pPr>
              <w:jc w:val="center"/>
              <w:rPr>
                <w:rFonts w:ascii="Times New Roman" w:hAnsi="Times New Roman"/>
                <w:color w:val="000000"/>
                <w:sz w:val="20"/>
                <w:szCs w:val="20"/>
              </w:rPr>
            </w:pPr>
            <w:r>
              <w:rPr>
                <w:rFonts w:ascii="Times New Roman" w:hAnsi="Times New Roman"/>
                <w:sz w:val="20"/>
                <w:szCs w:val="20"/>
              </w:rPr>
              <w:t>1 125</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2658F0B2" w14:textId="77777777" w:rsidR="00C3264D" w:rsidRDefault="00117A8A">
            <w:pPr>
              <w:jc w:val="center"/>
              <w:rPr>
                <w:rFonts w:ascii="Times New Roman" w:hAnsi="Times New Roman"/>
                <w:color w:val="000000"/>
                <w:sz w:val="20"/>
                <w:szCs w:val="20"/>
              </w:rPr>
            </w:pPr>
            <w:r>
              <w:rPr>
                <w:rFonts w:ascii="Times New Roman" w:hAnsi="Times New Roman"/>
                <w:sz w:val="20"/>
                <w:szCs w:val="20"/>
              </w:rPr>
              <w:t>1 037</w:t>
            </w:r>
          </w:p>
        </w:tc>
        <w:tc>
          <w:tcPr>
            <w:tcW w:w="482"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3D16A0ED" w14:textId="77777777" w:rsidR="00C3264D" w:rsidRDefault="00117A8A">
            <w:pPr>
              <w:jc w:val="center"/>
              <w:rPr>
                <w:rFonts w:ascii="Times New Roman" w:hAnsi="Times New Roman"/>
                <w:color w:val="000000"/>
                <w:sz w:val="20"/>
                <w:szCs w:val="20"/>
              </w:rPr>
            </w:pPr>
            <w:r>
              <w:rPr>
                <w:rFonts w:ascii="Times New Roman" w:hAnsi="Times New Roman"/>
                <w:sz w:val="20"/>
                <w:szCs w:val="20"/>
              </w:rPr>
              <w:t>1 032</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28287549" w14:textId="77777777" w:rsidR="00C3264D" w:rsidRDefault="00117A8A">
            <w:pPr>
              <w:jc w:val="center"/>
              <w:rPr>
                <w:rFonts w:ascii="Times New Roman" w:hAnsi="Times New Roman"/>
                <w:color w:val="000000"/>
                <w:sz w:val="20"/>
                <w:szCs w:val="20"/>
              </w:rPr>
            </w:pPr>
            <w:r>
              <w:rPr>
                <w:rFonts w:ascii="Times New Roman" w:hAnsi="Times New Roman"/>
                <w:sz w:val="20"/>
                <w:szCs w:val="20"/>
              </w:rPr>
              <w:t>992</w:t>
            </w:r>
          </w:p>
        </w:tc>
        <w:tc>
          <w:tcPr>
            <w:tcW w:w="481"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332830C3" w14:textId="77777777" w:rsidR="00C3264D" w:rsidRDefault="00117A8A">
            <w:pPr>
              <w:jc w:val="center"/>
              <w:rPr>
                <w:rFonts w:ascii="Times New Roman" w:hAnsi="Times New Roman"/>
                <w:color w:val="000000"/>
                <w:sz w:val="20"/>
                <w:szCs w:val="20"/>
              </w:rPr>
            </w:pPr>
            <w:r>
              <w:rPr>
                <w:rFonts w:ascii="Times New Roman" w:hAnsi="Times New Roman"/>
                <w:sz w:val="20"/>
                <w:szCs w:val="20"/>
              </w:rPr>
              <w:t>985</w:t>
            </w:r>
          </w:p>
        </w:tc>
        <w:tc>
          <w:tcPr>
            <w:tcW w:w="479" w:type="pct"/>
            <w:tcBorders>
              <w:top w:val="nil"/>
              <w:left w:val="nil"/>
              <w:bottom w:val="double" w:sz="4" w:space="0" w:color="auto"/>
              <w:right w:val="double" w:sz="4" w:space="0" w:color="auto"/>
            </w:tcBorders>
            <w:vAlign w:val="center"/>
          </w:tcPr>
          <w:p w14:paraId="27E36802" w14:textId="77777777" w:rsidR="00C3264D" w:rsidRDefault="00117A8A">
            <w:pPr>
              <w:jc w:val="center"/>
              <w:rPr>
                <w:rFonts w:ascii="Times New Roman" w:hAnsi="Times New Roman"/>
                <w:color w:val="000000"/>
                <w:sz w:val="20"/>
                <w:szCs w:val="20"/>
              </w:rPr>
            </w:pPr>
            <w:r>
              <w:rPr>
                <w:rFonts w:ascii="Times New Roman" w:hAnsi="Times New Roman"/>
                <w:sz w:val="20"/>
                <w:szCs w:val="20"/>
              </w:rPr>
              <w:t>913</w:t>
            </w:r>
          </w:p>
        </w:tc>
      </w:tr>
      <w:tr w:rsidR="00C3264D" w14:paraId="0B8F315E" w14:textId="77777777" w:rsidTr="00E72EF9">
        <w:tc>
          <w:tcPr>
            <w:tcW w:w="1137" w:type="pct"/>
            <w:tcBorders>
              <w:top w:val="nil"/>
              <w:left w:val="double" w:sz="4" w:space="0" w:color="auto"/>
              <w:bottom w:val="double" w:sz="4" w:space="0" w:color="auto"/>
              <w:right w:val="double" w:sz="4" w:space="0" w:color="auto"/>
            </w:tcBorders>
            <w:tcMar>
              <w:top w:w="0" w:type="dxa"/>
              <w:left w:w="108" w:type="dxa"/>
              <w:bottom w:w="0" w:type="dxa"/>
              <w:right w:w="108" w:type="dxa"/>
            </w:tcMar>
            <w:vAlign w:val="center"/>
            <w:hideMark/>
          </w:tcPr>
          <w:p w14:paraId="2AD75C6B" w14:textId="77777777" w:rsidR="00C3264D" w:rsidRDefault="00250CD2">
            <w:pPr>
              <w:jc w:val="center"/>
              <w:rPr>
                <w:rFonts w:ascii="Times New Roman" w:hAnsi="Times New Roman"/>
                <w:b/>
                <w:bCs/>
                <w:color w:val="000000"/>
                <w:sz w:val="20"/>
                <w:szCs w:val="20"/>
              </w:rPr>
            </w:pPr>
            <w:r>
              <w:rPr>
                <w:rFonts w:ascii="Times New Roman" w:hAnsi="Times New Roman"/>
                <w:b/>
                <w:bCs/>
                <w:sz w:val="20"/>
                <w:szCs w:val="20"/>
              </w:rPr>
              <w:t>Изменение спрямо година x-1</w:t>
            </w:r>
          </w:p>
        </w:tc>
        <w:tc>
          <w:tcPr>
            <w:tcW w:w="490" w:type="pct"/>
            <w:tcBorders>
              <w:top w:val="nil"/>
              <w:left w:val="nil"/>
              <w:bottom w:val="double" w:sz="4" w:space="0" w:color="auto"/>
              <w:right w:val="double" w:sz="4" w:space="0" w:color="auto"/>
            </w:tcBorders>
            <w:tcMar>
              <w:top w:w="0" w:type="dxa"/>
              <w:left w:w="108" w:type="dxa"/>
              <w:bottom w:w="0" w:type="dxa"/>
              <w:right w:w="108" w:type="dxa"/>
            </w:tcMar>
            <w:vAlign w:val="center"/>
          </w:tcPr>
          <w:p w14:paraId="230130D1" w14:textId="77777777" w:rsidR="00C3264D" w:rsidRDefault="00C3264D">
            <w:pPr>
              <w:jc w:val="center"/>
              <w:rPr>
                <w:rFonts w:ascii="Times New Roman" w:hAnsi="Times New Roman"/>
                <w:color w:val="000000"/>
                <w:sz w:val="20"/>
                <w:szCs w:val="20"/>
              </w:rPr>
            </w:pPr>
          </w:p>
        </w:tc>
        <w:tc>
          <w:tcPr>
            <w:tcW w:w="482"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7FBA8163" w14:textId="77777777" w:rsidR="00C3264D" w:rsidRDefault="00117A8A">
            <w:pPr>
              <w:jc w:val="center"/>
              <w:rPr>
                <w:rFonts w:ascii="Times New Roman" w:hAnsi="Times New Roman"/>
                <w:color w:val="000000" w:themeColor="text1"/>
                <w:sz w:val="20"/>
                <w:szCs w:val="20"/>
              </w:rPr>
            </w:pPr>
            <w:r>
              <w:rPr>
                <w:rFonts w:ascii="Times New Roman" w:hAnsi="Times New Roman"/>
                <w:sz w:val="20"/>
                <w:szCs w:val="20"/>
              </w:rPr>
              <w:t>-0,5 %</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3102AD66" w14:textId="77777777" w:rsidR="00C3264D" w:rsidRDefault="00117A8A">
            <w:pPr>
              <w:jc w:val="center"/>
              <w:rPr>
                <w:rFonts w:ascii="Times New Roman" w:hAnsi="Times New Roman"/>
                <w:color w:val="000000" w:themeColor="text1"/>
                <w:sz w:val="20"/>
                <w:szCs w:val="20"/>
              </w:rPr>
            </w:pPr>
            <w:r>
              <w:rPr>
                <w:rFonts w:ascii="Times New Roman" w:hAnsi="Times New Roman"/>
                <w:sz w:val="20"/>
                <w:szCs w:val="20"/>
              </w:rPr>
              <w:t>-5,0 %</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4EC2F466" w14:textId="77777777" w:rsidR="00C3264D" w:rsidRDefault="00117A8A">
            <w:pPr>
              <w:jc w:val="center"/>
              <w:rPr>
                <w:rFonts w:ascii="Times New Roman" w:hAnsi="Times New Roman"/>
                <w:color w:val="000000" w:themeColor="text1"/>
                <w:sz w:val="20"/>
                <w:szCs w:val="20"/>
              </w:rPr>
            </w:pPr>
            <w:r>
              <w:rPr>
                <w:rFonts w:ascii="Times New Roman" w:hAnsi="Times New Roman"/>
                <w:sz w:val="20"/>
                <w:szCs w:val="20"/>
              </w:rPr>
              <w:t>-7,8 %</w:t>
            </w:r>
          </w:p>
        </w:tc>
        <w:tc>
          <w:tcPr>
            <w:tcW w:w="482"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2826DECC" w14:textId="77777777" w:rsidR="00C3264D" w:rsidRDefault="00117A8A">
            <w:pPr>
              <w:jc w:val="center"/>
              <w:rPr>
                <w:rFonts w:ascii="Times New Roman" w:hAnsi="Times New Roman"/>
                <w:color w:val="000000" w:themeColor="text1"/>
                <w:sz w:val="20"/>
                <w:szCs w:val="20"/>
              </w:rPr>
            </w:pPr>
            <w:r>
              <w:rPr>
                <w:rFonts w:ascii="Times New Roman" w:hAnsi="Times New Roman"/>
                <w:sz w:val="20"/>
                <w:szCs w:val="20"/>
              </w:rPr>
              <w:t>-0,5 %</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763E079B" w14:textId="77777777" w:rsidR="00C3264D" w:rsidRDefault="00117A8A">
            <w:pPr>
              <w:jc w:val="center"/>
              <w:rPr>
                <w:rFonts w:ascii="Times New Roman" w:hAnsi="Times New Roman"/>
                <w:color w:val="000000" w:themeColor="text1"/>
                <w:sz w:val="20"/>
                <w:szCs w:val="20"/>
              </w:rPr>
            </w:pPr>
            <w:r>
              <w:rPr>
                <w:rFonts w:ascii="Times New Roman" w:hAnsi="Times New Roman"/>
                <w:sz w:val="20"/>
                <w:szCs w:val="20"/>
              </w:rPr>
              <w:t>-3,8 %</w:t>
            </w:r>
          </w:p>
        </w:tc>
        <w:tc>
          <w:tcPr>
            <w:tcW w:w="481"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44B6BACC" w14:textId="77777777" w:rsidR="00C3264D" w:rsidRDefault="00117A8A">
            <w:pPr>
              <w:jc w:val="center"/>
              <w:rPr>
                <w:rFonts w:ascii="Times New Roman" w:hAnsi="Times New Roman"/>
                <w:color w:val="000000" w:themeColor="text1"/>
                <w:sz w:val="20"/>
                <w:szCs w:val="20"/>
              </w:rPr>
            </w:pPr>
            <w:r>
              <w:rPr>
                <w:rFonts w:ascii="Times New Roman" w:hAnsi="Times New Roman"/>
                <w:sz w:val="20"/>
                <w:szCs w:val="20"/>
              </w:rPr>
              <w:t>-0,7 %</w:t>
            </w:r>
          </w:p>
        </w:tc>
        <w:tc>
          <w:tcPr>
            <w:tcW w:w="479" w:type="pct"/>
            <w:tcBorders>
              <w:top w:val="nil"/>
              <w:left w:val="nil"/>
              <w:bottom w:val="double" w:sz="4" w:space="0" w:color="auto"/>
              <w:right w:val="double" w:sz="4" w:space="0" w:color="auto"/>
            </w:tcBorders>
            <w:vAlign w:val="center"/>
          </w:tcPr>
          <w:p w14:paraId="3128F6C2" w14:textId="77777777" w:rsidR="00C3264D" w:rsidRDefault="00117A8A">
            <w:pPr>
              <w:jc w:val="center"/>
              <w:rPr>
                <w:rFonts w:ascii="Times New Roman" w:hAnsi="Times New Roman"/>
                <w:color w:val="000000" w:themeColor="text1"/>
                <w:sz w:val="20"/>
                <w:szCs w:val="20"/>
              </w:rPr>
            </w:pPr>
            <w:r>
              <w:rPr>
                <w:rFonts w:ascii="Times New Roman" w:hAnsi="Times New Roman"/>
                <w:sz w:val="20"/>
                <w:szCs w:val="20"/>
              </w:rPr>
              <w:t>-7,3 %</w:t>
            </w:r>
          </w:p>
        </w:tc>
      </w:tr>
      <w:tr w:rsidR="00C3264D" w14:paraId="2740F905" w14:textId="77777777" w:rsidTr="00E72EF9">
        <w:trPr>
          <w:trHeight w:val="582"/>
        </w:trPr>
        <w:tc>
          <w:tcPr>
            <w:tcW w:w="1137" w:type="pct"/>
            <w:tcBorders>
              <w:top w:val="nil"/>
              <w:left w:val="double" w:sz="4" w:space="0" w:color="auto"/>
              <w:bottom w:val="double" w:sz="4" w:space="0" w:color="auto"/>
              <w:right w:val="double" w:sz="4" w:space="0" w:color="auto"/>
            </w:tcBorders>
            <w:tcMar>
              <w:top w:w="0" w:type="dxa"/>
              <w:left w:w="108" w:type="dxa"/>
              <w:bottom w:w="0" w:type="dxa"/>
              <w:right w:w="108" w:type="dxa"/>
            </w:tcMar>
            <w:vAlign w:val="center"/>
            <w:hideMark/>
          </w:tcPr>
          <w:p w14:paraId="0F65A22B" w14:textId="77777777" w:rsidR="00C3264D" w:rsidRDefault="00250CD2">
            <w:pPr>
              <w:jc w:val="center"/>
              <w:rPr>
                <w:rFonts w:ascii="Times New Roman" w:hAnsi="Times New Roman"/>
                <w:b/>
                <w:bCs/>
                <w:color w:val="000000"/>
                <w:sz w:val="20"/>
                <w:szCs w:val="20"/>
              </w:rPr>
            </w:pPr>
            <w:r>
              <w:rPr>
                <w:rFonts w:ascii="Times New Roman" w:hAnsi="Times New Roman"/>
                <w:b/>
                <w:bCs/>
                <w:sz w:val="20"/>
                <w:szCs w:val="20"/>
              </w:rPr>
              <w:t>Верифицирани емисии от промишлени инсталации</w:t>
            </w:r>
          </w:p>
        </w:tc>
        <w:tc>
          <w:tcPr>
            <w:tcW w:w="490"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490AF5E1" w14:textId="77777777" w:rsidR="00C3264D" w:rsidRDefault="00117A8A">
            <w:pPr>
              <w:jc w:val="center"/>
              <w:rPr>
                <w:rFonts w:ascii="Times New Roman" w:hAnsi="Times New Roman"/>
                <w:color w:val="000000"/>
                <w:sz w:val="20"/>
                <w:szCs w:val="20"/>
              </w:rPr>
            </w:pPr>
            <w:r>
              <w:rPr>
                <w:rFonts w:ascii="Times New Roman" w:hAnsi="Times New Roman"/>
                <w:sz w:val="20"/>
                <w:szCs w:val="20"/>
              </w:rPr>
              <w:t>715</w:t>
            </w:r>
          </w:p>
        </w:tc>
        <w:tc>
          <w:tcPr>
            <w:tcW w:w="482"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4487A3A9" w14:textId="77777777" w:rsidR="00C3264D" w:rsidRDefault="00117A8A">
            <w:pPr>
              <w:jc w:val="center"/>
              <w:rPr>
                <w:rFonts w:ascii="Times New Roman" w:hAnsi="Times New Roman"/>
                <w:color w:val="000000" w:themeColor="text1"/>
                <w:sz w:val="20"/>
                <w:szCs w:val="20"/>
              </w:rPr>
            </w:pPr>
            <w:r>
              <w:rPr>
                <w:rFonts w:ascii="Times New Roman" w:hAnsi="Times New Roman"/>
                <w:sz w:val="20"/>
                <w:szCs w:val="20"/>
              </w:rPr>
              <w:t>683</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229E6BF4" w14:textId="77777777" w:rsidR="00C3264D" w:rsidRDefault="00117A8A">
            <w:pPr>
              <w:jc w:val="center"/>
              <w:rPr>
                <w:rFonts w:ascii="Times New Roman" w:hAnsi="Times New Roman"/>
                <w:color w:val="000000" w:themeColor="text1"/>
                <w:sz w:val="20"/>
                <w:szCs w:val="20"/>
              </w:rPr>
            </w:pPr>
            <w:r>
              <w:rPr>
                <w:rFonts w:ascii="Times New Roman" w:hAnsi="Times New Roman"/>
                <w:sz w:val="20"/>
                <w:szCs w:val="20"/>
              </w:rPr>
              <w:t>783</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32A03626" w14:textId="77777777" w:rsidR="00C3264D" w:rsidRDefault="00117A8A">
            <w:pPr>
              <w:jc w:val="center"/>
              <w:rPr>
                <w:rFonts w:ascii="Times New Roman" w:hAnsi="Times New Roman"/>
                <w:color w:val="000000" w:themeColor="text1"/>
                <w:sz w:val="20"/>
                <w:szCs w:val="20"/>
              </w:rPr>
            </w:pPr>
            <w:r>
              <w:rPr>
                <w:rFonts w:ascii="Times New Roman" w:hAnsi="Times New Roman"/>
                <w:sz w:val="20"/>
                <w:szCs w:val="20"/>
              </w:rPr>
              <w:t>777</w:t>
            </w:r>
          </w:p>
        </w:tc>
        <w:tc>
          <w:tcPr>
            <w:tcW w:w="482"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474A26B9" w14:textId="77777777" w:rsidR="00C3264D" w:rsidRDefault="00117A8A">
            <w:pPr>
              <w:jc w:val="center"/>
              <w:rPr>
                <w:rFonts w:ascii="Times New Roman" w:hAnsi="Times New Roman"/>
                <w:color w:val="000000" w:themeColor="text1"/>
                <w:sz w:val="20"/>
                <w:szCs w:val="20"/>
              </w:rPr>
            </w:pPr>
            <w:r>
              <w:rPr>
                <w:rFonts w:ascii="Times New Roman" w:hAnsi="Times New Roman"/>
                <w:sz w:val="20"/>
                <w:szCs w:val="20"/>
              </w:rPr>
              <w:t>771</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02BC55A9" w14:textId="77777777" w:rsidR="00C3264D" w:rsidRDefault="00117A8A">
            <w:pPr>
              <w:jc w:val="center"/>
              <w:rPr>
                <w:rFonts w:ascii="Times New Roman" w:hAnsi="Times New Roman"/>
                <w:color w:val="000000" w:themeColor="text1"/>
                <w:sz w:val="20"/>
                <w:szCs w:val="20"/>
              </w:rPr>
            </w:pPr>
            <w:r>
              <w:rPr>
                <w:rFonts w:ascii="Times New Roman" w:hAnsi="Times New Roman"/>
                <w:sz w:val="20"/>
                <w:szCs w:val="20"/>
              </w:rPr>
              <w:t>758</w:t>
            </w:r>
          </w:p>
        </w:tc>
        <w:tc>
          <w:tcPr>
            <w:tcW w:w="481"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0E2EEEB1" w14:textId="77777777" w:rsidR="00C3264D" w:rsidRDefault="00117A8A">
            <w:pPr>
              <w:jc w:val="center"/>
              <w:rPr>
                <w:rFonts w:ascii="Times New Roman" w:hAnsi="Times New Roman"/>
                <w:color w:val="000000" w:themeColor="text1"/>
                <w:sz w:val="20"/>
                <w:szCs w:val="20"/>
              </w:rPr>
            </w:pPr>
            <w:r>
              <w:rPr>
                <w:rFonts w:ascii="Times New Roman" w:hAnsi="Times New Roman"/>
                <w:sz w:val="20"/>
                <w:szCs w:val="20"/>
              </w:rPr>
              <w:t>769</w:t>
            </w:r>
          </w:p>
        </w:tc>
        <w:tc>
          <w:tcPr>
            <w:tcW w:w="479" w:type="pct"/>
            <w:tcBorders>
              <w:top w:val="nil"/>
              <w:left w:val="nil"/>
              <w:bottom w:val="double" w:sz="4" w:space="0" w:color="auto"/>
              <w:right w:val="double" w:sz="4" w:space="0" w:color="auto"/>
            </w:tcBorders>
            <w:vAlign w:val="center"/>
          </w:tcPr>
          <w:p w14:paraId="3987BBEB" w14:textId="77777777" w:rsidR="00C3264D" w:rsidRDefault="00117A8A">
            <w:pPr>
              <w:jc w:val="center"/>
              <w:rPr>
                <w:rFonts w:ascii="Times New Roman" w:hAnsi="Times New Roman"/>
                <w:color w:val="000000" w:themeColor="text1"/>
                <w:sz w:val="20"/>
                <w:szCs w:val="20"/>
              </w:rPr>
            </w:pPr>
            <w:r>
              <w:rPr>
                <w:rFonts w:ascii="Times New Roman" w:hAnsi="Times New Roman"/>
                <w:sz w:val="20"/>
                <w:szCs w:val="20"/>
              </w:rPr>
              <w:t>769</w:t>
            </w:r>
          </w:p>
        </w:tc>
      </w:tr>
      <w:tr w:rsidR="00C3264D" w14:paraId="5FCE3C93" w14:textId="77777777" w:rsidTr="00E72EF9">
        <w:tc>
          <w:tcPr>
            <w:tcW w:w="1137" w:type="pct"/>
            <w:tcBorders>
              <w:top w:val="nil"/>
              <w:left w:val="double" w:sz="4" w:space="0" w:color="auto"/>
              <w:bottom w:val="double" w:sz="4" w:space="0" w:color="auto"/>
              <w:right w:val="double" w:sz="4" w:space="0" w:color="auto"/>
            </w:tcBorders>
            <w:tcMar>
              <w:top w:w="0" w:type="dxa"/>
              <w:left w:w="108" w:type="dxa"/>
              <w:bottom w:w="0" w:type="dxa"/>
              <w:right w:w="108" w:type="dxa"/>
            </w:tcMar>
            <w:vAlign w:val="center"/>
            <w:hideMark/>
          </w:tcPr>
          <w:p w14:paraId="029DF5B5" w14:textId="77777777" w:rsidR="00C3264D" w:rsidRDefault="00250CD2">
            <w:pPr>
              <w:jc w:val="center"/>
              <w:rPr>
                <w:rFonts w:ascii="Times New Roman" w:hAnsi="Times New Roman"/>
                <w:b/>
                <w:bCs/>
                <w:color w:val="000000"/>
                <w:sz w:val="20"/>
                <w:szCs w:val="20"/>
              </w:rPr>
            </w:pPr>
            <w:r>
              <w:rPr>
                <w:rFonts w:ascii="Times New Roman" w:hAnsi="Times New Roman"/>
                <w:b/>
                <w:bCs/>
                <w:sz w:val="20"/>
                <w:szCs w:val="20"/>
              </w:rPr>
              <w:t>Изменение спрямо година x-1</w:t>
            </w:r>
          </w:p>
        </w:tc>
        <w:tc>
          <w:tcPr>
            <w:tcW w:w="490" w:type="pct"/>
            <w:tcBorders>
              <w:top w:val="nil"/>
              <w:left w:val="nil"/>
              <w:bottom w:val="double" w:sz="4" w:space="0" w:color="auto"/>
              <w:right w:val="double" w:sz="4" w:space="0" w:color="auto"/>
            </w:tcBorders>
            <w:tcMar>
              <w:top w:w="0" w:type="dxa"/>
              <w:left w:w="108" w:type="dxa"/>
              <w:bottom w:w="0" w:type="dxa"/>
              <w:right w:w="108" w:type="dxa"/>
            </w:tcMar>
            <w:vAlign w:val="center"/>
          </w:tcPr>
          <w:p w14:paraId="00E7DFC6" w14:textId="77777777" w:rsidR="00C3264D" w:rsidRDefault="00C3264D">
            <w:pPr>
              <w:jc w:val="center"/>
              <w:rPr>
                <w:rFonts w:ascii="Times New Roman" w:hAnsi="Times New Roman"/>
                <w:color w:val="000000"/>
                <w:sz w:val="20"/>
                <w:szCs w:val="20"/>
              </w:rPr>
            </w:pPr>
          </w:p>
        </w:tc>
        <w:tc>
          <w:tcPr>
            <w:tcW w:w="482"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5A805931" w14:textId="77777777" w:rsidR="00C3264D" w:rsidRDefault="0045466C">
            <w:pPr>
              <w:jc w:val="center"/>
              <w:rPr>
                <w:rFonts w:ascii="Times New Roman" w:hAnsi="Times New Roman"/>
                <w:color w:val="000000" w:themeColor="text1"/>
                <w:sz w:val="20"/>
                <w:szCs w:val="20"/>
              </w:rPr>
            </w:pPr>
            <w:r>
              <w:rPr>
                <w:rFonts w:ascii="Times New Roman" w:hAnsi="Times New Roman"/>
                <w:sz w:val="20"/>
                <w:szCs w:val="20"/>
              </w:rPr>
              <w:t>-4,5 %</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08EA885C" w14:textId="77777777" w:rsidR="00C3264D" w:rsidRDefault="00117A8A">
            <w:pPr>
              <w:jc w:val="center"/>
              <w:rPr>
                <w:rFonts w:ascii="Times New Roman" w:hAnsi="Times New Roman"/>
                <w:color w:val="000000" w:themeColor="text1"/>
                <w:sz w:val="20"/>
                <w:szCs w:val="20"/>
              </w:rPr>
            </w:pPr>
            <w:r>
              <w:rPr>
                <w:rFonts w:ascii="Times New Roman" w:hAnsi="Times New Roman"/>
                <w:sz w:val="20"/>
                <w:szCs w:val="20"/>
              </w:rPr>
              <w:t>14,7 %</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287DF6CF" w14:textId="77777777" w:rsidR="00C3264D" w:rsidRDefault="0045466C">
            <w:pPr>
              <w:jc w:val="center"/>
              <w:rPr>
                <w:rFonts w:ascii="Times New Roman" w:hAnsi="Times New Roman"/>
                <w:color w:val="000000" w:themeColor="text1"/>
                <w:sz w:val="20"/>
                <w:szCs w:val="20"/>
              </w:rPr>
            </w:pPr>
            <w:r>
              <w:rPr>
                <w:rFonts w:ascii="Times New Roman" w:hAnsi="Times New Roman"/>
                <w:sz w:val="20"/>
                <w:szCs w:val="20"/>
              </w:rPr>
              <w:t>-0,9 %</w:t>
            </w:r>
          </w:p>
        </w:tc>
        <w:tc>
          <w:tcPr>
            <w:tcW w:w="482"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03721E52" w14:textId="77777777" w:rsidR="00C3264D" w:rsidRDefault="0045466C">
            <w:pPr>
              <w:jc w:val="center"/>
              <w:rPr>
                <w:rFonts w:ascii="Times New Roman" w:hAnsi="Times New Roman"/>
                <w:color w:val="000000" w:themeColor="text1"/>
                <w:sz w:val="20"/>
                <w:szCs w:val="20"/>
              </w:rPr>
            </w:pPr>
            <w:r>
              <w:rPr>
                <w:rFonts w:ascii="Times New Roman" w:hAnsi="Times New Roman"/>
                <w:sz w:val="20"/>
                <w:szCs w:val="20"/>
              </w:rPr>
              <w:t>-0,7 %</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4C01EF54" w14:textId="77777777" w:rsidR="00C3264D" w:rsidRDefault="0045466C">
            <w:pPr>
              <w:jc w:val="center"/>
              <w:rPr>
                <w:rFonts w:ascii="Times New Roman" w:hAnsi="Times New Roman"/>
                <w:color w:val="000000" w:themeColor="text1"/>
                <w:sz w:val="20"/>
                <w:szCs w:val="20"/>
              </w:rPr>
            </w:pPr>
            <w:r>
              <w:rPr>
                <w:rFonts w:ascii="Times New Roman" w:hAnsi="Times New Roman"/>
                <w:sz w:val="20"/>
                <w:szCs w:val="20"/>
              </w:rPr>
              <w:t>-1,7 %</w:t>
            </w:r>
          </w:p>
        </w:tc>
        <w:tc>
          <w:tcPr>
            <w:tcW w:w="481"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0147448F" w14:textId="77777777" w:rsidR="00C3264D" w:rsidRDefault="00117A8A">
            <w:pPr>
              <w:jc w:val="center"/>
              <w:rPr>
                <w:rFonts w:ascii="Times New Roman" w:hAnsi="Times New Roman"/>
                <w:color w:val="000000" w:themeColor="text1"/>
                <w:sz w:val="20"/>
                <w:szCs w:val="20"/>
              </w:rPr>
            </w:pPr>
            <w:r>
              <w:rPr>
                <w:rFonts w:ascii="Times New Roman" w:hAnsi="Times New Roman"/>
                <w:sz w:val="20"/>
                <w:szCs w:val="20"/>
              </w:rPr>
              <w:t>1,4 %</w:t>
            </w:r>
          </w:p>
        </w:tc>
        <w:tc>
          <w:tcPr>
            <w:tcW w:w="479" w:type="pct"/>
            <w:tcBorders>
              <w:top w:val="nil"/>
              <w:left w:val="nil"/>
              <w:bottom w:val="double" w:sz="4" w:space="0" w:color="auto"/>
              <w:right w:val="double" w:sz="4" w:space="0" w:color="auto"/>
            </w:tcBorders>
            <w:vAlign w:val="center"/>
          </w:tcPr>
          <w:p w14:paraId="261DC9AA" w14:textId="77777777" w:rsidR="00C3264D" w:rsidRDefault="00117A8A">
            <w:pPr>
              <w:jc w:val="center"/>
              <w:rPr>
                <w:rFonts w:ascii="Times New Roman" w:hAnsi="Times New Roman"/>
                <w:color w:val="000000" w:themeColor="text1"/>
                <w:sz w:val="20"/>
                <w:szCs w:val="20"/>
              </w:rPr>
            </w:pPr>
            <w:r>
              <w:rPr>
                <w:rFonts w:ascii="Times New Roman" w:hAnsi="Times New Roman"/>
                <w:sz w:val="20"/>
                <w:szCs w:val="20"/>
              </w:rPr>
              <w:t>-0,1 %</w:t>
            </w:r>
          </w:p>
        </w:tc>
      </w:tr>
      <w:tr w:rsidR="00C3264D" w14:paraId="6F4F7C5E" w14:textId="77777777" w:rsidTr="00E72EF9">
        <w:trPr>
          <w:trHeight w:val="774"/>
        </w:trPr>
        <w:tc>
          <w:tcPr>
            <w:tcW w:w="1137" w:type="pct"/>
            <w:tcBorders>
              <w:top w:val="nil"/>
              <w:left w:val="double" w:sz="4" w:space="0" w:color="auto"/>
              <w:bottom w:val="double" w:sz="4" w:space="0" w:color="auto"/>
              <w:right w:val="double" w:sz="4" w:space="0" w:color="auto"/>
            </w:tcBorders>
            <w:tcMar>
              <w:top w:w="0" w:type="dxa"/>
              <w:left w:w="108" w:type="dxa"/>
              <w:bottom w:w="0" w:type="dxa"/>
              <w:right w:w="108" w:type="dxa"/>
            </w:tcMar>
            <w:vAlign w:val="center"/>
            <w:hideMark/>
          </w:tcPr>
          <w:p w14:paraId="05F6B321" w14:textId="77777777" w:rsidR="00C3264D" w:rsidRDefault="00250CD2">
            <w:pPr>
              <w:jc w:val="center"/>
              <w:rPr>
                <w:rFonts w:ascii="Times New Roman" w:hAnsi="Times New Roman"/>
                <w:b/>
                <w:bCs/>
                <w:color w:val="000000"/>
                <w:sz w:val="20"/>
                <w:szCs w:val="20"/>
              </w:rPr>
            </w:pPr>
            <w:r>
              <w:rPr>
                <w:rFonts w:ascii="Times New Roman" w:hAnsi="Times New Roman"/>
                <w:b/>
                <w:bCs/>
                <w:sz w:val="20"/>
                <w:szCs w:val="20"/>
              </w:rPr>
              <w:br/>
              <w:t>Темп на растеж на реалния БВП за ЕС-28</w:t>
            </w:r>
          </w:p>
        </w:tc>
        <w:tc>
          <w:tcPr>
            <w:tcW w:w="490" w:type="pct"/>
            <w:tcBorders>
              <w:top w:val="nil"/>
              <w:left w:val="nil"/>
              <w:bottom w:val="double" w:sz="4" w:space="0" w:color="auto"/>
              <w:right w:val="double" w:sz="4" w:space="0" w:color="auto"/>
            </w:tcBorders>
            <w:tcMar>
              <w:top w:w="0" w:type="dxa"/>
              <w:left w:w="108" w:type="dxa"/>
              <w:bottom w:w="0" w:type="dxa"/>
              <w:right w:w="108" w:type="dxa"/>
            </w:tcMar>
            <w:vAlign w:val="center"/>
          </w:tcPr>
          <w:p w14:paraId="64429B01" w14:textId="77777777" w:rsidR="00C3264D" w:rsidRDefault="00250CD2">
            <w:pPr>
              <w:jc w:val="center"/>
              <w:rPr>
                <w:rFonts w:ascii="Times New Roman" w:hAnsi="Times New Roman"/>
                <w:color w:val="FF0000"/>
                <w:sz w:val="20"/>
                <w:szCs w:val="20"/>
              </w:rPr>
            </w:pPr>
            <w:r>
              <w:rPr>
                <w:rFonts w:ascii="Times New Roman" w:hAnsi="Times New Roman"/>
                <w:sz w:val="20"/>
                <w:szCs w:val="20"/>
              </w:rPr>
              <w:t>1,8 %</w:t>
            </w:r>
          </w:p>
        </w:tc>
        <w:tc>
          <w:tcPr>
            <w:tcW w:w="482" w:type="pct"/>
            <w:tcBorders>
              <w:top w:val="nil"/>
              <w:left w:val="nil"/>
              <w:bottom w:val="double" w:sz="4" w:space="0" w:color="auto"/>
              <w:right w:val="double" w:sz="4" w:space="0" w:color="auto"/>
            </w:tcBorders>
            <w:tcMar>
              <w:top w:w="0" w:type="dxa"/>
              <w:left w:w="108" w:type="dxa"/>
              <w:bottom w:w="0" w:type="dxa"/>
              <w:right w:w="108" w:type="dxa"/>
            </w:tcMar>
            <w:vAlign w:val="center"/>
          </w:tcPr>
          <w:p w14:paraId="6A416108" w14:textId="77777777" w:rsidR="00C3264D" w:rsidRDefault="00250CD2">
            <w:pPr>
              <w:jc w:val="center"/>
              <w:rPr>
                <w:rFonts w:ascii="Times New Roman" w:hAnsi="Times New Roman"/>
                <w:color w:val="FF0000"/>
                <w:sz w:val="20"/>
                <w:szCs w:val="20"/>
              </w:rPr>
            </w:pPr>
            <w:r>
              <w:rPr>
                <w:rFonts w:ascii="Times New Roman" w:hAnsi="Times New Roman"/>
                <w:sz w:val="20"/>
                <w:szCs w:val="20"/>
              </w:rPr>
              <w:t>-0,4 %</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tcPr>
          <w:p w14:paraId="693470C8" w14:textId="77777777" w:rsidR="00C3264D" w:rsidRDefault="00250CD2">
            <w:pPr>
              <w:jc w:val="center"/>
              <w:rPr>
                <w:rFonts w:ascii="Times New Roman" w:hAnsi="Times New Roman"/>
                <w:color w:val="FF0000"/>
                <w:sz w:val="20"/>
                <w:szCs w:val="20"/>
              </w:rPr>
            </w:pPr>
            <w:r>
              <w:rPr>
                <w:rFonts w:ascii="Times New Roman" w:hAnsi="Times New Roman"/>
                <w:sz w:val="20"/>
                <w:szCs w:val="20"/>
              </w:rPr>
              <w:t>0,3 %</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tcPr>
          <w:p w14:paraId="1BD792AF" w14:textId="77777777" w:rsidR="00C3264D" w:rsidRDefault="00250CD2">
            <w:pPr>
              <w:jc w:val="center"/>
              <w:rPr>
                <w:rFonts w:ascii="Times New Roman" w:hAnsi="Times New Roman"/>
                <w:color w:val="000000"/>
                <w:sz w:val="20"/>
                <w:szCs w:val="20"/>
              </w:rPr>
            </w:pPr>
            <w:r>
              <w:rPr>
                <w:rFonts w:ascii="Times New Roman" w:hAnsi="Times New Roman"/>
                <w:sz w:val="20"/>
                <w:szCs w:val="20"/>
              </w:rPr>
              <w:t>1,8 %</w:t>
            </w:r>
          </w:p>
        </w:tc>
        <w:tc>
          <w:tcPr>
            <w:tcW w:w="482" w:type="pct"/>
            <w:tcBorders>
              <w:top w:val="nil"/>
              <w:left w:val="nil"/>
              <w:bottom w:val="double" w:sz="4" w:space="0" w:color="auto"/>
              <w:right w:val="double" w:sz="4" w:space="0" w:color="auto"/>
            </w:tcBorders>
            <w:tcMar>
              <w:top w:w="0" w:type="dxa"/>
              <w:left w:w="108" w:type="dxa"/>
              <w:bottom w:w="0" w:type="dxa"/>
              <w:right w:w="108" w:type="dxa"/>
            </w:tcMar>
            <w:vAlign w:val="center"/>
          </w:tcPr>
          <w:p w14:paraId="3822F7E0" w14:textId="77777777" w:rsidR="00C3264D" w:rsidRDefault="00250CD2">
            <w:pPr>
              <w:jc w:val="center"/>
              <w:rPr>
                <w:rFonts w:ascii="Times New Roman" w:hAnsi="Times New Roman"/>
                <w:color w:val="000000"/>
                <w:sz w:val="20"/>
                <w:szCs w:val="20"/>
              </w:rPr>
            </w:pPr>
            <w:r>
              <w:rPr>
                <w:rFonts w:ascii="Times New Roman" w:hAnsi="Times New Roman"/>
                <w:sz w:val="20"/>
                <w:szCs w:val="20"/>
              </w:rPr>
              <w:t>2,3 %</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tcPr>
          <w:p w14:paraId="308C1DF9" w14:textId="77777777" w:rsidR="00C3264D" w:rsidRDefault="00DD0ECB">
            <w:pPr>
              <w:jc w:val="center"/>
              <w:rPr>
                <w:rFonts w:ascii="Times New Roman" w:hAnsi="Times New Roman"/>
                <w:color w:val="000000"/>
                <w:sz w:val="20"/>
                <w:szCs w:val="20"/>
              </w:rPr>
            </w:pPr>
            <w:r>
              <w:rPr>
                <w:rFonts w:ascii="Times New Roman" w:hAnsi="Times New Roman"/>
                <w:sz w:val="20"/>
                <w:szCs w:val="20"/>
              </w:rPr>
              <w:t>2,0 %</w:t>
            </w:r>
          </w:p>
        </w:tc>
        <w:tc>
          <w:tcPr>
            <w:tcW w:w="481" w:type="pct"/>
            <w:tcBorders>
              <w:top w:val="nil"/>
              <w:left w:val="nil"/>
              <w:bottom w:val="double" w:sz="4" w:space="0" w:color="auto"/>
              <w:right w:val="double" w:sz="4" w:space="0" w:color="auto"/>
            </w:tcBorders>
            <w:tcMar>
              <w:top w:w="0" w:type="dxa"/>
              <w:left w:w="108" w:type="dxa"/>
              <w:bottom w:w="0" w:type="dxa"/>
              <w:right w:w="108" w:type="dxa"/>
            </w:tcMar>
            <w:vAlign w:val="center"/>
          </w:tcPr>
          <w:p w14:paraId="0A66ABE2" w14:textId="77777777" w:rsidR="00C3264D" w:rsidRDefault="00250CD2">
            <w:pPr>
              <w:jc w:val="center"/>
              <w:rPr>
                <w:rFonts w:ascii="Times New Roman" w:hAnsi="Times New Roman"/>
                <w:color w:val="000000"/>
                <w:sz w:val="20"/>
                <w:szCs w:val="20"/>
              </w:rPr>
            </w:pPr>
            <w:r>
              <w:rPr>
                <w:rFonts w:ascii="Times New Roman" w:hAnsi="Times New Roman"/>
                <w:sz w:val="20"/>
                <w:szCs w:val="20"/>
              </w:rPr>
              <w:t>2,5 %</w:t>
            </w:r>
          </w:p>
        </w:tc>
        <w:tc>
          <w:tcPr>
            <w:tcW w:w="479" w:type="pct"/>
            <w:tcBorders>
              <w:top w:val="nil"/>
              <w:left w:val="nil"/>
              <w:bottom w:val="double" w:sz="4" w:space="0" w:color="auto"/>
              <w:right w:val="double" w:sz="4" w:space="0" w:color="auto"/>
            </w:tcBorders>
            <w:vAlign w:val="center"/>
          </w:tcPr>
          <w:p w14:paraId="1FDCA916" w14:textId="77777777" w:rsidR="00C3264D" w:rsidRDefault="00DD0ECB">
            <w:pPr>
              <w:jc w:val="center"/>
              <w:rPr>
                <w:rFonts w:ascii="Times New Roman" w:hAnsi="Times New Roman"/>
                <w:color w:val="000000"/>
                <w:sz w:val="20"/>
                <w:szCs w:val="20"/>
              </w:rPr>
            </w:pPr>
            <w:r>
              <w:rPr>
                <w:rFonts w:ascii="Times New Roman" w:hAnsi="Times New Roman"/>
                <w:sz w:val="20"/>
                <w:szCs w:val="20"/>
              </w:rPr>
              <w:t>2,0 %</w:t>
            </w:r>
          </w:p>
        </w:tc>
      </w:tr>
    </w:tbl>
    <w:p w14:paraId="57631802" w14:textId="77777777" w:rsidR="00C3264D" w:rsidRDefault="00A92C10">
      <w:pPr>
        <w:autoSpaceDE w:val="0"/>
        <w:autoSpaceDN w:val="0"/>
        <w:adjustRightInd w:val="0"/>
        <w:spacing w:after="0"/>
        <w:rPr>
          <w:rStyle w:val="Hyperlink"/>
          <w:rFonts w:ascii="Times New Roman" w:hAnsi="Times New Roman"/>
          <w:bCs/>
          <w:color w:val="auto"/>
          <w:sz w:val="18"/>
          <w:szCs w:val="18"/>
        </w:rPr>
      </w:pPr>
      <w:r>
        <w:rPr>
          <w:rFonts w:ascii="Times New Roman" w:hAnsi="Times New Roman"/>
          <w:sz w:val="18"/>
          <w:szCs w:val="18"/>
        </w:rPr>
        <w:t xml:space="preserve">Източник: </w:t>
      </w:r>
      <w:r>
        <w:t>EUTL,</w:t>
      </w:r>
      <w:r>
        <w:rPr>
          <w:rFonts w:ascii="Times New Roman" w:hAnsi="Times New Roman"/>
          <w:sz w:val="18"/>
          <w:szCs w:val="18"/>
        </w:rPr>
        <w:t xml:space="preserve"> данни за БВП, както са отчетени на следния адрес: </w:t>
      </w:r>
      <w:hyperlink r:id="rId18" w:history="1">
        <w:r>
          <w:rPr>
            <w:rStyle w:val="Hyperlink"/>
            <w:rFonts w:ascii="Times New Roman" w:hAnsi="Times New Roman"/>
            <w:bCs/>
            <w:sz w:val="18"/>
            <w:szCs w:val="18"/>
          </w:rPr>
          <w:t>http://epp.eurostat.ec.europa.eu/tgm/table.do?tab=table&amp;init=1&amp;plugin=1&amp;language=en&amp;pcode=tec00115</w:t>
        </w:r>
      </w:hyperlink>
      <w:r>
        <w:rPr>
          <w:rStyle w:val="Hyperlink"/>
          <w:rFonts w:ascii="Times New Roman" w:hAnsi="Times New Roman"/>
          <w:bCs/>
          <w:sz w:val="18"/>
          <w:szCs w:val="18"/>
        </w:rPr>
        <w:t xml:space="preserve"> </w:t>
      </w:r>
    </w:p>
    <w:p w14:paraId="0F9CFA4B" w14:textId="77777777" w:rsidR="00C3264D" w:rsidRDefault="003A348D">
      <w:pPr>
        <w:autoSpaceDE w:val="0"/>
        <w:autoSpaceDN w:val="0"/>
        <w:adjustRightInd w:val="0"/>
        <w:spacing w:after="0"/>
        <w:rPr>
          <w:rStyle w:val="Hyperlink"/>
          <w:rFonts w:ascii="Times New Roman" w:hAnsi="Times New Roman"/>
          <w:bCs/>
          <w:color w:val="auto"/>
          <w:sz w:val="18"/>
          <w:szCs w:val="18"/>
        </w:rPr>
      </w:pPr>
      <w:r>
        <w:rPr>
          <w:rStyle w:val="Hyperlink"/>
          <w:rFonts w:ascii="Times New Roman" w:hAnsi="Times New Roman"/>
          <w:bCs/>
          <w:sz w:val="18"/>
          <w:szCs w:val="18"/>
        </w:rPr>
        <w:t xml:space="preserve">(справка от юли 2019 г.). </w:t>
      </w:r>
      <w:r>
        <w:rPr>
          <w:rStyle w:val="Hyperlink"/>
          <w:rFonts w:ascii="Times New Roman" w:hAnsi="Times New Roman"/>
          <w:bCs/>
          <w:sz w:val="18"/>
          <w:szCs w:val="18"/>
          <w:u w:val="none"/>
        </w:rPr>
        <w:t>Верифицираните авиационни емисии са докладвани отделно в глава 4.</w:t>
      </w:r>
    </w:p>
    <w:p w14:paraId="143AC280" w14:textId="77777777" w:rsidR="00C3264D" w:rsidRDefault="00C3264D">
      <w:pPr>
        <w:autoSpaceDE w:val="0"/>
        <w:autoSpaceDN w:val="0"/>
        <w:adjustRightInd w:val="0"/>
        <w:spacing w:after="0"/>
        <w:rPr>
          <w:highlight w:val="yellow"/>
        </w:rPr>
      </w:pPr>
    </w:p>
    <w:p w14:paraId="2D446545" w14:textId="77777777" w:rsidR="00C3264D" w:rsidRPr="004F62FA" w:rsidRDefault="002C2541">
      <w:pPr>
        <w:jc w:val="both"/>
        <w:rPr>
          <w:rFonts w:ascii="Times New Roman" w:hAnsi="Times New Roman"/>
          <w:sz w:val="24"/>
          <w:szCs w:val="24"/>
        </w:rPr>
      </w:pPr>
      <w:r w:rsidRPr="004F62FA">
        <w:rPr>
          <w:rFonts w:ascii="Times New Roman" w:hAnsi="Times New Roman"/>
          <w:sz w:val="24"/>
          <w:szCs w:val="24"/>
        </w:rPr>
        <w:t>Разбивка на верифицираните емисии от инсталации в рамките на СТЕ според вида на парниковия газ (</w:t>
      </w:r>
      <w:r w:rsidRPr="004F62FA">
        <w:rPr>
          <w:rFonts w:ascii="Times New Roman" w:hAnsi="Times New Roman"/>
          <w:bCs/>
          <w:color w:val="262626"/>
          <w:sz w:val="24"/>
          <w:szCs w:val="24"/>
        </w:rPr>
        <w:t>CO</w:t>
      </w:r>
      <w:r w:rsidRPr="004F62FA">
        <w:rPr>
          <w:rFonts w:ascii="Times New Roman" w:hAnsi="Times New Roman"/>
          <w:bCs/>
          <w:color w:val="262626"/>
          <w:sz w:val="24"/>
          <w:szCs w:val="24"/>
          <w:bdr w:val="none" w:sz="0" w:space="0" w:color="auto" w:frame="1"/>
          <w:vertAlign w:val="subscript"/>
        </w:rPr>
        <w:t>2</w:t>
      </w:r>
      <w:r w:rsidRPr="004F62FA">
        <w:rPr>
          <w:rFonts w:ascii="Times New Roman" w:hAnsi="Times New Roman"/>
          <w:sz w:val="24"/>
          <w:szCs w:val="24"/>
        </w:rPr>
        <w:t xml:space="preserve">, </w:t>
      </w:r>
      <w:r w:rsidRPr="004F62FA">
        <w:rPr>
          <w:rFonts w:ascii="Times New Roman" w:hAnsi="Times New Roman"/>
          <w:bCs/>
          <w:color w:val="262626"/>
          <w:sz w:val="24"/>
          <w:szCs w:val="24"/>
        </w:rPr>
        <w:t>N</w:t>
      </w:r>
      <w:r w:rsidRPr="004F62FA">
        <w:rPr>
          <w:rFonts w:ascii="Times New Roman" w:hAnsi="Times New Roman"/>
          <w:bCs/>
          <w:color w:val="262626"/>
          <w:sz w:val="24"/>
          <w:szCs w:val="24"/>
          <w:bdr w:val="none" w:sz="0" w:space="0" w:color="auto" w:frame="1"/>
          <w:vertAlign w:val="subscript"/>
        </w:rPr>
        <w:t>2</w:t>
      </w:r>
      <w:r w:rsidRPr="004F62FA">
        <w:rPr>
          <w:rFonts w:ascii="Times New Roman" w:hAnsi="Times New Roman"/>
          <w:bCs/>
          <w:color w:val="262626"/>
          <w:sz w:val="24"/>
          <w:szCs w:val="24"/>
        </w:rPr>
        <w:t>O</w:t>
      </w:r>
      <w:r w:rsidRPr="004F62FA">
        <w:rPr>
          <w:rFonts w:ascii="Times New Roman" w:hAnsi="Times New Roman"/>
          <w:sz w:val="24"/>
          <w:szCs w:val="24"/>
        </w:rPr>
        <w:t xml:space="preserve"> и перфлуоровъглероди (PFC) е предоставена в таблица 5.1, допълнение 5 към приложението.</w:t>
      </w:r>
    </w:p>
    <w:p w14:paraId="33EDC775" w14:textId="77777777" w:rsidR="00C3264D" w:rsidRPr="004F62FA" w:rsidRDefault="003A348D">
      <w:pPr>
        <w:jc w:val="both"/>
        <w:rPr>
          <w:rFonts w:ascii="Times New Roman" w:hAnsi="Times New Roman"/>
          <w:sz w:val="24"/>
          <w:szCs w:val="24"/>
        </w:rPr>
      </w:pPr>
      <w:r w:rsidRPr="004F62FA">
        <w:rPr>
          <w:rFonts w:ascii="Times New Roman" w:hAnsi="Times New Roman"/>
          <w:sz w:val="24"/>
          <w:szCs w:val="24"/>
        </w:rPr>
        <w:t>През 2018 г. броят на доброволно отменените квоти възлиза на 36 559. До края на юни 2019 г. е регистрирана доброволната отмяна на общо 345 893 квоти.</w:t>
      </w:r>
    </w:p>
    <w:p w14:paraId="4409A09B" w14:textId="77777777" w:rsidR="00C3264D" w:rsidRPr="004F62FA" w:rsidRDefault="00C3264D">
      <w:pPr>
        <w:jc w:val="both"/>
        <w:rPr>
          <w:rFonts w:ascii="Times New Roman" w:hAnsi="Times New Roman"/>
          <w:sz w:val="24"/>
          <w:szCs w:val="24"/>
        </w:rPr>
      </w:pPr>
    </w:p>
    <w:p w14:paraId="406330A0" w14:textId="77777777" w:rsidR="00C3264D" w:rsidRPr="004F62FA" w:rsidRDefault="00C3264D">
      <w:pPr>
        <w:jc w:val="both"/>
        <w:rPr>
          <w:rFonts w:ascii="Times New Roman" w:hAnsi="Times New Roman"/>
          <w:sz w:val="24"/>
          <w:szCs w:val="24"/>
        </w:rPr>
      </w:pPr>
    </w:p>
    <w:p w14:paraId="384D4D8E" w14:textId="77777777" w:rsidR="00C3264D" w:rsidRPr="004F62FA" w:rsidRDefault="00A52F4C">
      <w:pPr>
        <w:pStyle w:val="Heading2"/>
        <w:rPr>
          <w:i w:val="0"/>
          <w:szCs w:val="24"/>
        </w:rPr>
      </w:pPr>
      <w:bookmarkStart w:id="18" w:name="_Toc28015589"/>
      <w:r w:rsidRPr="004F62FA">
        <w:rPr>
          <w:i w:val="0"/>
          <w:szCs w:val="24"/>
        </w:rPr>
        <w:t>3.3. Постигане на баланс между предлагането и търсенето</w:t>
      </w:r>
      <w:bookmarkEnd w:id="18"/>
      <w:r w:rsidRPr="004F62FA">
        <w:rPr>
          <w:i w:val="0"/>
          <w:szCs w:val="24"/>
        </w:rPr>
        <w:t xml:space="preserve"> </w:t>
      </w:r>
    </w:p>
    <w:p w14:paraId="08A51BDA" w14:textId="77777777" w:rsidR="00C3264D" w:rsidRPr="004F62FA" w:rsidRDefault="00DA667D">
      <w:pPr>
        <w:jc w:val="both"/>
        <w:rPr>
          <w:rFonts w:ascii="Times New Roman" w:hAnsi="Times New Roman"/>
          <w:sz w:val="24"/>
          <w:szCs w:val="24"/>
        </w:rPr>
      </w:pPr>
      <w:r w:rsidRPr="004F62FA">
        <w:rPr>
          <w:rFonts w:ascii="Times New Roman" w:hAnsi="Times New Roman"/>
          <w:sz w:val="24"/>
          <w:szCs w:val="24"/>
        </w:rPr>
        <w:t xml:space="preserve">В началото на фаза 3 през 2013 г. СТЕ на ЕС се е характеризирала с голям структурен дисбаланс между търсенето и предлагането на квоти, равняващ се на 2,1 милиарда квоти. Излишъкът намалява постепенно през текущия период на търгуване, остава стабилен през 2014 г. и спада значително до 1,78 милиарда квоти през 2015 г., 1,69 милиарда квоти през 2016 г. и 1,65 милиарда квоти през 2017 г. През 2018 г. излишъкът запазва равнището си от 1,65 милиарда квоти. </w:t>
      </w:r>
    </w:p>
    <w:p w14:paraId="412A36D0" w14:textId="77777777" w:rsidR="00C3264D" w:rsidRPr="004F62FA" w:rsidRDefault="00DA667D">
      <w:pPr>
        <w:jc w:val="both"/>
        <w:rPr>
          <w:rFonts w:ascii="Times New Roman" w:hAnsi="Times New Roman"/>
          <w:b/>
          <w:sz w:val="24"/>
          <w:szCs w:val="24"/>
        </w:rPr>
      </w:pPr>
      <w:r w:rsidRPr="004F62FA">
        <w:rPr>
          <w:rFonts w:ascii="Times New Roman" w:hAnsi="Times New Roman"/>
          <w:sz w:val="24"/>
          <w:szCs w:val="24"/>
        </w:rPr>
        <w:t xml:space="preserve">Фигура 4 показва развитието на излишъка на европейския пазар на въглеродни емисии до края на 2018 г. </w:t>
      </w:r>
    </w:p>
    <w:p w14:paraId="0B85A162" w14:textId="77777777" w:rsidR="00C3264D" w:rsidRDefault="00DA667D">
      <w:pPr>
        <w:jc w:val="both"/>
        <w:rPr>
          <w:rFonts w:ascii="Times New Roman" w:hAnsi="Times New Roman"/>
          <w:b/>
        </w:rPr>
      </w:pPr>
      <w:r>
        <w:rPr>
          <w:rFonts w:ascii="Times New Roman" w:hAnsi="Times New Roman"/>
          <w:b/>
        </w:rPr>
        <w:t>Фигура 4: Развитие на излишъка на европейския пазар на въглеродни емисии през периода 2013—2018 г.</w:t>
      </w:r>
    </w:p>
    <w:p w14:paraId="208CDB95" w14:textId="77777777" w:rsidR="00C3264D" w:rsidRDefault="00076795">
      <w:pPr>
        <w:spacing w:after="0"/>
        <w:jc w:val="both"/>
        <w:rPr>
          <w:rFonts w:ascii="Times New Roman" w:hAnsi="Times New Roman"/>
          <w:sz w:val="24"/>
          <w:szCs w:val="24"/>
        </w:rPr>
      </w:pPr>
      <w:r>
        <w:rPr>
          <w:rFonts w:ascii="Times New Roman" w:hAnsi="Times New Roman"/>
          <w:b/>
          <w:noProof/>
          <w:lang w:val="en-GB" w:eastAsia="en-GB"/>
        </w:rPr>
        <w:drawing>
          <wp:inline distT="0" distB="0" distL="0" distR="0" wp14:anchorId="11C7606E" wp14:editId="28CB2864">
            <wp:extent cx="5562600" cy="3102101"/>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65604" cy="3103776"/>
                    </a:xfrm>
                    <a:prstGeom prst="rect">
                      <a:avLst/>
                    </a:prstGeom>
                    <a:noFill/>
                  </pic:spPr>
                </pic:pic>
              </a:graphicData>
            </a:graphic>
          </wp:inline>
        </w:drawing>
      </w:r>
    </w:p>
    <w:p w14:paraId="56D0B8B2" w14:textId="77777777" w:rsidR="00C3264D" w:rsidRDefault="00246919">
      <w:pPr>
        <w:jc w:val="both"/>
        <w:rPr>
          <w:rFonts w:ascii="Times New Roman" w:hAnsi="Times New Roman"/>
          <w:sz w:val="18"/>
          <w:szCs w:val="18"/>
        </w:rPr>
      </w:pPr>
      <w:r>
        <w:rPr>
          <w:rFonts w:ascii="Times New Roman" w:hAnsi="Times New Roman"/>
          <w:sz w:val="18"/>
          <w:szCs w:val="18"/>
        </w:rPr>
        <w:t>Източник: ГД „Действия по климата“</w:t>
      </w:r>
    </w:p>
    <w:p w14:paraId="204A6F24" w14:textId="77777777" w:rsidR="00C3264D" w:rsidRPr="008755F7" w:rsidRDefault="000E5BB1">
      <w:pPr>
        <w:jc w:val="both"/>
        <w:rPr>
          <w:rFonts w:ascii="Times New Roman" w:hAnsi="Times New Roman"/>
          <w:sz w:val="24"/>
          <w:szCs w:val="24"/>
        </w:rPr>
      </w:pPr>
      <w:r w:rsidRPr="008755F7">
        <w:rPr>
          <w:rFonts w:ascii="Times New Roman" w:hAnsi="Times New Roman"/>
          <w:sz w:val="24"/>
          <w:szCs w:val="24"/>
        </w:rPr>
        <w:t>С цел справяне със структурния дисбаланс между предлагането и търсенето на квоти, през 2015 г. бе създаден резерв за стабилност на пазара (МSR)</w:t>
      </w:r>
      <w:r w:rsidRPr="008755F7">
        <w:rPr>
          <w:rStyle w:val="FootnoteReference"/>
          <w:sz w:val="24"/>
          <w:szCs w:val="24"/>
        </w:rPr>
        <w:footnoteReference w:id="44"/>
      </w:r>
      <w:r w:rsidRPr="008755F7">
        <w:rPr>
          <w:rFonts w:ascii="Times New Roman" w:hAnsi="Times New Roman"/>
          <w:sz w:val="24"/>
          <w:szCs w:val="24"/>
        </w:rPr>
        <w:t xml:space="preserve">, с чиято помощ да се направи по-гъвкаво тръжното предлагане на квоти за емисии. </w:t>
      </w:r>
      <w:r w:rsidRPr="008755F7">
        <w:rPr>
          <w:rFonts w:ascii="Times New Roman" w:hAnsi="Times New Roman"/>
          <w:bCs/>
          <w:iCs/>
          <w:sz w:val="24"/>
          <w:szCs w:val="24"/>
        </w:rPr>
        <w:t>В контекста на преразглеждането на СТЕ на ЕС</w:t>
      </w:r>
      <w:r w:rsidRPr="008755F7">
        <w:rPr>
          <w:rFonts w:ascii="Times New Roman" w:eastAsia="Times New Roman" w:hAnsi="Times New Roman" w:cstheme="minorBidi"/>
          <w:bCs/>
          <w:iCs/>
          <w:sz w:val="24"/>
          <w:szCs w:val="24"/>
          <w:vertAlign w:val="superscript"/>
        </w:rPr>
        <w:footnoteReference w:id="45"/>
      </w:r>
      <w:r w:rsidRPr="008755F7">
        <w:rPr>
          <w:rFonts w:ascii="Times New Roman" w:hAnsi="Times New Roman"/>
          <w:bCs/>
          <w:iCs/>
          <w:sz w:val="24"/>
          <w:szCs w:val="24"/>
        </w:rPr>
        <w:t xml:space="preserve"> бяха внесени важни промени във функционирането на MSR, както е изложено в текстовото каре по-долу. </w:t>
      </w:r>
      <w:r w:rsidRPr="008755F7">
        <w:rPr>
          <w:rFonts w:ascii="Times New Roman" w:hAnsi="Times New Roman"/>
          <w:sz w:val="24"/>
          <w:szCs w:val="24"/>
        </w:rPr>
        <w:t>MSR започна да функционира в началото на 2019 г.</w:t>
      </w:r>
    </w:p>
    <w:p w14:paraId="62966FD3" w14:textId="77777777" w:rsidR="00C3264D" w:rsidRDefault="00C3264D">
      <w:pPr>
        <w:jc w:val="both"/>
        <w:rPr>
          <w:rFonts w:ascii="Times New Roman" w:hAnsi="Times New Roman"/>
          <w:sz w:val="24"/>
          <w:szCs w:val="24"/>
        </w:rPr>
      </w:pPr>
    </w:p>
    <w:p w14:paraId="404CD0E3" w14:textId="77777777" w:rsidR="00C3264D" w:rsidRDefault="003A348D">
      <w:r>
        <w:rPr>
          <w:rFonts w:ascii="Times New Roman" w:hAnsi="Times New Roman"/>
          <w:noProof/>
          <w:lang w:val="en-GB" w:eastAsia="en-GB"/>
        </w:rPr>
        <mc:AlternateContent>
          <mc:Choice Requires="wps">
            <w:drawing>
              <wp:inline distT="0" distB="0" distL="0" distR="0" wp14:anchorId="14D9424C" wp14:editId="46BC0B9F">
                <wp:extent cx="5731510" cy="7620000"/>
                <wp:effectExtent l="0" t="0" r="21590" b="19050"/>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7620000"/>
                        </a:xfrm>
                        <a:prstGeom prst="rect">
                          <a:avLst/>
                        </a:prstGeom>
                        <a:solidFill>
                          <a:sysClr val="window" lastClr="FFFFFF">
                            <a:lumMod val="85000"/>
                          </a:sysClr>
                        </a:solidFill>
                        <a:ln w="12700">
                          <a:solidFill>
                            <a:srgbClr val="000000"/>
                          </a:solidFill>
                          <a:miter lim="800000"/>
                          <a:headEnd/>
                          <a:tailEnd/>
                        </a:ln>
                      </wps:spPr>
                      <wps:txbx>
                        <w:txbxContent>
                          <w:p w14:paraId="46C0987F" w14:textId="77777777" w:rsidR="00692F99" w:rsidRPr="004F62FA" w:rsidRDefault="00692F99">
                            <w:pPr>
                              <w:jc w:val="both"/>
                              <w:rPr>
                                <w:rFonts w:ascii="Times New Roman" w:hAnsi="Times New Roman"/>
                                <w:sz w:val="24"/>
                                <w:szCs w:val="24"/>
                              </w:rPr>
                            </w:pPr>
                            <w:r w:rsidRPr="004F62FA">
                              <w:rPr>
                                <w:rFonts w:ascii="Times New Roman" w:hAnsi="Times New Roman"/>
                                <w:sz w:val="24"/>
                                <w:szCs w:val="24"/>
                              </w:rPr>
                              <w:t xml:space="preserve">Ключово понятие във връзка с функционирането на МSR е общият брой квоти в обръщение (ОБКО). В резерва се добавят квоти, ако ОБКО е над предварително определен горен праг (833 милиона квоти), и съответно от резерва се освобождават квоти, ако този брой е под предварително определен долен праг (под 400 милиона квоти)*. По този начин МSR поема или освобождава квоти, когато показателят ОБКО е извън предварително определени граници. В резерва се добавят и отложените квоти от периода 2014—2016 г.**, както и т.нар. неразпределени*** квоти. </w:t>
                            </w:r>
                          </w:p>
                          <w:p w14:paraId="65A710FB" w14:textId="77777777" w:rsidR="00692F99" w:rsidRPr="004F62FA" w:rsidRDefault="00692F99">
                            <w:pPr>
                              <w:jc w:val="both"/>
                              <w:rPr>
                                <w:rFonts w:ascii="Times New Roman" w:hAnsi="Times New Roman"/>
                                <w:sz w:val="24"/>
                                <w:szCs w:val="24"/>
                              </w:rPr>
                            </w:pPr>
                            <w:r w:rsidRPr="004F62FA">
                              <w:rPr>
                                <w:rFonts w:ascii="Times New Roman" w:hAnsi="Times New Roman"/>
                                <w:sz w:val="24"/>
                                <w:szCs w:val="24"/>
                              </w:rPr>
                              <w:t>Общият брой квоти в обръщение, който има значение за определянето на вкарването и изкарването на квоти във и от МSR, се изчислява по следната формула:</w:t>
                            </w:r>
                          </w:p>
                          <w:p w14:paraId="55436D03" w14:textId="77777777" w:rsidR="00692F99" w:rsidRPr="004F62FA" w:rsidRDefault="00692F99">
                            <w:pPr>
                              <w:jc w:val="both"/>
                              <w:rPr>
                                <w:rFonts w:ascii="Times New Roman" w:hAnsi="Times New Roman"/>
                                <w:sz w:val="24"/>
                                <w:szCs w:val="24"/>
                              </w:rPr>
                            </w:pPr>
                            <w:r w:rsidRPr="004F62FA">
                              <w:rPr>
                                <w:rFonts w:ascii="Times New Roman" w:hAnsi="Times New Roman"/>
                                <w:sz w:val="24"/>
                                <w:szCs w:val="24"/>
                              </w:rPr>
                              <w:t>ОБКО = Предлагане – (Търсене + квоти в MSR)</w:t>
                            </w:r>
                          </w:p>
                          <w:p w14:paraId="16B9E149" w14:textId="77777777" w:rsidR="00692F99" w:rsidRPr="004F62FA" w:rsidRDefault="00692F99">
                            <w:pPr>
                              <w:rPr>
                                <w:rFonts w:ascii="Times New Roman" w:hAnsi="Times New Roman"/>
                                <w:sz w:val="24"/>
                                <w:szCs w:val="24"/>
                              </w:rPr>
                            </w:pPr>
                            <w:r w:rsidRPr="004F62FA">
                              <w:rPr>
                                <w:rFonts w:ascii="Times New Roman" w:hAnsi="Times New Roman"/>
                                <w:sz w:val="24"/>
                                <w:szCs w:val="24"/>
                              </w:rPr>
                              <w:t>Елементите на търсенето и предлагането, използвани във формулата, са описани подробно в таблица 4.1 в допълнение 4 към приложението.</w:t>
                            </w:r>
                          </w:p>
                          <w:p w14:paraId="74047526" w14:textId="77777777" w:rsidR="00692F99" w:rsidRPr="004F62FA" w:rsidRDefault="00692F99">
                            <w:pPr>
                              <w:jc w:val="both"/>
                              <w:rPr>
                                <w:rFonts w:ascii="Times New Roman" w:hAnsi="Times New Roman"/>
                                <w:sz w:val="24"/>
                                <w:szCs w:val="24"/>
                              </w:rPr>
                            </w:pPr>
                            <w:r w:rsidRPr="004F62FA">
                              <w:rPr>
                                <w:rFonts w:ascii="Times New Roman" w:hAnsi="Times New Roman"/>
                                <w:sz w:val="24"/>
                                <w:szCs w:val="24"/>
                              </w:rPr>
                              <w:t xml:space="preserve">Преразгледаната Директива за СТЕ на ЕС прави две важни промени по отношение на функционирането на MSR. На първо място, делът на ОБКО, който следва да бъде вкаран в резерва за периода 2019—2023 г., е удвоен — от 12 % на 24 %. Това увеличава значително темповете на намаляване на излишъка. Второ, считано от 2023 г., държаните в MSR квоти, които надхвърлят тръжно търгуваните количества от предходната година, повече няма да бъдат валидни. </w:t>
                            </w:r>
                          </w:p>
                          <w:p w14:paraId="6A0F2585" w14:textId="77777777" w:rsidR="00692F99" w:rsidRDefault="00692F99">
                            <w:pPr>
                              <w:jc w:val="both"/>
                              <w:rPr>
                                <w:rFonts w:ascii="Times New Roman" w:hAnsi="Times New Roman"/>
                                <w:sz w:val="18"/>
                                <w:szCs w:val="18"/>
                              </w:rPr>
                            </w:pPr>
                            <w:r>
                              <w:rPr>
                                <w:rFonts w:ascii="Times New Roman" w:hAnsi="Times New Roman"/>
                                <w:sz w:val="18"/>
                                <w:szCs w:val="18"/>
                              </w:rPr>
                              <w:t>* Или когато мерките се приемат съгласно член 29а от Директивата за СТЕ на ЕС.</w:t>
                            </w:r>
                          </w:p>
                          <w:p w14:paraId="621F3CC0" w14:textId="77777777" w:rsidR="00692F99" w:rsidRDefault="00692F99">
                            <w:pPr>
                              <w:jc w:val="both"/>
                              <w:rPr>
                                <w:rFonts w:ascii="Times New Roman" w:hAnsi="Times New Roman"/>
                                <w:sz w:val="18"/>
                                <w:szCs w:val="18"/>
                              </w:rPr>
                            </w:pPr>
                            <w:r>
                              <w:rPr>
                                <w:rFonts w:ascii="Times New Roman" w:hAnsi="Times New Roman"/>
                                <w:sz w:val="18"/>
                                <w:szCs w:val="18"/>
                              </w:rPr>
                              <w:t>**</w:t>
                            </w:r>
                            <w:r>
                              <w:t xml:space="preserve"> </w:t>
                            </w:r>
                            <w:r>
                              <w:rPr>
                                <w:rFonts w:ascii="Times New Roman" w:hAnsi="Times New Roman"/>
                                <w:sz w:val="18"/>
                                <w:szCs w:val="18"/>
                              </w:rPr>
                              <w:t>Решение № 1359/2013/ЕС на Европейския парламент и на Съвета от 17 декември 2013 г. за изменение на Директива 2003/87/ЕО с оглед уточняване на разпоредбите относно графика на търговете за квоти за емисии на парникови газове, ОВ L 343, 19.12.2013 г., стр. 1.</w:t>
                            </w:r>
                          </w:p>
                          <w:p w14:paraId="636A7EFE" w14:textId="77777777" w:rsidR="00692F99" w:rsidRDefault="00692F99">
                            <w:pPr>
                              <w:jc w:val="both"/>
                              <w:rPr>
                                <w:rFonts w:ascii="Times New Roman" w:hAnsi="Times New Roman"/>
                                <w:sz w:val="18"/>
                                <w:szCs w:val="18"/>
                              </w:rPr>
                            </w:pPr>
                            <w:r>
                              <w:rPr>
                                <w:rFonts w:ascii="Times New Roman" w:hAnsi="Times New Roman"/>
                                <w:sz w:val="18"/>
                                <w:szCs w:val="18"/>
                              </w:rPr>
                              <w:t>*** Неразпределени са квотите, които не са разпределени съгласно член 10а, параграф 7 от Директивата за СТЕ на ЕС, т.е. квоти, които остават в резерва за нови участници, и такива, които произтичат от прилагането на член 10а, параграфи 19 и 20, т.е. квоти, предвидени за безплатно предоставяне за инсталации, но останали неразпределени поради (частично) прекратяване на работата или значително намаляване на капацитета. На практика „неразпределените“ квоти, получени от прилагането на съответния коефициент за изместване на въглеродни емисии към сектори, които не са включени в списъка за изместване на въглеродни емисии през текущия период, както и всички квоти, които не са разпределени съгласно член 10в от Директивата за СТЕ, не са предвидени да бъдат въведени в резерва за стабилност на пазара по член 1, параграф 3 от Решение (ЕС) 2015/1814. Поради това тези квоти не са обхванати (вж. стр. 225 от Оценката на въздействието (SWD(2015) 135 final), придружаваща предложението за преразглеждане на Директивата за СТЕ на ЕС във фаза 4.</w:t>
                            </w:r>
                          </w:p>
                          <w:p w14:paraId="0796D009" w14:textId="77777777" w:rsidR="00692F99" w:rsidRDefault="00692F99">
                            <w:pPr>
                              <w:rPr>
                                <w:rFonts w:ascii="Times New Roman" w:hAnsi="Times New Roman"/>
                                <w:sz w:val="18"/>
                                <w:szCs w:val="18"/>
                              </w:rPr>
                            </w:pPr>
                          </w:p>
                        </w:txbxContent>
                      </wps:txbx>
                      <wps:bodyPr rot="0" vert="horz" wrap="square" lIns="91440" tIns="45720" rIns="91440" bIns="45720" anchor="t" anchorCtr="0">
                        <a:noAutofit/>
                      </wps:bodyPr>
                    </wps:wsp>
                  </a:graphicData>
                </a:graphic>
              </wp:inline>
            </w:drawing>
          </mc:Choice>
          <mc:Fallback>
            <w:pict>
              <v:shape w14:anchorId="14D9424C" id="_x0000_s1036" type="#_x0000_t202" style="width:451.3pt;height:60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" fillcolor="#d9d9d9" strokeweight="1pt">
                <v:textbox>
                  <w:txbxContent>
                    <w:p w14:paraId="46C0987F" w14:textId="77777777" w:rsidR="00692F99" w:rsidRPr="004F62FA" w:rsidRDefault="00692F99">
                      <w:pPr>
                        <w:jc w:val="both"/>
                        <w:rPr>
                          <w:rFonts w:ascii="Times New Roman" w:hAnsi="Times New Roman"/>
                          <w:sz w:val="24"/>
                          <w:szCs w:val="24"/>
                        </w:rPr>
                      </w:pPr>
                      <w:r w:rsidRPr="004F62FA">
                        <w:rPr>
                          <w:rFonts w:ascii="Times New Roman" w:hAnsi="Times New Roman"/>
                          <w:sz w:val="24"/>
                          <w:szCs w:val="24"/>
                        </w:rPr>
                        <w:t xml:space="preserve">Ключово понятие във връзка с функционирането на МSR е общият брой квоти в обръщение (ОБКО). В резерва се добавят квоти, ако ОБКО е над предварително определен горен праг (833 милиона квоти), и съответно от резерва се освобождават квоти, ако този брой е под предварително определен долен праг (под 400 милиона квоти)*. По този начин МSR поема или освобождава квоти, когато показателят ОБКО е извън предварително определени граници. В резерва се добавят и отложените квоти от периода 2014—2016 г.**, както и т.нар. неразпределени*** квоти. </w:t>
                      </w:r>
                    </w:p>
                    <w:p w14:paraId="65A710FB" w14:textId="77777777" w:rsidR="00692F99" w:rsidRPr="004F62FA" w:rsidRDefault="00692F99">
                      <w:pPr>
                        <w:jc w:val="both"/>
                        <w:rPr>
                          <w:rFonts w:ascii="Times New Roman" w:hAnsi="Times New Roman"/>
                          <w:sz w:val="24"/>
                          <w:szCs w:val="24"/>
                        </w:rPr>
                      </w:pPr>
                      <w:r w:rsidRPr="004F62FA">
                        <w:rPr>
                          <w:rFonts w:ascii="Times New Roman" w:hAnsi="Times New Roman"/>
                          <w:sz w:val="24"/>
                          <w:szCs w:val="24"/>
                        </w:rPr>
                        <w:t>Общият брой квоти в обръщение, който има значение за определянето на вкарването и изкарването на квоти във и от МSR, се изчислява по следната формула:</w:t>
                      </w:r>
                    </w:p>
                    <w:p w14:paraId="55436D03" w14:textId="77777777" w:rsidR="00692F99" w:rsidRPr="004F62FA" w:rsidRDefault="00692F99">
                      <w:pPr>
                        <w:jc w:val="both"/>
                        <w:rPr>
                          <w:rFonts w:ascii="Times New Roman" w:hAnsi="Times New Roman"/>
                          <w:sz w:val="24"/>
                          <w:szCs w:val="24"/>
                        </w:rPr>
                      </w:pPr>
                      <w:r w:rsidRPr="004F62FA">
                        <w:rPr>
                          <w:rFonts w:ascii="Times New Roman" w:hAnsi="Times New Roman"/>
                          <w:sz w:val="24"/>
                          <w:szCs w:val="24"/>
                        </w:rPr>
                        <w:t>ОБКО = Предлагане – (Търсене + квоти в MSR)</w:t>
                      </w:r>
                    </w:p>
                    <w:p w14:paraId="16B9E149" w14:textId="77777777" w:rsidR="00692F99" w:rsidRPr="004F62FA" w:rsidRDefault="00692F99">
                      <w:pPr>
                        <w:rPr>
                          <w:rFonts w:ascii="Times New Roman" w:hAnsi="Times New Roman"/>
                          <w:sz w:val="24"/>
                          <w:szCs w:val="24"/>
                        </w:rPr>
                      </w:pPr>
                      <w:r w:rsidRPr="004F62FA">
                        <w:rPr>
                          <w:rFonts w:ascii="Times New Roman" w:hAnsi="Times New Roman"/>
                          <w:sz w:val="24"/>
                          <w:szCs w:val="24"/>
                        </w:rPr>
                        <w:t>Елементите на търсенето и предлагането, използвани във формулата, са описани подробно в таблица 4.1 в допълнение 4 към приложението.</w:t>
                      </w:r>
                    </w:p>
                    <w:p w14:paraId="74047526" w14:textId="77777777" w:rsidR="00692F99" w:rsidRPr="004F62FA" w:rsidRDefault="00692F99">
                      <w:pPr>
                        <w:jc w:val="both"/>
                        <w:rPr>
                          <w:rFonts w:ascii="Times New Roman" w:hAnsi="Times New Roman"/>
                          <w:sz w:val="24"/>
                          <w:szCs w:val="24"/>
                        </w:rPr>
                      </w:pPr>
                      <w:r w:rsidRPr="004F62FA">
                        <w:rPr>
                          <w:rFonts w:ascii="Times New Roman" w:hAnsi="Times New Roman"/>
                          <w:sz w:val="24"/>
                          <w:szCs w:val="24"/>
                        </w:rPr>
                        <w:t xml:space="preserve">Преразгледаната Директива за СТЕ на ЕС прави две важни промени по отношение на функционирането на MSR. На първо място, делът на ОБКО, който следва да бъде вкаран в резерва за периода 2019—2023 г., е удвоен — от 12 % на 24 %. Това увеличава значително темповете на намаляване на излишъка. Второ, считано от 2023 г., държаните в MSR квоти, които надхвърлят тръжно търгуваните количества от предходната година, повече няма да бъдат валидни. </w:t>
                      </w:r>
                    </w:p>
                    <w:p w14:paraId="6A0F2585" w14:textId="77777777" w:rsidR="00692F99" w:rsidRDefault="00692F99">
                      <w:pPr>
                        <w:jc w:val="both"/>
                        <w:rPr>
                          <w:rFonts w:ascii="Times New Roman" w:hAnsi="Times New Roman"/>
                          <w:sz w:val="18"/>
                          <w:szCs w:val="18"/>
                        </w:rPr>
                      </w:pPr>
                      <w:r>
                        <w:rPr>
                          <w:rFonts w:ascii="Times New Roman" w:hAnsi="Times New Roman"/>
                          <w:sz w:val="18"/>
                          <w:szCs w:val="18"/>
                        </w:rPr>
                        <w:t>* Или когато мерките се приемат съгласно член 29а от Директивата за СТЕ на ЕС.</w:t>
                      </w:r>
                    </w:p>
                    <w:p w14:paraId="621F3CC0" w14:textId="77777777" w:rsidR="00692F99" w:rsidRDefault="00692F99">
                      <w:pPr>
                        <w:jc w:val="both"/>
                        <w:rPr>
                          <w:rFonts w:ascii="Times New Roman" w:hAnsi="Times New Roman"/>
                          <w:sz w:val="18"/>
                          <w:szCs w:val="18"/>
                        </w:rPr>
                      </w:pPr>
                      <w:r>
                        <w:rPr>
                          <w:rFonts w:ascii="Times New Roman" w:hAnsi="Times New Roman"/>
                          <w:sz w:val="18"/>
                          <w:szCs w:val="18"/>
                        </w:rPr>
                        <w:t>**</w:t>
                      </w:r>
                      <w:r>
                        <w:t xml:space="preserve"> </w:t>
                      </w:r>
                      <w:r>
                        <w:rPr>
                          <w:rFonts w:ascii="Times New Roman" w:hAnsi="Times New Roman"/>
                          <w:sz w:val="18"/>
                          <w:szCs w:val="18"/>
                        </w:rPr>
                        <w:t>Решение № 1359/2013/ЕС на Европейския парламент и на Съвета от 17 декември 2013 г. за изменение на Директива 2003/87/ЕО с оглед уточняване на разпоредбите относно графика на търговете за квоти за емисии на парникови газове, ОВ L 343, 19.12.2013 г., стр. 1.</w:t>
                      </w:r>
                    </w:p>
                    <w:p w14:paraId="636A7EFE" w14:textId="77777777" w:rsidR="00692F99" w:rsidRDefault="00692F99">
                      <w:pPr>
                        <w:jc w:val="both"/>
                        <w:rPr>
                          <w:rFonts w:ascii="Times New Roman" w:hAnsi="Times New Roman"/>
                          <w:sz w:val="18"/>
                          <w:szCs w:val="18"/>
                        </w:rPr>
                      </w:pPr>
                      <w:r>
                        <w:rPr>
                          <w:rFonts w:ascii="Times New Roman" w:hAnsi="Times New Roman"/>
                          <w:sz w:val="18"/>
                          <w:szCs w:val="18"/>
                        </w:rPr>
                        <w:t>*** Неразпределени са квотите, които не са разпределени съгласно член 10а, параграф 7 от Директивата за СТЕ на ЕС, т.е. квоти, които остават в резерва за нови участници, и такива, които произтичат от прилагането на член 10а, параграфи 19 и 20, т.е. квоти, предвидени за безплатно предоставяне за инсталации, но останали неразпределени поради (частично) прекратяване на работата или значително намаляване на капацитета. На практика „неразпределените“ квоти, получени от прилагането на съответния коефициент за изместване на въглеродни емисии към сектори, които не са включени в списъка за изместване на въглеродни емисии през текущия период, както и всички квоти, които не са разпределени съгласно член 10в от Директивата за СТЕ, не са предвидени да бъдат въведени в резерва за стабилност на пазара по член 1, параграф 3 от Решение (ЕС) 2015/1814. Поради това тези квоти не са обхванати (вж. стр. 225 от Оценката на въздействието (SWD(2015) 135 final), придружаваща предложението за преразглеждане на Директивата за СТЕ на ЕС във фаза 4.</w:t>
                      </w:r>
                    </w:p>
                    <w:p w14:paraId="0796D009" w14:textId="77777777" w:rsidR="00692F99" w:rsidRDefault="00692F99">
                      <w:pPr>
                        <w:rPr>
                          <w:rFonts w:ascii="Times New Roman" w:hAnsi="Times New Roman"/>
                          <w:sz w:val="18"/>
                          <w:szCs w:val="18"/>
                        </w:rPr>
                      </w:pPr>
                    </w:p>
                  </w:txbxContent>
                </v:textbox>
                <w10:anchorlock/>
              </v:shape>
            </w:pict>
          </mc:Fallback>
        </mc:AlternateContent>
      </w:r>
    </w:p>
    <w:p w14:paraId="5DF66922" w14:textId="77777777" w:rsidR="00C3264D" w:rsidRPr="008755F7" w:rsidRDefault="00EB4AF8">
      <w:pPr>
        <w:jc w:val="both"/>
        <w:rPr>
          <w:rFonts w:ascii="Times New Roman" w:hAnsi="Times New Roman"/>
          <w:sz w:val="24"/>
          <w:szCs w:val="24"/>
        </w:rPr>
      </w:pPr>
      <w:r w:rsidRPr="008755F7">
        <w:rPr>
          <w:rFonts w:ascii="Times New Roman" w:hAnsi="Times New Roman"/>
          <w:sz w:val="24"/>
          <w:szCs w:val="24"/>
        </w:rPr>
        <w:t xml:space="preserve">Докладът за пазара на въглеродни емисии дава възможност за консолидиране на данните за предлагането и търсенето, които се публикуват в съответствие с графика на задълженията за докладване, произтичащи от Директивата за СТЕ на ЕС и разпоредбите за нейното прилагане. </w:t>
      </w:r>
    </w:p>
    <w:p w14:paraId="512C20EE" w14:textId="77777777" w:rsidR="00C3264D" w:rsidRPr="008755F7" w:rsidRDefault="00EB4AF8">
      <w:pPr>
        <w:jc w:val="both"/>
        <w:rPr>
          <w:rFonts w:ascii="Times New Roman" w:hAnsi="Times New Roman"/>
          <w:sz w:val="24"/>
          <w:szCs w:val="24"/>
        </w:rPr>
      </w:pPr>
      <w:r w:rsidRPr="008755F7">
        <w:rPr>
          <w:rFonts w:ascii="Times New Roman" w:hAnsi="Times New Roman"/>
          <w:sz w:val="24"/>
          <w:szCs w:val="24"/>
        </w:rPr>
        <w:t>На фигура 5 е представен съставът на предлагането и търсенето през 2018 г. Съответните данни са публикувани и като част от третото съобщение за общия брой квоти в обръщение (ОБКО) за целите на MSR</w:t>
      </w:r>
      <w:r w:rsidRPr="008755F7">
        <w:rPr>
          <w:rFonts w:ascii="Times New Roman" w:hAnsi="Times New Roman"/>
          <w:sz w:val="24"/>
          <w:szCs w:val="24"/>
          <w:vertAlign w:val="superscript"/>
        </w:rPr>
        <w:footnoteReference w:id="46"/>
      </w:r>
      <w:r w:rsidRPr="008755F7">
        <w:rPr>
          <w:rFonts w:ascii="Times New Roman" w:hAnsi="Times New Roman"/>
          <w:sz w:val="24"/>
          <w:szCs w:val="24"/>
        </w:rPr>
        <w:t xml:space="preserve"> .</w:t>
      </w:r>
    </w:p>
    <w:p w14:paraId="24F833AA" w14:textId="77777777" w:rsidR="00C3264D" w:rsidRDefault="00C3264D">
      <w:pPr>
        <w:jc w:val="both"/>
        <w:rPr>
          <w:rFonts w:ascii="Times New Roman" w:hAnsi="Times New Roman"/>
        </w:rPr>
      </w:pPr>
    </w:p>
    <w:p w14:paraId="60E2B522" w14:textId="77777777" w:rsidR="00C3264D" w:rsidRDefault="003A348D">
      <w:pPr>
        <w:jc w:val="both"/>
        <w:rPr>
          <w:rFonts w:ascii="Times New Roman" w:hAnsi="Times New Roman"/>
        </w:rPr>
      </w:pPr>
      <w:r>
        <w:rPr>
          <w:rFonts w:ascii="Times New Roman" w:hAnsi="Times New Roman"/>
          <w:b/>
        </w:rPr>
        <w:t>Фигура 5: Състав на кумулативното предлагане и търсене до края на 2018 г.</w:t>
      </w:r>
    </w:p>
    <w:p w14:paraId="744BB1EA" w14:textId="77777777" w:rsidR="00C3264D" w:rsidRDefault="003A348D">
      <w:pPr>
        <w:rPr>
          <w:sz w:val="20"/>
          <w:szCs w:val="20"/>
        </w:rPr>
      </w:pPr>
      <w:r>
        <w:rPr>
          <w:rFonts w:ascii="Times New Roman" w:hAnsi="Times New Roman"/>
          <w:b/>
          <w:bCs/>
          <w:sz w:val="20"/>
          <w:szCs w:val="20"/>
        </w:rPr>
        <w:t>Предлагане</w:t>
      </w:r>
      <w:r>
        <w:rPr>
          <w:rFonts w:ascii="Times New Roman" w:hAnsi="Times New Roman"/>
          <w:sz w:val="20"/>
          <w:szCs w:val="20"/>
        </w:rPr>
        <w:t xml:space="preserve"> (кумулативно, милиони)</w:t>
      </w:r>
      <w:r>
        <w:rPr>
          <w:rFonts w:ascii="Times New Roman" w:hAnsi="Times New Roman"/>
          <w:sz w:val="20"/>
          <w:szCs w:val="20"/>
        </w:rPr>
        <w:tab/>
        <w:t xml:space="preserve">                   </w:t>
      </w:r>
      <w:r>
        <w:rPr>
          <w:rFonts w:ascii="Times New Roman" w:hAnsi="Times New Roman"/>
          <w:b/>
          <w:bCs/>
          <w:sz w:val="20"/>
          <w:szCs w:val="20"/>
        </w:rPr>
        <w:t>Търсене</w:t>
      </w:r>
      <w:r>
        <w:rPr>
          <w:rFonts w:ascii="Times New Roman" w:hAnsi="Times New Roman"/>
          <w:sz w:val="20"/>
          <w:szCs w:val="20"/>
        </w:rPr>
        <w:t xml:space="preserve"> (кумулативно, милиони)</w:t>
      </w:r>
    </w:p>
    <w:p w14:paraId="16F552AD" w14:textId="77777777" w:rsidR="00C3264D" w:rsidRDefault="008E69DA">
      <w:pPr>
        <w:spacing w:after="0"/>
      </w:pPr>
      <w:r>
        <w:rPr>
          <w:noProof/>
          <w:lang w:val="en-GB" w:eastAsia="en-GB"/>
        </w:rPr>
        <w:drawing>
          <wp:inline distT="0" distB="0" distL="0" distR="0" wp14:anchorId="09C85C50" wp14:editId="668A1F15">
            <wp:extent cx="2260315" cy="3174715"/>
            <wp:effectExtent l="0" t="0" r="6985" b="698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Pr>
          <w:noProof/>
          <w:lang w:val="en-GB" w:eastAsia="en-GB"/>
        </w:rPr>
        <w:drawing>
          <wp:inline distT="0" distB="0" distL="0" distR="0" wp14:anchorId="5BD76768" wp14:editId="71A6E781">
            <wp:extent cx="2167255" cy="3170381"/>
            <wp:effectExtent l="0" t="0" r="4445" b="1143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C716347" w14:textId="77777777" w:rsidR="00C3264D" w:rsidRDefault="00526348">
      <w:pPr>
        <w:rPr>
          <w:rFonts w:ascii="Times New Roman" w:hAnsi="Times New Roman"/>
          <w:sz w:val="18"/>
          <w:szCs w:val="18"/>
        </w:rPr>
      </w:pPr>
      <w:r>
        <w:rPr>
          <w:rFonts w:ascii="Times New Roman" w:hAnsi="Times New Roman"/>
          <w:sz w:val="18"/>
          <w:szCs w:val="18"/>
        </w:rPr>
        <w:t>Източник: ГД „Действия по климата“</w:t>
      </w:r>
    </w:p>
    <w:tbl>
      <w:tblPr>
        <w:tblW w:w="4051" w:type="dxa"/>
        <w:jc w:val="center"/>
        <w:tblLook w:val="04A0" w:firstRow="1" w:lastRow="0" w:firstColumn="1" w:lastColumn="0" w:noHBand="0" w:noVBand="1"/>
      </w:tblPr>
      <w:tblGrid>
        <w:gridCol w:w="551"/>
        <w:gridCol w:w="3500"/>
      </w:tblGrid>
      <w:tr w:rsidR="00C3264D" w14:paraId="0FD8B42A" w14:textId="77777777" w:rsidTr="008E69DA">
        <w:trPr>
          <w:trHeight w:val="310"/>
          <w:jc w:val="center"/>
        </w:trPr>
        <w:tc>
          <w:tcPr>
            <w:tcW w:w="551" w:type="dxa"/>
            <w:tcBorders>
              <w:top w:val="nil"/>
              <w:left w:val="nil"/>
              <w:bottom w:val="nil"/>
              <w:right w:val="nil"/>
            </w:tcBorders>
            <w:shd w:val="clear" w:color="auto" w:fill="4BACC6" w:themeFill="accent5"/>
            <w:noWrap/>
            <w:vAlign w:val="center"/>
          </w:tcPr>
          <w:p w14:paraId="04FA8FFC" w14:textId="77777777" w:rsidR="00C3264D" w:rsidRDefault="005C54C3">
            <w:pPr>
              <w:spacing w:line="240" w:lineRule="auto"/>
              <w:rPr>
                <w:rFonts w:ascii="Times New Roman" w:eastAsia="Times New Roman" w:hAnsi="Times New Roman"/>
                <w:color w:val="000000"/>
                <w:sz w:val="24"/>
                <w:szCs w:val="24"/>
              </w:rPr>
            </w:pPr>
            <w:r>
              <w:rPr>
                <w:rFonts w:ascii="Times New Roman" w:hAnsi="Times New Roman"/>
              </w:rPr>
              <w:t> </w:t>
            </w:r>
          </w:p>
        </w:tc>
        <w:tc>
          <w:tcPr>
            <w:tcW w:w="3500" w:type="dxa"/>
            <w:tcBorders>
              <w:top w:val="nil"/>
              <w:left w:val="nil"/>
              <w:bottom w:val="nil"/>
              <w:right w:val="nil"/>
            </w:tcBorders>
            <w:shd w:val="clear" w:color="000000" w:fill="FFFFFF"/>
            <w:noWrap/>
            <w:vAlign w:val="center"/>
          </w:tcPr>
          <w:p w14:paraId="1B726D52" w14:textId="77777777" w:rsidR="00C3264D" w:rsidRDefault="005C54C3">
            <w:pPr>
              <w:spacing w:line="240" w:lineRule="auto"/>
              <w:rPr>
                <w:rFonts w:ascii="Times New Roman" w:eastAsia="Times New Roman" w:hAnsi="Times New Roman"/>
                <w:color w:val="000000"/>
                <w:sz w:val="20"/>
                <w:szCs w:val="20"/>
              </w:rPr>
            </w:pPr>
            <w:r>
              <w:rPr>
                <w:rFonts w:ascii="Times New Roman" w:hAnsi="Times New Roman"/>
                <w:sz w:val="20"/>
                <w:szCs w:val="20"/>
              </w:rPr>
              <w:t>Тръжна продажба</w:t>
            </w:r>
          </w:p>
        </w:tc>
      </w:tr>
      <w:tr w:rsidR="00C3264D" w14:paraId="08CA4BD6" w14:textId="77777777" w:rsidTr="008E69DA">
        <w:trPr>
          <w:trHeight w:val="310"/>
          <w:jc w:val="center"/>
        </w:trPr>
        <w:tc>
          <w:tcPr>
            <w:tcW w:w="551" w:type="dxa"/>
            <w:tcBorders>
              <w:top w:val="nil"/>
              <w:left w:val="nil"/>
              <w:bottom w:val="nil"/>
              <w:right w:val="nil"/>
            </w:tcBorders>
            <w:shd w:val="clear" w:color="auto" w:fill="C0504D" w:themeFill="accent2"/>
            <w:noWrap/>
            <w:vAlign w:val="center"/>
          </w:tcPr>
          <w:p w14:paraId="07846CC7" w14:textId="77777777" w:rsidR="00C3264D" w:rsidRDefault="005C54C3">
            <w:pPr>
              <w:spacing w:after="0" w:line="240" w:lineRule="auto"/>
              <w:rPr>
                <w:rFonts w:ascii="Times New Roman" w:eastAsia="Times New Roman" w:hAnsi="Times New Roman"/>
                <w:color w:val="000000"/>
                <w:sz w:val="24"/>
                <w:szCs w:val="24"/>
              </w:rPr>
            </w:pPr>
            <w:r>
              <w:rPr>
                <w:rFonts w:ascii="Times New Roman" w:hAnsi="Times New Roman"/>
              </w:rPr>
              <w:t> </w:t>
            </w:r>
          </w:p>
        </w:tc>
        <w:tc>
          <w:tcPr>
            <w:tcW w:w="3500" w:type="dxa"/>
            <w:tcBorders>
              <w:top w:val="nil"/>
              <w:left w:val="nil"/>
              <w:bottom w:val="nil"/>
              <w:right w:val="nil"/>
            </w:tcBorders>
            <w:shd w:val="clear" w:color="000000" w:fill="FFFFFF"/>
            <w:noWrap/>
            <w:vAlign w:val="center"/>
          </w:tcPr>
          <w:p w14:paraId="7E4DC6A3" w14:textId="77777777" w:rsidR="00C3264D" w:rsidRDefault="005C54C3">
            <w:pPr>
              <w:spacing w:after="0" w:line="240" w:lineRule="auto"/>
              <w:rPr>
                <w:rFonts w:ascii="Times New Roman" w:eastAsia="Times New Roman" w:hAnsi="Times New Roman"/>
                <w:color w:val="000000"/>
                <w:sz w:val="20"/>
                <w:szCs w:val="20"/>
              </w:rPr>
            </w:pPr>
            <w:r>
              <w:rPr>
                <w:rFonts w:ascii="Times New Roman" w:hAnsi="Times New Roman"/>
                <w:sz w:val="20"/>
                <w:szCs w:val="20"/>
              </w:rPr>
              <w:t>Безплатни квоти</w:t>
            </w:r>
          </w:p>
        </w:tc>
      </w:tr>
      <w:tr w:rsidR="00C3264D" w14:paraId="3702DC68" w14:textId="77777777" w:rsidTr="008E69DA">
        <w:trPr>
          <w:trHeight w:val="310"/>
          <w:jc w:val="center"/>
        </w:trPr>
        <w:tc>
          <w:tcPr>
            <w:tcW w:w="551" w:type="dxa"/>
            <w:tcBorders>
              <w:top w:val="nil"/>
              <w:left w:val="nil"/>
              <w:bottom w:val="nil"/>
              <w:right w:val="nil"/>
            </w:tcBorders>
            <w:shd w:val="clear" w:color="auto" w:fill="9BBB59" w:themeFill="accent3"/>
            <w:noWrap/>
            <w:vAlign w:val="center"/>
          </w:tcPr>
          <w:p w14:paraId="53CC0484" w14:textId="77777777" w:rsidR="00C3264D" w:rsidRDefault="005C54C3">
            <w:pPr>
              <w:spacing w:after="0" w:line="240" w:lineRule="auto"/>
              <w:rPr>
                <w:rFonts w:ascii="Times New Roman" w:eastAsia="Times New Roman" w:hAnsi="Times New Roman"/>
                <w:color w:val="000000"/>
                <w:sz w:val="24"/>
                <w:szCs w:val="24"/>
              </w:rPr>
            </w:pPr>
            <w:r>
              <w:rPr>
                <w:rFonts w:ascii="Times New Roman" w:hAnsi="Times New Roman"/>
              </w:rPr>
              <w:t> </w:t>
            </w:r>
          </w:p>
        </w:tc>
        <w:tc>
          <w:tcPr>
            <w:tcW w:w="3500" w:type="dxa"/>
            <w:tcBorders>
              <w:top w:val="nil"/>
              <w:left w:val="nil"/>
              <w:bottom w:val="nil"/>
              <w:right w:val="nil"/>
            </w:tcBorders>
            <w:shd w:val="clear" w:color="000000" w:fill="FFFFFF"/>
            <w:noWrap/>
            <w:vAlign w:val="center"/>
          </w:tcPr>
          <w:p w14:paraId="54D6297F" w14:textId="77777777" w:rsidR="00C3264D" w:rsidRDefault="005C54C3">
            <w:pPr>
              <w:spacing w:after="0" w:line="240" w:lineRule="auto"/>
              <w:rPr>
                <w:rFonts w:ascii="Times New Roman" w:eastAsia="Times New Roman" w:hAnsi="Times New Roman"/>
                <w:color w:val="000000"/>
                <w:sz w:val="20"/>
                <w:szCs w:val="20"/>
              </w:rPr>
            </w:pPr>
            <w:r>
              <w:rPr>
                <w:rFonts w:ascii="Times New Roman" w:hAnsi="Times New Roman"/>
                <w:sz w:val="20"/>
                <w:szCs w:val="20"/>
              </w:rPr>
              <w:t>Безплатни квоти (NER)</w:t>
            </w:r>
          </w:p>
        </w:tc>
      </w:tr>
      <w:tr w:rsidR="00C3264D" w14:paraId="7BFE0879" w14:textId="77777777" w:rsidTr="008E69DA">
        <w:trPr>
          <w:trHeight w:val="310"/>
          <w:jc w:val="center"/>
        </w:trPr>
        <w:tc>
          <w:tcPr>
            <w:tcW w:w="551" w:type="dxa"/>
            <w:tcBorders>
              <w:top w:val="nil"/>
              <w:left w:val="nil"/>
              <w:bottom w:val="nil"/>
              <w:right w:val="nil"/>
            </w:tcBorders>
            <w:shd w:val="clear" w:color="auto" w:fill="8064A2" w:themeFill="accent4"/>
            <w:noWrap/>
            <w:vAlign w:val="center"/>
          </w:tcPr>
          <w:p w14:paraId="03CE5182" w14:textId="77777777" w:rsidR="00C3264D" w:rsidRDefault="005C54C3">
            <w:pPr>
              <w:spacing w:after="0" w:line="240" w:lineRule="auto"/>
              <w:rPr>
                <w:rFonts w:ascii="Times New Roman" w:eastAsia="Times New Roman" w:hAnsi="Times New Roman"/>
                <w:color w:val="000000"/>
                <w:sz w:val="24"/>
                <w:szCs w:val="24"/>
              </w:rPr>
            </w:pPr>
            <w:r>
              <w:rPr>
                <w:rFonts w:ascii="Times New Roman" w:hAnsi="Times New Roman"/>
              </w:rPr>
              <w:t> </w:t>
            </w:r>
          </w:p>
        </w:tc>
        <w:tc>
          <w:tcPr>
            <w:tcW w:w="3500" w:type="dxa"/>
            <w:tcBorders>
              <w:top w:val="nil"/>
              <w:left w:val="nil"/>
              <w:bottom w:val="nil"/>
              <w:right w:val="nil"/>
            </w:tcBorders>
            <w:shd w:val="clear" w:color="000000" w:fill="FFFFFF"/>
            <w:noWrap/>
            <w:vAlign w:val="center"/>
          </w:tcPr>
          <w:p w14:paraId="1D19A5E5" w14:textId="77777777" w:rsidR="00C3264D" w:rsidRDefault="005C54C3">
            <w:pPr>
              <w:spacing w:after="0" w:line="240" w:lineRule="auto"/>
              <w:rPr>
                <w:rFonts w:ascii="Times New Roman" w:eastAsia="Times New Roman" w:hAnsi="Times New Roman"/>
                <w:color w:val="000000"/>
                <w:sz w:val="20"/>
                <w:szCs w:val="20"/>
              </w:rPr>
            </w:pPr>
            <w:r>
              <w:rPr>
                <w:rFonts w:ascii="Times New Roman" w:hAnsi="Times New Roman"/>
                <w:sz w:val="20"/>
                <w:szCs w:val="20"/>
              </w:rPr>
              <w:t>Безплатни квоти (член 10в)</w:t>
            </w:r>
          </w:p>
        </w:tc>
      </w:tr>
      <w:tr w:rsidR="00C3264D" w14:paraId="65D722B4" w14:textId="77777777" w:rsidTr="008E69DA">
        <w:trPr>
          <w:trHeight w:val="310"/>
          <w:jc w:val="center"/>
        </w:trPr>
        <w:tc>
          <w:tcPr>
            <w:tcW w:w="551" w:type="dxa"/>
            <w:tcBorders>
              <w:top w:val="nil"/>
              <w:left w:val="nil"/>
              <w:bottom w:val="nil"/>
              <w:right w:val="nil"/>
            </w:tcBorders>
            <w:shd w:val="clear" w:color="auto" w:fill="1F497D" w:themeFill="text2"/>
            <w:noWrap/>
            <w:vAlign w:val="center"/>
          </w:tcPr>
          <w:p w14:paraId="5B97F255" w14:textId="77777777" w:rsidR="00C3264D" w:rsidRDefault="005C54C3">
            <w:pPr>
              <w:spacing w:after="0" w:line="240" w:lineRule="auto"/>
              <w:rPr>
                <w:rFonts w:ascii="Times New Roman" w:eastAsia="Times New Roman" w:hAnsi="Times New Roman"/>
                <w:color w:val="000000"/>
                <w:sz w:val="24"/>
                <w:szCs w:val="24"/>
              </w:rPr>
            </w:pPr>
            <w:r>
              <w:rPr>
                <w:rFonts w:ascii="Times New Roman" w:hAnsi="Times New Roman"/>
              </w:rPr>
              <w:t> </w:t>
            </w:r>
          </w:p>
        </w:tc>
        <w:tc>
          <w:tcPr>
            <w:tcW w:w="3500" w:type="dxa"/>
            <w:tcBorders>
              <w:top w:val="nil"/>
              <w:left w:val="nil"/>
              <w:bottom w:val="nil"/>
              <w:right w:val="nil"/>
            </w:tcBorders>
            <w:shd w:val="clear" w:color="000000" w:fill="FFFFFF"/>
            <w:noWrap/>
            <w:vAlign w:val="center"/>
          </w:tcPr>
          <w:p w14:paraId="6F3881C4" w14:textId="77777777" w:rsidR="00C3264D" w:rsidRDefault="005C54C3">
            <w:pPr>
              <w:spacing w:after="0" w:line="240" w:lineRule="auto"/>
              <w:rPr>
                <w:rFonts w:ascii="Times New Roman" w:eastAsia="Times New Roman" w:hAnsi="Times New Roman"/>
                <w:color w:val="000000"/>
                <w:sz w:val="20"/>
                <w:szCs w:val="20"/>
              </w:rPr>
            </w:pPr>
            <w:r>
              <w:rPr>
                <w:rFonts w:ascii="Times New Roman" w:hAnsi="Times New Roman"/>
                <w:sz w:val="20"/>
                <w:szCs w:val="20"/>
              </w:rPr>
              <w:t>Обменени международни кредити</w:t>
            </w:r>
          </w:p>
        </w:tc>
      </w:tr>
      <w:tr w:rsidR="00C3264D" w14:paraId="390B3415" w14:textId="77777777" w:rsidTr="008E69DA">
        <w:trPr>
          <w:trHeight w:val="310"/>
          <w:jc w:val="center"/>
        </w:trPr>
        <w:tc>
          <w:tcPr>
            <w:tcW w:w="551" w:type="dxa"/>
            <w:tcBorders>
              <w:top w:val="nil"/>
              <w:left w:val="nil"/>
              <w:bottom w:val="nil"/>
              <w:right w:val="nil"/>
            </w:tcBorders>
            <w:shd w:val="clear" w:color="auto" w:fill="F79646" w:themeFill="accent6"/>
            <w:noWrap/>
            <w:vAlign w:val="center"/>
          </w:tcPr>
          <w:p w14:paraId="095B3FD1" w14:textId="77777777" w:rsidR="00C3264D" w:rsidRDefault="005C54C3">
            <w:pPr>
              <w:spacing w:after="0" w:line="240" w:lineRule="auto"/>
              <w:rPr>
                <w:rFonts w:ascii="Times New Roman" w:eastAsia="Times New Roman" w:hAnsi="Times New Roman"/>
                <w:color w:val="000000"/>
                <w:sz w:val="24"/>
                <w:szCs w:val="24"/>
              </w:rPr>
            </w:pPr>
            <w:r>
              <w:rPr>
                <w:rFonts w:ascii="Times New Roman" w:hAnsi="Times New Roman"/>
              </w:rPr>
              <w:t> </w:t>
            </w:r>
          </w:p>
        </w:tc>
        <w:tc>
          <w:tcPr>
            <w:tcW w:w="3500" w:type="dxa"/>
            <w:tcBorders>
              <w:top w:val="nil"/>
              <w:left w:val="nil"/>
              <w:bottom w:val="nil"/>
              <w:right w:val="nil"/>
            </w:tcBorders>
            <w:shd w:val="clear" w:color="000000" w:fill="FFFFFF"/>
            <w:noWrap/>
            <w:vAlign w:val="center"/>
          </w:tcPr>
          <w:p w14:paraId="0CABE209" w14:textId="77777777" w:rsidR="00C3264D" w:rsidRDefault="005C54C3">
            <w:pPr>
              <w:spacing w:after="0" w:line="240" w:lineRule="auto"/>
              <w:rPr>
                <w:rFonts w:ascii="Times New Roman" w:eastAsia="Times New Roman" w:hAnsi="Times New Roman"/>
                <w:color w:val="000000"/>
                <w:sz w:val="20"/>
                <w:szCs w:val="20"/>
              </w:rPr>
            </w:pPr>
            <w:r>
              <w:rPr>
                <w:rFonts w:ascii="Times New Roman" w:hAnsi="Times New Roman"/>
                <w:sz w:val="20"/>
                <w:szCs w:val="20"/>
              </w:rPr>
              <w:t>Осребряване на квоти за NER 300 от ЕИБ</w:t>
            </w:r>
          </w:p>
        </w:tc>
      </w:tr>
      <w:tr w:rsidR="00C3264D" w14:paraId="5826F97F" w14:textId="77777777" w:rsidTr="008E69DA">
        <w:trPr>
          <w:trHeight w:val="310"/>
          <w:jc w:val="center"/>
        </w:trPr>
        <w:tc>
          <w:tcPr>
            <w:tcW w:w="551" w:type="dxa"/>
            <w:tcBorders>
              <w:top w:val="nil"/>
              <w:left w:val="nil"/>
              <w:bottom w:val="nil"/>
              <w:right w:val="nil"/>
            </w:tcBorders>
            <w:shd w:val="clear" w:color="auto" w:fill="632423" w:themeFill="accent2" w:themeFillShade="80"/>
            <w:noWrap/>
            <w:vAlign w:val="center"/>
          </w:tcPr>
          <w:p w14:paraId="7DD9E809" w14:textId="77777777" w:rsidR="00C3264D" w:rsidRDefault="00C3264D">
            <w:pPr>
              <w:spacing w:after="0" w:line="240" w:lineRule="auto"/>
              <w:rPr>
                <w:rFonts w:ascii="Times New Roman" w:eastAsia="Times New Roman" w:hAnsi="Times New Roman"/>
                <w:color w:val="000000"/>
                <w:sz w:val="24"/>
                <w:szCs w:val="24"/>
              </w:rPr>
            </w:pPr>
          </w:p>
        </w:tc>
        <w:tc>
          <w:tcPr>
            <w:tcW w:w="3500" w:type="dxa"/>
            <w:tcBorders>
              <w:top w:val="nil"/>
              <w:left w:val="nil"/>
              <w:bottom w:val="nil"/>
              <w:right w:val="nil"/>
            </w:tcBorders>
            <w:shd w:val="clear" w:color="000000" w:fill="FFFFFF"/>
            <w:noWrap/>
            <w:vAlign w:val="center"/>
          </w:tcPr>
          <w:p w14:paraId="2BA79C61" w14:textId="77777777" w:rsidR="00C3264D" w:rsidRDefault="005C54C3">
            <w:pPr>
              <w:spacing w:after="0" w:line="240" w:lineRule="auto"/>
              <w:rPr>
                <w:rFonts w:ascii="Times New Roman" w:eastAsia="Times New Roman" w:hAnsi="Times New Roman"/>
                <w:color w:val="000000"/>
                <w:sz w:val="20"/>
                <w:szCs w:val="20"/>
              </w:rPr>
            </w:pPr>
            <w:r>
              <w:rPr>
                <w:rFonts w:ascii="Times New Roman" w:hAnsi="Times New Roman"/>
                <w:sz w:val="20"/>
                <w:szCs w:val="20"/>
              </w:rPr>
              <w:t>Ранни търгове</w:t>
            </w:r>
          </w:p>
        </w:tc>
      </w:tr>
      <w:tr w:rsidR="00C3264D" w14:paraId="3A59EC98" w14:textId="77777777" w:rsidTr="008E69DA">
        <w:trPr>
          <w:trHeight w:val="310"/>
          <w:jc w:val="center"/>
        </w:trPr>
        <w:tc>
          <w:tcPr>
            <w:tcW w:w="551" w:type="dxa"/>
            <w:tcBorders>
              <w:top w:val="nil"/>
              <w:left w:val="nil"/>
              <w:bottom w:val="nil"/>
              <w:right w:val="nil"/>
            </w:tcBorders>
            <w:shd w:val="clear" w:color="auto" w:fill="4F81BD" w:themeFill="accent1"/>
            <w:noWrap/>
            <w:vAlign w:val="center"/>
          </w:tcPr>
          <w:p w14:paraId="6A3E692E" w14:textId="77777777" w:rsidR="00C3264D" w:rsidRDefault="005C54C3">
            <w:pPr>
              <w:spacing w:after="0" w:line="240" w:lineRule="auto"/>
              <w:rPr>
                <w:rFonts w:ascii="Times New Roman" w:eastAsia="Times New Roman" w:hAnsi="Times New Roman"/>
                <w:color w:val="000000"/>
                <w:sz w:val="24"/>
                <w:szCs w:val="24"/>
              </w:rPr>
            </w:pPr>
            <w:r>
              <w:rPr>
                <w:rFonts w:ascii="Times New Roman" w:hAnsi="Times New Roman"/>
              </w:rPr>
              <w:t> </w:t>
            </w:r>
          </w:p>
        </w:tc>
        <w:tc>
          <w:tcPr>
            <w:tcW w:w="3500" w:type="dxa"/>
            <w:tcBorders>
              <w:top w:val="nil"/>
              <w:left w:val="nil"/>
              <w:bottom w:val="nil"/>
              <w:right w:val="nil"/>
            </w:tcBorders>
            <w:shd w:val="clear" w:color="000000" w:fill="FFFFFF"/>
            <w:noWrap/>
            <w:vAlign w:val="center"/>
          </w:tcPr>
          <w:p w14:paraId="77560710" w14:textId="77777777" w:rsidR="00C3264D" w:rsidRDefault="005C54C3">
            <w:pPr>
              <w:spacing w:after="0" w:line="240" w:lineRule="auto"/>
              <w:rPr>
                <w:rFonts w:ascii="Times New Roman" w:eastAsia="Times New Roman" w:hAnsi="Times New Roman"/>
                <w:color w:val="000000"/>
                <w:sz w:val="20"/>
                <w:szCs w:val="20"/>
              </w:rPr>
            </w:pPr>
            <w:r>
              <w:rPr>
                <w:rFonts w:ascii="Times New Roman" w:hAnsi="Times New Roman"/>
                <w:sz w:val="20"/>
                <w:szCs w:val="20"/>
              </w:rPr>
              <w:t>Общо натрупване</w:t>
            </w:r>
          </w:p>
        </w:tc>
      </w:tr>
    </w:tbl>
    <w:tbl>
      <w:tblPr>
        <w:tblpPr w:leftFromText="180" w:rightFromText="180" w:vertAnchor="text" w:horzAnchor="page" w:tblpX="6517" w:tblpY="-2342"/>
        <w:tblW w:w="3380" w:type="dxa"/>
        <w:tblLook w:val="04A0" w:firstRow="1" w:lastRow="0" w:firstColumn="1" w:lastColumn="0" w:noHBand="0" w:noVBand="1"/>
      </w:tblPr>
      <w:tblGrid>
        <w:gridCol w:w="460"/>
        <w:gridCol w:w="2920"/>
      </w:tblGrid>
      <w:tr w:rsidR="00C3264D" w14:paraId="51EF94B7" w14:textId="77777777" w:rsidTr="00650F07">
        <w:trPr>
          <w:trHeight w:val="342"/>
        </w:trPr>
        <w:tc>
          <w:tcPr>
            <w:tcW w:w="460" w:type="dxa"/>
            <w:tcBorders>
              <w:top w:val="nil"/>
              <w:left w:val="nil"/>
              <w:bottom w:val="nil"/>
              <w:right w:val="nil"/>
            </w:tcBorders>
            <w:shd w:val="clear" w:color="auto" w:fill="3374C3"/>
            <w:noWrap/>
            <w:vAlign w:val="center"/>
            <w:hideMark/>
          </w:tcPr>
          <w:p w14:paraId="26D65FC2" w14:textId="77777777" w:rsidR="00C3264D" w:rsidRDefault="005C54C3">
            <w:pPr>
              <w:spacing w:after="0" w:line="240" w:lineRule="auto"/>
              <w:rPr>
                <w:rFonts w:ascii="Times New Roman" w:eastAsia="Times New Roman" w:hAnsi="Times New Roman"/>
                <w:color w:val="000000"/>
                <w:sz w:val="24"/>
                <w:szCs w:val="24"/>
              </w:rPr>
            </w:pPr>
            <w:r>
              <w:rPr>
                <w:rFonts w:ascii="Times New Roman" w:hAnsi="Times New Roman"/>
              </w:rPr>
              <w:t> </w:t>
            </w:r>
          </w:p>
        </w:tc>
        <w:tc>
          <w:tcPr>
            <w:tcW w:w="2920" w:type="dxa"/>
            <w:tcBorders>
              <w:top w:val="nil"/>
              <w:left w:val="nil"/>
              <w:bottom w:val="nil"/>
              <w:right w:val="nil"/>
            </w:tcBorders>
            <w:shd w:val="clear" w:color="000000" w:fill="FFFFFF"/>
            <w:noWrap/>
            <w:vAlign w:val="center"/>
            <w:hideMark/>
          </w:tcPr>
          <w:p w14:paraId="09245578" w14:textId="77777777" w:rsidR="00C3264D" w:rsidRDefault="005C54C3">
            <w:pPr>
              <w:spacing w:after="0" w:line="240" w:lineRule="auto"/>
              <w:rPr>
                <w:rFonts w:ascii="Times New Roman" w:eastAsia="Times New Roman" w:hAnsi="Times New Roman"/>
                <w:color w:val="000000"/>
                <w:sz w:val="20"/>
                <w:szCs w:val="20"/>
              </w:rPr>
            </w:pPr>
            <w:r>
              <w:rPr>
                <w:rFonts w:ascii="Times New Roman" w:hAnsi="Times New Roman"/>
                <w:sz w:val="20"/>
                <w:szCs w:val="20"/>
              </w:rPr>
              <w:t>Верифицирани емисии</w:t>
            </w:r>
          </w:p>
        </w:tc>
      </w:tr>
      <w:tr w:rsidR="00C3264D" w14:paraId="7BBA8898" w14:textId="77777777" w:rsidTr="005C54C3">
        <w:trPr>
          <w:trHeight w:val="342"/>
        </w:trPr>
        <w:tc>
          <w:tcPr>
            <w:tcW w:w="460" w:type="dxa"/>
            <w:tcBorders>
              <w:top w:val="nil"/>
              <w:left w:val="nil"/>
              <w:bottom w:val="nil"/>
              <w:right w:val="nil"/>
            </w:tcBorders>
            <w:shd w:val="clear" w:color="auto" w:fill="C2D69B"/>
            <w:noWrap/>
            <w:vAlign w:val="center"/>
            <w:hideMark/>
          </w:tcPr>
          <w:p w14:paraId="6F290C31" w14:textId="77777777" w:rsidR="00C3264D" w:rsidRDefault="005C54C3">
            <w:pPr>
              <w:spacing w:after="0" w:line="240" w:lineRule="auto"/>
              <w:rPr>
                <w:rFonts w:ascii="Times New Roman" w:eastAsia="Times New Roman" w:hAnsi="Times New Roman"/>
                <w:color w:val="000000"/>
                <w:sz w:val="24"/>
                <w:szCs w:val="24"/>
              </w:rPr>
            </w:pPr>
            <w:r>
              <w:rPr>
                <w:rFonts w:ascii="Times New Roman" w:hAnsi="Times New Roman"/>
              </w:rPr>
              <w:t> </w:t>
            </w:r>
          </w:p>
        </w:tc>
        <w:tc>
          <w:tcPr>
            <w:tcW w:w="2920" w:type="dxa"/>
            <w:tcBorders>
              <w:top w:val="nil"/>
              <w:left w:val="nil"/>
              <w:bottom w:val="nil"/>
              <w:right w:val="nil"/>
            </w:tcBorders>
            <w:shd w:val="clear" w:color="000000" w:fill="FFFFFF"/>
            <w:noWrap/>
            <w:vAlign w:val="center"/>
            <w:hideMark/>
          </w:tcPr>
          <w:p w14:paraId="14C59A3B" w14:textId="77777777" w:rsidR="00C3264D" w:rsidRDefault="005C54C3">
            <w:pPr>
              <w:spacing w:after="0" w:line="240" w:lineRule="auto"/>
              <w:rPr>
                <w:rFonts w:ascii="Times New Roman" w:eastAsia="Times New Roman" w:hAnsi="Times New Roman"/>
                <w:color w:val="000000"/>
                <w:sz w:val="20"/>
                <w:szCs w:val="20"/>
              </w:rPr>
            </w:pPr>
            <w:r>
              <w:rPr>
                <w:rFonts w:ascii="Times New Roman" w:hAnsi="Times New Roman"/>
                <w:sz w:val="20"/>
                <w:szCs w:val="20"/>
              </w:rPr>
              <w:t>Отмяна</w:t>
            </w:r>
          </w:p>
        </w:tc>
      </w:tr>
    </w:tbl>
    <w:p w14:paraId="3E173424" w14:textId="77777777" w:rsidR="00C3264D" w:rsidRDefault="00C3264D">
      <w:pPr>
        <w:jc w:val="both"/>
        <w:rPr>
          <w:rFonts w:ascii="Times New Roman" w:hAnsi="Times New Roman"/>
          <w:sz w:val="24"/>
          <w:szCs w:val="24"/>
        </w:rPr>
      </w:pPr>
    </w:p>
    <w:p w14:paraId="1B382BE9" w14:textId="77777777" w:rsidR="00C3264D" w:rsidRPr="008755F7" w:rsidRDefault="00926127">
      <w:pPr>
        <w:jc w:val="both"/>
        <w:rPr>
          <w:rFonts w:ascii="Times New Roman" w:hAnsi="Times New Roman"/>
          <w:sz w:val="24"/>
          <w:szCs w:val="24"/>
        </w:rPr>
      </w:pPr>
      <w:r w:rsidRPr="008755F7">
        <w:rPr>
          <w:rFonts w:ascii="Times New Roman" w:hAnsi="Times New Roman"/>
          <w:sz w:val="24"/>
          <w:szCs w:val="24"/>
        </w:rPr>
        <w:t>В подготовка за старта на функционирането на MSR през 2019 г., считано от средата на месец май 2017 г.</w:t>
      </w:r>
      <w:r w:rsidRPr="008755F7">
        <w:rPr>
          <w:rFonts w:ascii="Times New Roman" w:hAnsi="Times New Roman"/>
          <w:sz w:val="24"/>
          <w:szCs w:val="24"/>
          <w:vertAlign w:val="superscript"/>
        </w:rPr>
        <w:footnoteReference w:id="47"/>
      </w:r>
      <w:r w:rsidRPr="008755F7">
        <w:rPr>
          <w:rFonts w:ascii="Times New Roman" w:hAnsi="Times New Roman"/>
          <w:sz w:val="24"/>
          <w:szCs w:val="24"/>
        </w:rPr>
        <w:t xml:space="preserve"> Комисията редовно публикува ОБКО за предходната година. ОБКО бе публикуван за трети път през май 2019 г., като размерът му възлизаше на 1 654 909 824 квоти</w:t>
      </w:r>
      <w:r w:rsidRPr="008755F7">
        <w:rPr>
          <w:rFonts w:ascii="Times New Roman" w:hAnsi="Times New Roman"/>
          <w:sz w:val="24"/>
          <w:szCs w:val="24"/>
          <w:vertAlign w:val="superscript"/>
        </w:rPr>
        <w:footnoteReference w:id="48"/>
      </w:r>
      <w:r w:rsidRPr="008755F7">
        <w:rPr>
          <w:rFonts w:ascii="Times New Roman" w:hAnsi="Times New Roman"/>
          <w:sz w:val="24"/>
          <w:szCs w:val="24"/>
        </w:rPr>
        <w:t>.</w:t>
      </w:r>
      <w:r>
        <w:rPr>
          <w:rFonts w:ascii="Times New Roman" w:hAnsi="Times New Roman"/>
        </w:rPr>
        <w:t xml:space="preserve"> </w:t>
      </w:r>
      <w:r w:rsidRPr="008755F7">
        <w:rPr>
          <w:rFonts w:ascii="Times New Roman" w:hAnsi="Times New Roman"/>
          <w:sz w:val="24"/>
          <w:szCs w:val="24"/>
        </w:rPr>
        <w:t>В резултат на публикуването му през 2019 г. продължи прехвърлянето на квоти в MSR, което ще намали обема на тръжно търгуваните количества през 2019 г. и 2020 г.</w:t>
      </w:r>
    </w:p>
    <w:p w14:paraId="54F95386" w14:textId="77777777" w:rsidR="00C3264D" w:rsidRPr="008755F7" w:rsidRDefault="00926127">
      <w:pPr>
        <w:jc w:val="both"/>
        <w:rPr>
          <w:rFonts w:ascii="Times New Roman" w:hAnsi="Times New Roman"/>
          <w:sz w:val="24"/>
          <w:szCs w:val="24"/>
        </w:rPr>
      </w:pPr>
      <w:r w:rsidRPr="008755F7">
        <w:rPr>
          <w:rFonts w:ascii="Times New Roman" w:hAnsi="Times New Roman"/>
          <w:sz w:val="24"/>
          <w:szCs w:val="24"/>
        </w:rPr>
        <w:t>По този начин, въз основа на ОБКО за 2017 г. и 2018 г. и преразгледаното законодателство, обемът на тръжно търгуваните количества през 2019 г. бе намален с почти 40 %, или близо 397 милиона квоти. Тръжно търгуваните количества през 2020 г. също ще бъдат съответно намалени</w:t>
      </w:r>
      <w:r w:rsidRPr="008755F7">
        <w:rPr>
          <w:rFonts w:ascii="Times New Roman" w:hAnsi="Times New Roman"/>
          <w:sz w:val="24"/>
          <w:szCs w:val="24"/>
          <w:vertAlign w:val="superscript"/>
        </w:rPr>
        <w:footnoteReference w:id="49"/>
      </w:r>
      <w:r w:rsidRPr="008755F7">
        <w:rPr>
          <w:rFonts w:ascii="Times New Roman" w:hAnsi="Times New Roman"/>
          <w:sz w:val="24"/>
          <w:szCs w:val="24"/>
        </w:rPr>
        <w:t>. В резултат на това през 2019 г. ще бъдат продадени на търг около 30 %</w:t>
      </w:r>
      <w:r w:rsidRPr="008755F7">
        <w:rPr>
          <w:rFonts w:ascii="Times New Roman" w:hAnsi="Times New Roman"/>
          <w:sz w:val="24"/>
          <w:szCs w:val="24"/>
          <w:vertAlign w:val="superscript"/>
        </w:rPr>
        <w:footnoteReference w:id="50"/>
      </w:r>
      <w:r w:rsidRPr="008755F7">
        <w:rPr>
          <w:rFonts w:ascii="Times New Roman" w:hAnsi="Times New Roman"/>
          <w:sz w:val="24"/>
          <w:szCs w:val="24"/>
        </w:rPr>
        <w:t xml:space="preserve"> по-малко квоти</w:t>
      </w:r>
      <w:r w:rsidRPr="008755F7">
        <w:rPr>
          <w:rFonts w:ascii="Times New Roman" w:hAnsi="Times New Roman"/>
          <w:sz w:val="24"/>
          <w:szCs w:val="24"/>
          <w:vertAlign w:val="superscript"/>
        </w:rPr>
        <w:footnoteReference w:id="51"/>
      </w:r>
      <w:r w:rsidRPr="008755F7">
        <w:rPr>
          <w:rFonts w:ascii="Times New Roman" w:hAnsi="Times New Roman"/>
          <w:sz w:val="24"/>
          <w:szCs w:val="24"/>
        </w:rPr>
        <w:t>, отколкото през 2018 г. В допълнение 8 е предоставена информация за вноските на държавите членки към MSR за цялата 2019 г. и за периода от януари до август 2020 г.</w:t>
      </w:r>
    </w:p>
    <w:p w14:paraId="7C061943" w14:textId="77777777" w:rsidR="00C3264D" w:rsidRDefault="00A52F4C">
      <w:pPr>
        <w:pStyle w:val="Heading1"/>
        <w:spacing w:before="0" w:after="200"/>
      </w:pPr>
      <w:bookmarkStart w:id="19" w:name="_Toc28015590"/>
      <w:r>
        <w:t>4. ВЪЗДУХОПЛАВАНЕ</w:t>
      </w:r>
      <w:bookmarkEnd w:id="19"/>
    </w:p>
    <w:p w14:paraId="11041A86" w14:textId="77777777" w:rsidR="00C3264D" w:rsidRDefault="003A348D">
      <w:pPr>
        <w:jc w:val="both"/>
      </w:pPr>
      <w:r>
        <w:rPr>
          <w:noProof/>
          <w:lang w:val="en-GB" w:eastAsia="en-GB"/>
        </w:rPr>
        <mc:AlternateContent>
          <mc:Choice Requires="wps">
            <w:drawing>
              <wp:inline distT="0" distB="0" distL="0" distR="0" wp14:anchorId="2B0C4131" wp14:editId="2F7BA283">
                <wp:extent cx="5727802" cy="4124325"/>
                <wp:effectExtent l="0" t="0" r="25400" b="28575"/>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802" cy="4124325"/>
                        </a:xfrm>
                        <a:prstGeom prst="rect">
                          <a:avLst/>
                        </a:prstGeom>
                        <a:solidFill>
                          <a:sysClr val="window" lastClr="FFFFFF">
                            <a:lumMod val="85000"/>
                          </a:sysClr>
                        </a:solidFill>
                        <a:ln w="12700">
                          <a:solidFill>
                            <a:srgbClr val="000000"/>
                          </a:solidFill>
                          <a:miter lim="800000"/>
                          <a:headEnd/>
                          <a:tailEnd/>
                        </a:ln>
                      </wps:spPr>
                      <wps:txbx>
                        <w:txbxContent>
                          <w:p w14:paraId="02F97212" w14:textId="77777777" w:rsidR="00692F99" w:rsidRDefault="00692F99">
                            <w:pPr>
                              <w:jc w:val="both"/>
                              <w:rPr>
                                <w:rFonts w:ascii="Times New Roman" w:hAnsi="Times New Roman"/>
                              </w:rPr>
                            </w:pPr>
                            <w:r>
                              <w:rPr>
                                <w:rFonts w:ascii="Times New Roman" w:hAnsi="Times New Roman"/>
                              </w:rPr>
                              <w:t xml:space="preserve">Секторът на въздухоплаването е част от СТЕ на ЕС от 2012 г. насам. Първоначалното законодателство е обхващало всички полети до и от Европейското икономическо пространство (ЕИП). ЕС обаче ограничи задълженията за периода 2012—2016 г. до полети в рамките на ЕИП в подкрепа на разработването от Международната организация за гражданско въздухоплаване (ИКАО) на глобална мярка за намаляване на авиационните емисии. </w:t>
                            </w:r>
                          </w:p>
                          <w:p w14:paraId="3699CA8C" w14:textId="4B7AEBF3" w:rsidR="00692F99" w:rsidRDefault="00692F99">
                            <w:pPr>
                              <w:jc w:val="both"/>
                              <w:rPr>
                                <w:rFonts w:ascii="Times New Roman" w:hAnsi="Times New Roman"/>
                                <w:sz w:val="24"/>
                                <w:szCs w:val="24"/>
                              </w:rPr>
                            </w:pPr>
                            <w:r>
                              <w:rPr>
                                <w:rFonts w:ascii="Times New Roman" w:hAnsi="Times New Roman"/>
                              </w:rPr>
                              <w:t>През октомври 2016 г. събранието на ИКАО одобри резолюция за схема за компенсиране и намаляване на емисиите на въглероден диоксид в международното въздухоплаване (CORSIA). CORSIA е замислена като схема за компенсиране на въглеродните емисии с цел стабилизиране на емисиите от международното въздухоплаване на равнищата от 2020 г. С оглед на този резултат, Директивата за СТЕ на ЕС бе изменена през 2017 г. с цел удължаване на ограничението до полети в рамките на ЕИП до 31 декември 2023 г.</w:t>
                            </w:r>
                            <w:r>
                              <w:t xml:space="preserve"> </w:t>
                            </w:r>
                            <w:r>
                              <w:rPr>
                                <w:rFonts w:ascii="Times New Roman" w:hAnsi="Times New Roman"/>
                              </w:rPr>
                              <w:t xml:space="preserve">След това, при липса на преразглеждане, първоначалният пълен обхват ще бъде възстановен.  </w:t>
                            </w:r>
                          </w:p>
                          <w:p w14:paraId="44FC2491" w14:textId="77777777" w:rsidR="00692F99" w:rsidRDefault="00692F99">
                            <w:pPr>
                              <w:jc w:val="both"/>
                              <w:rPr>
                                <w:rFonts w:ascii="Times New Roman" w:hAnsi="Times New Roman"/>
                                <w:sz w:val="24"/>
                                <w:szCs w:val="24"/>
                              </w:rPr>
                            </w:pPr>
                            <w:r>
                              <w:rPr>
                                <w:rFonts w:ascii="Times New Roman" w:hAnsi="Times New Roman"/>
                              </w:rPr>
                              <w:t xml:space="preserve">В преразгледаната Директива за СТЕ на ЕС се предвижда, че Европейската комисия следва да докладва пред Европейския парламент и пред Съвета относно начините за въвеждане на CORSIA в правото на ЕС посредством преразглеждане на директивата. Тя също така предвижда прилагането от 2021 г. нататък на линейния коефициент за намаление на авиационните емисии.  </w:t>
                            </w:r>
                          </w:p>
                          <w:p w14:paraId="1813B900" w14:textId="77777777" w:rsidR="00692F99" w:rsidRDefault="00692F99">
                            <w:pPr>
                              <w:jc w:val="both"/>
                              <w:rPr>
                                <w:rFonts w:ascii="Times New Roman" w:hAnsi="Times New Roman"/>
                                <w:sz w:val="24"/>
                                <w:szCs w:val="24"/>
                              </w:rPr>
                            </w:pPr>
                          </w:p>
                          <w:p w14:paraId="47AD052C" w14:textId="77777777" w:rsidR="00692F99" w:rsidRDefault="00692F99">
                            <w:pPr>
                              <w:jc w:val="both"/>
                            </w:pPr>
                          </w:p>
                        </w:txbxContent>
                      </wps:txbx>
                      <wps:bodyPr rot="0" vert="horz" wrap="square" lIns="91440" tIns="45720" rIns="91440" bIns="45720" anchor="t" anchorCtr="0">
                        <a:noAutofit/>
                      </wps:bodyPr>
                    </wps:wsp>
                  </a:graphicData>
                </a:graphic>
              </wp:inline>
            </w:drawing>
          </mc:Choice>
          <mc:Fallback>
            <w:pict>
              <v:shape w14:anchorId="2B0C4131" id="_x0000_s1037" type="#_x0000_t202" style="width:451pt;height:3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" fillcolor="#d9d9d9" strokeweight="1pt">
                <v:textbox>
                  <w:txbxContent>
                    <w:p w14:paraId="02F97212" w14:textId="77777777" w:rsidR="00692F99" w:rsidRDefault="00692F99">
                      <w:pPr>
                        <w:jc w:val="both"/>
                        <w:rPr>
                          <w:rFonts w:ascii="Times New Roman" w:hAnsi="Times New Roman"/>
                        </w:rPr>
                      </w:pPr>
                      <w:r>
                        <w:rPr>
                          <w:rFonts w:ascii="Times New Roman" w:hAnsi="Times New Roman"/>
                        </w:rPr>
                        <w:t xml:space="preserve">Секторът на въздухоплаването е част от СТЕ на ЕС от 2012 г. насам. Първоначалното законодателство е обхващало всички полети до и от Европейското икономическо пространство (ЕИП). ЕС обаче ограничи задълженията за периода 2012—2016 г. до полети в рамките на ЕИП в подкрепа на разработването от Международната организация за гражданско въздухоплаване (ИКАО) на глобална мярка за намаляване на авиационните емисии. </w:t>
                      </w:r>
                    </w:p>
                    <w:p w14:paraId="3699CA8C" w14:textId="4B7AEBF3" w:rsidR="00692F99" w:rsidRDefault="00692F99">
                      <w:pPr>
                        <w:jc w:val="both"/>
                        <w:rPr>
                          <w:rFonts w:ascii="Times New Roman" w:hAnsi="Times New Roman"/>
                          <w:sz w:val="24"/>
                          <w:szCs w:val="24"/>
                        </w:rPr>
                      </w:pPr>
                      <w:r>
                        <w:rPr>
                          <w:rFonts w:ascii="Times New Roman" w:hAnsi="Times New Roman"/>
                        </w:rPr>
                        <w:t>През октомври 2016 г. събранието на ИКАО одобри резолюция за схема за компенсиране и намаляване на емисиите на въглероден диоксид в международното въздухоплаване (CORSIA). CORSIA е замислена като схема за компенсиране на въглеродните емисии с цел стабилизиране на емисиите от международното въздухоплаване на равнищата от 2020 г. С оглед на този резултат, Директивата за СТЕ на ЕС бе изменена през 2017 г. с цел удължаване на ограничението до полети в рамките на ЕИП до 31 декември 2023 г.</w:t>
                      </w:r>
                      <w:r>
                        <w:t xml:space="preserve"> </w:t>
                      </w:r>
                      <w:r>
                        <w:rPr>
                          <w:rFonts w:ascii="Times New Roman" w:hAnsi="Times New Roman"/>
                        </w:rPr>
                        <w:t xml:space="preserve">След това, при липса на преразглеждане, първоначалният пълен обхват ще бъде възстановен.  </w:t>
                      </w:r>
                    </w:p>
                    <w:p w14:paraId="44FC2491" w14:textId="77777777" w:rsidR="00692F99" w:rsidRDefault="00692F99">
                      <w:pPr>
                        <w:jc w:val="both"/>
                        <w:rPr>
                          <w:rFonts w:ascii="Times New Roman" w:hAnsi="Times New Roman"/>
                          <w:sz w:val="24"/>
                          <w:szCs w:val="24"/>
                        </w:rPr>
                      </w:pPr>
                      <w:r>
                        <w:rPr>
                          <w:rFonts w:ascii="Times New Roman" w:hAnsi="Times New Roman"/>
                        </w:rPr>
                        <w:t xml:space="preserve">В преразгледаната Директива за СТЕ на ЕС се предвижда, че Европейската комисия следва да докладва пред Европейския парламент и пред Съвета относно начините за въвеждане на CORSIA в правото на ЕС посредством преразглеждане на директивата. Тя също така предвижда прилагането от 2021 г. нататък на линейния коефициент за намаление на авиационните емисии.  </w:t>
                      </w:r>
                    </w:p>
                    <w:p w14:paraId="1813B900" w14:textId="77777777" w:rsidR="00692F99" w:rsidRDefault="00692F99">
                      <w:pPr>
                        <w:jc w:val="both"/>
                        <w:rPr>
                          <w:rFonts w:ascii="Times New Roman" w:hAnsi="Times New Roman"/>
                          <w:sz w:val="24"/>
                          <w:szCs w:val="24"/>
                        </w:rPr>
                      </w:pPr>
                    </w:p>
                    <w:p w14:paraId="47AD052C" w14:textId="77777777" w:rsidR="00692F99" w:rsidRDefault="00692F99">
                      <w:pPr>
                        <w:jc w:val="both"/>
                      </w:pPr>
                    </w:p>
                  </w:txbxContent>
                </v:textbox>
                <w10:anchorlock/>
              </v:shape>
            </w:pict>
          </mc:Fallback>
        </mc:AlternateContent>
      </w:r>
    </w:p>
    <w:p w14:paraId="657A51D5" w14:textId="77777777" w:rsidR="00C3264D" w:rsidRPr="008755F7" w:rsidRDefault="00491E4C">
      <w:pPr>
        <w:jc w:val="both"/>
        <w:rPr>
          <w:rFonts w:ascii="Times New Roman" w:hAnsi="Times New Roman"/>
          <w:sz w:val="24"/>
          <w:szCs w:val="24"/>
        </w:rPr>
      </w:pPr>
      <w:r w:rsidRPr="008755F7">
        <w:rPr>
          <w:rFonts w:ascii="Times New Roman" w:hAnsi="Times New Roman"/>
          <w:sz w:val="24"/>
          <w:szCs w:val="24"/>
        </w:rPr>
        <w:t xml:space="preserve">През 2018 г. бяха издадени квоти в съответствие с обхвата в рамките на ЕИП. Количеството на безплатните квоти беше малко повече от 32,3 милиона квоти. В това число се включват безплатно разпределените квоти (малко над 31,2 милиона квоти) за заварените оператори и почти 1,1 милиона безплатни квоти, разпределени от специалния резерв за нови участници и бързо развиващи се оператори. Квотите от този резерв се удвояват през периода 2017—2020 г., тъй като те се отнасят до целия период 2013—2020 г. Количеството на квотите, продадени на търг през 2018 г., беше около 5,6 милиона квоти. </w:t>
      </w:r>
    </w:p>
    <w:p w14:paraId="20A23957" w14:textId="77777777" w:rsidR="00C3264D" w:rsidRPr="008755F7" w:rsidRDefault="00B84FD2">
      <w:pPr>
        <w:jc w:val="both"/>
        <w:rPr>
          <w:rFonts w:ascii="Times New Roman" w:hAnsi="Times New Roman"/>
          <w:sz w:val="24"/>
          <w:szCs w:val="24"/>
        </w:rPr>
      </w:pPr>
      <w:r w:rsidRPr="008755F7">
        <w:rPr>
          <w:rFonts w:ascii="Times New Roman" w:hAnsi="Times New Roman"/>
          <w:sz w:val="24"/>
          <w:szCs w:val="24"/>
        </w:rPr>
        <w:t xml:space="preserve">Верифицираните авиационни емисии продължиха да се увеличават и достигнаха 67 милиона тона CO2 през 2018 г. — ръст от 4 % спрямо 2017 г.   </w:t>
      </w:r>
    </w:p>
    <w:p w14:paraId="0A7E73BC" w14:textId="77777777" w:rsidR="00C3264D" w:rsidRPr="008755F7" w:rsidRDefault="00F442D1">
      <w:pPr>
        <w:jc w:val="both"/>
        <w:rPr>
          <w:rFonts w:ascii="Times New Roman" w:hAnsi="Times New Roman"/>
          <w:b/>
          <w:sz w:val="24"/>
          <w:szCs w:val="24"/>
        </w:rPr>
      </w:pPr>
      <w:r w:rsidRPr="008755F7">
        <w:rPr>
          <w:rFonts w:ascii="Times New Roman" w:hAnsi="Times New Roman"/>
          <w:sz w:val="24"/>
          <w:szCs w:val="24"/>
        </w:rPr>
        <w:t>В таблица 8 е дадено обобщение на верифицираните емисии, безплатното разпределяне и обема на тръжните продажби за сектора на въздухоплаването от началото на фаза 3</w:t>
      </w:r>
      <w:r w:rsidRPr="008755F7">
        <w:rPr>
          <w:rFonts w:ascii="Times New Roman" w:hAnsi="Times New Roman"/>
          <w:b/>
          <w:sz w:val="24"/>
          <w:szCs w:val="24"/>
        </w:rPr>
        <w:t xml:space="preserve">. </w:t>
      </w:r>
    </w:p>
    <w:p w14:paraId="302A9E75" w14:textId="77777777" w:rsidR="00C3264D" w:rsidRDefault="00C3264D">
      <w:pPr>
        <w:jc w:val="both"/>
        <w:rPr>
          <w:rFonts w:ascii="Times New Roman" w:hAnsi="Times New Roman"/>
          <w:b/>
        </w:rPr>
      </w:pPr>
    </w:p>
    <w:p w14:paraId="6E0DB9F4" w14:textId="77777777" w:rsidR="00C3264D" w:rsidRDefault="00C3264D">
      <w:pPr>
        <w:jc w:val="both"/>
        <w:rPr>
          <w:rFonts w:ascii="Times New Roman" w:hAnsi="Times New Roman"/>
          <w:b/>
        </w:rPr>
      </w:pPr>
    </w:p>
    <w:p w14:paraId="1FA3C279" w14:textId="77777777" w:rsidR="00C3264D" w:rsidRDefault="00C3264D">
      <w:pPr>
        <w:jc w:val="both"/>
        <w:rPr>
          <w:rFonts w:ascii="Times New Roman" w:hAnsi="Times New Roman"/>
          <w:b/>
        </w:rPr>
      </w:pPr>
    </w:p>
    <w:p w14:paraId="6868671C" w14:textId="77777777" w:rsidR="00C3264D" w:rsidRDefault="00F442D1">
      <w:pPr>
        <w:jc w:val="both"/>
        <w:rPr>
          <w:rFonts w:ascii="Times New Roman" w:hAnsi="Times New Roman"/>
          <w:b/>
        </w:rPr>
      </w:pPr>
      <w:r>
        <w:rPr>
          <w:rFonts w:ascii="Times New Roman" w:hAnsi="Times New Roman"/>
          <w:b/>
        </w:rPr>
        <w:t>Таблица 8: Верифицирани емисии и разпределение в сектора на въздухоплаването</w:t>
      </w:r>
    </w:p>
    <w:tbl>
      <w:tblPr>
        <w:tblW w:w="4889" w:type="pct"/>
        <w:tblInd w:w="108" w:type="dxa"/>
        <w:tblCellMar>
          <w:left w:w="0" w:type="dxa"/>
          <w:right w:w="0" w:type="dxa"/>
        </w:tblCellMar>
        <w:tblLook w:val="04A0" w:firstRow="1" w:lastRow="0" w:firstColumn="1" w:lastColumn="0" w:noHBand="0" w:noVBand="1"/>
      </w:tblPr>
      <w:tblGrid>
        <w:gridCol w:w="2268"/>
        <w:gridCol w:w="878"/>
        <w:gridCol w:w="973"/>
        <w:gridCol w:w="972"/>
        <w:gridCol w:w="968"/>
        <w:gridCol w:w="964"/>
        <w:gridCol w:w="964"/>
        <w:gridCol w:w="959"/>
      </w:tblGrid>
      <w:tr w:rsidR="00C3264D" w14:paraId="0F8C6C1C" w14:textId="77777777" w:rsidTr="00E72EF9">
        <w:trPr>
          <w:trHeight w:val="532"/>
        </w:trPr>
        <w:tc>
          <w:tcPr>
            <w:tcW w:w="1267" w:type="pct"/>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vAlign w:val="center"/>
            <w:hideMark/>
          </w:tcPr>
          <w:p w14:paraId="08487E22" w14:textId="77777777" w:rsidR="00C3264D" w:rsidRDefault="00E2275C">
            <w:pPr>
              <w:jc w:val="center"/>
              <w:rPr>
                <w:rFonts w:ascii="Times New Roman" w:hAnsi="Times New Roman"/>
                <w:b/>
                <w:bCs/>
                <w:sz w:val="20"/>
                <w:szCs w:val="20"/>
              </w:rPr>
            </w:pPr>
            <w:r>
              <w:rPr>
                <w:rFonts w:ascii="Times New Roman" w:hAnsi="Times New Roman"/>
                <w:b/>
                <w:bCs/>
                <w:sz w:val="20"/>
                <w:szCs w:val="20"/>
              </w:rPr>
              <w:br/>
              <w:t>Година</w:t>
            </w:r>
          </w:p>
        </w:tc>
        <w:tc>
          <w:tcPr>
            <w:tcW w:w="491" w:type="pct"/>
            <w:tcBorders>
              <w:top w:val="double" w:sz="4" w:space="0" w:color="auto"/>
              <w:left w:val="nil"/>
              <w:bottom w:val="double" w:sz="4" w:space="0" w:color="auto"/>
              <w:right w:val="double" w:sz="4" w:space="0" w:color="auto"/>
            </w:tcBorders>
            <w:tcMar>
              <w:top w:w="0" w:type="dxa"/>
              <w:left w:w="108" w:type="dxa"/>
              <w:bottom w:w="0" w:type="dxa"/>
              <w:right w:w="108" w:type="dxa"/>
            </w:tcMar>
            <w:vAlign w:val="center"/>
            <w:hideMark/>
          </w:tcPr>
          <w:p w14:paraId="601B9379" w14:textId="77777777" w:rsidR="00C3264D" w:rsidRDefault="00E2275C">
            <w:pPr>
              <w:jc w:val="center"/>
              <w:rPr>
                <w:rFonts w:ascii="Times New Roman" w:hAnsi="Times New Roman"/>
                <w:b/>
                <w:bCs/>
                <w:sz w:val="20"/>
                <w:szCs w:val="20"/>
              </w:rPr>
            </w:pPr>
            <w:r>
              <w:rPr>
                <w:rFonts w:ascii="Times New Roman" w:hAnsi="Times New Roman"/>
                <w:b/>
                <w:bCs/>
                <w:sz w:val="20"/>
                <w:szCs w:val="20"/>
              </w:rPr>
              <w:t>2013 г.</w:t>
            </w:r>
          </w:p>
        </w:tc>
        <w:tc>
          <w:tcPr>
            <w:tcW w:w="544" w:type="pct"/>
            <w:tcBorders>
              <w:top w:val="double" w:sz="4" w:space="0" w:color="auto"/>
              <w:left w:val="nil"/>
              <w:bottom w:val="double" w:sz="4" w:space="0" w:color="auto"/>
              <w:right w:val="double" w:sz="4" w:space="0" w:color="auto"/>
            </w:tcBorders>
            <w:tcMar>
              <w:top w:w="0" w:type="dxa"/>
              <w:left w:w="108" w:type="dxa"/>
              <w:bottom w:w="0" w:type="dxa"/>
              <w:right w:w="108" w:type="dxa"/>
            </w:tcMar>
            <w:vAlign w:val="center"/>
            <w:hideMark/>
          </w:tcPr>
          <w:p w14:paraId="1CF580D8" w14:textId="77777777" w:rsidR="00C3264D" w:rsidRDefault="00E2275C">
            <w:pPr>
              <w:jc w:val="center"/>
              <w:rPr>
                <w:rFonts w:ascii="Times New Roman" w:hAnsi="Times New Roman"/>
                <w:b/>
                <w:bCs/>
                <w:sz w:val="20"/>
                <w:szCs w:val="20"/>
              </w:rPr>
            </w:pPr>
            <w:r>
              <w:rPr>
                <w:rFonts w:ascii="Times New Roman" w:hAnsi="Times New Roman"/>
                <w:b/>
                <w:bCs/>
                <w:sz w:val="20"/>
                <w:szCs w:val="20"/>
              </w:rPr>
              <w:t>2014 г.</w:t>
            </w:r>
          </w:p>
        </w:tc>
        <w:tc>
          <w:tcPr>
            <w:tcW w:w="543" w:type="pct"/>
            <w:tcBorders>
              <w:top w:val="double" w:sz="4" w:space="0" w:color="auto"/>
              <w:left w:val="nil"/>
              <w:bottom w:val="double" w:sz="4" w:space="0" w:color="auto"/>
              <w:right w:val="double" w:sz="4" w:space="0" w:color="auto"/>
            </w:tcBorders>
            <w:tcMar>
              <w:top w:w="0" w:type="dxa"/>
              <w:left w:w="108" w:type="dxa"/>
              <w:bottom w:w="0" w:type="dxa"/>
              <w:right w:w="108" w:type="dxa"/>
            </w:tcMar>
            <w:vAlign w:val="center"/>
            <w:hideMark/>
          </w:tcPr>
          <w:p w14:paraId="115CA9ED" w14:textId="77777777" w:rsidR="00C3264D" w:rsidRDefault="00E2275C">
            <w:pPr>
              <w:jc w:val="center"/>
              <w:rPr>
                <w:rFonts w:ascii="Times New Roman" w:hAnsi="Times New Roman"/>
                <w:b/>
                <w:bCs/>
                <w:sz w:val="20"/>
                <w:szCs w:val="20"/>
              </w:rPr>
            </w:pPr>
            <w:r>
              <w:rPr>
                <w:rFonts w:ascii="Times New Roman" w:hAnsi="Times New Roman"/>
                <w:b/>
                <w:bCs/>
                <w:sz w:val="20"/>
                <w:szCs w:val="20"/>
              </w:rPr>
              <w:t>2015 г.</w:t>
            </w:r>
          </w:p>
        </w:tc>
        <w:tc>
          <w:tcPr>
            <w:tcW w:w="541" w:type="pct"/>
            <w:tcBorders>
              <w:top w:val="double" w:sz="4" w:space="0" w:color="auto"/>
              <w:left w:val="nil"/>
              <w:bottom w:val="double" w:sz="4" w:space="0" w:color="auto"/>
              <w:right w:val="double" w:sz="4" w:space="0" w:color="auto"/>
            </w:tcBorders>
            <w:tcMar>
              <w:top w:w="0" w:type="dxa"/>
              <w:left w:w="108" w:type="dxa"/>
              <w:bottom w:w="0" w:type="dxa"/>
              <w:right w:w="108" w:type="dxa"/>
            </w:tcMar>
            <w:vAlign w:val="center"/>
            <w:hideMark/>
          </w:tcPr>
          <w:p w14:paraId="2AEF9934" w14:textId="77777777" w:rsidR="00C3264D" w:rsidRDefault="00E2275C">
            <w:pPr>
              <w:jc w:val="center"/>
              <w:rPr>
                <w:rFonts w:ascii="Times New Roman" w:hAnsi="Times New Roman"/>
                <w:b/>
                <w:bCs/>
                <w:sz w:val="20"/>
                <w:szCs w:val="20"/>
              </w:rPr>
            </w:pPr>
            <w:r>
              <w:rPr>
                <w:rFonts w:ascii="Times New Roman" w:hAnsi="Times New Roman"/>
                <w:b/>
                <w:bCs/>
                <w:sz w:val="20"/>
                <w:szCs w:val="20"/>
              </w:rPr>
              <w:t>2016 г.</w:t>
            </w:r>
          </w:p>
        </w:tc>
        <w:tc>
          <w:tcPr>
            <w:tcW w:w="539" w:type="pct"/>
            <w:tcBorders>
              <w:top w:val="double" w:sz="4" w:space="0" w:color="auto"/>
              <w:left w:val="nil"/>
              <w:bottom w:val="double" w:sz="4" w:space="0" w:color="auto"/>
              <w:right w:val="double" w:sz="4" w:space="0" w:color="auto"/>
            </w:tcBorders>
            <w:vAlign w:val="center"/>
          </w:tcPr>
          <w:p w14:paraId="44D52AE5" w14:textId="77777777" w:rsidR="00C3264D" w:rsidRDefault="00E2275C">
            <w:pPr>
              <w:jc w:val="center"/>
              <w:rPr>
                <w:rFonts w:ascii="Times New Roman" w:hAnsi="Times New Roman"/>
                <w:b/>
                <w:bCs/>
                <w:sz w:val="20"/>
                <w:szCs w:val="20"/>
              </w:rPr>
            </w:pPr>
            <w:r>
              <w:rPr>
                <w:rFonts w:ascii="Times New Roman" w:hAnsi="Times New Roman"/>
                <w:b/>
                <w:bCs/>
                <w:sz w:val="20"/>
                <w:szCs w:val="20"/>
              </w:rPr>
              <w:t>2017 г.</w:t>
            </w:r>
          </w:p>
        </w:tc>
        <w:tc>
          <w:tcPr>
            <w:tcW w:w="539" w:type="pct"/>
            <w:tcBorders>
              <w:top w:val="double" w:sz="4" w:space="0" w:color="auto"/>
              <w:left w:val="nil"/>
              <w:bottom w:val="double" w:sz="4" w:space="0" w:color="auto"/>
              <w:right w:val="double" w:sz="4" w:space="0" w:color="auto"/>
            </w:tcBorders>
            <w:vAlign w:val="center"/>
          </w:tcPr>
          <w:p w14:paraId="40DB6636" w14:textId="77777777" w:rsidR="00C3264D" w:rsidRDefault="00E2275C">
            <w:pPr>
              <w:jc w:val="center"/>
              <w:rPr>
                <w:rFonts w:ascii="Times New Roman" w:hAnsi="Times New Roman"/>
                <w:b/>
                <w:bCs/>
                <w:sz w:val="20"/>
                <w:szCs w:val="20"/>
              </w:rPr>
            </w:pPr>
            <w:r>
              <w:rPr>
                <w:rFonts w:ascii="Times New Roman" w:hAnsi="Times New Roman"/>
                <w:b/>
                <w:bCs/>
                <w:sz w:val="20"/>
                <w:szCs w:val="20"/>
              </w:rPr>
              <w:t>2018 г.</w:t>
            </w:r>
          </w:p>
        </w:tc>
        <w:tc>
          <w:tcPr>
            <w:tcW w:w="537" w:type="pct"/>
            <w:tcBorders>
              <w:top w:val="double" w:sz="4" w:space="0" w:color="auto"/>
              <w:left w:val="nil"/>
              <w:bottom w:val="double" w:sz="4" w:space="0" w:color="auto"/>
              <w:right w:val="double" w:sz="4" w:space="0" w:color="auto"/>
            </w:tcBorders>
            <w:vAlign w:val="center"/>
          </w:tcPr>
          <w:p w14:paraId="3BED0959" w14:textId="77777777" w:rsidR="00C3264D" w:rsidRDefault="00E2275C">
            <w:pPr>
              <w:jc w:val="center"/>
              <w:rPr>
                <w:rFonts w:ascii="Times New Roman" w:hAnsi="Times New Roman"/>
                <w:b/>
                <w:bCs/>
                <w:sz w:val="20"/>
                <w:szCs w:val="20"/>
              </w:rPr>
            </w:pPr>
            <w:r>
              <w:rPr>
                <w:rFonts w:ascii="Times New Roman" w:hAnsi="Times New Roman"/>
                <w:b/>
                <w:bCs/>
                <w:sz w:val="20"/>
                <w:szCs w:val="20"/>
              </w:rPr>
              <w:t>2019 г.</w:t>
            </w:r>
          </w:p>
        </w:tc>
      </w:tr>
      <w:tr w:rsidR="00C3264D" w14:paraId="19E33297" w14:textId="77777777" w:rsidTr="00294A8C">
        <w:trPr>
          <w:trHeight w:val="1017"/>
        </w:trPr>
        <w:tc>
          <w:tcPr>
            <w:tcW w:w="1267" w:type="pct"/>
            <w:tcBorders>
              <w:top w:val="nil"/>
              <w:left w:val="double" w:sz="4" w:space="0" w:color="auto"/>
              <w:bottom w:val="double" w:sz="4" w:space="0" w:color="auto"/>
              <w:right w:val="double" w:sz="4" w:space="0" w:color="auto"/>
            </w:tcBorders>
            <w:tcMar>
              <w:top w:w="0" w:type="dxa"/>
              <w:left w:w="108" w:type="dxa"/>
              <w:bottom w:w="0" w:type="dxa"/>
              <w:right w:w="108" w:type="dxa"/>
            </w:tcMar>
            <w:vAlign w:val="center"/>
            <w:hideMark/>
          </w:tcPr>
          <w:p w14:paraId="191C1A4F" w14:textId="77777777" w:rsidR="00C3264D" w:rsidRDefault="00E2275C">
            <w:pPr>
              <w:jc w:val="center"/>
              <w:rPr>
                <w:rFonts w:ascii="Times New Roman" w:hAnsi="Times New Roman"/>
                <w:color w:val="FF0000"/>
                <w:sz w:val="20"/>
                <w:szCs w:val="20"/>
              </w:rPr>
            </w:pPr>
            <w:r>
              <w:rPr>
                <w:rFonts w:ascii="Times New Roman" w:hAnsi="Times New Roman"/>
                <w:b/>
                <w:bCs/>
                <w:sz w:val="20"/>
                <w:szCs w:val="20"/>
              </w:rPr>
              <w:br/>
              <w:t>Верифицирани емисии (в милиони тонове CO</w:t>
            </w:r>
            <w:r>
              <w:rPr>
                <w:rFonts w:ascii="Times New Roman" w:hAnsi="Times New Roman"/>
                <w:b/>
                <w:bCs/>
                <w:sz w:val="20"/>
                <w:szCs w:val="20"/>
                <w:vertAlign w:val="subscript"/>
              </w:rPr>
              <w:t>2</w:t>
            </w:r>
            <w:r>
              <w:rPr>
                <w:rFonts w:ascii="Times New Roman" w:hAnsi="Times New Roman"/>
                <w:b/>
                <w:bCs/>
                <w:sz w:val="20"/>
                <w:szCs w:val="20"/>
              </w:rPr>
              <w:t xml:space="preserve"> еквивалент)</w:t>
            </w:r>
          </w:p>
        </w:tc>
        <w:tc>
          <w:tcPr>
            <w:tcW w:w="491"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6629FBA6" w14:textId="77777777" w:rsidR="00C3264D" w:rsidRDefault="00E2275C">
            <w:pPr>
              <w:jc w:val="center"/>
              <w:rPr>
                <w:rFonts w:ascii="Times New Roman" w:hAnsi="Times New Roman"/>
                <w:color w:val="000000"/>
                <w:sz w:val="20"/>
                <w:szCs w:val="20"/>
              </w:rPr>
            </w:pPr>
            <w:r>
              <w:rPr>
                <w:rFonts w:ascii="Times New Roman" w:hAnsi="Times New Roman"/>
                <w:sz w:val="20"/>
                <w:szCs w:val="20"/>
              </w:rPr>
              <w:t>53,5</w:t>
            </w:r>
          </w:p>
        </w:tc>
        <w:tc>
          <w:tcPr>
            <w:tcW w:w="544"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73A7FCEC" w14:textId="77777777" w:rsidR="00C3264D" w:rsidRDefault="00E2275C">
            <w:pPr>
              <w:jc w:val="center"/>
              <w:rPr>
                <w:rFonts w:ascii="Times New Roman" w:hAnsi="Times New Roman"/>
                <w:color w:val="000000"/>
                <w:sz w:val="20"/>
                <w:szCs w:val="20"/>
              </w:rPr>
            </w:pPr>
            <w:r>
              <w:rPr>
                <w:rFonts w:ascii="Times New Roman" w:hAnsi="Times New Roman"/>
                <w:sz w:val="20"/>
                <w:szCs w:val="20"/>
              </w:rPr>
              <w:t>54,8</w:t>
            </w:r>
          </w:p>
        </w:tc>
        <w:tc>
          <w:tcPr>
            <w:tcW w:w="54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0E9EDFF9" w14:textId="77777777" w:rsidR="00C3264D" w:rsidRDefault="00E2275C">
            <w:pPr>
              <w:jc w:val="center"/>
              <w:rPr>
                <w:rFonts w:ascii="Times New Roman" w:hAnsi="Times New Roman"/>
                <w:color w:val="000000"/>
                <w:sz w:val="20"/>
                <w:szCs w:val="20"/>
              </w:rPr>
            </w:pPr>
            <w:r>
              <w:rPr>
                <w:rFonts w:ascii="Times New Roman" w:hAnsi="Times New Roman"/>
                <w:sz w:val="20"/>
                <w:szCs w:val="20"/>
              </w:rPr>
              <w:t>57,1</w:t>
            </w:r>
          </w:p>
        </w:tc>
        <w:tc>
          <w:tcPr>
            <w:tcW w:w="541"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00031F37" w14:textId="77777777" w:rsidR="00C3264D" w:rsidRDefault="00E2275C">
            <w:pPr>
              <w:jc w:val="center"/>
              <w:rPr>
                <w:rFonts w:ascii="Times New Roman" w:hAnsi="Times New Roman"/>
                <w:color w:val="000000"/>
                <w:sz w:val="20"/>
                <w:szCs w:val="20"/>
              </w:rPr>
            </w:pPr>
            <w:r>
              <w:rPr>
                <w:rFonts w:ascii="Times New Roman" w:hAnsi="Times New Roman"/>
                <w:sz w:val="20"/>
                <w:szCs w:val="20"/>
              </w:rPr>
              <w:t>61,5</w:t>
            </w:r>
          </w:p>
        </w:tc>
        <w:tc>
          <w:tcPr>
            <w:tcW w:w="539" w:type="pct"/>
            <w:tcBorders>
              <w:top w:val="nil"/>
              <w:left w:val="nil"/>
              <w:bottom w:val="double" w:sz="4" w:space="0" w:color="auto"/>
              <w:right w:val="double" w:sz="4" w:space="0" w:color="auto"/>
            </w:tcBorders>
            <w:vAlign w:val="center"/>
          </w:tcPr>
          <w:p w14:paraId="12D12699" w14:textId="77777777" w:rsidR="00C3264D" w:rsidRDefault="00E2275C">
            <w:pPr>
              <w:jc w:val="center"/>
              <w:rPr>
                <w:rFonts w:ascii="Times New Roman" w:hAnsi="Times New Roman"/>
                <w:color w:val="000000"/>
                <w:sz w:val="20"/>
                <w:szCs w:val="20"/>
              </w:rPr>
            </w:pPr>
            <w:r>
              <w:rPr>
                <w:rFonts w:ascii="Times New Roman" w:hAnsi="Times New Roman"/>
                <w:sz w:val="20"/>
                <w:szCs w:val="20"/>
              </w:rPr>
              <w:t>64,4</w:t>
            </w:r>
          </w:p>
        </w:tc>
        <w:tc>
          <w:tcPr>
            <w:tcW w:w="539" w:type="pct"/>
            <w:tcBorders>
              <w:top w:val="nil"/>
              <w:left w:val="nil"/>
              <w:bottom w:val="double" w:sz="4" w:space="0" w:color="auto"/>
              <w:right w:val="double" w:sz="4" w:space="0" w:color="auto"/>
            </w:tcBorders>
          </w:tcPr>
          <w:p w14:paraId="7CC27619" w14:textId="77777777" w:rsidR="00C3264D" w:rsidRDefault="00C3264D">
            <w:pPr>
              <w:jc w:val="center"/>
              <w:rPr>
                <w:rFonts w:ascii="Times New Roman" w:hAnsi="Times New Roman"/>
                <w:color w:val="000000"/>
                <w:sz w:val="20"/>
                <w:szCs w:val="20"/>
              </w:rPr>
            </w:pPr>
          </w:p>
          <w:p w14:paraId="4B39A5CA" w14:textId="77777777" w:rsidR="00C3264D" w:rsidRDefault="00E2275C">
            <w:pPr>
              <w:jc w:val="center"/>
              <w:rPr>
                <w:rFonts w:ascii="Times New Roman" w:hAnsi="Times New Roman"/>
                <w:color w:val="000000"/>
                <w:sz w:val="20"/>
                <w:szCs w:val="20"/>
              </w:rPr>
            </w:pPr>
            <w:r>
              <w:rPr>
                <w:rFonts w:ascii="Times New Roman" w:hAnsi="Times New Roman"/>
                <w:sz w:val="20"/>
                <w:szCs w:val="20"/>
              </w:rPr>
              <w:t>67,0</w:t>
            </w:r>
          </w:p>
        </w:tc>
        <w:tc>
          <w:tcPr>
            <w:tcW w:w="537" w:type="pct"/>
            <w:tcBorders>
              <w:top w:val="nil"/>
              <w:left w:val="nil"/>
              <w:bottom w:val="double" w:sz="4" w:space="0" w:color="auto"/>
              <w:right w:val="double" w:sz="4" w:space="0" w:color="auto"/>
            </w:tcBorders>
          </w:tcPr>
          <w:p w14:paraId="7D9A0C9F" w14:textId="77777777" w:rsidR="00C3264D" w:rsidRDefault="00C3264D">
            <w:pPr>
              <w:jc w:val="center"/>
              <w:rPr>
                <w:rFonts w:ascii="Times New Roman" w:hAnsi="Times New Roman"/>
                <w:color w:val="000000"/>
                <w:sz w:val="20"/>
                <w:szCs w:val="20"/>
              </w:rPr>
            </w:pPr>
          </w:p>
        </w:tc>
      </w:tr>
      <w:tr w:rsidR="00C3264D" w14:paraId="32BADC2B" w14:textId="77777777" w:rsidTr="00294A8C">
        <w:trPr>
          <w:trHeight w:val="680"/>
        </w:trPr>
        <w:tc>
          <w:tcPr>
            <w:tcW w:w="1267" w:type="pct"/>
            <w:tcBorders>
              <w:top w:val="nil"/>
              <w:left w:val="double" w:sz="4" w:space="0" w:color="auto"/>
              <w:bottom w:val="double" w:sz="4" w:space="0" w:color="auto"/>
              <w:right w:val="double" w:sz="4" w:space="0" w:color="auto"/>
            </w:tcBorders>
            <w:tcMar>
              <w:top w:w="0" w:type="dxa"/>
              <w:left w:w="108" w:type="dxa"/>
              <w:bottom w:w="0" w:type="dxa"/>
              <w:right w:w="108" w:type="dxa"/>
            </w:tcMar>
            <w:vAlign w:val="center"/>
            <w:hideMark/>
          </w:tcPr>
          <w:p w14:paraId="3C188407" w14:textId="77777777" w:rsidR="00C3264D" w:rsidRDefault="00E2275C">
            <w:pPr>
              <w:jc w:val="center"/>
              <w:rPr>
                <w:rFonts w:ascii="Times New Roman" w:hAnsi="Times New Roman"/>
                <w:b/>
                <w:bCs/>
                <w:color w:val="000000"/>
                <w:sz w:val="20"/>
                <w:szCs w:val="20"/>
              </w:rPr>
            </w:pPr>
            <w:r>
              <w:rPr>
                <w:rFonts w:ascii="Times New Roman" w:hAnsi="Times New Roman"/>
                <w:b/>
                <w:bCs/>
                <w:sz w:val="20"/>
                <w:szCs w:val="20"/>
              </w:rPr>
              <w:br/>
              <w:t>Изменение на верифицираните емисии спрямо година x-1</w:t>
            </w:r>
          </w:p>
        </w:tc>
        <w:tc>
          <w:tcPr>
            <w:tcW w:w="491"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138DCABA" w14:textId="77777777" w:rsidR="00C3264D" w:rsidRDefault="00C3264D">
            <w:pPr>
              <w:jc w:val="center"/>
              <w:rPr>
                <w:rFonts w:ascii="Times New Roman" w:hAnsi="Times New Roman"/>
                <w:color w:val="000000"/>
                <w:sz w:val="20"/>
                <w:szCs w:val="20"/>
              </w:rPr>
            </w:pPr>
          </w:p>
        </w:tc>
        <w:tc>
          <w:tcPr>
            <w:tcW w:w="544"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41A6EE4D" w14:textId="77777777" w:rsidR="00C3264D" w:rsidRDefault="00B84FD2">
            <w:pPr>
              <w:jc w:val="center"/>
              <w:rPr>
                <w:rFonts w:ascii="Times New Roman" w:hAnsi="Times New Roman"/>
                <w:color w:val="000000"/>
                <w:sz w:val="20"/>
                <w:szCs w:val="20"/>
              </w:rPr>
            </w:pPr>
            <w:r>
              <w:rPr>
                <w:rFonts w:ascii="Times New Roman" w:hAnsi="Times New Roman"/>
                <w:sz w:val="20"/>
                <w:szCs w:val="20"/>
              </w:rPr>
              <w:t>+ 2,5 %</w:t>
            </w:r>
          </w:p>
        </w:tc>
        <w:tc>
          <w:tcPr>
            <w:tcW w:w="54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3C10EAAC" w14:textId="77777777" w:rsidR="00C3264D" w:rsidRDefault="00B84FD2">
            <w:pPr>
              <w:jc w:val="center"/>
              <w:rPr>
                <w:rFonts w:ascii="Times New Roman" w:hAnsi="Times New Roman"/>
                <w:color w:val="000000"/>
                <w:sz w:val="20"/>
                <w:szCs w:val="20"/>
              </w:rPr>
            </w:pPr>
            <w:r>
              <w:rPr>
                <w:rFonts w:ascii="Times New Roman" w:hAnsi="Times New Roman"/>
                <w:sz w:val="20"/>
                <w:szCs w:val="20"/>
              </w:rPr>
              <w:t>+ 4,1 %</w:t>
            </w:r>
          </w:p>
        </w:tc>
        <w:tc>
          <w:tcPr>
            <w:tcW w:w="541"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70079522" w14:textId="77777777" w:rsidR="00C3264D" w:rsidRDefault="00B84FD2">
            <w:pPr>
              <w:jc w:val="center"/>
              <w:rPr>
                <w:rFonts w:ascii="Times New Roman" w:hAnsi="Times New Roman"/>
                <w:color w:val="000000"/>
                <w:sz w:val="20"/>
                <w:szCs w:val="20"/>
              </w:rPr>
            </w:pPr>
            <w:r>
              <w:rPr>
                <w:rFonts w:ascii="Times New Roman" w:hAnsi="Times New Roman"/>
                <w:sz w:val="20"/>
                <w:szCs w:val="20"/>
              </w:rPr>
              <w:t>+ 7,6 %</w:t>
            </w:r>
          </w:p>
        </w:tc>
        <w:tc>
          <w:tcPr>
            <w:tcW w:w="539" w:type="pct"/>
            <w:tcBorders>
              <w:top w:val="nil"/>
              <w:left w:val="nil"/>
              <w:bottom w:val="double" w:sz="4" w:space="0" w:color="auto"/>
              <w:right w:val="double" w:sz="4" w:space="0" w:color="auto"/>
            </w:tcBorders>
            <w:vAlign w:val="center"/>
          </w:tcPr>
          <w:p w14:paraId="6DF13295" w14:textId="77777777" w:rsidR="00C3264D" w:rsidRDefault="00B84FD2">
            <w:pPr>
              <w:jc w:val="center"/>
              <w:rPr>
                <w:rFonts w:ascii="Times New Roman" w:hAnsi="Times New Roman"/>
                <w:color w:val="000000"/>
                <w:sz w:val="20"/>
                <w:szCs w:val="20"/>
              </w:rPr>
            </w:pPr>
            <w:r>
              <w:rPr>
                <w:rFonts w:ascii="Times New Roman" w:hAnsi="Times New Roman"/>
                <w:sz w:val="20"/>
                <w:szCs w:val="20"/>
              </w:rPr>
              <w:t>+ 4,7 %</w:t>
            </w:r>
          </w:p>
        </w:tc>
        <w:tc>
          <w:tcPr>
            <w:tcW w:w="539" w:type="pct"/>
            <w:tcBorders>
              <w:top w:val="nil"/>
              <w:left w:val="nil"/>
              <w:bottom w:val="double" w:sz="4" w:space="0" w:color="auto"/>
              <w:right w:val="double" w:sz="4" w:space="0" w:color="auto"/>
            </w:tcBorders>
            <w:vAlign w:val="center"/>
          </w:tcPr>
          <w:p w14:paraId="592E7A6F" w14:textId="77777777" w:rsidR="00C3264D" w:rsidRDefault="00B84FD2">
            <w:pPr>
              <w:jc w:val="center"/>
              <w:rPr>
                <w:rFonts w:ascii="Times New Roman" w:hAnsi="Times New Roman"/>
                <w:color w:val="000000"/>
                <w:sz w:val="20"/>
                <w:szCs w:val="20"/>
              </w:rPr>
            </w:pPr>
            <w:r>
              <w:rPr>
                <w:rFonts w:ascii="Times New Roman" w:hAnsi="Times New Roman"/>
                <w:sz w:val="20"/>
                <w:szCs w:val="20"/>
              </w:rPr>
              <w:t>+ 4 %</w:t>
            </w:r>
          </w:p>
        </w:tc>
        <w:tc>
          <w:tcPr>
            <w:tcW w:w="537" w:type="pct"/>
            <w:tcBorders>
              <w:top w:val="nil"/>
              <w:left w:val="nil"/>
              <w:bottom w:val="double" w:sz="4" w:space="0" w:color="auto"/>
              <w:right w:val="double" w:sz="4" w:space="0" w:color="auto"/>
            </w:tcBorders>
          </w:tcPr>
          <w:p w14:paraId="671BDB59" w14:textId="77777777" w:rsidR="00C3264D" w:rsidRDefault="00C3264D">
            <w:pPr>
              <w:jc w:val="center"/>
              <w:rPr>
                <w:rFonts w:ascii="Times New Roman" w:hAnsi="Times New Roman"/>
                <w:color w:val="000000"/>
                <w:sz w:val="20"/>
                <w:szCs w:val="20"/>
              </w:rPr>
            </w:pPr>
          </w:p>
        </w:tc>
      </w:tr>
      <w:tr w:rsidR="00C3264D" w14:paraId="6DF9E924" w14:textId="77777777" w:rsidTr="00294A8C">
        <w:trPr>
          <w:trHeight w:val="680"/>
        </w:trPr>
        <w:tc>
          <w:tcPr>
            <w:tcW w:w="1267" w:type="pct"/>
            <w:tcBorders>
              <w:top w:val="nil"/>
              <w:left w:val="double" w:sz="4" w:space="0" w:color="auto"/>
              <w:bottom w:val="double" w:sz="4" w:space="0" w:color="auto"/>
              <w:right w:val="double" w:sz="4" w:space="0" w:color="auto"/>
            </w:tcBorders>
            <w:tcMar>
              <w:top w:w="0" w:type="dxa"/>
              <w:left w:w="108" w:type="dxa"/>
              <w:bottom w:w="0" w:type="dxa"/>
              <w:right w:w="108" w:type="dxa"/>
            </w:tcMar>
            <w:vAlign w:val="center"/>
            <w:hideMark/>
          </w:tcPr>
          <w:p w14:paraId="459D3A9B" w14:textId="77777777" w:rsidR="00C3264D" w:rsidRDefault="00E2275C">
            <w:pPr>
              <w:jc w:val="center"/>
              <w:rPr>
                <w:rFonts w:ascii="Times New Roman" w:hAnsi="Times New Roman"/>
                <w:b/>
                <w:bCs/>
                <w:color w:val="000000"/>
                <w:sz w:val="20"/>
                <w:szCs w:val="20"/>
              </w:rPr>
            </w:pPr>
            <w:r>
              <w:rPr>
                <w:rFonts w:ascii="Times New Roman" w:hAnsi="Times New Roman"/>
                <w:b/>
                <w:bCs/>
                <w:sz w:val="20"/>
                <w:szCs w:val="20"/>
              </w:rPr>
              <w:br/>
              <w:t>Безплатни квоти (държавите от ЕС-28 + държавите от ЕАСТ, участващи в ЕИП)</w:t>
            </w:r>
            <w:r>
              <w:rPr>
                <w:rStyle w:val="FootnoteReference"/>
                <w:sz w:val="20"/>
                <w:szCs w:val="20"/>
              </w:rPr>
              <w:footnoteReference w:id="52"/>
            </w:r>
          </w:p>
        </w:tc>
        <w:tc>
          <w:tcPr>
            <w:tcW w:w="491"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3BDE361C" w14:textId="77777777" w:rsidR="00C3264D" w:rsidRDefault="00E2275C">
            <w:pPr>
              <w:jc w:val="center"/>
              <w:rPr>
                <w:rFonts w:ascii="Times New Roman" w:hAnsi="Times New Roman"/>
                <w:color w:val="000000"/>
                <w:sz w:val="20"/>
                <w:szCs w:val="20"/>
              </w:rPr>
            </w:pPr>
            <w:r>
              <w:rPr>
                <w:rFonts w:ascii="Times New Roman" w:hAnsi="Times New Roman"/>
                <w:sz w:val="20"/>
                <w:szCs w:val="20"/>
              </w:rPr>
              <w:t>32,4</w:t>
            </w:r>
          </w:p>
        </w:tc>
        <w:tc>
          <w:tcPr>
            <w:tcW w:w="544"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56CE95EE" w14:textId="77777777" w:rsidR="00C3264D" w:rsidRDefault="00E2275C">
            <w:pPr>
              <w:jc w:val="center"/>
              <w:rPr>
                <w:rFonts w:ascii="Times New Roman" w:hAnsi="Times New Roman"/>
                <w:color w:val="000000"/>
                <w:sz w:val="20"/>
                <w:szCs w:val="20"/>
              </w:rPr>
            </w:pPr>
            <w:r>
              <w:rPr>
                <w:rFonts w:ascii="Times New Roman" w:hAnsi="Times New Roman"/>
                <w:sz w:val="20"/>
                <w:szCs w:val="20"/>
              </w:rPr>
              <w:t>32,4</w:t>
            </w:r>
          </w:p>
        </w:tc>
        <w:tc>
          <w:tcPr>
            <w:tcW w:w="54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4E5AA96C" w14:textId="77777777" w:rsidR="00C3264D" w:rsidRDefault="00E2275C">
            <w:pPr>
              <w:jc w:val="center"/>
              <w:rPr>
                <w:rFonts w:ascii="Times New Roman" w:hAnsi="Times New Roman"/>
                <w:color w:val="000000"/>
                <w:sz w:val="20"/>
                <w:szCs w:val="20"/>
              </w:rPr>
            </w:pPr>
            <w:r>
              <w:rPr>
                <w:rFonts w:ascii="Times New Roman" w:hAnsi="Times New Roman"/>
                <w:sz w:val="20"/>
                <w:szCs w:val="20"/>
              </w:rPr>
              <w:t>32,1</w:t>
            </w:r>
          </w:p>
        </w:tc>
        <w:tc>
          <w:tcPr>
            <w:tcW w:w="541"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07226589" w14:textId="77777777" w:rsidR="00C3264D" w:rsidRDefault="00E2275C">
            <w:pPr>
              <w:jc w:val="center"/>
              <w:rPr>
                <w:rFonts w:ascii="Times New Roman" w:hAnsi="Times New Roman"/>
                <w:color w:val="000000"/>
                <w:sz w:val="20"/>
                <w:szCs w:val="20"/>
              </w:rPr>
            </w:pPr>
            <w:r>
              <w:rPr>
                <w:rFonts w:ascii="Times New Roman" w:hAnsi="Times New Roman"/>
                <w:sz w:val="20"/>
                <w:szCs w:val="20"/>
              </w:rPr>
              <w:t>32,0</w:t>
            </w:r>
          </w:p>
        </w:tc>
        <w:tc>
          <w:tcPr>
            <w:tcW w:w="539" w:type="pct"/>
            <w:tcBorders>
              <w:top w:val="nil"/>
              <w:left w:val="nil"/>
              <w:bottom w:val="double" w:sz="4" w:space="0" w:color="auto"/>
              <w:right w:val="double" w:sz="4" w:space="0" w:color="auto"/>
            </w:tcBorders>
            <w:vAlign w:val="center"/>
          </w:tcPr>
          <w:p w14:paraId="4D9DEF51" w14:textId="77777777" w:rsidR="00C3264D" w:rsidRDefault="00E2275C">
            <w:pPr>
              <w:jc w:val="center"/>
              <w:rPr>
                <w:rFonts w:ascii="Times New Roman" w:hAnsi="Times New Roman"/>
                <w:color w:val="000000"/>
                <w:sz w:val="20"/>
                <w:szCs w:val="20"/>
              </w:rPr>
            </w:pPr>
            <w:r>
              <w:rPr>
                <w:rFonts w:ascii="Times New Roman" w:hAnsi="Times New Roman"/>
                <w:sz w:val="20"/>
                <w:szCs w:val="20"/>
              </w:rPr>
              <w:t>33,1</w:t>
            </w:r>
          </w:p>
        </w:tc>
        <w:tc>
          <w:tcPr>
            <w:tcW w:w="539" w:type="pct"/>
            <w:tcBorders>
              <w:top w:val="nil"/>
              <w:left w:val="nil"/>
              <w:bottom w:val="double" w:sz="4" w:space="0" w:color="auto"/>
              <w:right w:val="double" w:sz="4" w:space="0" w:color="auto"/>
            </w:tcBorders>
            <w:vAlign w:val="center"/>
          </w:tcPr>
          <w:p w14:paraId="3EF2D942" w14:textId="77777777" w:rsidR="00C3264D" w:rsidRDefault="00E2275C">
            <w:pPr>
              <w:jc w:val="center"/>
              <w:rPr>
                <w:rFonts w:ascii="Times New Roman" w:hAnsi="Times New Roman"/>
                <w:color w:val="000000"/>
                <w:sz w:val="20"/>
                <w:szCs w:val="20"/>
              </w:rPr>
            </w:pPr>
            <w:r>
              <w:rPr>
                <w:rFonts w:ascii="Times New Roman" w:hAnsi="Times New Roman"/>
                <w:sz w:val="20"/>
                <w:szCs w:val="20"/>
              </w:rPr>
              <w:t>31,2</w:t>
            </w:r>
          </w:p>
        </w:tc>
        <w:tc>
          <w:tcPr>
            <w:tcW w:w="537" w:type="pct"/>
            <w:tcBorders>
              <w:top w:val="nil"/>
              <w:left w:val="nil"/>
              <w:bottom w:val="double" w:sz="4" w:space="0" w:color="auto"/>
              <w:right w:val="double" w:sz="4" w:space="0" w:color="auto"/>
            </w:tcBorders>
            <w:vAlign w:val="center"/>
          </w:tcPr>
          <w:p w14:paraId="058582DC" w14:textId="77777777" w:rsidR="00C3264D" w:rsidRDefault="00E2275C">
            <w:pPr>
              <w:jc w:val="center"/>
              <w:rPr>
                <w:rFonts w:ascii="Times New Roman" w:hAnsi="Times New Roman"/>
                <w:color w:val="000000"/>
                <w:sz w:val="20"/>
                <w:szCs w:val="20"/>
                <w:highlight w:val="yellow"/>
              </w:rPr>
            </w:pPr>
            <w:r>
              <w:rPr>
                <w:rFonts w:ascii="Times New Roman" w:hAnsi="Times New Roman"/>
                <w:sz w:val="20"/>
                <w:szCs w:val="20"/>
              </w:rPr>
              <w:t>31,2</w:t>
            </w:r>
            <w:r>
              <w:rPr>
                <w:rStyle w:val="FootnoteReference"/>
                <w:rFonts w:ascii="Times New Roman" w:hAnsi="Times New Roman"/>
                <w:sz w:val="20"/>
                <w:szCs w:val="20"/>
              </w:rPr>
              <w:footnoteReference w:id="53"/>
            </w:r>
          </w:p>
        </w:tc>
      </w:tr>
      <w:tr w:rsidR="00C3264D" w14:paraId="602D96FE" w14:textId="77777777" w:rsidTr="00294A8C">
        <w:trPr>
          <w:trHeight w:val="790"/>
        </w:trPr>
        <w:tc>
          <w:tcPr>
            <w:tcW w:w="1267" w:type="pct"/>
            <w:tcBorders>
              <w:top w:val="nil"/>
              <w:left w:val="double" w:sz="4" w:space="0" w:color="auto"/>
              <w:bottom w:val="double" w:sz="4" w:space="0" w:color="auto"/>
              <w:right w:val="double" w:sz="4" w:space="0" w:color="auto"/>
            </w:tcBorders>
            <w:tcMar>
              <w:top w:w="0" w:type="dxa"/>
              <w:left w:w="108" w:type="dxa"/>
              <w:bottom w:w="0" w:type="dxa"/>
              <w:right w:w="108" w:type="dxa"/>
            </w:tcMar>
            <w:vAlign w:val="center"/>
            <w:hideMark/>
          </w:tcPr>
          <w:p w14:paraId="27720543" w14:textId="77777777" w:rsidR="00C3264D" w:rsidRDefault="00E2275C">
            <w:pPr>
              <w:jc w:val="center"/>
              <w:rPr>
                <w:rFonts w:ascii="Times New Roman" w:hAnsi="Times New Roman"/>
                <w:b/>
                <w:bCs/>
                <w:color w:val="000000"/>
                <w:sz w:val="20"/>
                <w:szCs w:val="20"/>
              </w:rPr>
            </w:pPr>
            <w:r>
              <w:rPr>
                <w:rFonts w:ascii="Times New Roman" w:hAnsi="Times New Roman"/>
                <w:b/>
                <w:bCs/>
                <w:sz w:val="20"/>
                <w:szCs w:val="20"/>
              </w:rPr>
              <w:t>Безплатни квоти от специалния резерв за нови участници и бързо развиващи се оператори</w:t>
            </w:r>
          </w:p>
        </w:tc>
        <w:tc>
          <w:tcPr>
            <w:tcW w:w="491" w:type="pct"/>
            <w:tcBorders>
              <w:top w:val="nil"/>
              <w:left w:val="nil"/>
              <w:bottom w:val="double" w:sz="4" w:space="0" w:color="auto"/>
              <w:right w:val="double" w:sz="4" w:space="0" w:color="auto"/>
            </w:tcBorders>
            <w:tcMar>
              <w:top w:w="0" w:type="dxa"/>
              <w:left w:w="108" w:type="dxa"/>
              <w:bottom w:w="0" w:type="dxa"/>
              <w:right w:w="108" w:type="dxa"/>
            </w:tcMar>
            <w:vAlign w:val="center"/>
          </w:tcPr>
          <w:p w14:paraId="5C40A67E" w14:textId="77777777" w:rsidR="00C3264D" w:rsidRDefault="00E2275C">
            <w:pPr>
              <w:jc w:val="center"/>
              <w:rPr>
                <w:rFonts w:ascii="Times New Roman" w:hAnsi="Times New Roman"/>
                <w:color w:val="000000"/>
                <w:sz w:val="20"/>
                <w:szCs w:val="20"/>
              </w:rPr>
            </w:pPr>
            <w:r>
              <w:rPr>
                <w:rFonts w:ascii="Times New Roman" w:hAnsi="Times New Roman"/>
                <w:sz w:val="20"/>
                <w:szCs w:val="20"/>
              </w:rPr>
              <w:t>0</w:t>
            </w:r>
          </w:p>
        </w:tc>
        <w:tc>
          <w:tcPr>
            <w:tcW w:w="544" w:type="pct"/>
            <w:tcBorders>
              <w:top w:val="nil"/>
              <w:left w:val="nil"/>
              <w:bottom w:val="double" w:sz="4" w:space="0" w:color="auto"/>
              <w:right w:val="double" w:sz="4" w:space="0" w:color="auto"/>
            </w:tcBorders>
            <w:tcMar>
              <w:top w:w="0" w:type="dxa"/>
              <w:left w:w="108" w:type="dxa"/>
              <w:bottom w:w="0" w:type="dxa"/>
              <w:right w:w="108" w:type="dxa"/>
            </w:tcMar>
            <w:vAlign w:val="center"/>
          </w:tcPr>
          <w:p w14:paraId="374010BB" w14:textId="77777777" w:rsidR="00C3264D" w:rsidRDefault="00E2275C">
            <w:pPr>
              <w:jc w:val="center"/>
              <w:rPr>
                <w:rFonts w:ascii="Times New Roman" w:hAnsi="Times New Roman"/>
                <w:color w:val="000000"/>
                <w:sz w:val="20"/>
                <w:szCs w:val="20"/>
              </w:rPr>
            </w:pPr>
            <w:r>
              <w:rPr>
                <w:rFonts w:ascii="Times New Roman" w:hAnsi="Times New Roman"/>
                <w:sz w:val="20"/>
                <w:szCs w:val="20"/>
              </w:rPr>
              <w:t>0</w:t>
            </w:r>
          </w:p>
        </w:tc>
        <w:tc>
          <w:tcPr>
            <w:tcW w:w="543" w:type="pct"/>
            <w:tcBorders>
              <w:top w:val="nil"/>
              <w:left w:val="nil"/>
              <w:bottom w:val="double" w:sz="4" w:space="0" w:color="auto"/>
              <w:right w:val="double" w:sz="4" w:space="0" w:color="auto"/>
            </w:tcBorders>
            <w:tcMar>
              <w:top w:w="0" w:type="dxa"/>
              <w:left w:w="108" w:type="dxa"/>
              <w:bottom w:w="0" w:type="dxa"/>
              <w:right w:w="108" w:type="dxa"/>
            </w:tcMar>
            <w:vAlign w:val="center"/>
          </w:tcPr>
          <w:p w14:paraId="2FCEB16C" w14:textId="77777777" w:rsidR="00C3264D" w:rsidRDefault="00E2275C">
            <w:pPr>
              <w:jc w:val="center"/>
              <w:rPr>
                <w:rFonts w:ascii="Times New Roman" w:hAnsi="Times New Roman"/>
                <w:color w:val="000000"/>
                <w:sz w:val="20"/>
                <w:szCs w:val="20"/>
              </w:rPr>
            </w:pPr>
            <w:r>
              <w:rPr>
                <w:rFonts w:ascii="Times New Roman" w:hAnsi="Times New Roman"/>
                <w:sz w:val="20"/>
                <w:szCs w:val="20"/>
              </w:rPr>
              <w:t>0</w:t>
            </w:r>
          </w:p>
        </w:tc>
        <w:tc>
          <w:tcPr>
            <w:tcW w:w="541" w:type="pct"/>
            <w:tcBorders>
              <w:top w:val="nil"/>
              <w:left w:val="nil"/>
              <w:bottom w:val="double" w:sz="4" w:space="0" w:color="auto"/>
              <w:right w:val="double" w:sz="4" w:space="0" w:color="auto"/>
            </w:tcBorders>
            <w:tcMar>
              <w:top w:w="0" w:type="dxa"/>
              <w:left w:w="108" w:type="dxa"/>
              <w:bottom w:w="0" w:type="dxa"/>
              <w:right w:w="108" w:type="dxa"/>
            </w:tcMar>
            <w:vAlign w:val="center"/>
          </w:tcPr>
          <w:p w14:paraId="27794DC2" w14:textId="77777777" w:rsidR="00C3264D" w:rsidRDefault="00E2275C">
            <w:pPr>
              <w:jc w:val="center"/>
              <w:rPr>
                <w:rFonts w:ascii="Times New Roman" w:hAnsi="Times New Roman"/>
                <w:color w:val="000000"/>
                <w:sz w:val="20"/>
                <w:szCs w:val="20"/>
              </w:rPr>
            </w:pPr>
            <w:r>
              <w:rPr>
                <w:rFonts w:ascii="Times New Roman" w:hAnsi="Times New Roman"/>
                <w:sz w:val="20"/>
                <w:szCs w:val="20"/>
              </w:rPr>
              <w:t>0</w:t>
            </w:r>
          </w:p>
        </w:tc>
        <w:tc>
          <w:tcPr>
            <w:tcW w:w="539" w:type="pct"/>
            <w:tcBorders>
              <w:top w:val="nil"/>
              <w:left w:val="nil"/>
              <w:bottom w:val="double" w:sz="4" w:space="0" w:color="auto"/>
              <w:right w:val="double" w:sz="4" w:space="0" w:color="auto"/>
            </w:tcBorders>
            <w:vAlign w:val="center"/>
          </w:tcPr>
          <w:p w14:paraId="73A8D6ED" w14:textId="77777777" w:rsidR="00C3264D" w:rsidRDefault="00E2275C">
            <w:pPr>
              <w:jc w:val="center"/>
              <w:rPr>
                <w:rFonts w:ascii="Times New Roman" w:hAnsi="Times New Roman"/>
                <w:color w:val="000000"/>
                <w:sz w:val="20"/>
                <w:szCs w:val="20"/>
              </w:rPr>
            </w:pPr>
            <w:r>
              <w:rPr>
                <w:rFonts w:ascii="Times New Roman" w:hAnsi="Times New Roman"/>
                <w:sz w:val="20"/>
                <w:szCs w:val="20"/>
              </w:rPr>
              <w:t>1,1</w:t>
            </w:r>
          </w:p>
        </w:tc>
        <w:tc>
          <w:tcPr>
            <w:tcW w:w="539" w:type="pct"/>
            <w:tcBorders>
              <w:top w:val="nil"/>
              <w:left w:val="nil"/>
              <w:bottom w:val="double" w:sz="4" w:space="0" w:color="auto"/>
              <w:right w:val="double" w:sz="4" w:space="0" w:color="auto"/>
            </w:tcBorders>
            <w:vAlign w:val="center"/>
          </w:tcPr>
          <w:p w14:paraId="2F4A3EEE" w14:textId="77777777" w:rsidR="00C3264D" w:rsidRDefault="00E2275C">
            <w:pPr>
              <w:jc w:val="center"/>
              <w:rPr>
                <w:rFonts w:ascii="Times New Roman" w:hAnsi="Times New Roman"/>
                <w:color w:val="000000"/>
                <w:sz w:val="20"/>
                <w:szCs w:val="20"/>
              </w:rPr>
            </w:pPr>
            <w:r>
              <w:rPr>
                <w:rFonts w:ascii="Times New Roman" w:hAnsi="Times New Roman"/>
                <w:sz w:val="20"/>
                <w:szCs w:val="20"/>
              </w:rPr>
              <w:t>1,1</w:t>
            </w:r>
          </w:p>
        </w:tc>
        <w:tc>
          <w:tcPr>
            <w:tcW w:w="537" w:type="pct"/>
            <w:tcBorders>
              <w:top w:val="nil"/>
              <w:left w:val="nil"/>
              <w:bottom w:val="double" w:sz="4" w:space="0" w:color="auto"/>
              <w:right w:val="double" w:sz="4" w:space="0" w:color="auto"/>
            </w:tcBorders>
            <w:vAlign w:val="center"/>
          </w:tcPr>
          <w:p w14:paraId="4E5CFB9D" w14:textId="77777777" w:rsidR="00C3264D" w:rsidRDefault="00E2275C">
            <w:pPr>
              <w:jc w:val="center"/>
              <w:rPr>
                <w:rFonts w:ascii="Times New Roman" w:hAnsi="Times New Roman"/>
                <w:color w:val="000000"/>
                <w:sz w:val="20"/>
                <w:szCs w:val="20"/>
              </w:rPr>
            </w:pPr>
            <w:r>
              <w:rPr>
                <w:rFonts w:ascii="Times New Roman" w:hAnsi="Times New Roman"/>
                <w:sz w:val="20"/>
                <w:szCs w:val="20"/>
              </w:rPr>
              <w:t>1,1</w:t>
            </w:r>
          </w:p>
        </w:tc>
      </w:tr>
      <w:tr w:rsidR="00C3264D" w14:paraId="76FB81C0" w14:textId="77777777" w:rsidTr="002802C4">
        <w:trPr>
          <w:trHeight w:val="34"/>
        </w:trPr>
        <w:tc>
          <w:tcPr>
            <w:tcW w:w="1267" w:type="pct"/>
            <w:tcBorders>
              <w:top w:val="nil"/>
              <w:left w:val="double" w:sz="4" w:space="0" w:color="auto"/>
              <w:bottom w:val="double" w:sz="4" w:space="0" w:color="auto"/>
              <w:right w:val="double" w:sz="4" w:space="0" w:color="auto"/>
            </w:tcBorders>
            <w:tcMar>
              <w:top w:w="0" w:type="dxa"/>
              <w:left w:w="108" w:type="dxa"/>
              <w:bottom w:w="0" w:type="dxa"/>
              <w:right w:w="108" w:type="dxa"/>
            </w:tcMar>
            <w:vAlign w:val="center"/>
            <w:hideMark/>
          </w:tcPr>
          <w:p w14:paraId="500669C3" w14:textId="77777777" w:rsidR="00C3264D" w:rsidRDefault="00E2275C">
            <w:pPr>
              <w:jc w:val="center"/>
              <w:rPr>
                <w:rFonts w:ascii="Times New Roman" w:hAnsi="Times New Roman"/>
                <w:b/>
                <w:bCs/>
                <w:color w:val="000000"/>
                <w:sz w:val="20"/>
                <w:szCs w:val="20"/>
              </w:rPr>
            </w:pPr>
            <w:r>
              <w:rPr>
                <w:rFonts w:ascii="Times New Roman" w:hAnsi="Times New Roman"/>
                <w:b/>
                <w:bCs/>
                <w:sz w:val="20"/>
                <w:szCs w:val="20"/>
              </w:rPr>
              <w:t>Обеми на квотите, предназначени за тръжна продажба</w:t>
            </w:r>
          </w:p>
        </w:tc>
        <w:tc>
          <w:tcPr>
            <w:tcW w:w="491"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21142F5D" w14:textId="77777777" w:rsidR="00C3264D" w:rsidRDefault="00E2275C">
            <w:pPr>
              <w:jc w:val="center"/>
              <w:rPr>
                <w:rFonts w:ascii="Times New Roman" w:hAnsi="Times New Roman"/>
                <w:color w:val="000000"/>
                <w:sz w:val="20"/>
                <w:szCs w:val="20"/>
              </w:rPr>
            </w:pPr>
            <w:r>
              <w:rPr>
                <w:rFonts w:ascii="Times New Roman" w:hAnsi="Times New Roman"/>
                <w:sz w:val="20"/>
                <w:szCs w:val="20"/>
              </w:rPr>
              <w:t>0</w:t>
            </w:r>
          </w:p>
        </w:tc>
        <w:tc>
          <w:tcPr>
            <w:tcW w:w="544"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1E69CE3E" w14:textId="77777777" w:rsidR="00C3264D" w:rsidRDefault="00E2275C">
            <w:pPr>
              <w:jc w:val="center"/>
              <w:rPr>
                <w:rFonts w:ascii="Times New Roman" w:hAnsi="Times New Roman"/>
                <w:color w:val="000000"/>
                <w:sz w:val="20"/>
                <w:szCs w:val="20"/>
              </w:rPr>
            </w:pPr>
            <w:r>
              <w:rPr>
                <w:rFonts w:ascii="Times New Roman" w:hAnsi="Times New Roman"/>
                <w:sz w:val="20"/>
                <w:szCs w:val="20"/>
              </w:rPr>
              <w:t>9,3</w:t>
            </w:r>
          </w:p>
        </w:tc>
        <w:tc>
          <w:tcPr>
            <w:tcW w:w="54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5C19D0A0" w14:textId="77777777" w:rsidR="00C3264D" w:rsidRDefault="00E2275C">
            <w:pPr>
              <w:jc w:val="center"/>
              <w:rPr>
                <w:rFonts w:ascii="Times New Roman" w:hAnsi="Times New Roman"/>
                <w:color w:val="000000"/>
                <w:sz w:val="20"/>
                <w:szCs w:val="20"/>
              </w:rPr>
            </w:pPr>
            <w:r>
              <w:rPr>
                <w:rFonts w:ascii="Times New Roman" w:hAnsi="Times New Roman"/>
                <w:sz w:val="20"/>
                <w:szCs w:val="20"/>
              </w:rPr>
              <w:t>16,4</w:t>
            </w:r>
          </w:p>
        </w:tc>
        <w:tc>
          <w:tcPr>
            <w:tcW w:w="541"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65657B7D" w14:textId="77777777" w:rsidR="00C3264D" w:rsidRDefault="00E2275C">
            <w:pPr>
              <w:jc w:val="center"/>
              <w:rPr>
                <w:rFonts w:ascii="Times New Roman" w:hAnsi="Times New Roman"/>
                <w:color w:val="000000"/>
                <w:sz w:val="20"/>
                <w:szCs w:val="20"/>
              </w:rPr>
            </w:pPr>
            <w:r>
              <w:rPr>
                <w:rFonts w:ascii="Times New Roman" w:hAnsi="Times New Roman"/>
                <w:sz w:val="20"/>
                <w:szCs w:val="20"/>
              </w:rPr>
              <w:t>5,9</w:t>
            </w:r>
          </w:p>
        </w:tc>
        <w:tc>
          <w:tcPr>
            <w:tcW w:w="539" w:type="pct"/>
            <w:tcBorders>
              <w:top w:val="nil"/>
              <w:left w:val="nil"/>
              <w:bottom w:val="double" w:sz="4" w:space="0" w:color="auto"/>
              <w:right w:val="double" w:sz="4" w:space="0" w:color="auto"/>
            </w:tcBorders>
            <w:vAlign w:val="center"/>
          </w:tcPr>
          <w:p w14:paraId="013F63CC" w14:textId="77777777" w:rsidR="00C3264D" w:rsidRDefault="00E2275C">
            <w:pPr>
              <w:jc w:val="center"/>
              <w:rPr>
                <w:rFonts w:ascii="Times New Roman" w:hAnsi="Times New Roman"/>
                <w:color w:val="000000"/>
                <w:sz w:val="20"/>
                <w:szCs w:val="20"/>
              </w:rPr>
            </w:pPr>
            <w:r>
              <w:rPr>
                <w:rFonts w:ascii="Times New Roman" w:hAnsi="Times New Roman"/>
                <w:sz w:val="20"/>
                <w:szCs w:val="20"/>
              </w:rPr>
              <w:t>4,7</w:t>
            </w:r>
          </w:p>
        </w:tc>
        <w:tc>
          <w:tcPr>
            <w:tcW w:w="539" w:type="pct"/>
            <w:tcBorders>
              <w:top w:val="nil"/>
              <w:left w:val="nil"/>
              <w:bottom w:val="double" w:sz="4" w:space="0" w:color="auto"/>
              <w:right w:val="double" w:sz="4" w:space="0" w:color="auto"/>
            </w:tcBorders>
            <w:vAlign w:val="center"/>
          </w:tcPr>
          <w:p w14:paraId="77E44679" w14:textId="77777777" w:rsidR="00C3264D" w:rsidRDefault="00E2275C">
            <w:pPr>
              <w:jc w:val="center"/>
              <w:rPr>
                <w:rFonts w:ascii="Times New Roman" w:hAnsi="Times New Roman"/>
                <w:color w:val="000000"/>
                <w:sz w:val="20"/>
                <w:szCs w:val="20"/>
              </w:rPr>
            </w:pPr>
            <w:r>
              <w:rPr>
                <w:rFonts w:ascii="Times New Roman" w:hAnsi="Times New Roman"/>
                <w:sz w:val="20"/>
                <w:szCs w:val="20"/>
              </w:rPr>
              <w:t>5,6</w:t>
            </w:r>
          </w:p>
        </w:tc>
        <w:tc>
          <w:tcPr>
            <w:tcW w:w="537" w:type="pct"/>
            <w:tcBorders>
              <w:top w:val="nil"/>
              <w:left w:val="nil"/>
              <w:bottom w:val="double" w:sz="4" w:space="0" w:color="auto"/>
              <w:right w:val="double" w:sz="4" w:space="0" w:color="auto"/>
            </w:tcBorders>
            <w:vAlign w:val="center"/>
          </w:tcPr>
          <w:p w14:paraId="0B708719" w14:textId="77777777" w:rsidR="00C3264D" w:rsidRDefault="00E2275C">
            <w:pPr>
              <w:jc w:val="center"/>
              <w:rPr>
                <w:rFonts w:ascii="Times New Roman" w:hAnsi="Times New Roman"/>
                <w:color w:val="000000"/>
                <w:sz w:val="20"/>
                <w:szCs w:val="20"/>
              </w:rPr>
            </w:pPr>
            <w:r>
              <w:rPr>
                <w:rFonts w:ascii="Times New Roman" w:hAnsi="Times New Roman"/>
                <w:sz w:val="20"/>
                <w:szCs w:val="20"/>
              </w:rPr>
              <w:t>2,0</w:t>
            </w:r>
            <w:r>
              <w:rPr>
                <w:rStyle w:val="FootnoteReference"/>
                <w:rFonts w:ascii="Times New Roman" w:hAnsi="Times New Roman"/>
                <w:sz w:val="20"/>
                <w:szCs w:val="20"/>
              </w:rPr>
              <w:footnoteReference w:id="54"/>
            </w:r>
          </w:p>
        </w:tc>
      </w:tr>
    </w:tbl>
    <w:p w14:paraId="29ADA161" w14:textId="77777777" w:rsidR="00C3264D" w:rsidRDefault="00526348">
      <w:pPr>
        <w:jc w:val="both"/>
        <w:rPr>
          <w:rFonts w:ascii="Times New Roman" w:hAnsi="Times New Roman"/>
          <w:sz w:val="18"/>
          <w:szCs w:val="18"/>
        </w:rPr>
      </w:pPr>
      <w:r>
        <w:rPr>
          <w:rFonts w:ascii="Times New Roman" w:hAnsi="Times New Roman"/>
          <w:sz w:val="18"/>
          <w:szCs w:val="18"/>
        </w:rPr>
        <w:t>Източници: EUTL, ГД „Действия по климата“, EEX</w:t>
      </w:r>
    </w:p>
    <w:p w14:paraId="0514DF2F" w14:textId="77777777" w:rsidR="00C3264D" w:rsidRPr="008755F7" w:rsidRDefault="00C95B98">
      <w:pPr>
        <w:jc w:val="both"/>
        <w:rPr>
          <w:rFonts w:ascii="Times New Roman" w:hAnsi="Times New Roman"/>
          <w:sz w:val="24"/>
          <w:szCs w:val="24"/>
        </w:rPr>
      </w:pPr>
      <w:r w:rsidRPr="008755F7">
        <w:rPr>
          <w:rFonts w:ascii="Times New Roman" w:hAnsi="Times New Roman"/>
          <w:sz w:val="24"/>
          <w:szCs w:val="24"/>
        </w:rPr>
        <w:t>През 2013 г. беше прието решението</w:t>
      </w:r>
      <w:r w:rsidRPr="008755F7">
        <w:rPr>
          <w:rFonts w:ascii="Times New Roman" w:hAnsi="Times New Roman"/>
          <w:sz w:val="24"/>
          <w:szCs w:val="24"/>
          <w:vertAlign w:val="superscript"/>
        </w:rPr>
        <w:footnoteReference w:id="55"/>
      </w:r>
      <w:r w:rsidRPr="008755F7">
        <w:rPr>
          <w:rFonts w:ascii="Times New Roman" w:hAnsi="Times New Roman"/>
          <w:sz w:val="24"/>
          <w:szCs w:val="24"/>
        </w:rPr>
        <w:t xml:space="preserve"> за ограничаване на задълженията във връзка с изменението на климата само до полети в рамките на ЕИП. Спазването на тези изисквания за сектора на въздухоплаването беше отложено за 2012 г. и 2013 г. Поради това отложените количества квоти за 2012 г. бяха продадени на търг през 2014 г., а изискванията за авиационните емисии от 2013 г. и 2014 г. бяха спазени между януари и април 2015 г.</w:t>
      </w:r>
    </w:p>
    <w:p w14:paraId="0CC2B27E" w14:textId="77777777" w:rsidR="00C3264D" w:rsidRPr="008755F7" w:rsidRDefault="00AE6522">
      <w:pPr>
        <w:jc w:val="both"/>
        <w:rPr>
          <w:rFonts w:ascii="Times New Roman" w:hAnsi="Times New Roman"/>
          <w:sz w:val="24"/>
          <w:szCs w:val="24"/>
        </w:rPr>
      </w:pPr>
      <w:r w:rsidRPr="008755F7">
        <w:rPr>
          <w:rFonts w:ascii="Times New Roman" w:hAnsi="Times New Roman"/>
          <w:sz w:val="24"/>
          <w:szCs w:val="24"/>
        </w:rPr>
        <w:t>През юни 2018 г. ИКАО прие Стандартите и препоръчителните практики по CORSIA (SARP)</w:t>
      </w:r>
      <w:r w:rsidRPr="008755F7">
        <w:rPr>
          <w:rStyle w:val="FootnoteReference"/>
          <w:rFonts w:ascii="Times New Roman" w:hAnsi="Times New Roman"/>
          <w:sz w:val="24"/>
          <w:szCs w:val="24"/>
        </w:rPr>
        <w:footnoteReference w:id="56"/>
      </w:r>
      <w:r w:rsidRPr="008755F7">
        <w:rPr>
          <w:rFonts w:ascii="Times New Roman" w:hAnsi="Times New Roman"/>
          <w:sz w:val="24"/>
          <w:szCs w:val="24"/>
        </w:rPr>
        <w:t>. В тях, както и в елементите на прилагането, е подробно описано функционирането на CORSIA. Важни елементи на прилагането, като допустимите единици и рамката за алтернативните горива, все още не са приети. Макар че признават и подкрепят официалното приемане на SARP от ИКАО, ЕС и неговите държави членки следваха процедурите на ИКАО за уведомяване относно съществуващите различия</w:t>
      </w:r>
      <w:r w:rsidRPr="008755F7">
        <w:rPr>
          <w:rStyle w:val="FootnoteReference"/>
          <w:rFonts w:ascii="Times New Roman" w:hAnsi="Times New Roman"/>
          <w:sz w:val="24"/>
          <w:szCs w:val="24"/>
        </w:rPr>
        <w:footnoteReference w:id="57"/>
      </w:r>
      <w:r w:rsidRPr="008755F7">
        <w:rPr>
          <w:rFonts w:ascii="Times New Roman" w:hAnsi="Times New Roman"/>
          <w:sz w:val="24"/>
          <w:szCs w:val="24"/>
        </w:rPr>
        <w:t xml:space="preserve"> между съответното законодателство на ЕС и CORSIA. От 1 януари 2019 г. операторите на въздухоплавателни средства трябва да наблюдават и докладват емисиите, които отделят, и на CORSIA. Рамката за мониторинг, докладване и проверка (МДП) на СТЕ на ЕС беше преразгледана, за да се въведе правно обвързващо задължение в този смисъл (вж. глава 6.1).  Този интегриран подход за двата инструмента гарантира свеждането до минимум на административната тежест.</w:t>
      </w:r>
    </w:p>
    <w:p w14:paraId="244649E4" w14:textId="77777777" w:rsidR="00C3264D" w:rsidRDefault="00A52F4C">
      <w:pPr>
        <w:pStyle w:val="Heading1"/>
        <w:spacing w:before="0" w:after="200"/>
      </w:pPr>
      <w:bookmarkStart w:id="20" w:name="_Toc28015591"/>
      <w:r>
        <w:t>5. НАДЗОР НА ПАЗАРА</w:t>
      </w:r>
      <w:bookmarkEnd w:id="20"/>
    </w:p>
    <w:p w14:paraId="378D798F" w14:textId="77777777" w:rsidR="00C3264D" w:rsidRDefault="00E71363">
      <w:pPr>
        <w:jc w:val="both"/>
        <w:rPr>
          <w:rFonts w:ascii="Times New Roman" w:hAnsi="Times New Roman"/>
          <w:sz w:val="24"/>
          <w:szCs w:val="24"/>
        </w:rPr>
      </w:pPr>
      <w:r>
        <w:rPr>
          <w:rFonts w:ascii="Times New Roman" w:hAnsi="Times New Roman"/>
          <w:noProof/>
          <w:lang w:val="en-GB" w:eastAsia="en-GB"/>
        </w:rPr>
        <mc:AlternateContent>
          <mc:Choice Requires="wps">
            <w:drawing>
              <wp:inline distT="0" distB="0" distL="0" distR="0" wp14:anchorId="45945B53" wp14:editId="27C134AC">
                <wp:extent cx="5731510" cy="6705600"/>
                <wp:effectExtent l="0" t="0" r="21590" b="19050"/>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6705600"/>
                        </a:xfrm>
                        <a:prstGeom prst="rect">
                          <a:avLst/>
                        </a:prstGeom>
                        <a:solidFill>
                          <a:sysClr val="window" lastClr="FFFFFF">
                            <a:lumMod val="85000"/>
                          </a:sysClr>
                        </a:solidFill>
                        <a:ln w="12700">
                          <a:solidFill>
                            <a:srgbClr val="000000"/>
                          </a:solidFill>
                          <a:miter lim="800000"/>
                          <a:headEnd/>
                          <a:tailEnd/>
                        </a:ln>
                      </wps:spPr>
                      <wps:txbx>
                        <w:txbxContent>
                          <w:p w14:paraId="149792CA" w14:textId="2F69B695" w:rsidR="00692F99" w:rsidRPr="008755F7" w:rsidRDefault="00692F99">
                            <w:pPr>
                              <w:jc w:val="both"/>
                              <w:rPr>
                                <w:rFonts w:ascii="Times New Roman" w:hAnsi="Times New Roman"/>
                                <w:sz w:val="24"/>
                                <w:szCs w:val="24"/>
                              </w:rPr>
                            </w:pPr>
                            <w:r w:rsidRPr="008755F7">
                              <w:rPr>
                                <w:rFonts w:ascii="Times New Roman" w:hAnsi="Times New Roman"/>
                                <w:sz w:val="24"/>
                                <w:szCs w:val="24"/>
                              </w:rPr>
                              <w:t>Съгласно преразгледаната Директива относно пазарите на финансови инструменти* (ДПФИ II) от 3 януари 2018 г. квотите за емисии се класифицират като финансови инструменти. Това означава, че правилата, които се отнасят за традиционните финансови пазари (включващи търговията с деривати на въглеродни емисии на водещи платформи или на извънборсови пазари), се прилагат и за спот сегмента на вторичния пазар на въглеродни емисии (трансакции с квоти за емисии за непосредствено предлагане на вторичния пазар). Така този сегмент се поставя наравно с пазара на деривати по отношение на изискванията за прозрачност, защита на инвеститорите и почтеност. Регламентът за тръжната продажба продължава да се прилага по отношение на надзора на първичния пазар, извън въпросите, свързани с пазарната злоупотреба.</w:t>
                            </w:r>
                          </w:p>
                          <w:p w14:paraId="15E713A5" w14:textId="77777777" w:rsidR="00692F99" w:rsidRPr="008755F7" w:rsidRDefault="00692F99">
                            <w:pPr>
                              <w:jc w:val="both"/>
                              <w:rPr>
                                <w:rFonts w:ascii="Times New Roman" w:hAnsi="Times New Roman"/>
                                <w:sz w:val="24"/>
                                <w:szCs w:val="24"/>
                              </w:rPr>
                            </w:pPr>
                            <w:r w:rsidRPr="008755F7">
                              <w:rPr>
                                <w:rFonts w:ascii="Times New Roman" w:hAnsi="Times New Roman"/>
                                <w:sz w:val="24"/>
                                <w:szCs w:val="24"/>
                              </w:rPr>
                              <w:t>По силата на препратки към определенията за финансовите инструменти в ДПФИ II се прилагат и други части на нормативната уредба в областта на финансовите пазари. Това се отнася по-специално за Регламента относно пазарната злоупотреба (РПЗ)**, който обхваща трансакциите и поведението във връзка с квоти за емисии както на първичния, така и на вторичния пазар. По подобен начин препратка към ДПФИ II в Директивата относно борбата с изпирането на пари*** ще задейства задължителното прилагане на комплексни проверки от страна на лицензираните по ДПФИ търговци на въглеродни емисии на техните клиенти на вторичния спот пазар на квоти за емисии. ****</w:t>
                            </w:r>
                          </w:p>
                          <w:p w14:paraId="5CE966A0" w14:textId="77777777" w:rsidR="00692F99" w:rsidRDefault="00692F99">
                            <w:pPr>
                              <w:jc w:val="both"/>
                              <w:rPr>
                                <w:rFonts w:ascii="Times New Roman" w:hAnsi="Times New Roman"/>
                                <w:sz w:val="18"/>
                                <w:szCs w:val="18"/>
                              </w:rPr>
                            </w:pPr>
                            <w:r>
                              <w:rPr>
                                <w:rFonts w:ascii="Times New Roman" w:hAnsi="Times New Roman"/>
                                <w:sz w:val="18"/>
                                <w:szCs w:val="18"/>
                              </w:rPr>
                              <w:t>*</w:t>
                            </w:r>
                            <w:r>
                              <w:t xml:space="preserve"> </w:t>
                            </w:r>
                            <w:r>
                              <w:rPr>
                                <w:rFonts w:ascii="Times New Roman" w:hAnsi="Times New Roman"/>
                                <w:sz w:val="18"/>
                                <w:szCs w:val="18"/>
                              </w:rPr>
                              <w:t xml:space="preserve">Директива 2014/65/ЕС на Европейския парламент и на Съвета от 15 май 2014 г. относно пазарите на финансови инструменти и за изменение на Директива 2002/92/ЕО и на Директива 2011/61/ЕС </w:t>
                            </w:r>
                          </w:p>
                          <w:p w14:paraId="0112DF1F" w14:textId="77777777" w:rsidR="00692F99" w:rsidRDefault="00692F99">
                            <w:pPr>
                              <w:jc w:val="both"/>
                              <w:rPr>
                                <w:rFonts w:ascii="Times New Roman" w:hAnsi="Times New Roman"/>
                                <w:sz w:val="18"/>
                                <w:szCs w:val="18"/>
                              </w:rPr>
                            </w:pPr>
                            <w:r>
                              <w:rPr>
                                <w:rFonts w:ascii="Times New Roman" w:hAnsi="Times New Roman"/>
                                <w:sz w:val="18"/>
                                <w:szCs w:val="18"/>
                              </w:rPr>
                              <w:t>**</w:t>
                            </w:r>
                            <w:r>
                              <w:t xml:space="preserve"> </w:t>
                            </w:r>
                            <w:r>
                              <w:rPr>
                                <w:rFonts w:ascii="Times New Roman" w:hAnsi="Times New Roman"/>
                                <w:sz w:val="18"/>
                                <w:szCs w:val="18"/>
                              </w:rPr>
                              <w:t>Регламент (ЕС) № 596/2014 на Европейския парламент и на Съвета от 16 април 2014 г. относно пазарната злоупотреба (Регламент относно пазарната злоупотреба) и за отмяна на Директива 2003/6/ЕО на Европейския парламент и на Съвета и директиви 2003/124/ЕО, 2003/125/ЕО и 2004/72/ЕО на Комисията</w:t>
                            </w:r>
                          </w:p>
                          <w:p w14:paraId="4C065751" w14:textId="77777777" w:rsidR="00692F99" w:rsidRDefault="00692F99">
                            <w:pPr>
                              <w:jc w:val="both"/>
                              <w:rPr>
                                <w:rFonts w:ascii="Times New Roman" w:hAnsi="Times New Roman"/>
                                <w:sz w:val="18"/>
                                <w:szCs w:val="18"/>
                              </w:rPr>
                            </w:pPr>
                            <w:r>
                              <w:rPr>
                                <w:rFonts w:ascii="Times New Roman" w:hAnsi="Times New Roman"/>
                                <w:sz w:val="18"/>
                                <w:szCs w:val="18"/>
                              </w:rPr>
                              <w:t xml:space="preserve">*** Директива (ЕС) 2015/849 на Европейския парламент и на Съвета от 20 май 2015 г. за предотвратяване използването на финансовата система за целите на изпирането на пари и финансирането на тероризма, за изменение на Регламент (ЕС) № 648/2012 на Европейския парламент и на Съвета и за отмяна на Директива 2005/60/ЕО на Европейския парламент и на Съвета и на Директива 2006/70/ЕО на Комисията </w:t>
                            </w:r>
                          </w:p>
                          <w:p w14:paraId="2A509AF7" w14:textId="77777777" w:rsidR="00692F99" w:rsidRDefault="00692F99">
                            <w:pPr>
                              <w:jc w:val="both"/>
                              <w:rPr>
                                <w:rFonts w:ascii="Times New Roman" w:hAnsi="Times New Roman"/>
                                <w:sz w:val="18"/>
                                <w:szCs w:val="18"/>
                              </w:rPr>
                            </w:pPr>
                            <w:r>
                              <w:rPr>
                                <w:rFonts w:ascii="Times New Roman" w:hAnsi="Times New Roman"/>
                                <w:sz w:val="18"/>
                                <w:szCs w:val="18"/>
                              </w:rPr>
                              <w:t>**** Комплексните проверки вече са задължителни на първичния пазар и на вторичния пазар на деривати върху квоти за емисии.</w:t>
                            </w:r>
                          </w:p>
                        </w:txbxContent>
                      </wps:txbx>
                      <wps:bodyPr rot="0" vert="horz" wrap="square" lIns="91440" tIns="45720" rIns="91440" bIns="45720" anchor="t" anchorCtr="0">
                        <a:noAutofit/>
                      </wps:bodyPr>
                    </wps:wsp>
                  </a:graphicData>
                </a:graphic>
              </wp:inline>
            </w:drawing>
          </mc:Choice>
          <mc:Fallback>
            <w:pict>
              <v:shape w14:anchorId="45945B53" id="_x0000_s1038" type="#_x0000_t202" style="width:451.3pt;height:5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" fillcolor="#d9d9d9" strokeweight="1pt">
                <v:textbox>
                  <w:txbxContent>
                    <w:p w14:paraId="149792CA" w14:textId="2F69B695" w:rsidR="00692F99" w:rsidRPr="008755F7" w:rsidRDefault="00692F99">
                      <w:pPr>
                        <w:jc w:val="both"/>
                        <w:rPr>
                          <w:rFonts w:ascii="Times New Roman" w:hAnsi="Times New Roman"/>
                          <w:sz w:val="24"/>
                          <w:szCs w:val="24"/>
                        </w:rPr>
                      </w:pPr>
                      <w:r w:rsidRPr="008755F7">
                        <w:rPr>
                          <w:rFonts w:ascii="Times New Roman" w:hAnsi="Times New Roman"/>
                          <w:sz w:val="24"/>
                          <w:szCs w:val="24"/>
                        </w:rPr>
                        <w:t>Съгласно преразгледаната Директива относно пазарите на финансови инструменти* (ДПФИ II) от 3 януари 2018 г. квотите за емисии се класифицират като финансови инструменти. Това означава, че правилата, които се отнасят за традиционните финансови пазари (включващи търговията с деривати на въглеродни емисии на водещи платформи или на извънборсови пазари), се прилагат и за спот сегмента на вторичния пазар на въглеродни емисии (трансакции с квоти за емисии за непосредствено предлагане на вторичния пазар). Така този сегмент се поставя наравно с пазара на деривати по отношение на изискванията за прозрачност, защита на инвеститорите и почтеност. Регламентът за тръжната продажба продължава да се прилага по отношение на надзора на първичния пазар, извън въпросите, свързани с пазарната злоупотреба.</w:t>
                      </w:r>
                    </w:p>
                    <w:p w14:paraId="15E713A5" w14:textId="77777777" w:rsidR="00692F99" w:rsidRPr="008755F7" w:rsidRDefault="00692F99">
                      <w:pPr>
                        <w:jc w:val="both"/>
                        <w:rPr>
                          <w:rFonts w:ascii="Times New Roman" w:hAnsi="Times New Roman"/>
                          <w:sz w:val="24"/>
                          <w:szCs w:val="24"/>
                        </w:rPr>
                      </w:pPr>
                      <w:r w:rsidRPr="008755F7">
                        <w:rPr>
                          <w:rFonts w:ascii="Times New Roman" w:hAnsi="Times New Roman"/>
                          <w:sz w:val="24"/>
                          <w:szCs w:val="24"/>
                        </w:rPr>
                        <w:t>По силата на препратки към определенията за финансовите инструменти в ДПФИ II се прилагат и други части на нормативната уредба в областта на финансовите пазари. Това се отнася по-специално за Регламента относно пазарната злоупотреба (РПЗ)**, който обхваща трансакциите и поведението във връзка с квоти за емисии както на първичния, така и на вторичния пазар. По подобен начин препратка към ДПФИ II в Директивата относно борбата с изпирането на пари*** ще задейства задължителното прилагане на комплексни проверки от страна на лицензираните по ДПФИ търговци на въглеродни емисии на техните клиенти на вторичния спот пазар на квоти за емисии. ****</w:t>
                      </w:r>
                    </w:p>
                    <w:p w14:paraId="5CE966A0" w14:textId="77777777" w:rsidR="00692F99" w:rsidRDefault="00692F99">
                      <w:pPr>
                        <w:jc w:val="both"/>
                        <w:rPr>
                          <w:rFonts w:ascii="Times New Roman" w:hAnsi="Times New Roman"/>
                          <w:sz w:val="18"/>
                          <w:szCs w:val="18"/>
                        </w:rPr>
                      </w:pPr>
                      <w:r>
                        <w:rPr>
                          <w:rFonts w:ascii="Times New Roman" w:hAnsi="Times New Roman"/>
                          <w:sz w:val="18"/>
                          <w:szCs w:val="18"/>
                        </w:rPr>
                        <w:t>*</w:t>
                      </w:r>
                      <w:r>
                        <w:t xml:space="preserve"> </w:t>
                      </w:r>
                      <w:r>
                        <w:rPr>
                          <w:rFonts w:ascii="Times New Roman" w:hAnsi="Times New Roman"/>
                          <w:sz w:val="18"/>
                          <w:szCs w:val="18"/>
                        </w:rPr>
                        <w:t xml:space="preserve">Директива 2014/65/ЕС на Европейския парламент и на Съвета от 15 май 2014 г. относно пазарите на финансови инструменти и за изменение на Директива 2002/92/ЕО и на Директива 2011/61/ЕС </w:t>
                      </w:r>
                    </w:p>
                    <w:p w14:paraId="0112DF1F" w14:textId="77777777" w:rsidR="00692F99" w:rsidRDefault="00692F99">
                      <w:pPr>
                        <w:jc w:val="both"/>
                        <w:rPr>
                          <w:rFonts w:ascii="Times New Roman" w:hAnsi="Times New Roman"/>
                          <w:sz w:val="18"/>
                          <w:szCs w:val="18"/>
                        </w:rPr>
                      </w:pPr>
                      <w:r>
                        <w:rPr>
                          <w:rFonts w:ascii="Times New Roman" w:hAnsi="Times New Roman"/>
                          <w:sz w:val="18"/>
                          <w:szCs w:val="18"/>
                        </w:rPr>
                        <w:t>**</w:t>
                      </w:r>
                      <w:r>
                        <w:t xml:space="preserve"> </w:t>
                      </w:r>
                      <w:r>
                        <w:rPr>
                          <w:rFonts w:ascii="Times New Roman" w:hAnsi="Times New Roman"/>
                          <w:sz w:val="18"/>
                          <w:szCs w:val="18"/>
                        </w:rPr>
                        <w:t>Регламент (ЕС) № 596/2014 на Европейския парламент и на Съвета от 16 април 2014 г. относно пазарната злоупотреба (Регламент относно пазарната злоупотреба) и за отмяна на Директива 2003/6/ЕО на Европейския парламент и на Съвета и директиви 2003/124/ЕО, 2003/125/ЕО и 2004/72/ЕО на Комисията</w:t>
                      </w:r>
                    </w:p>
                    <w:p w14:paraId="4C065751" w14:textId="77777777" w:rsidR="00692F99" w:rsidRDefault="00692F99">
                      <w:pPr>
                        <w:jc w:val="both"/>
                        <w:rPr>
                          <w:rFonts w:ascii="Times New Roman" w:hAnsi="Times New Roman"/>
                          <w:sz w:val="18"/>
                          <w:szCs w:val="18"/>
                        </w:rPr>
                      </w:pPr>
                      <w:r>
                        <w:rPr>
                          <w:rFonts w:ascii="Times New Roman" w:hAnsi="Times New Roman"/>
                          <w:sz w:val="18"/>
                          <w:szCs w:val="18"/>
                        </w:rPr>
                        <w:t xml:space="preserve">*** Директива (ЕС) 2015/849 на Европейския парламент и на Съвета от 20 май 2015 г. за предотвратяване използването на финансовата система за целите на изпирането на пари и финансирането на тероризма, за изменение на Регламент (ЕС) № 648/2012 на Европейския парламент и на Съвета и за отмяна на Директива 2005/60/ЕО на Европейския парламент и на Съвета и на Директива 2006/70/ЕО на Комисията </w:t>
                      </w:r>
                    </w:p>
                    <w:p w14:paraId="2A509AF7" w14:textId="77777777" w:rsidR="00692F99" w:rsidRDefault="00692F99">
                      <w:pPr>
                        <w:jc w:val="both"/>
                        <w:rPr>
                          <w:rFonts w:ascii="Times New Roman" w:hAnsi="Times New Roman"/>
                          <w:sz w:val="18"/>
                          <w:szCs w:val="18"/>
                        </w:rPr>
                      </w:pPr>
                      <w:r>
                        <w:rPr>
                          <w:rFonts w:ascii="Times New Roman" w:hAnsi="Times New Roman"/>
                          <w:sz w:val="18"/>
                          <w:szCs w:val="18"/>
                        </w:rPr>
                        <w:t>**** Комплексните проверки вече са задължителни на първичния пазар и на вторичния пазар на деривати върху квоти за емисии.</w:t>
                      </w:r>
                    </w:p>
                  </w:txbxContent>
                </v:textbox>
                <w10:anchorlock/>
              </v:shape>
            </w:pict>
          </mc:Fallback>
        </mc:AlternateContent>
      </w:r>
    </w:p>
    <w:p w14:paraId="497D3299" w14:textId="4A833F78" w:rsidR="00C3264D" w:rsidRPr="008755F7" w:rsidRDefault="00D3027D">
      <w:pPr>
        <w:jc w:val="both"/>
        <w:rPr>
          <w:rFonts w:ascii="Times New Roman" w:hAnsi="Times New Roman"/>
          <w:sz w:val="24"/>
          <w:szCs w:val="24"/>
        </w:rPr>
      </w:pPr>
      <w:r w:rsidRPr="008755F7">
        <w:rPr>
          <w:rFonts w:ascii="Times New Roman" w:hAnsi="Times New Roman"/>
          <w:sz w:val="24"/>
          <w:szCs w:val="24"/>
        </w:rPr>
        <w:t>В резултат на реформата по отношение на СТЕ на ЕС за фаза 4 редица участници на пазара, като водещи финансови участници и посредници, отново навлязоха на пазара. Допустимият брой участници, които отговарят на условията да подават оферти в търговете на общата тръжна платформа, се увеличи от 73 (януари 2018 г.) на 79 (декември 2018 г.). По-голямата част от участниците бяха оператори (73 %), а останалата част се състоеше от инвестиционни посредници и кредитни институции (19 %), както и от лица, които са освободени от изискванията на ДПФИ (8 %)</w:t>
      </w:r>
      <w:r w:rsidRPr="008755F7">
        <w:rPr>
          <w:rStyle w:val="FootnoteReference"/>
          <w:rFonts w:ascii="Times New Roman" w:hAnsi="Times New Roman"/>
          <w:sz w:val="24"/>
          <w:szCs w:val="24"/>
        </w:rPr>
        <w:footnoteReference w:id="58"/>
      </w:r>
      <w:r w:rsidRPr="008755F7">
        <w:rPr>
          <w:sz w:val="24"/>
          <w:szCs w:val="24"/>
        </w:rPr>
        <w:t>.</w:t>
      </w:r>
      <w:r w:rsidRPr="008755F7">
        <w:rPr>
          <w:rFonts w:ascii="Times New Roman" w:hAnsi="Times New Roman"/>
          <w:sz w:val="24"/>
          <w:szCs w:val="24"/>
        </w:rPr>
        <w:t xml:space="preserve"> За сравнение, когато търговете започнаха в края на 2012 г., отговарящите на условията участници в търговете бяха 42, 67 % от които бяха оператори, 26 % — инвестиционни посредници и кредитни институции и 7 % — нефинансови посредници</w:t>
      </w:r>
      <w:r w:rsidRPr="008755F7">
        <w:rPr>
          <w:rFonts w:ascii="Times New Roman" w:hAnsi="Times New Roman"/>
          <w:sz w:val="24"/>
          <w:szCs w:val="24"/>
          <w:vertAlign w:val="superscript"/>
        </w:rPr>
        <w:footnoteReference w:id="59"/>
      </w:r>
      <w:r w:rsidRPr="008755F7">
        <w:rPr>
          <w:rFonts w:ascii="Times New Roman" w:hAnsi="Times New Roman"/>
          <w:sz w:val="24"/>
          <w:szCs w:val="24"/>
        </w:rPr>
        <w:t>.</w:t>
      </w:r>
    </w:p>
    <w:p w14:paraId="630AF4A4" w14:textId="77777777" w:rsidR="00C3264D" w:rsidRPr="008755F7" w:rsidRDefault="00E71363">
      <w:pPr>
        <w:jc w:val="both"/>
        <w:rPr>
          <w:rFonts w:ascii="Times New Roman" w:hAnsi="Times New Roman"/>
          <w:sz w:val="24"/>
          <w:szCs w:val="24"/>
        </w:rPr>
      </w:pPr>
      <w:r w:rsidRPr="008755F7">
        <w:rPr>
          <w:rFonts w:ascii="Times New Roman" w:hAnsi="Times New Roman"/>
          <w:sz w:val="24"/>
          <w:szCs w:val="24"/>
        </w:rPr>
        <w:t>Съгласно съществуващите правила по отношение на пазарната злоупотреба националните компетентни органи</w:t>
      </w:r>
      <w:r w:rsidRPr="008755F7">
        <w:rPr>
          <w:rFonts w:ascii="Times New Roman" w:hAnsi="Times New Roman"/>
          <w:sz w:val="24"/>
          <w:szCs w:val="24"/>
          <w:vertAlign w:val="superscript"/>
        </w:rPr>
        <w:footnoteReference w:id="60"/>
      </w:r>
      <w:r w:rsidRPr="008755F7">
        <w:rPr>
          <w:rFonts w:ascii="Times New Roman" w:hAnsi="Times New Roman"/>
          <w:sz w:val="24"/>
          <w:szCs w:val="24"/>
        </w:rPr>
        <w:t xml:space="preserve"> са отговорни за наблюдението на пазара по отношение на търговете и на вторичния пазар. На европейско равнище техните действия се координират от Европейския орган за ценни книжа и пазари (ESMA), какъвто е случаят с други финансови инструменти. </w:t>
      </w:r>
    </w:p>
    <w:p w14:paraId="36582859" w14:textId="45636C6F" w:rsidR="00C3264D" w:rsidRPr="008755F7" w:rsidRDefault="00E71363">
      <w:pPr>
        <w:jc w:val="both"/>
        <w:rPr>
          <w:rFonts w:ascii="Times New Roman" w:hAnsi="Times New Roman"/>
          <w:sz w:val="24"/>
          <w:szCs w:val="24"/>
        </w:rPr>
      </w:pPr>
      <w:r w:rsidRPr="008755F7">
        <w:rPr>
          <w:rFonts w:ascii="Times New Roman" w:hAnsi="Times New Roman"/>
          <w:sz w:val="24"/>
          <w:szCs w:val="24"/>
        </w:rPr>
        <w:t>Националните компетентни органи разполагат с правомощията да налагат коригиращи действия или санкции, когато преценят, че определено поведение води до пазарна злоупотреба. За да могат националните компетентни органи да изпълняват задачите си за наблюдение на пазара, в нормативната уредба в областта на финансовите пазари са установени редица изисквания за докладване и прозрачност, които са приложими за местата на търговия и инвестиционните посредници. Като част от изискванията за докладване местата на търговия и инвестиционните посредници трябва да съобщават на компетентните органи подробни данни относно трансакциите с квоти за емисии или техните деривати, които се извършват на местата на търговия, и относно извънборсовите сделки</w:t>
      </w:r>
      <w:r w:rsidRPr="008755F7">
        <w:rPr>
          <w:rFonts w:ascii="Times New Roman" w:hAnsi="Times New Roman"/>
          <w:sz w:val="24"/>
          <w:szCs w:val="24"/>
          <w:vertAlign w:val="superscript"/>
        </w:rPr>
        <w:footnoteReference w:id="61"/>
      </w:r>
      <w:r w:rsidRPr="008755F7">
        <w:rPr>
          <w:rFonts w:ascii="Times New Roman" w:hAnsi="Times New Roman"/>
          <w:sz w:val="24"/>
          <w:szCs w:val="24"/>
        </w:rPr>
        <w:t>. Изискванията за докладване включват и задължение за местата на търговия и инвестиционните посредници да предоставят на компетентните органи данни за позициите по отношение на квотите за емисии</w:t>
      </w:r>
      <w:r w:rsidRPr="008755F7">
        <w:rPr>
          <w:rFonts w:ascii="Times New Roman" w:hAnsi="Times New Roman"/>
          <w:sz w:val="24"/>
          <w:szCs w:val="24"/>
          <w:vertAlign w:val="superscript"/>
        </w:rPr>
        <w:footnoteReference w:id="62"/>
      </w:r>
      <w:r w:rsidRPr="008755F7">
        <w:rPr>
          <w:rFonts w:ascii="Times New Roman" w:hAnsi="Times New Roman"/>
          <w:sz w:val="24"/>
          <w:szCs w:val="24"/>
        </w:rPr>
        <w:t>. Като част от изискванията за прозрачност местата на търговия и инвестиционните посредници обявяват публично данните за търговията</w:t>
      </w:r>
      <w:r w:rsidRPr="008755F7">
        <w:rPr>
          <w:rStyle w:val="FootnoteReference"/>
          <w:rFonts w:ascii="Times New Roman" w:hAnsi="Times New Roman"/>
          <w:sz w:val="24"/>
          <w:szCs w:val="24"/>
        </w:rPr>
        <w:footnoteReference w:id="63"/>
      </w:r>
      <w:r w:rsidRPr="008755F7">
        <w:rPr>
          <w:rFonts w:ascii="Times New Roman" w:hAnsi="Times New Roman"/>
          <w:sz w:val="24"/>
          <w:szCs w:val="24"/>
        </w:rPr>
        <w:t xml:space="preserve"> и седмичните данни за съвкупни позиции</w:t>
      </w:r>
      <w:r w:rsidRPr="008755F7">
        <w:rPr>
          <w:rFonts w:ascii="Times New Roman" w:hAnsi="Times New Roman"/>
          <w:sz w:val="24"/>
          <w:szCs w:val="24"/>
          <w:vertAlign w:val="superscript"/>
        </w:rPr>
        <w:footnoteReference w:id="64"/>
      </w:r>
      <w:r w:rsidRPr="008755F7">
        <w:rPr>
          <w:rFonts w:ascii="Times New Roman" w:hAnsi="Times New Roman"/>
          <w:sz w:val="24"/>
          <w:szCs w:val="24"/>
        </w:rPr>
        <w:t>.</w:t>
      </w:r>
    </w:p>
    <w:p w14:paraId="6F109FF7" w14:textId="77777777" w:rsidR="00C3264D" w:rsidRPr="008755F7" w:rsidRDefault="00C3264D">
      <w:pPr>
        <w:jc w:val="both"/>
        <w:rPr>
          <w:rFonts w:ascii="Times New Roman" w:hAnsi="Times New Roman"/>
          <w:sz w:val="24"/>
          <w:szCs w:val="24"/>
        </w:rPr>
      </w:pPr>
    </w:p>
    <w:p w14:paraId="6BD5CB6D" w14:textId="77777777" w:rsidR="00C3264D" w:rsidRPr="008755F7" w:rsidRDefault="00C3264D">
      <w:pPr>
        <w:jc w:val="both"/>
        <w:rPr>
          <w:rFonts w:ascii="Times New Roman" w:hAnsi="Times New Roman"/>
          <w:sz w:val="24"/>
          <w:szCs w:val="24"/>
        </w:rPr>
      </w:pPr>
    </w:p>
    <w:p w14:paraId="03EA08D1" w14:textId="77777777" w:rsidR="00C3264D" w:rsidRPr="008755F7" w:rsidRDefault="00C3264D">
      <w:pPr>
        <w:jc w:val="both"/>
        <w:rPr>
          <w:rFonts w:ascii="Times New Roman" w:hAnsi="Times New Roman"/>
          <w:sz w:val="24"/>
          <w:szCs w:val="24"/>
        </w:rPr>
      </w:pPr>
    </w:p>
    <w:p w14:paraId="4460E2E9" w14:textId="77777777" w:rsidR="00C3264D" w:rsidRPr="008755F7" w:rsidRDefault="00C3264D">
      <w:pPr>
        <w:jc w:val="both"/>
        <w:rPr>
          <w:rFonts w:ascii="Times New Roman" w:hAnsi="Times New Roman"/>
          <w:sz w:val="24"/>
          <w:szCs w:val="24"/>
        </w:rPr>
      </w:pPr>
    </w:p>
    <w:p w14:paraId="53EDEC32" w14:textId="77777777" w:rsidR="00C3264D" w:rsidRPr="008755F7" w:rsidRDefault="00A52F4C">
      <w:pPr>
        <w:pStyle w:val="Heading2"/>
        <w:spacing w:before="0" w:after="200"/>
        <w:rPr>
          <w:szCs w:val="24"/>
        </w:rPr>
      </w:pPr>
      <w:bookmarkStart w:id="21" w:name="_Toc28015592"/>
      <w:r w:rsidRPr="008755F7">
        <w:rPr>
          <w:i w:val="0"/>
          <w:szCs w:val="24"/>
        </w:rPr>
        <w:t>5.1. Правно естество и данъчно третиране на квотите за емисии</w:t>
      </w:r>
      <w:bookmarkEnd w:id="21"/>
    </w:p>
    <w:p w14:paraId="698B150D" w14:textId="77777777" w:rsidR="00C3264D" w:rsidRPr="008755F7" w:rsidRDefault="003A348D">
      <w:pPr>
        <w:jc w:val="both"/>
        <w:rPr>
          <w:rFonts w:ascii="Times New Roman" w:hAnsi="Times New Roman"/>
          <w:sz w:val="24"/>
          <w:szCs w:val="24"/>
        </w:rPr>
      </w:pPr>
      <w:r w:rsidRPr="008755F7">
        <w:rPr>
          <w:noProof/>
          <w:sz w:val="24"/>
          <w:szCs w:val="24"/>
          <w:lang w:val="en-GB" w:eastAsia="en-GB"/>
        </w:rPr>
        <mc:AlternateContent>
          <mc:Choice Requires="wps">
            <w:drawing>
              <wp:inline distT="0" distB="0" distL="0" distR="0" wp14:anchorId="3FC0B284" wp14:editId="5E8D5B13">
                <wp:extent cx="5705856" cy="1590261"/>
                <wp:effectExtent l="0" t="0" r="28575" b="10160"/>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856" cy="1590261"/>
                        </a:xfrm>
                        <a:prstGeom prst="rect">
                          <a:avLst/>
                        </a:prstGeom>
                        <a:solidFill>
                          <a:schemeClr val="bg1">
                            <a:lumMod val="85000"/>
                          </a:schemeClr>
                        </a:solidFill>
                        <a:ln w="12700">
                          <a:solidFill>
                            <a:srgbClr val="000000"/>
                          </a:solidFill>
                          <a:miter lim="800000"/>
                          <a:headEnd/>
                          <a:tailEnd/>
                        </a:ln>
                      </wps:spPr>
                      <wps:txbx>
                        <w:txbxContent>
                          <w:p w14:paraId="01E0FE8C" w14:textId="256E6143" w:rsidR="00692F99" w:rsidRDefault="00692F99">
                            <w:pPr>
                              <w:jc w:val="both"/>
                              <w:rPr>
                                <w:rFonts w:ascii="Times New Roman" w:hAnsi="Times New Roman"/>
                              </w:rPr>
                            </w:pPr>
                            <w:r>
                              <w:rPr>
                                <w:rFonts w:ascii="Times New Roman" w:hAnsi="Times New Roman"/>
                              </w:rPr>
                              <w:t>Правното естество и данъчното третиране на квотите за емисии са различни в отделните държави, тъй като тези два аспекта не са определени в Директивата за СТЕ. Държавите се задължават да докладват ежегодно за своите национални режими, свързани с правното естество и данъчното третиране на квотите, като част от докладите си по член 21. Въпреки липсата на хармонизиране в тази област, в настоящата регулаторна рамка са предвидени необходимите правни основи за напълно развит, прозрачен и ликвиден пазар на въглеродни емисии, като същевременно се гарантират стабилността и целостта на пазара.</w:t>
                            </w:r>
                          </w:p>
                        </w:txbxContent>
                      </wps:txbx>
                      <wps:bodyPr rot="0" vert="horz" wrap="square" lIns="91440" tIns="45720" rIns="91440" bIns="45720" anchor="t" anchorCtr="0">
                        <a:noAutofit/>
                      </wps:bodyPr>
                    </wps:wsp>
                  </a:graphicData>
                </a:graphic>
              </wp:inline>
            </w:drawing>
          </mc:Choice>
          <mc:Fallback>
            <w:pict>
              <v:shape w14:anchorId="3FC0B284" id="_x0000_s1039" type="#_x0000_t202" style="width:449.3pt;height:12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" fillcolor="#d8d8d8 [2732]" strokeweight="1pt">
                <v:textbox>
                  <w:txbxContent>
                    <w:p w14:paraId="01E0FE8C" w14:textId="256E6143" w:rsidR="00692F99" w:rsidRDefault="00692F99">
                      <w:pPr>
                        <w:jc w:val="both"/>
                        <w:rPr>
                          <w:rFonts w:ascii="Times New Roman" w:hAnsi="Times New Roman"/>
                        </w:rPr>
                      </w:pPr>
                      <w:r>
                        <w:rPr>
                          <w:rFonts w:ascii="Times New Roman" w:hAnsi="Times New Roman"/>
                        </w:rPr>
                        <w:t>Правното естество и данъчното третиране на квотите за емисии са различни в отделните държави, тъй като тези два аспекта не са определени в Директивата за СТЕ. Държавите се задължават да докладват ежегодно за своите национални режими, свързани с правното естество и данъчното третиране на квотите, като част от докладите си по член 21. Въпреки липсата на хармонизиране в тази област, в настоящата регулаторна рамка са предвидени необходимите правни основи за напълно развит, прозрачен и ликвиден пазар на въглеродни емисии, като същевременно се гарантират стабилността и целостта на пазара.</w:t>
                      </w:r>
                    </w:p>
                  </w:txbxContent>
                </v:textbox>
                <w10:anchorlock/>
              </v:shape>
            </w:pict>
          </mc:Fallback>
        </mc:AlternateContent>
      </w:r>
    </w:p>
    <w:p w14:paraId="17B37A3A" w14:textId="77777777" w:rsidR="00C3264D" w:rsidRPr="008755F7" w:rsidRDefault="000836BF">
      <w:pPr>
        <w:jc w:val="both"/>
        <w:rPr>
          <w:rFonts w:ascii="Times New Roman" w:eastAsia="Times New Roman" w:hAnsi="Times New Roman"/>
          <w:bCs/>
          <w:sz w:val="24"/>
          <w:szCs w:val="24"/>
        </w:rPr>
      </w:pPr>
      <w:r w:rsidRPr="008755F7">
        <w:rPr>
          <w:rFonts w:ascii="Times New Roman" w:hAnsi="Times New Roman"/>
          <w:sz w:val="24"/>
          <w:szCs w:val="24"/>
        </w:rPr>
        <w:t>В съответствие с препоръка на Европейската сметна палата през юли 2019 г. Комисията публикува проучване</w:t>
      </w:r>
      <w:r w:rsidRPr="008755F7">
        <w:rPr>
          <w:rStyle w:val="FootnoteReference"/>
          <w:rFonts w:ascii="Times New Roman" w:hAnsi="Times New Roman"/>
          <w:sz w:val="24"/>
          <w:szCs w:val="24"/>
        </w:rPr>
        <w:footnoteReference w:id="65"/>
      </w:r>
      <w:r w:rsidRPr="008755F7">
        <w:rPr>
          <w:rFonts w:ascii="Times New Roman" w:hAnsi="Times New Roman"/>
          <w:sz w:val="24"/>
          <w:szCs w:val="24"/>
        </w:rPr>
        <w:t xml:space="preserve"> относно правното естество на квотите. Проведеното от независим консултант проучване </w:t>
      </w:r>
      <w:r w:rsidRPr="008755F7">
        <w:rPr>
          <w:rFonts w:ascii="Times New Roman" w:hAnsi="Times New Roman"/>
          <w:bCs/>
          <w:sz w:val="24"/>
          <w:szCs w:val="24"/>
        </w:rPr>
        <w:t>не установи практически проблеми, свързани с липсата на определение за правното естество на квотите</w:t>
      </w:r>
      <w:r w:rsidRPr="008755F7">
        <w:rPr>
          <w:rFonts w:ascii="Times New Roman" w:hAnsi="Times New Roman"/>
          <w:sz w:val="24"/>
          <w:szCs w:val="24"/>
        </w:rPr>
        <w:t>.</w:t>
      </w:r>
      <w:r w:rsidRPr="008755F7">
        <w:rPr>
          <w:rFonts w:ascii="Times New Roman" w:hAnsi="Times New Roman"/>
          <w:bCs/>
          <w:sz w:val="24"/>
          <w:szCs w:val="24"/>
        </w:rPr>
        <w:t xml:space="preserve"> В проучването беше направено заключението, че хармонизирано определение няма да осигури повече правна сигурност, нито непременно ще окаже въздействие върху ликвидността на пазара на въглеродни емисии. Въпреки че не бяха препоръчани законодателни инициативи, в проучването се посочва, че на операторите следва да се предоставят информация, съвети, обучение и възможност за изграждане на капацитет</w:t>
      </w:r>
      <w:r w:rsidRPr="008755F7">
        <w:rPr>
          <w:rFonts w:ascii="Times New Roman" w:hAnsi="Times New Roman"/>
          <w:sz w:val="24"/>
          <w:szCs w:val="24"/>
        </w:rPr>
        <w:t xml:space="preserve">  </w:t>
      </w:r>
      <w:r w:rsidRPr="008755F7">
        <w:rPr>
          <w:rFonts w:ascii="Times New Roman" w:hAnsi="Times New Roman"/>
          <w:bCs/>
          <w:sz w:val="24"/>
          <w:szCs w:val="24"/>
        </w:rPr>
        <w:t>вследствие на класифицирането на квотите за емисии като финансови инструменти съгласно ДПФИ II</w:t>
      </w:r>
      <w:r w:rsidRPr="008755F7">
        <w:rPr>
          <w:rFonts w:ascii="Times New Roman" w:eastAsia="Times New Roman" w:hAnsi="Times New Roman"/>
          <w:bCs/>
          <w:sz w:val="24"/>
          <w:szCs w:val="24"/>
          <w:vertAlign w:val="superscript"/>
        </w:rPr>
        <w:footnoteReference w:id="66"/>
      </w:r>
      <w:r w:rsidRPr="008755F7">
        <w:rPr>
          <w:rFonts w:ascii="Times New Roman" w:hAnsi="Times New Roman"/>
          <w:bCs/>
          <w:sz w:val="24"/>
          <w:szCs w:val="24"/>
        </w:rPr>
        <w:t xml:space="preserve">. </w:t>
      </w:r>
    </w:p>
    <w:p w14:paraId="5B64C920" w14:textId="77777777" w:rsidR="00C3264D" w:rsidRPr="008755F7" w:rsidRDefault="003A348D">
      <w:pPr>
        <w:jc w:val="both"/>
        <w:rPr>
          <w:rFonts w:ascii="Times New Roman" w:hAnsi="Times New Roman"/>
          <w:sz w:val="24"/>
          <w:szCs w:val="24"/>
        </w:rPr>
      </w:pPr>
      <w:r w:rsidRPr="008755F7">
        <w:rPr>
          <w:rFonts w:ascii="Times New Roman" w:hAnsi="Times New Roman"/>
          <w:sz w:val="24"/>
          <w:szCs w:val="24"/>
        </w:rPr>
        <w:t>Що се отнася до данъчното третиране на квотите, три държави докладват, че квотите за емисии се облагат с данък върху добавената стойност (ДДС). За разлика от това, в 27 участващи държави ДДС се дължи върху трансакциите с квоти за емисии на вторичния пазар. Повечето държави съобщават, че прилагат механизма за обратно начисляване по отношение на вътрешните трансакции с квоти за емисии. Дерогацията за обратно начисляване прехвърля отговорността за плащането на трансакция с ДДС от продавача върху купувача на стоката или услугата и представлява ефективна защита срещу измами с ДДС. През ноември 2018 г. възможността за държавите членки да прилагат дерогацията беше удължена до 30 юни 2022 г.</w:t>
      </w:r>
      <w:r w:rsidRPr="008755F7">
        <w:rPr>
          <w:rStyle w:val="FootnoteReference"/>
          <w:rFonts w:ascii="Times New Roman" w:hAnsi="Times New Roman"/>
          <w:sz w:val="24"/>
          <w:szCs w:val="24"/>
        </w:rPr>
        <w:footnoteReference w:id="67"/>
      </w:r>
      <w:r w:rsidRPr="008755F7">
        <w:rPr>
          <w:rFonts w:ascii="Times New Roman" w:hAnsi="Times New Roman"/>
          <w:sz w:val="24"/>
          <w:szCs w:val="24"/>
        </w:rPr>
        <w:t>. Държавите членки се насърчават да продължат да прилагат механизма за обратно начисляване с цел да се осигури непрекъсната адекватна защита на пазара на въглеродни емисии.</w:t>
      </w:r>
    </w:p>
    <w:p w14:paraId="4484CA75" w14:textId="77777777" w:rsidR="00C3264D" w:rsidRDefault="00A52F4C">
      <w:pPr>
        <w:pStyle w:val="Heading1"/>
        <w:spacing w:before="0" w:after="200"/>
      </w:pPr>
      <w:bookmarkStart w:id="22" w:name="_Toc28015593"/>
      <w:r>
        <w:t>6. МОНИТОРИНГ, ДОКЛАДВАНЕ И ПРОВЕРКА НА ЕМИСИИТЕ</w:t>
      </w:r>
      <w:bookmarkEnd w:id="22"/>
    </w:p>
    <w:p w14:paraId="3557D1AE" w14:textId="77777777" w:rsidR="00C3264D" w:rsidRDefault="00123B11">
      <w:pPr>
        <w:jc w:val="both"/>
      </w:pPr>
      <w:r>
        <w:rPr>
          <w:noProof/>
          <w:lang w:val="en-GB" w:eastAsia="en-GB"/>
        </w:rPr>
        <mc:AlternateContent>
          <mc:Choice Requires="wps">
            <w:drawing>
              <wp:inline distT="0" distB="0" distL="0" distR="0" wp14:anchorId="6FEBE208" wp14:editId="474B4FF5">
                <wp:extent cx="5731510" cy="5664054"/>
                <wp:effectExtent l="0" t="0" r="21590" b="13335"/>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5664054"/>
                        </a:xfrm>
                        <a:prstGeom prst="rect">
                          <a:avLst/>
                        </a:prstGeom>
                        <a:solidFill>
                          <a:sysClr val="window" lastClr="FFFFFF">
                            <a:lumMod val="85000"/>
                          </a:sysClr>
                        </a:solidFill>
                        <a:ln w="12700">
                          <a:solidFill>
                            <a:srgbClr val="000000"/>
                          </a:solidFill>
                          <a:miter lim="800000"/>
                          <a:headEnd/>
                          <a:tailEnd/>
                        </a:ln>
                      </wps:spPr>
                      <wps:txbx>
                        <w:txbxContent>
                          <w:p w14:paraId="0B23F245" w14:textId="77777777" w:rsidR="00692F99" w:rsidRPr="008755F7" w:rsidRDefault="00692F99">
                            <w:pPr>
                              <w:jc w:val="both"/>
                              <w:rPr>
                                <w:rFonts w:ascii="Times New Roman" w:hAnsi="Times New Roman"/>
                                <w:sz w:val="24"/>
                                <w:szCs w:val="24"/>
                              </w:rPr>
                            </w:pPr>
                            <w:r w:rsidRPr="008755F7">
                              <w:rPr>
                                <w:rFonts w:ascii="Times New Roman" w:hAnsi="Times New Roman"/>
                                <w:sz w:val="24"/>
                                <w:szCs w:val="24"/>
                              </w:rPr>
                              <w:t>Изискванията по отношение на мониторинга, докладването, верификацията и акредитацията (МДВА) на СТЕ на ЕС са хармонизирани в Регламента относно мониторинга и докладването (РМД)* и в Регламента относно акредитацията и проверката (РАП)**.</w:t>
                            </w:r>
                          </w:p>
                          <w:p w14:paraId="7D11E6D4" w14:textId="77777777" w:rsidR="00692F99" w:rsidRPr="008755F7" w:rsidRDefault="00692F99">
                            <w:pPr>
                              <w:jc w:val="both"/>
                              <w:rPr>
                                <w:rFonts w:ascii="Times New Roman" w:hAnsi="Times New Roman"/>
                                <w:sz w:val="24"/>
                                <w:szCs w:val="24"/>
                              </w:rPr>
                            </w:pPr>
                            <w:r w:rsidRPr="008755F7">
                              <w:rPr>
                                <w:rFonts w:ascii="Times New Roman" w:hAnsi="Times New Roman"/>
                                <w:sz w:val="24"/>
                                <w:szCs w:val="24"/>
                              </w:rPr>
                              <w:t>Системата за мониторинг в СТЕ на ЕС е проектирана като „модулен“ подход, което дава възможност за висока степен на гъвкавост на операторите с цел да се гарантира разходна ефективност, като същевременно се постигне висока надеждност на наблюдаваните данни за емисиите. За тази цел се допускат няколко метода за мониторинг („изчислителен“ или „измервателен“, а по изключение и „непряк“). За отделните части на дадена инсталация методите могат да се комбинират. За оператори на въздухоплавателни средства са практически осъществими само изчислителните подходи, като разходът на гориво е основният параметър, който трябва да се определя за полетите, попадащи в обхвата на СТЕ на ЕС. Като предпазна мярка срещу произволен избор на мониторингова методика и временни промени е въведено изискването операторите на инсталации и на въздухоплавателни средства да разполагат с план за мониторинг, одобрен от компетентния орган въз основа на РМД.</w:t>
                            </w:r>
                          </w:p>
                          <w:p w14:paraId="32D141D6" w14:textId="77777777" w:rsidR="00692F99" w:rsidRPr="008755F7" w:rsidRDefault="00692F99">
                            <w:pPr>
                              <w:jc w:val="both"/>
                              <w:rPr>
                                <w:rFonts w:ascii="Times New Roman" w:hAnsi="Times New Roman"/>
                                <w:sz w:val="24"/>
                                <w:szCs w:val="24"/>
                              </w:rPr>
                            </w:pPr>
                            <w:r w:rsidRPr="008755F7">
                              <w:rPr>
                                <w:rFonts w:ascii="Times New Roman" w:hAnsi="Times New Roman"/>
                                <w:sz w:val="24"/>
                                <w:szCs w:val="24"/>
                              </w:rPr>
                              <w:t xml:space="preserve">С РАП за фаза 3 и периода след нея бе въведен хармонизиран подход за целия ЕС по отношение на акредитирането на проверяващите органи. Проверяващите органи, които са юридическо лице или правно образувание, трябва да бъдат акредитирани от национален орган по акредитация (НОА), за да могат да извършват проверки в съответствие с РАП. Тази единна система за акредитация дава възможност на проверяващите органи да действат при взаимно признаване във всички участващи държави, като по този начин се използват изцяло предимствата на вътрешния пазар и се спомага за осигуряване на достатъчна обща разполагаемост на верификационни услуги. </w:t>
                            </w:r>
                          </w:p>
                          <w:p w14:paraId="20D77B19" w14:textId="77777777" w:rsidR="00692F99" w:rsidRDefault="00692F99">
                            <w:pPr>
                              <w:rPr>
                                <w:rFonts w:ascii="Times New Roman" w:hAnsi="Times New Roman"/>
                                <w:sz w:val="20"/>
                                <w:szCs w:val="20"/>
                              </w:rPr>
                            </w:pPr>
                            <w:r>
                              <w:rPr>
                                <w:rFonts w:ascii="Times New Roman" w:hAnsi="Times New Roman"/>
                                <w:sz w:val="20"/>
                                <w:szCs w:val="20"/>
                              </w:rPr>
                              <w:t>*</w:t>
                            </w:r>
                            <w:r>
                              <w:rPr>
                                <w:sz w:val="20"/>
                                <w:szCs w:val="20"/>
                              </w:rPr>
                              <w:t xml:space="preserve"> </w:t>
                            </w:r>
                            <w:r>
                              <w:rPr>
                                <w:rFonts w:ascii="Times New Roman" w:hAnsi="Times New Roman"/>
                                <w:sz w:val="20"/>
                                <w:szCs w:val="20"/>
                              </w:rPr>
                              <w:t>Регламент (ЕС) № 601/2012 на Комисията от 21 юни 2012 г. относно мониторинга и докладването на емисиите на парникови газове съгласно Директива 2003/87/ЕО на Европейския парламент и на Съвета, ОВ L 181, 12.7.2012 г., стр. 30.</w:t>
                            </w:r>
                          </w:p>
                          <w:p w14:paraId="059A2515" w14:textId="77777777" w:rsidR="00692F99" w:rsidRDefault="00692F99">
                            <w:pPr>
                              <w:rPr>
                                <w:rFonts w:ascii="Times New Roman" w:hAnsi="Times New Roman"/>
                                <w:sz w:val="20"/>
                                <w:szCs w:val="20"/>
                              </w:rPr>
                            </w:pPr>
                            <w:r>
                              <w:rPr>
                                <w:rFonts w:ascii="Times New Roman" w:hAnsi="Times New Roman"/>
                                <w:sz w:val="20"/>
                                <w:szCs w:val="20"/>
                              </w:rPr>
                              <w:t>**</w:t>
                            </w:r>
                            <w:r>
                              <w:rPr>
                                <w:sz w:val="20"/>
                                <w:szCs w:val="20"/>
                              </w:rPr>
                              <w:t xml:space="preserve"> </w:t>
                            </w:r>
                            <w:r>
                              <w:rPr>
                                <w:rFonts w:ascii="Times New Roman" w:hAnsi="Times New Roman"/>
                                <w:sz w:val="20"/>
                                <w:szCs w:val="20"/>
                              </w:rPr>
                              <w:t>Регламент (ЕС) № 600/2012 на Комисията от 21 юни 2012 г. относно проверката на докладите за емисии на парникови газове и на докладите за тонкилометри и относно акредитацията на проверяващи органи съгласно Директива 2003/87/ЕО на Европейския парламент и на Съвета, ОВ L 181, 12.7.2012 г., стр. 1.</w:t>
                            </w:r>
                          </w:p>
                          <w:p w14:paraId="058D568C" w14:textId="77777777" w:rsidR="00692F99" w:rsidRDefault="00692F99">
                            <w:pPr>
                              <w:rPr>
                                <w:rFonts w:ascii="Times New Roman" w:hAnsi="Times New Roman"/>
                                <w:sz w:val="24"/>
                                <w:szCs w:val="24"/>
                              </w:rPr>
                            </w:pPr>
                          </w:p>
                        </w:txbxContent>
                      </wps:txbx>
                      <wps:bodyPr rot="0" vert="horz" wrap="square" lIns="91440" tIns="45720" rIns="91440" bIns="45720" anchor="t" anchorCtr="0">
                        <a:noAutofit/>
                      </wps:bodyPr>
                    </wps:wsp>
                  </a:graphicData>
                </a:graphic>
              </wp:inline>
            </w:drawing>
          </mc:Choice>
          <mc:Fallback>
            <w:pict>
              <v:shape w14:anchorId="6FEBE208" id="_x0000_s1040" type="#_x0000_t202" style="width:451.3pt;height:4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" fillcolor="#d9d9d9" strokeweight="1pt">
                <v:textbox>
                  <w:txbxContent>
                    <w:p w14:paraId="0B23F245" w14:textId="77777777" w:rsidR="00692F99" w:rsidRPr="008755F7" w:rsidRDefault="00692F99">
                      <w:pPr>
                        <w:jc w:val="both"/>
                        <w:rPr>
                          <w:rFonts w:ascii="Times New Roman" w:hAnsi="Times New Roman"/>
                          <w:sz w:val="24"/>
                          <w:szCs w:val="24"/>
                        </w:rPr>
                      </w:pPr>
                      <w:r w:rsidRPr="008755F7">
                        <w:rPr>
                          <w:rFonts w:ascii="Times New Roman" w:hAnsi="Times New Roman"/>
                          <w:sz w:val="24"/>
                          <w:szCs w:val="24"/>
                        </w:rPr>
                        <w:t>Изискванията по отношение на мониторинга, докладването, верификацията и акредитацията (МДВА) на СТЕ на ЕС са хармонизирани в Регламента относно мониторинга и докладването (РМД)* и в Регламента относно акредитацията и проверката (РАП)**.</w:t>
                      </w:r>
                    </w:p>
                    <w:p w14:paraId="7D11E6D4" w14:textId="77777777" w:rsidR="00692F99" w:rsidRPr="008755F7" w:rsidRDefault="00692F99">
                      <w:pPr>
                        <w:jc w:val="both"/>
                        <w:rPr>
                          <w:rFonts w:ascii="Times New Roman" w:hAnsi="Times New Roman"/>
                          <w:sz w:val="24"/>
                          <w:szCs w:val="24"/>
                        </w:rPr>
                      </w:pPr>
                      <w:r w:rsidRPr="008755F7">
                        <w:rPr>
                          <w:rFonts w:ascii="Times New Roman" w:hAnsi="Times New Roman"/>
                          <w:sz w:val="24"/>
                          <w:szCs w:val="24"/>
                        </w:rPr>
                        <w:t>Системата за мониторинг в СТЕ на ЕС е проектирана като „модулен“ подход, което дава възможност за висока степен на гъвкавост на операторите с цел да се гарантира разходна ефективност, като същевременно се постигне висока надеждност на наблюдаваните данни за емисиите. За тази цел се допускат няколко метода за мониторинг („изчислителен“ или „измервателен“, а по изключение и „непряк“). За отделните части на дадена инсталация методите могат да се комбинират. За оператори на въздухоплавателни средства са практически осъществими само изчислителните подходи, като разходът на гориво е основният параметър, който трябва да се определя за полетите, попадащи в обхвата на СТЕ на ЕС. Като предпазна мярка срещу произволен избор на мониторингова методика и временни промени е въведено изискването операторите на инсталации и на въздухоплавателни средства да разполагат с план за мониторинг, одобрен от компетентния орган въз основа на РМД.</w:t>
                      </w:r>
                    </w:p>
                    <w:p w14:paraId="32D141D6" w14:textId="77777777" w:rsidR="00692F99" w:rsidRPr="008755F7" w:rsidRDefault="00692F99">
                      <w:pPr>
                        <w:jc w:val="both"/>
                        <w:rPr>
                          <w:rFonts w:ascii="Times New Roman" w:hAnsi="Times New Roman"/>
                          <w:sz w:val="24"/>
                          <w:szCs w:val="24"/>
                        </w:rPr>
                      </w:pPr>
                      <w:r w:rsidRPr="008755F7">
                        <w:rPr>
                          <w:rFonts w:ascii="Times New Roman" w:hAnsi="Times New Roman"/>
                          <w:sz w:val="24"/>
                          <w:szCs w:val="24"/>
                        </w:rPr>
                        <w:t xml:space="preserve">С РАП за фаза 3 и периода след нея бе въведен хармонизиран подход за целия ЕС по отношение на акредитирането на проверяващите органи. Проверяващите органи, които са юридическо лице или правно образувание, трябва да бъдат акредитирани от национален орган по акредитация (НОА), за да могат да извършват проверки в съответствие с РАП. Тази единна система за акредитация дава възможност на проверяващите органи да действат при взаимно признаване във всички участващи държави, като по този начин се използват изцяло предимствата на вътрешния пазар и се спомага за осигуряване на достатъчна обща разполагаемост на верификационни услуги. </w:t>
                      </w:r>
                    </w:p>
                    <w:p w14:paraId="20D77B19" w14:textId="77777777" w:rsidR="00692F99" w:rsidRDefault="00692F99">
                      <w:pPr>
                        <w:rPr>
                          <w:rFonts w:ascii="Times New Roman" w:hAnsi="Times New Roman"/>
                          <w:sz w:val="20"/>
                          <w:szCs w:val="20"/>
                        </w:rPr>
                      </w:pPr>
                      <w:r>
                        <w:rPr>
                          <w:rFonts w:ascii="Times New Roman" w:hAnsi="Times New Roman"/>
                          <w:sz w:val="20"/>
                          <w:szCs w:val="20"/>
                        </w:rPr>
                        <w:t>*</w:t>
                      </w:r>
                      <w:r>
                        <w:rPr>
                          <w:sz w:val="20"/>
                          <w:szCs w:val="20"/>
                        </w:rPr>
                        <w:t xml:space="preserve"> </w:t>
                      </w:r>
                      <w:r>
                        <w:rPr>
                          <w:rFonts w:ascii="Times New Roman" w:hAnsi="Times New Roman"/>
                          <w:sz w:val="20"/>
                          <w:szCs w:val="20"/>
                        </w:rPr>
                        <w:t>Регламент (ЕС) № 601/2012 на Комисията от 21 юни 2012 г. относно мониторинга и докладването на емисиите на парникови газове съгласно Директива 2003/87/ЕО на Европейския парламент и на Съвета, ОВ L 181, 12.7.2012 г., стр. 30.</w:t>
                      </w:r>
                    </w:p>
                    <w:p w14:paraId="059A2515" w14:textId="77777777" w:rsidR="00692F99" w:rsidRDefault="00692F99">
                      <w:pPr>
                        <w:rPr>
                          <w:rFonts w:ascii="Times New Roman" w:hAnsi="Times New Roman"/>
                          <w:sz w:val="20"/>
                          <w:szCs w:val="20"/>
                        </w:rPr>
                      </w:pPr>
                      <w:r>
                        <w:rPr>
                          <w:rFonts w:ascii="Times New Roman" w:hAnsi="Times New Roman"/>
                          <w:sz w:val="20"/>
                          <w:szCs w:val="20"/>
                        </w:rPr>
                        <w:t>**</w:t>
                      </w:r>
                      <w:r>
                        <w:rPr>
                          <w:sz w:val="20"/>
                          <w:szCs w:val="20"/>
                        </w:rPr>
                        <w:t xml:space="preserve"> </w:t>
                      </w:r>
                      <w:r>
                        <w:rPr>
                          <w:rFonts w:ascii="Times New Roman" w:hAnsi="Times New Roman"/>
                          <w:sz w:val="20"/>
                          <w:szCs w:val="20"/>
                        </w:rPr>
                        <w:t>Регламент (ЕС) № 600/2012 на Комисията от 21 юни 2012 г. относно проверката на докладите за емисии на парникови газове и на докладите за тонкилометри и относно акредитацията на проверяващи органи съгласно Директива 2003/87/ЕО на Европейския парламент и на Съвета, ОВ L 181, 12.7.2012 г., стр. 1.</w:t>
                      </w:r>
                    </w:p>
                    <w:p w14:paraId="058D568C" w14:textId="77777777" w:rsidR="00692F99" w:rsidRDefault="00692F99">
                      <w:pPr>
                        <w:rPr>
                          <w:rFonts w:ascii="Times New Roman" w:hAnsi="Times New Roman"/>
                          <w:sz w:val="24"/>
                          <w:szCs w:val="24"/>
                        </w:rPr>
                      </w:pPr>
                    </w:p>
                  </w:txbxContent>
                </v:textbox>
                <w10:anchorlock/>
              </v:shape>
            </w:pict>
          </mc:Fallback>
        </mc:AlternateContent>
      </w:r>
    </w:p>
    <w:p w14:paraId="0513DEA0" w14:textId="77777777" w:rsidR="00C3264D" w:rsidRPr="008755F7" w:rsidRDefault="00235970">
      <w:pPr>
        <w:rPr>
          <w:rFonts w:ascii="Times New Roman" w:hAnsi="Times New Roman"/>
          <w:b/>
          <w:bCs/>
          <w:iCs/>
          <w:sz w:val="24"/>
          <w:szCs w:val="24"/>
        </w:rPr>
      </w:pPr>
      <w:r w:rsidRPr="008755F7">
        <w:rPr>
          <w:rFonts w:ascii="Times New Roman" w:hAnsi="Times New Roman"/>
          <w:b/>
          <w:bCs/>
          <w:iCs/>
          <w:sz w:val="24"/>
          <w:szCs w:val="24"/>
        </w:rPr>
        <w:t>6.1.  Общо развитие</w:t>
      </w:r>
    </w:p>
    <w:p w14:paraId="66504E81" w14:textId="77777777" w:rsidR="00C3264D" w:rsidRPr="008755F7" w:rsidRDefault="00123B11">
      <w:pPr>
        <w:jc w:val="both"/>
        <w:rPr>
          <w:rFonts w:ascii="Times New Roman" w:hAnsi="Times New Roman"/>
          <w:sz w:val="24"/>
          <w:szCs w:val="24"/>
        </w:rPr>
      </w:pPr>
      <w:r w:rsidRPr="008755F7">
        <w:rPr>
          <w:rFonts w:ascii="Times New Roman" w:hAnsi="Times New Roman"/>
          <w:sz w:val="24"/>
          <w:szCs w:val="24"/>
        </w:rPr>
        <w:t xml:space="preserve">Опитът с прилагането на РМД и РАП показа необходимостта от по-нататъшно подобряване, изясняване и опростяване на правилата за допълнително насърчаване на хармонизацията, намаляване на административната тежест за операторите и участващите държави, и допълнително повишаване на ефикасността на системата. </w:t>
      </w:r>
    </w:p>
    <w:p w14:paraId="31E0956A" w14:textId="77777777" w:rsidR="00C3264D" w:rsidRPr="008755F7" w:rsidRDefault="00B13763">
      <w:pPr>
        <w:jc w:val="both"/>
        <w:rPr>
          <w:rFonts w:ascii="Times New Roman" w:hAnsi="Times New Roman"/>
          <w:sz w:val="24"/>
          <w:szCs w:val="24"/>
        </w:rPr>
      </w:pPr>
      <w:r w:rsidRPr="008755F7">
        <w:rPr>
          <w:rFonts w:ascii="Times New Roman" w:hAnsi="Times New Roman"/>
          <w:sz w:val="24"/>
          <w:szCs w:val="24"/>
        </w:rPr>
        <w:t>От месец февруари 2017 г. бяха провеждани консултации с участващите държави относно актуализирането на тези два регламента с оглед на подготовката за фаза 4 на СТЕ на ЕС и за да се подобрят и опростят процедурите за МДВА. Първото такова актуализиране беше извършено през 2018 г. За да се въведат система за проверка на събирането на данни за безплатното предоставяне на квоти през 2019 г. и актуализирана система за МДВА преди началото на събирането на данни за CORSIA (вж. глава 4), на 1 януари 2019 г. започнаха да се прилагат преразгледаните версии на РМД</w:t>
      </w:r>
      <w:r w:rsidRPr="008755F7">
        <w:rPr>
          <w:rFonts w:ascii="Times New Roman" w:hAnsi="Times New Roman"/>
          <w:sz w:val="24"/>
          <w:szCs w:val="24"/>
          <w:vertAlign w:val="superscript"/>
        </w:rPr>
        <w:footnoteReference w:id="68"/>
      </w:r>
      <w:r w:rsidRPr="008755F7">
        <w:rPr>
          <w:rFonts w:ascii="Times New Roman" w:hAnsi="Times New Roman"/>
          <w:sz w:val="24"/>
          <w:szCs w:val="24"/>
        </w:rPr>
        <w:t xml:space="preserve"> и РАП</w:t>
      </w:r>
      <w:r w:rsidRPr="008755F7">
        <w:rPr>
          <w:rFonts w:ascii="Times New Roman" w:hAnsi="Times New Roman"/>
          <w:sz w:val="24"/>
          <w:szCs w:val="24"/>
          <w:vertAlign w:val="superscript"/>
        </w:rPr>
        <w:footnoteReference w:id="69"/>
      </w:r>
      <w:r w:rsidRPr="008755F7">
        <w:rPr>
          <w:rFonts w:ascii="Times New Roman" w:hAnsi="Times New Roman"/>
          <w:sz w:val="24"/>
          <w:szCs w:val="24"/>
        </w:rPr>
        <w:t>. В ход са допълнителна работа и консултации, за да може процедурата по преразглеждане на МДВА да приключи достатъчно рано преди началото на фаза 4.</w:t>
      </w:r>
    </w:p>
    <w:p w14:paraId="0FD0C23A" w14:textId="77777777" w:rsidR="00C3264D" w:rsidRPr="008755F7" w:rsidRDefault="00A97B86">
      <w:pPr>
        <w:jc w:val="both"/>
        <w:rPr>
          <w:rFonts w:ascii="Times New Roman" w:hAnsi="Times New Roman"/>
          <w:sz w:val="24"/>
          <w:szCs w:val="24"/>
        </w:rPr>
      </w:pPr>
      <w:r w:rsidRPr="008755F7">
        <w:rPr>
          <w:rFonts w:ascii="Times New Roman" w:hAnsi="Times New Roman"/>
          <w:sz w:val="24"/>
          <w:szCs w:val="24"/>
        </w:rPr>
        <w:t>Ефективността на системата за съответствие се е подобрила, след като с РМД се даде възможност на държавите да направят електронното докладване задължително. През 2019 г. 17 участващи държави са докладвали за използване на електронни образци или специфични файлови формати за планове за мониторинг, доклади за емисии, доклади за проверка и/или доклади за подобрения въз основа на минималните изисквания, определени от Комисията. Тринадесет участващи държави докладваха, че използват някаква форма на автоматизирана информационна система за докладване по СТЕ на ЕС.</w:t>
      </w:r>
    </w:p>
    <w:p w14:paraId="56B7DFD2" w14:textId="77777777" w:rsidR="00C3264D" w:rsidRPr="008755F7" w:rsidRDefault="00235970">
      <w:pPr>
        <w:jc w:val="both"/>
        <w:rPr>
          <w:rFonts w:ascii="Times New Roman" w:hAnsi="Times New Roman"/>
          <w:b/>
          <w:bCs/>
          <w:iCs/>
          <w:sz w:val="24"/>
          <w:szCs w:val="24"/>
        </w:rPr>
      </w:pPr>
      <w:r w:rsidRPr="008755F7">
        <w:rPr>
          <w:rFonts w:ascii="Times New Roman" w:hAnsi="Times New Roman"/>
          <w:b/>
          <w:bCs/>
          <w:iCs/>
          <w:sz w:val="24"/>
          <w:szCs w:val="24"/>
        </w:rPr>
        <w:t>6.2. Прилаган мониторинг</w:t>
      </w:r>
    </w:p>
    <w:p w14:paraId="67125055" w14:textId="77777777" w:rsidR="00C3264D" w:rsidRPr="008755F7" w:rsidRDefault="00123B11">
      <w:pPr>
        <w:jc w:val="both"/>
        <w:rPr>
          <w:rFonts w:ascii="Times New Roman" w:hAnsi="Times New Roman"/>
          <w:sz w:val="24"/>
          <w:szCs w:val="24"/>
        </w:rPr>
      </w:pPr>
      <w:r w:rsidRPr="008755F7">
        <w:rPr>
          <w:rFonts w:ascii="Times New Roman" w:hAnsi="Times New Roman"/>
          <w:sz w:val="24"/>
          <w:szCs w:val="24"/>
        </w:rPr>
        <w:t>Съгласно докладите по член 21, представени през 2019 г., повечето инсталации използват изчислителната методика</w:t>
      </w:r>
      <w:r w:rsidRPr="008755F7">
        <w:rPr>
          <w:rFonts w:ascii="Times New Roman" w:hAnsi="Times New Roman"/>
          <w:sz w:val="24"/>
          <w:szCs w:val="24"/>
          <w:vertAlign w:val="superscript"/>
        </w:rPr>
        <w:footnoteReference w:id="70"/>
      </w:r>
      <w:r w:rsidRPr="008755F7">
        <w:rPr>
          <w:rFonts w:ascii="Times New Roman" w:hAnsi="Times New Roman"/>
          <w:sz w:val="24"/>
          <w:szCs w:val="24"/>
        </w:rPr>
        <w:t>. Само за 182 инсталации (1,7 %) в 23 държави се съобщава, че използват системи за непрекъснато измерване на емисиите, най-често в Германия, Франция и Чешката република. Въпреки че броят на държавите е същият като предходната година, общият брой инсталации, които използват този подход, е нараснал с три.</w:t>
      </w:r>
    </w:p>
    <w:p w14:paraId="44A0ACF0" w14:textId="77777777" w:rsidR="00C3264D" w:rsidRPr="008755F7" w:rsidRDefault="00123B11">
      <w:pPr>
        <w:jc w:val="both"/>
        <w:rPr>
          <w:rFonts w:ascii="Times New Roman" w:hAnsi="Times New Roman"/>
          <w:sz w:val="24"/>
          <w:szCs w:val="24"/>
        </w:rPr>
      </w:pPr>
      <w:r w:rsidRPr="008755F7">
        <w:rPr>
          <w:rFonts w:ascii="Times New Roman" w:hAnsi="Times New Roman"/>
          <w:sz w:val="24"/>
          <w:szCs w:val="24"/>
        </w:rPr>
        <w:t>Само 11 държави са докладвали за използване на непряк подход за 38 инсталации, покриващи около 2,6 милиона тона еквивалент на CO</w:t>
      </w:r>
      <w:r w:rsidRPr="008755F7">
        <w:rPr>
          <w:rFonts w:ascii="Times New Roman" w:hAnsi="Times New Roman"/>
          <w:sz w:val="24"/>
          <w:szCs w:val="24"/>
          <w:vertAlign w:val="subscript"/>
        </w:rPr>
        <w:t>2</w:t>
      </w:r>
      <w:r w:rsidRPr="008755F7">
        <w:rPr>
          <w:rFonts w:ascii="Times New Roman" w:hAnsi="Times New Roman"/>
          <w:sz w:val="24"/>
          <w:szCs w:val="24"/>
        </w:rPr>
        <w:t xml:space="preserve"> (в сравнение с 3,4 милиона тона еквивалент на CO</w:t>
      </w:r>
      <w:r w:rsidRPr="008755F7">
        <w:rPr>
          <w:rFonts w:ascii="Times New Roman" w:hAnsi="Times New Roman"/>
          <w:sz w:val="24"/>
          <w:szCs w:val="24"/>
          <w:vertAlign w:val="subscript"/>
        </w:rPr>
        <w:t>2</w:t>
      </w:r>
      <w:r w:rsidRPr="008755F7">
        <w:rPr>
          <w:rFonts w:ascii="Times New Roman" w:hAnsi="Times New Roman"/>
          <w:sz w:val="24"/>
          <w:szCs w:val="24"/>
        </w:rPr>
        <w:t xml:space="preserve"> през предходната година). На една инсталация в Нидерландия се падат 31 % от общото количество емисии, докладвани във връзка с непряката методология.</w:t>
      </w:r>
    </w:p>
    <w:p w14:paraId="631747C8" w14:textId="77777777" w:rsidR="00C3264D" w:rsidRPr="008755F7" w:rsidRDefault="00123B11">
      <w:pPr>
        <w:jc w:val="both"/>
        <w:rPr>
          <w:rFonts w:ascii="Times New Roman" w:hAnsi="Times New Roman"/>
          <w:sz w:val="24"/>
          <w:szCs w:val="24"/>
        </w:rPr>
      </w:pPr>
      <w:r w:rsidRPr="008755F7">
        <w:rPr>
          <w:rFonts w:ascii="Times New Roman" w:hAnsi="Times New Roman"/>
          <w:sz w:val="24"/>
          <w:szCs w:val="24"/>
        </w:rPr>
        <w:t>Огромното мнозинство от инсталациите изпълняват приетите по подразбиране минимални основни изисквания</w:t>
      </w:r>
      <w:r w:rsidRPr="008755F7">
        <w:rPr>
          <w:rFonts w:ascii="Times New Roman" w:hAnsi="Times New Roman"/>
          <w:sz w:val="24"/>
          <w:szCs w:val="24"/>
          <w:vertAlign w:val="superscript"/>
        </w:rPr>
        <w:footnoteReference w:id="71"/>
      </w:r>
      <w:r w:rsidRPr="008755F7">
        <w:rPr>
          <w:rFonts w:ascii="Times New Roman" w:hAnsi="Times New Roman"/>
          <w:sz w:val="24"/>
          <w:szCs w:val="24"/>
        </w:rPr>
        <w:t xml:space="preserve"> съгласно РМД. Само за 97 инсталации от категория В (спрямо 106 миналата година), т.е. 13,4 %, се съобщава, че се отклоняват поне по един параметър от задължението за прилагане на най-високото ниво на изисквания за основните потоци, пораждащи емисии. Такива отклонения са допустими, само когато операторът докаже, че най-високото ниво на изисквания е технически неосъществимо или води до неразумно големи разходи. При отпадане на тези условия операторът трябва да направи съответните подобрения в своята система за мониторинг. През 2013 г. за 16 % от инсталациите от категория В се съобщава, че не отговарят по един или друг начин на най-високото ниво на изисквания. Поради това от началото на фаза 3 се наблюдава подобрение при спазването на най-високото ниво на изисквания от инсталациите от категория В.</w:t>
      </w:r>
    </w:p>
    <w:p w14:paraId="0F29A045" w14:textId="77777777" w:rsidR="00C3264D" w:rsidRPr="008755F7" w:rsidRDefault="00123B11">
      <w:pPr>
        <w:jc w:val="both"/>
        <w:rPr>
          <w:rFonts w:ascii="Times New Roman" w:hAnsi="Times New Roman"/>
          <w:sz w:val="24"/>
          <w:szCs w:val="24"/>
        </w:rPr>
      </w:pPr>
      <w:r w:rsidRPr="008755F7">
        <w:rPr>
          <w:rFonts w:ascii="Times New Roman" w:hAnsi="Times New Roman"/>
          <w:sz w:val="24"/>
          <w:szCs w:val="24"/>
        </w:rPr>
        <w:t>По подобен начин в докладите на 22 участващи държави се посочва, че общо 19 % от инсталациите в категория Б имат разрешение за някаква форма на отклонение от приетите по подразбиране изисквания, установени в РМД, в сравнение с 21 % през предходната година и 22 % една година по-рано, което потвърждава устойчивото подобрение в спазването на най-високото ниво на изисквания.</w:t>
      </w:r>
    </w:p>
    <w:p w14:paraId="4AF63E06" w14:textId="77777777" w:rsidR="00C3264D" w:rsidRPr="008755F7" w:rsidRDefault="00235970">
      <w:pPr>
        <w:jc w:val="both"/>
        <w:rPr>
          <w:rFonts w:ascii="Times New Roman" w:hAnsi="Times New Roman"/>
          <w:b/>
          <w:bCs/>
          <w:iCs/>
          <w:sz w:val="24"/>
          <w:szCs w:val="24"/>
        </w:rPr>
      </w:pPr>
      <w:r w:rsidRPr="008755F7">
        <w:rPr>
          <w:rFonts w:ascii="Times New Roman" w:hAnsi="Times New Roman"/>
          <w:b/>
          <w:bCs/>
          <w:iCs/>
          <w:sz w:val="24"/>
          <w:szCs w:val="24"/>
        </w:rPr>
        <w:t xml:space="preserve">6.3. Акредитирана проверка </w:t>
      </w:r>
    </w:p>
    <w:p w14:paraId="63B6468B" w14:textId="77777777" w:rsidR="00C3264D" w:rsidRPr="008755F7" w:rsidRDefault="00123B11">
      <w:pPr>
        <w:jc w:val="both"/>
        <w:rPr>
          <w:rFonts w:ascii="Times New Roman" w:hAnsi="Times New Roman"/>
          <w:sz w:val="24"/>
          <w:szCs w:val="24"/>
        </w:rPr>
      </w:pPr>
      <w:r w:rsidRPr="008755F7">
        <w:rPr>
          <w:rFonts w:ascii="Times New Roman" w:hAnsi="Times New Roman"/>
          <w:sz w:val="24"/>
          <w:szCs w:val="24"/>
        </w:rPr>
        <w:t>В докладите по член 21 общият брой на проверяващите органи не се съобщава. Европейската организация за акредитация (ЕА) обаче предоставя централна връзка към съответните национални органи по акредитация (НОА) и техните списъци с акредитирани проверяващи органи по СТЕ на ЕС</w:t>
      </w:r>
      <w:r w:rsidRPr="008755F7">
        <w:rPr>
          <w:rFonts w:ascii="Times New Roman" w:hAnsi="Times New Roman"/>
          <w:sz w:val="24"/>
          <w:szCs w:val="24"/>
          <w:vertAlign w:val="superscript"/>
        </w:rPr>
        <w:footnoteReference w:id="72"/>
      </w:r>
      <w:r w:rsidRPr="008755F7">
        <w:rPr>
          <w:rFonts w:ascii="Times New Roman" w:hAnsi="Times New Roman"/>
          <w:sz w:val="24"/>
          <w:szCs w:val="24"/>
        </w:rPr>
        <w:t xml:space="preserve">.       </w:t>
      </w:r>
    </w:p>
    <w:p w14:paraId="62BD1E95" w14:textId="77777777" w:rsidR="00C3264D" w:rsidRPr="008755F7" w:rsidRDefault="00123B11">
      <w:pPr>
        <w:jc w:val="both"/>
        <w:rPr>
          <w:rFonts w:ascii="Times New Roman" w:hAnsi="Times New Roman"/>
          <w:sz w:val="24"/>
          <w:szCs w:val="24"/>
        </w:rPr>
      </w:pPr>
      <w:r w:rsidRPr="008755F7">
        <w:rPr>
          <w:rFonts w:ascii="Times New Roman" w:hAnsi="Times New Roman"/>
          <w:sz w:val="24"/>
          <w:szCs w:val="24"/>
        </w:rPr>
        <w:t>Взаимното признаване на проверяващите органи в участващите държави действа успешно: двадесет и четири държави са докладвали, че на територията им действа поне един чуждестранен проверяващ орган.</w:t>
      </w:r>
    </w:p>
    <w:p w14:paraId="0C4B1D0A" w14:textId="77777777" w:rsidR="00C3264D" w:rsidRPr="008755F7" w:rsidRDefault="00123B11">
      <w:pPr>
        <w:jc w:val="both"/>
        <w:rPr>
          <w:rFonts w:ascii="Times New Roman" w:hAnsi="Times New Roman"/>
          <w:sz w:val="24"/>
          <w:szCs w:val="24"/>
        </w:rPr>
      </w:pPr>
      <w:r w:rsidRPr="008755F7">
        <w:rPr>
          <w:rFonts w:ascii="Times New Roman" w:hAnsi="Times New Roman"/>
          <w:sz w:val="24"/>
          <w:szCs w:val="24"/>
        </w:rPr>
        <w:t xml:space="preserve">Степента на спазване на изискванията на РАП от страна на проверяващите органи е определена като висока. Полша е съобщила за временно прекратяване на дейността на един проверяващ орган, а нито една държава не докладва за оттегляне на акредитация през 2018 г. За сравнение, през 2017 г. е имало едно временно прекратяване на дейността и три оттегляния. Германия, Полша и Франция са съобщили за намаляване на обхвата на акредитацията на съответно два, един и три проверяващи органа през 2018 г., в сравнение с такива случаи за два проверяващи органа от Полша през 2017 г. </w:t>
      </w:r>
    </w:p>
    <w:p w14:paraId="38A5B31E" w14:textId="77777777" w:rsidR="00C3264D" w:rsidRPr="008755F7" w:rsidRDefault="00123B11">
      <w:pPr>
        <w:jc w:val="both"/>
        <w:rPr>
          <w:rFonts w:ascii="Times New Roman" w:hAnsi="Times New Roman"/>
          <w:sz w:val="24"/>
          <w:szCs w:val="24"/>
        </w:rPr>
      </w:pPr>
      <w:r w:rsidRPr="008755F7">
        <w:rPr>
          <w:rFonts w:ascii="Times New Roman" w:hAnsi="Times New Roman"/>
          <w:sz w:val="24"/>
          <w:szCs w:val="24"/>
        </w:rPr>
        <w:t>През тази година десет държави са съобщили за получени жалби относно проверяващи органи (с една повече в сравнение с миналата година). Въпреки това, общият брой на жалбите (71) е с 14 % по-малко. Съобщава се, че 93 % от получените жалби са били разрешени (миналата година този процент е бил 95 %). Десет държави са докладвали за констатирано несъответствие на проверяващ орган като част от процеса за обмен на информация между националните органи по акредитация и компетентните органи (в сравнение с дванадесет държави през миналата година).</w:t>
      </w:r>
    </w:p>
    <w:p w14:paraId="47D55F5D" w14:textId="77777777" w:rsidR="00C3264D" w:rsidRPr="008755F7" w:rsidRDefault="00235970">
      <w:pPr>
        <w:pStyle w:val="Heading1"/>
        <w:spacing w:before="0" w:after="200"/>
        <w:rPr>
          <w:szCs w:val="24"/>
        </w:rPr>
      </w:pPr>
      <w:bookmarkStart w:id="23" w:name="_Toc28015594"/>
      <w:r w:rsidRPr="008755F7">
        <w:rPr>
          <w:szCs w:val="24"/>
        </w:rPr>
        <w:t>7. ПРЕГЛЕД НА АДМИНИСТРАТИВНИТЕ МЕРКИ</w:t>
      </w:r>
      <w:bookmarkEnd w:id="23"/>
      <w:r w:rsidRPr="008755F7">
        <w:rPr>
          <w:szCs w:val="24"/>
        </w:rPr>
        <w:t xml:space="preserve"> </w:t>
      </w:r>
    </w:p>
    <w:p w14:paraId="5FB847FA" w14:textId="77777777" w:rsidR="00C3264D" w:rsidRPr="008755F7" w:rsidRDefault="00310AEE">
      <w:pPr>
        <w:rPr>
          <w:sz w:val="24"/>
          <w:szCs w:val="24"/>
        </w:rPr>
      </w:pPr>
      <w:r w:rsidRPr="008755F7">
        <w:rPr>
          <w:noProof/>
          <w:sz w:val="24"/>
          <w:szCs w:val="24"/>
          <w:lang w:val="en-GB" w:eastAsia="en-GB"/>
        </w:rPr>
        <mc:AlternateContent>
          <mc:Choice Requires="wps">
            <w:drawing>
              <wp:inline distT="0" distB="0" distL="0" distR="0" wp14:anchorId="2F473801" wp14:editId="015DF932">
                <wp:extent cx="5731510" cy="1143000"/>
                <wp:effectExtent l="0" t="0" r="21590" b="19050"/>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1143000"/>
                        </a:xfrm>
                        <a:prstGeom prst="rect">
                          <a:avLst/>
                        </a:prstGeom>
                        <a:solidFill>
                          <a:sysClr val="window" lastClr="FFFFFF">
                            <a:lumMod val="85000"/>
                          </a:sysClr>
                        </a:solidFill>
                        <a:ln w="12700">
                          <a:solidFill>
                            <a:srgbClr val="000000"/>
                          </a:solidFill>
                          <a:miter lim="800000"/>
                          <a:headEnd/>
                          <a:tailEnd/>
                        </a:ln>
                      </wps:spPr>
                      <wps:txbx>
                        <w:txbxContent>
                          <w:p w14:paraId="544754EC" w14:textId="77777777" w:rsidR="00692F99" w:rsidRPr="004F62FA" w:rsidRDefault="00692F99">
                            <w:pPr>
                              <w:jc w:val="both"/>
                              <w:rPr>
                                <w:rFonts w:ascii="Times New Roman" w:hAnsi="Times New Roman"/>
                                <w:sz w:val="24"/>
                                <w:szCs w:val="24"/>
                              </w:rPr>
                            </w:pPr>
                            <w:r w:rsidRPr="004F62FA">
                              <w:rPr>
                                <w:rFonts w:ascii="Times New Roman" w:hAnsi="Times New Roman"/>
                                <w:sz w:val="24"/>
                                <w:szCs w:val="24"/>
                              </w:rPr>
                              <w:t xml:space="preserve">Държавите, участващи в СТЕ на ЕС, използват различни подходи по отношение на компетентните органи, отговарящи за прилагането на системата. В някои държави са ангажирани няколко местни органа, докато в други се използва много по-централизиран подход. </w:t>
                            </w:r>
                          </w:p>
                          <w:p w14:paraId="4F91C7C9" w14:textId="77777777" w:rsidR="00692F99" w:rsidRDefault="00692F99">
                            <w:pPr>
                              <w:jc w:val="both"/>
                              <w:rPr>
                                <w:rFonts w:ascii="Times New Roman" w:hAnsi="Times New Roman"/>
                                <w:sz w:val="24"/>
                                <w:szCs w:val="24"/>
                              </w:rPr>
                            </w:pPr>
                          </w:p>
                        </w:txbxContent>
                      </wps:txbx>
                      <wps:bodyPr rot="0" vert="horz" wrap="square" lIns="91440" tIns="45720" rIns="91440" bIns="45720" anchor="t" anchorCtr="0">
                        <a:noAutofit/>
                      </wps:bodyPr>
                    </wps:wsp>
                  </a:graphicData>
                </a:graphic>
              </wp:inline>
            </w:drawing>
          </mc:Choice>
          <mc:Fallback>
            <w:pict>
              <v:shape w14:anchorId="2F473801" id="_x0000_s1041" type="#_x0000_t202" style="width:451.3pt;height:9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" fillcolor="#d9d9d9" strokeweight="1pt">
                <v:textbox>
                  <w:txbxContent>
                    <w:p w14:paraId="544754EC" w14:textId="77777777" w:rsidR="00692F99" w:rsidRPr="004F62FA" w:rsidRDefault="00692F99">
                      <w:pPr>
                        <w:jc w:val="both"/>
                        <w:rPr>
                          <w:rFonts w:ascii="Times New Roman" w:hAnsi="Times New Roman"/>
                          <w:sz w:val="24"/>
                          <w:szCs w:val="24"/>
                        </w:rPr>
                      </w:pPr>
                      <w:r w:rsidRPr="004F62FA">
                        <w:rPr>
                          <w:rFonts w:ascii="Times New Roman" w:hAnsi="Times New Roman"/>
                          <w:sz w:val="24"/>
                          <w:szCs w:val="24"/>
                        </w:rPr>
                        <w:t xml:space="preserve">Държавите, участващи в СТЕ на ЕС, използват различни подходи по отношение на компетентните органи, отговарящи за прилагането на системата. В някои държави са ангажирани няколко местни органа, докато в други се използва много по-централизиран подход. </w:t>
                      </w:r>
                    </w:p>
                    <w:p w14:paraId="4F91C7C9" w14:textId="77777777" w:rsidR="00692F99" w:rsidRDefault="00692F99">
                      <w:pPr>
                        <w:jc w:val="both"/>
                        <w:rPr>
                          <w:rFonts w:ascii="Times New Roman" w:hAnsi="Times New Roman"/>
                          <w:sz w:val="24"/>
                          <w:szCs w:val="24"/>
                        </w:rPr>
                      </w:pPr>
                    </w:p>
                  </w:txbxContent>
                </v:textbox>
                <w10:anchorlock/>
              </v:shape>
            </w:pict>
          </mc:Fallback>
        </mc:AlternateContent>
      </w:r>
    </w:p>
    <w:p w14:paraId="3BAE2FD1" w14:textId="77777777" w:rsidR="00C3264D" w:rsidRPr="008755F7" w:rsidRDefault="00310AEE">
      <w:pPr>
        <w:jc w:val="both"/>
        <w:rPr>
          <w:rFonts w:ascii="Times New Roman" w:hAnsi="Times New Roman"/>
          <w:sz w:val="24"/>
          <w:szCs w:val="24"/>
        </w:rPr>
      </w:pPr>
      <w:r w:rsidRPr="008755F7">
        <w:rPr>
          <w:rFonts w:ascii="Times New Roman" w:hAnsi="Times New Roman"/>
          <w:sz w:val="24"/>
          <w:szCs w:val="24"/>
        </w:rPr>
        <w:t>Съгласно докладите по член 21, подадени през 2019 г., средно по 5 компетентни органа за една държава са участвали в прилагането на СТЕ на ЕС</w:t>
      </w:r>
      <w:r w:rsidRPr="008755F7">
        <w:rPr>
          <w:rFonts w:ascii="Times New Roman" w:hAnsi="Times New Roman"/>
          <w:sz w:val="24"/>
          <w:szCs w:val="24"/>
          <w:vertAlign w:val="superscript"/>
        </w:rPr>
        <w:footnoteReference w:id="73"/>
      </w:r>
      <w:r w:rsidRPr="008755F7">
        <w:rPr>
          <w:rFonts w:ascii="Times New Roman" w:hAnsi="Times New Roman"/>
          <w:sz w:val="24"/>
          <w:szCs w:val="24"/>
        </w:rPr>
        <w:t xml:space="preserve">. Що се отнася до координацията между органите, бе съобщено, наред с другото, за различни инструменти, като законодателни инструменти за централно управление на плановете за мониторинг (в 14 държави), задължителни инструкции и насоки от централен компетентен орган на местни органи (в 10 държави) и редовни работни групи или срещи между органи (в 15 държави). Седем държави са посочили, че не използват такива инструменти. </w:t>
      </w:r>
    </w:p>
    <w:p w14:paraId="246D3148" w14:textId="77777777" w:rsidR="00C3264D" w:rsidRPr="008755F7" w:rsidRDefault="00310AEE">
      <w:pPr>
        <w:jc w:val="both"/>
        <w:rPr>
          <w:rFonts w:ascii="Times New Roman" w:hAnsi="Times New Roman"/>
          <w:sz w:val="24"/>
          <w:szCs w:val="24"/>
        </w:rPr>
      </w:pPr>
      <w:r w:rsidRPr="008755F7">
        <w:rPr>
          <w:rFonts w:ascii="Times New Roman" w:hAnsi="Times New Roman"/>
          <w:sz w:val="24"/>
          <w:szCs w:val="24"/>
        </w:rPr>
        <w:t>Относно административните такси, събирани във връзка с издаването на разрешителни и одобрението на плановете за мониторинг, 13 държави са докладвали през 2019 г., че не начисляват такси на операторите на инсталации (Германия, Гърция, Естония, Ирландия, Кипър, Латвия, Литва, Лихтенщайн, Люксембург, Малта, Нидерландия, Словакия и Швеция), с една държава по-малко от миналата година. Без разлика спрямо миналата година, операторите на въздухоплавателни средства не плащат такси в 15 държави (Белгия, Германия, Гърция, Естония, Испания, Кипър, Латвия, Литва, Лихтенщайн, Люксембург, Малта, Нидерландия, Словакия, Чешката република и Швеция). Таксите в отделните държави и за различните видове услуги се различават значително, като варират от 5 евро до 6 913,31 евро за разрешително и одобрение на план за мониторинг за инсталации и от 5 евро до 2 400 евро за същите услуги за операторите на въздухоплавателни средства.</w:t>
      </w:r>
    </w:p>
    <w:p w14:paraId="0C084E28" w14:textId="49182CD6" w:rsidR="00C3264D" w:rsidRPr="008755F7" w:rsidRDefault="00310AEE">
      <w:pPr>
        <w:jc w:val="both"/>
        <w:rPr>
          <w:rFonts w:ascii="Times New Roman" w:hAnsi="Times New Roman"/>
          <w:sz w:val="24"/>
          <w:szCs w:val="24"/>
        </w:rPr>
      </w:pPr>
      <w:r w:rsidRPr="008755F7">
        <w:rPr>
          <w:rFonts w:ascii="Times New Roman" w:hAnsi="Times New Roman"/>
          <w:sz w:val="24"/>
          <w:szCs w:val="24"/>
        </w:rPr>
        <w:t xml:space="preserve">Като цяло, административната организация на СТЕ на участващите държави е до голяма степен ефективна. Комуникацията и обменът на най-добри практики чрез дейността на Форума по въпросите на спазването на изискванията по СТЕ на ЕС и годишната конференция по въпросите на спазването на изискванията на СТЕ на ЕС следва да продължат да се укрепват и насърчават. </w:t>
      </w:r>
    </w:p>
    <w:p w14:paraId="35AB1472" w14:textId="77777777" w:rsidR="00C3264D" w:rsidRPr="008755F7" w:rsidRDefault="00235970">
      <w:pPr>
        <w:pStyle w:val="Heading1"/>
        <w:spacing w:before="0" w:after="200"/>
        <w:rPr>
          <w:szCs w:val="24"/>
        </w:rPr>
      </w:pPr>
      <w:bookmarkStart w:id="24" w:name="_Toc28015595"/>
      <w:r w:rsidRPr="008755F7">
        <w:rPr>
          <w:szCs w:val="24"/>
        </w:rPr>
        <w:t>8. СЪОТВЕТСТВИЕ И ПРИЛАГАНЕ</w:t>
      </w:r>
      <w:bookmarkEnd w:id="24"/>
      <w:r w:rsidRPr="008755F7">
        <w:rPr>
          <w:szCs w:val="24"/>
        </w:rPr>
        <w:t xml:space="preserve"> </w:t>
      </w:r>
    </w:p>
    <w:p w14:paraId="7F3C30ED" w14:textId="77777777" w:rsidR="00C3264D" w:rsidRPr="008755F7" w:rsidRDefault="00310AEE">
      <w:pPr>
        <w:rPr>
          <w:sz w:val="24"/>
          <w:szCs w:val="24"/>
        </w:rPr>
      </w:pPr>
      <w:r w:rsidRPr="008755F7">
        <w:rPr>
          <w:noProof/>
          <w:sz w:val="24"/>
          <w:szCs w:val="24"/>
          <w:lang w:val="en-GB" w:eastAsia="en-GB"/>
        </w:rPr>
        <mc:AlternateContent>
          <mc:Choice Requires="wps">
            <w:drawing>
              <wp:inline distT="0" distB="0" distL="0" distR="0" wp14:anchorId="5891EEBE" wp14:editId="274441B4">
                <wp:extent cx="5731510" cy="1104900"/>
                <wp:effectExtent l="0" t="0" r="21590" b="19050"/>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1104900"/>
                        </a:xfrm>
                        <a:prstGeom prst="rect">
                          <a:avLst/>
                        </a:prstGeom>
                        <a:solidFill>
                          <a:sysClr val="window" lastClr="FFFFFF">
                            <a:lumMod val="85000"/>
                          </a:sysClr>
                        </a:solidFill>
                        <a:ln w="12700">
                          <a:solidFill>
                            <a:srgbClr val="000000"/>
                          </a:solidFill>
                          <a:miter lim="800000"/>
                          <a:headEnd/>
                          <a:tailEnd/>
                        </a:ln>
                      </wps:spPr>
                      <wps:txbx>
                        <w:txbxContent>
                          <w:p w14:paraId="6F3EC678" w14:textId="77777777" w:rsidR="00692F99" w:rsidRPr="004F62FA" w:rsidRDefault="00692F99">
                            <w:pPr>
                              <w:jc w:val="both"/>
                              <w:rPr>
                                <w:rFonts w:ascii="Times New Roman" w:hAnsi="Times New Roman"/>
                                <w:sz w:val="24"/>
                                <w:szCs w:val="24"/>
                              </w:rPr>
                            </w:pPr>
                            <w:r w:rsidRPr="004F62FA">
                              <w:rPr>
                                <w:rFonts w:ascii="Times New Roman" w:hAnsi="Times New Roman"/>
                                <w:sz w:val="24"/>
                                <w:szCs w:val="24"/>
                              </w:rPr>
                              <w:t>В Директивата за СТЕ на ЕС е предвидена санкция за извънредно количество емисии в размер на 100 евро (индексирани) за всеки тон емисии на CO</w:t>
                            </w:r>
                            <w:r w:rsidRPr="004F62FA">
                              <w:rPr>
                                <w:rFonts w:ascii="Times New Roman" w:hAnsi="Times New Roman"/>
                                <w:sz w:val="24"/>
                                <w:szCs w:val="24"/>
                                <w:vertAlign w:val="subscript"/>
                              </w:rPr>
                              <w:t>2</w:t>
                            </w:r>
                            <w:r w:rsidRPr="004F62FA">
                              <w:rPr>
                                <w:rFonts w:ascii="Times New Roman" w:hAnsi="Times New Roman"/>
                                <w:sz w:val="24"/>
                                <w:szCs w:val="24"/>
                              </w:rPr>
                              <w:t>, за който не е върната квота своевременно. Други санкции за нарушения, свързани с прилагането на СТЕ на ЕС, се налагат в съответствие с националните разпоредби, определени от съответната държава</w:t>
                            </w:r>
                          </w:p>
                          <w:p w14:paraId="5650CE85" w14:textId="77777777" w:rsidR="00692F99" w:rsidRDefault="00692F99">
                            <w:pPr>
                              <w:jc w:val="both"/>
                              <w:rPr>
                                <w:rFonts w:ascii="Times New Roman" w:hAnsi="Times New Roman"/>
                                <w:sz w:val="24"/>
                                <w:szCs w:val="24"/>
                              </w:rPr>
                            </w:pPr>
                          </w:p>
                        </w:txbxContent>
                      </wps:txbx>
                      <wps:bodyPr rot="0" vert="horz" wrap="square" lIns="91440" tIns="45720" rIns="91440" bIns="45720" anchor="t" anchorCtr="0">
                        <a:noAutofit/>
                      </wps:bodyPr>
                    </wps:wsp>
                  </a:graphicData>
                </a:graphic>
              </wp:inline>
            </w:drawing>
          </mc:Choice>
          <mc:Fallback>
            <w:pict>
              <v:shape w14:anchorId="5891EEBE" id="_x0000_s1042" type="#_x0000_t202" style="width:451.3pt;height: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" fillcolor="#d9d9d9" strokeweight="1pt">
                <v:textbox>
                  <w:txbxContent>
                    <w:p w14:paraId="6F3EC678" w14:textId="77777777" w:rsidR="00692F99" w:rsidRPr="004F62FA" w:rsidRDefault="00692F99">
                      <w:pPr>
                        <w:jc w:val="both"/>
                        <w:rPr>
                          <w:rFonts w:ascii="Times New Roman" w:hAnsi="Times New Roman"/>
                          <w:sz w:val="24"/>
                          <w:szCs w:val="24"/>
                        </w:rPr>
                      </w:pPr>
                      <w:r w:rsidRPr="004F62FA">
                        <w:rPr>
                          <w:rFonts w:ascii="Times New Roman" w:hAnsi="Times New Roman"/>
                          <w:sz w:val="24"/>
                          <w:szCs w:val="24"/>
                        </w:rPr>
                        <w:t>В Директивата за СТЕ на ЕС е предвидена санкция за извънредно количество емисии в размер на 100 евро (индексирани) за всеки тон емисии на CO</w:t>
                      </w:r>
                      <w:r w:rsidRPr="004F62FA">
                        <w:rPr>
                          <w:rFonts w:ascii="Times New Roman" w:hAnsi="Times New Roman"/>
                          <w:sz w:val="24"/>
                          <w:szCs w:val="24"/>
                          <w:vertAlign w:val="subscript"/>
                        </w:rPr>
                        <w:t>2</w:t>
                      </w:r>
                      <w:r w:rsidRPr="004F62FA">
                        <w:rPr>
                          <w:rFonts w:ascii="Times New Roman" w:hAnsi="Times New Roman"/>
                          <w:sz w:val="24"/>
                          <w:szCs w:val="24"/>
                        </w:rPr>
                        <w:t>, за който не е върната квота своевременно. Други санкции за нарушения, свързани с прилагането на СТЕ на ЕС, се налагат в съответствие с националните разпоредби, определени от съответната държава</w:t>
                      </w:r>
                    </w:p>
                    <w:p w14:paraId="5650CE85" w14:textId="77777777" w:rsidR="00692F99" w:rsidRDefault="00692F99">
                      <w:pPr>
                        <w:jc w:val="both"/>
                        <w:rPr>
                          <w:rFonts w:ascii="Times New Roman" w:hAnsi="Times New Roman"/>
                          <w:sz w:val="24"/>
                          <w:szCs w:val="24"/>
                        </w:rPr>
                      </w:pPr>
                    </w:p>
                  </w:txbxContent>
                </v:textbox>
                <w10:anchorlock/>
              </v:shape>
            </w:pict>
          </mc:Fallback>
        </mc:AlternateContent>
      </w:r>
    </w:p>
    <w:p w14:paraId="432DFA4B" w14:textId="77777777" w:rsidR="00C3264D" w:rsidRPr="008755F7" w:rsidRDefault="00310AEE">
      <w:pPr>
        <w:spacing w:after="120"/>
        <w:jc w:val="both"/>
        <w:rPr>
          <w:rFonts w:ascii="Times New Roman" w:eastAsia="Times New Roman" w:hAnsi="Times New Roman"/>
          <w:sz w:val="24"/>
          <w:szCs w:val="24"/>
        </w:rPr>
      </w:pPr>
      <w:r w:rsidRPr="008755F7">
        <w:rPr>
          <w:rFonts w:ascii="Times New Roman" w:hAnsi="Times New Roman"/>
          <w:sz w:val="24"/>
          <w:szCs w:val="24"/>
        </w:rPr>
        <w:t>В СТЕ на ЕС е постигната много висока степен на съответствие с изискванията: всяка година около 99 % от емисиите се покриват своевременно от изисквания брой квоти. През 2018 г. по-малко от 0,5 % от инсталациите, докладващи емисии, не са върнали преди срока 30 април 2019 г. квотите, покриващи всичките им емисии. В сектора на въздухоплаването операторите на въздухоплавателни средства, отговорни за 99,1 % от авиационните емисии в рамките на СТЕ на ЕС, са доказали съответствие. Операторите, които не са доказали съответствие, обикновено са били малки или са прекратили дейност през 2018 г.</w:t>
      </w:r>
    </w:p>
    <w:p w14:paraId="55E7F55F" w14:textId="77777777" w:rsidR="00C3264D" w:rsidRPr="008755F7" w:rsidRDefault="00310AEE">
      <w:pPr>
        <w:jc w:val="both"/>
        <w:rPr>
          <w:rFonts w:ascii="Times New Roman" w:eastAsia="Times New Roman" w:hAnsi="Times New Roman"/>
          <w:sz w:val="24"/>
          <w:szCs w:val="24"/>
        </w:rPr>
      </w:pPr>
      <w:r w:rsidRPr="008755F7">
        <w:rPr>
          <w:rFonts w:ascii="Times New Roman" w:hAnsi="Times New Roman"/>
          <w:sz w:val="24"/>
          <w:szCs w:val="24"/>
        </w:rPr>
        <w:t xml:space="preserve">Компетентните органи продължават да извършват различни проверки за съответствие на годишните доклади за емисиите. Според докладите по член 21, подадени през 2019 г., всички участващи държави проверяват за пълнота годишните доклади за емисиите (100 % от докладите, с изключение на Белгия (31 %), Испания (95 %), Франция (99 %), и Швеция (1 %). От докладите става ясно и че държавите проверяват средно близо 80 % от докладите за съгласуваност с плановете за мониторинг (всички, с изключение на Хърватия) и около 75 % за съгласуваност с данните за разпределение на квотите (всички държави, с изключение на Малта, Норвегия, Финландия, Хърватия и Швеция). Двадесет и четири държави са докладвали, че осъществяват също така кръстосани проверки с други данни. </w:t>
      </w:r>
    </w:p>
    <w:p w14:paraId="3EBD2D74" w14:textId="77777777" w:rsidR="00C3264D" w:rsidRPr="008755F7" w:rsidRDefault="00310AEE">
      <w:pPr>
        <w:jc w:val="both"/>
        <w:rPr>
          <w:rFonts w:ascii="Times New Roman" w:eastAsia="Times New Roman" w:hAnsi="Times New Roman"/>
          <w:sz w:val="24"/>
          <w:szCs w:val="24"/>
        </w:rPr>
      </w:pPr>
      <w:r w:rsidRPr="008755F7">
        <w:rPr>
          <w:rFonts w:ascii="Times New Roman" w:hAnsi="Times New Roman"/>
          <w:sz w:val="24"/>
          <w:szCs w:val="24"/>
        </w:rPr>
        <w:t>Компетентните органи в дванадесет държави са извършили консервативни оценки за липсващи данни при 57 инсталации (около 0,5 % от общия брой инсталации), в сравнение с 52 инсталации (0,5 %) за 2017 г. и 57 (0,5 %) за 2016 г. Съобщеното количество на засегнатите емисии за 2018 г. е 11,2 милиона тона CO</w:t>
      </w:r>
      <w:r w:rsidRPr="008755F7">
        <w:rPr>
          <w:rFonts w:ascii="Times New Roman" w:hAnsi="Times New Roman"/>
          <w:sz w:val="24"/>
          <w:szCs w:val="24"/>
          <w:vertAlign w:val="subscript"/>
        </w:rPr>
        <w:t xml:space="preserve">2 </w:t>
      </w:r>
      <w:r w:rsidRPr="008755F7">
        <w:rPr>
          <w:rFonts w:ascii="Times New Roman" w:hAnsi="Times New Roman"/>
          <w:sz w:val="24"/>
          <w:szCs w:val="24"/>
        </w:rPr>
        <w:t>(в сравнение с 2,8 милиона тона CO</w:t>
      </w:r>
      <w:r w:rsidRPr="008755F7">
        <w:rPr>
          <w:rFonts w:ascii="Times New Roman" w:hAnsi="Times New Roman"/>
          <w:sz w:val="24"/>
          <w:szCs w:val="24"/>
          <w:vertAlign w:val="subscript"/>
        </w:rPr>
        <w:t>2</w:t>
      </w:r>
      <w:r w:rsidRPr="008755F7">
        <w:rPr>
          <w:rFonts w:ascii="Times New Roman" w:hAnsi="Times New Roman"/>
          <w:sz w:val="24"/>
          <w:szCs w:val="24"/>
        </w:rPr>
        <w:t xml:space="preserve"> през 2017 г.) — приблизително 0,7 % от общите емисии (в сравнение с 0,2 % през 2017 г.). Най-честите причини за изготвянето на консервативни оценки са непредставяне на доклад за емисиите до 31 март или непълно съответствие на докладите за емисиите с изискванията на РМД/РАП</w:t>
      </w:r>
      <w:r w:rsidRPr="008755F7">
        <w:rPr>
          <w:rFonts w:ascii="Times New Roman" w:hAnsi="Times New Roman"/>
          <w:color w:val="444444"/>
          <w:sz w:val="24"/>
          <w:szCs w:val="24"/>
        </w:rPr>
        <w:t>.</w:t>
      </w:r>
    </w:p>
    <w:p w14:paraId="7A85A336" w14:textId="77777777" w:rsidR="00C3264D" w:rsidRPr="008755F7" w:rsidRDefault="00310AEE">
      <w:pPr>
        <w:jc w:val="both"/>
        <w:rPr>
          <w:rFonts w:ascii="Times New Roman" w:eastAsia="Times New Roman" w:hAnsi="Times New Roman"/>
          <w:sz w:val="24"/>
          <w:szCs w:val="24"/>
        </w:rPr>
      </w:pPr>
      <w:r w:rsidRPr="008755F7">
        <w:rPr>
          <w:rFonts w:ascii="Times New Roman" w:hAnsi="Times New Roman"/>
          <w:sz w:val="24"/>
          <w:szCs w:val="24"/>
        </w:rPr>
        <w:t xml:space="preserve">Консервативни оценки за липсващи данни от въздухоплаването бяха докладвани от седем държави във връзка с 31 оператора на въздухоплавателни средства (4,7 % от общия брой) и 4,7 % от авиационните емисии. </w:t>
      </w:r>
    </w:p>
    <w:p w14:paraId="73D35A48" w14:textId="77777777" w:rsidR="00C3264D" w:rsidRPr="008755F7" w:rsidRDefault="00310AEE">
      <w:pPr>
        <w:jc w:val="both"/>
        <w:rPr>
          <w:rFonts w:ascii="Times New Roman" w:eastAsia="Times New Roman" w:hAnsi="Times New Roman"/>
          <w:sz w:val="24"/>
          <w:szCs w:val="24"/>
        </w:rPr>
      </w:pPr>
      <w:r w:rsidRPr="008755F7">
        <w:rPr>
          <w:rFonts w:ascii="Times New Roman" w:hAnsi="Times New Roman"/>
          <w:sz w:val="24"/>
          <w:szCs w:val="24"/>
        </w:rPr>
        <w:t>Проверките на компетентните органи също остават важно допълнение на работата на проверяващите органи. За 2018 г. всички държави потвърдиха, че извършват допълнителни проверки на инсталации. Повечето държави съобщават за подобен подход по отношение на операторите на въздухоплавателни средства (всички с изключение на Гърция, Естония, Италия, Кипър и Лихтенщайн). Повечето държави (всички с изключение на Гърция, Италия, Люксембург и Малта) докладват, че са извършили проверки на място на инсталации през 2018 г.</w:t>
      </w:r>
    </w:p>
    <w:p w14:paraId="0E3B6C2D" w14:textId="77777777" w:rsidR="00C3264D" w:rsidRPr="008755F7" w:rsidRDefault="00310AEE">
      <w:pPr>
        <w:spacing w:after="120"/>
        <w:jc w:val="both"/>
        <w:rPr>
          <w:rFonts w:ascii="Times New Roman" w:eastAsia="Times New Roman" w:hAnsi="Times New Roman"/>
          <w:sz w:val="24"/>
          <w:szCs w:val="24"/>
        </w:rPr>
      </w:pPr>
      <w:r w:rsidRPr="008755F7">
        <w:rPr>
          <w:rFonts w:ascii="Times New Roman" w:hAnsi="Times New Roman"/>
          <w:sz w:val="24"/>
          <w:szCs w:val="24"/>
        </w:rPr>
        <w:t xml:space="preserve">За 2018 г. прилагане на санкцията за извънредно количество емисии бе съобщено за 36 инсталации от десет държави (България — 1, Ирландия — 2, Италия — 5, Нидерландия — 1, Обединеното кралство — 11, Полша — 2, Португалия — 7, Румъния — 4, Франция — 1, и Чешката република — 2). В сектора на въздухоплаването санкции за извънредно количество емисии са докладвани за 26 оператора на въздухоплавателни средства (Германия — 2, Италия — 9, Литва — 1, Нидерландия —1, Обединеното кралство — 3, Португалия — 8, Словения — 1 и Франция — 1). </w:t>
      </w:r>
    </w:p>
    <w:p w14:paraId="18B1C31B" w14:textId="77777777" w:rsidR="00C3264D" w:rsidRPr="008755F7" w:rsidRDefault="00310AEE">
      <w:pPr>
        <w:spacing w:after="120"/>
        <w:jc w:val="both"/>
        <w:rPr>
          <w:rFonts w:ascii="Times New Roman" w:eastAsia="Times New Roman" w:hAnsi="Times New Roman"/>
          <w:sz w:val="24"/>
          <w:szCs w:val="24"/>
        </w:rPr>
      </w:pPr>
      <w:r w:rsidRPr="008755F7">
        <w:rPr>
          <w:rFonts w:ascii="Times New Roman" w:hAnsi="Times New Roman"/>
          <w:sz w:val="24"/>
          <w:szCs w:val="24"/>
        </w:rPr>
        <w:t>През 2018 г. дванадесет държави потвърдиха налагане на санкции (освен санкциите за извънредно количество емисии). Случаи на лишаване от свобода не са докладвани, но на 36 инсталации и 26 оператора на въздухоплавателни средства са наложени глоби, изпратени са официални уведомителни писма и окончателни предупредителни писма на обща стойност 5,4 милиона евро</w:t>
      </w:r>
      <w:r w:rsidRPr="008755F7">
        <w:rPr>
          <w:rStyle w:val="FootnoteReference"/>
          <w:rFonts w:ascii="Times New Roman" w:eastAsia="Times New Roman" w:hAnsi="Times New Roman"/>
          <w:sz w:val="24"/>
          <w:szCs w:val="24"/>
        </w:rPr>
        <w:footnoteReference w:id="74"/>
      </w:r>
      <w:r w:rsidRPr="008755F7">
        <w:rPr>
          <w:rFonts w:ascii="Times New Roman" w:hAnsi="Times New Roman"/>
          <w:sz w:val="24"/>
          <w:szCs w:val="24"/>
        </w:rPr>
        <w:t xml:space="preserve">. </w:t>
      </w:r>
    </w:p>
    <w:p w14:paraId="7696A498" w14:textId="77777777" w:rsidR="00C3264D" w:rsidRPr="008755F7" w:rsidRDefault="00310AEE">
      <w:pPr>
        <w:spacing w:after="120"/>
        <w:jc w:val="both"/>
        <w:rPr>
          <w:rFonts w:ascii="Times New Roman" w:eastAsia="Times New Roman" w:hAnsi="Times New Roman"/>
          <w:sz w:val="24"/>
          <w:szCs w:val="24"/>
        </w:rPr>
      </w:pPr>
      <w:r w:rsidRPr="008755F7">
        <w:rPr>
          <w:rFonts w:ascii="Times New Roman" w:hAnsi="Times New Roman"/>
          <w:sz w:val="24"/>
          <w:szCs w:val="24"/>
        </w:rPr>
        <w:t xml:space="preserve">Най-честите нарушения, докладвани за 2018 г., са били неизготвяне на надлежно одобрен план за мониторинг (9 случая), експлоатация без разрешително (8 случая), неспазване на условията на разрешителното (6 случая) и неподаване на проверен годишен доклад за емисиите до определения краен срок (5 случая). </w:t>
      </w:r>
    </w:p>
    <w:p w14:paraId="0C35477E" w14:textId="77777777" w:rsidR="00C3264D" w:rsidRPr="008755F7" w:rsidRDefault="00310AEE">
      <w:pPr>
        <w:spacing w:after="120"/>
        <w:jc w:val="both"/>
        <w:rPr>
          <w:rFonts w:ascii="Times New Roman" w:eastAsia="Times New Roman" w:hAnsi="Times New Roman"/>
          <w:sz w:val="24"/>
          <w:szCs w:val="24"/>
        </w:rPr>
      </w:pPr>
      <w:r w:rsidRPr="008755F7">
        <w:rPr>
          <w:rFonts w:ascii="Times New Roman" w:hAnsi="Times New Roman"/>
          <w:sz w:val="24"/>
          <w:szCs w:val="24"/>
        </w:rPr>
        <w:t>Както бе отчетено в миналогодишния доклад, в началото на 2018 г. беше стартирана пета оценка на цикъла на спазване на изискванията по СТЕ на ЕС с цел да се идентифицират проблеми по отношение на спазването на изискванията по СТЕ на ЕС на равнище участващи държави и да се помогне на тези държави да подобрят своето изпълнение на СТЕ на ЕС. Оценката ще приключи в края на 2019 г.</w:t>
      </w:r>
    </w:p>
    <w:p w14:paraId="73047261" w14:textId="77777777" w:rsidR="00C3264D" w:rsidRPr="008755F7" w:rsidRDefault="00C3264D">
      <w:pPr>
        <w:spacing w:after="120"/>
        <w:jc w:val="both"/>
        <w:rPr>
          <w:rFonts w:ascii="Times New Roman" w:eastAsia="Times New Roman" w:hAnsi="Times New Roman"/>
          <w:sz w:val="24"/>
          <w:szCs w:val="24"/>
        </w:rPr>
      </w:pPr>
    </w:p>
    <w:p w14:paraId="0CA4E9A1" w14:textId="77777777" w:rsidR="00C3264D" w:rsidRPr="008755F7" w:rsidRDefault="00A52F4C">
      <w:pPr>
        <w:pStyle w:val="Heading1"/>
        <w:spacing w:before="0" w:after="200"/>
        <w:rPr>
          <w:szCs w:val="24"/>
        </w:rPr>
      </w:pPr>
      <w:bookmarkStart w:id="25" w:name="_Toc28015596"/>
      <w:r w:rsidRPr="008755F7">
        <w:rPr>
          <w:szCs w:val="24"/>
        </w:rPr>
        <w:t>9. ЗАКЛЮЧЕНИЯ И ПЕРСПЕКТИВИ</w:t>
      </w:r>
      <w:bookmarkEnd w:id="25"/>
      <w:r w:rsidRPr="008755F7">
        <w:rPr>
          <w:szCs w:val="24"/>
        </w:rPr>
        <w:t xml:space="preserve"> </w:t>
      </w:r>
    </w:p>
    <w:p w14:paraId="2DA378AA" w14:textId="77777777" w:rsidR="00C3264D" w:rsidRPr="008755F7" w:rsidRDefault="00430B6B">
      <w:pPr>
        <w:spacing w:after="0"/>
        <w:jc w:val="both"/>
        <w:rPr>
          <w:rFonts w:ascii="Times New Roman" w:hAnsi="Times New Roman"/>
          <w:sz w:val="24"/>
          <w:szCs w:val="24"/>
        </w:rPr>
      </w:pPr>
      <w:r w:rsidRPr="008755F7">
        <w:rPr>
          <w:rFonts w:ascii="Times New Roman" w:hAnsi="Times New Roman"/>
          <w:sz w:val="24"/>
          <w:szCs w:val="24"/>
        </w:rPr>
        <w:t xml:space="preserve">2018 година се характеризира със значителен напредък по приемането на разпоредбите за прилагане за фаза 4 на СТЕ на ЕС. През последната година бяха приети разпоредби относно изместването на въглеродни емисии, безплатното разпределяне на квоти, тръжната продажба, създаването на Фонда за иновации и мониторинга, докладването и проверките. Останалите правила за прилагане бързо се финализират и се предвижда да бъдат приети преди началото на новия период на търгуване през януари 2021 г. </w:t>
      </w:r>
    </w:p>
    <w:p w14:paraId="7358EDEB" w14:textId="77777777" w:rsidR="00C3264D" w:rsidRPr="008755F7" w:rsidRDefault="00C3264D">
      <w:pPr>
        <w:spacing w:after="0"/>
        <w:jc w:val="both"/>
        <w:rPr>
          <w:rFonts w:ascii="Times New Roman" w:hAnsi="Times New Roman"/>
          <w:sz w:val="24"/>
          <w:szCs w:val="24"/>
        </w:rPr>
      </w:pPr>
    </w:p>
    <w:p w14:paraId="35AC3A3F" w14:textId="77777777" w:rsidR="00C3264D" w:rsidRPr="008755F7" w:rsidRDefault="009D0411">
      <w:pPr>
        <w:spacing w:after="0"/>
        <w:jc w:val="both"/>
        <w:rPr>
          <w:rFonts w:ascii="Times New Roman" w:hAnsi="Times New Roman"/>
          <w:sz w:val="24"/>
          <w:szCs w:val="24"/>
        </w:rPr>
      </w:pPr>
      <w:r w:rsidRPr="008755F7">
        <w:rPr>
          <w:rFonts w:ascii="Times New Roman" w:hAnsi="Times New Roman"/>
          <w:sz w:val="24"/>
          <w:szCs w:val="24"/>
        </w:rPr>
        <w:t xml:space="preserve">Годината се характеризира и със значително намаление на емисиите от инсталации, обхванати от СТЕ на ЕС. Намалението на емисиите с 4,1 % в сравнение с 2017 г. се дължи главно на производството на електрическа и топлинна енергия, като емисиите от промишлеността отбелязаха съвсем леко намаление. Верифицираните авиационни емисии обаче продължиха да се увеличават през 2018 г., като нараснаха с 3,9 % спрямо 2017 г.   </w:t>
      </w:r>
    </w:p>
    <w:p w14:paraId="2B434FB1" w14:textId="77777777" w:rsidR="00C3264D" w:rsidRPr="008755F7" w:rsidRDefault="00C3264D">
      <w:pPr>
        <w:spacing w:after="0"/>
        <w:jc w:val="both"/>
        <w:rPr>
          <w:rFonts w:ascii="Times New Roman" w:hAnsi="Times New Roman"/>
          <w:sz w:val="24"/>
          <w:szCs w:val="24"/>
        </w:rPr>
      </w:pPr>
    </w:p>
    <w:p w14:paraId="5054F3BF" w14:textId="77777777" w:rsidR="00C3264D" w:rsidRPr="008755F7" w:rsidRDefault="00AA6C77">
      <w:pPr>
        <w:spacing w:after="0"/>
        <w:jc w:val="both"/>
        <w:rPr>
          <w:rFonts w:ascii="Times New Roman" w:hAnsi="Times New Roman"/>
          <w:sz w:val="24"/>
          <w:szCs w:val="24"/>
        </w:rPr>
      </w:pPr>
      <w:r w:rsidRPr="008755F7">
        <w:rPr>
          <w:rFonts w:ascii="Times New Roman" w:hAnsi="Times New Roman"/>
          <w:sz w:val="24"/>
          <w:szCs w:val="24"/>
        </w:rPr>
        <w:t xml:space="preserve">Законодателните промени, договорени през последните години за справяне с излишъка от квоти, продължиха да дават осезаеми резултати. Показателят за излишък на резерва за стабилност на пазара бе публикуван за трети път през 2019 г. и заедно с показателя за 2017 г. доведе до намаляване на обема на тръжно търгуваните количества с почти 40 % или близо 397 милиона квоти през 2019 г. В резултат на това през 2019 г. ще бъдат продадени на търг около 30 % по малко квоти, отколкото през 2018 г. </w:t>
      </w:r>
    </w:p>
    <w:p w14:paraId="6617B3EF" w14:textId="77777777" w:rsidR="00C3264D" w:rsidRPr="008755F7" w:rsidRDefault="00C3264D">
      <w:pPr>
        <w:spacing w:after="0"/>
        <w:jc w:val="both"/>
        <w:rPr>
          <w:rFonts w:ascii="Times New Roman" w:hAnsi="Times New Roman"/>
          <w:sz w:val="24"/>
          <w:szCs w:val="24"/>
        </w:rPr>
      </w:pPr>
    </w:p>
    <w:p w14:paraId="365ED7F4" w14:textId="77777777" w:rsidR="00C3264D" w:rsidRPr="008755F7" w:rsidRDefault="00513F37">
      <w:pPr>
        <w:spacing w:after="0"/>
        <w:jc w:val="both"/>
        <w:rPr>
          <w:rFonts w:ascii="Times New Roman" w:hAnsi="Times New Roman"/>
          <w:sz w:val="24"/>
          <w:szCs w:val="24"/>
        </w:rPr>
      </w:pPr>
      <w:r w:rsidRPr="008755F7">
        <w:rPr>
          <w:rFonts w:ascii="Times New Roman" w:hAnsi="Times New Roman"/>
          <w:sz w:val="24"/>
          <w:szCs w:val="24"/>
        </w:rPr>
        <w:t xml:space="preserve">Положителното развитие в тези области намери израз в увеличаване на доверието на участниците на пазара и продължи да засилва сигналите за повишаване на цените на въглеродните емисии. Ръстът в цената на квотите за емисии доведе до значително увеличение на общите приходи от тръжна продажба, генерирани от държавите членки — през 2018 г. общи приходи надхвърлиха повече от два пъти приходите, генерирани през 2017 г. </w:t>
      </w:r>
    </w:p>
    <w:p w14:paraId="6F8F7657" w14:textId="77777777" w:rsidR="00C3264D" w:rsidRPr="008755F7" w:rsidRDefault="00C3264D">
      <w:pPr>
        <w:spacing w:after="0"/>
        <w:jc w:val="both"/>
        <w:rPr>
          <w:rFonts w:ascii="Times New Roman" w:hAnsi="Times New Roman"/>
          <w:sz w:val="24"/>
          <w:szCs w:val="24"/>
        </w:rPr>
      </w:pPr>
    </w:p>
    <w:p w14:paraId="6DBBEB7A" w14:textId="77777777" w:rsidR="00C3264D" w:rsidRPr="008755F7" w:rsidRDefault="008A5D9B">
      <w:pPr>
        <w:spacing w:after="0"/>
        <w:jc w:val="both"/>
        <w:rPr>
          <w:rFonts w:ascii="Times New Roman" w:hAnsi="Times New Roman"/>
          <w:sz w:val="24"/>
          <w:szCs w:val="24"/>
        </w:rPr>
      </w:pPr>
      <w:r w:rsidRPr="008755F7">
        <w:rPr>
          <w:rFonts w:ascii="Times New Roman" w:hAnsi="Times New Roman"/>
          <w:sz w:val="24"/>
          <w:szCs w:val="24"/>
        </w:rPr>
        <w:t xml:space="preserve">През 2018 г. степен на съответствие с изискванията на СТЕ на ЕС се запази много висока — тя надхвърли 99 % както за стационарните инсталации, така и за операторите на въздухоплавателни средства. Архитектурата на СТЕ на ЕС остава стабилна, а административната организация в държавите членки доказа своята ефективност. </w:t>
      </w:r>
    </w:p>
    <w:p w14:paraId="5D459B88" w14:textId="77777777" w:rsidR="00C3264D" w:rsidRPr="008755F7" w:rsidRDefault="00C3264D">
      <w:pPr>
        <w:spacing w:after="0"/>
        <w:jc w:val="both"/>
        <w:rPr>
          <w:rFonts w:ascii="Times New Roman" w:hAnsi="Times New Roman"/>
          <w:sz w:val="24"/>
          <w:szCs w:val="24"/>
        </w:rPr>
      </w:pPr>
    </w:p>
    <w:p w14:paraId="526CA61E" w14:textId="77777777" w:rsidR="00C3264D" w:rsidRPr="008755F7" w:rsidRDefault="00AA6C77">
      <w:pPr>
        <w:spacing w:after="0"/>
        <w:jc w:val="both"/>
        <w:rPr>
          <w:rFonts w:ascii="Times New Roman" w:hAnsi="Times New Roman"/>
          <w:sz w:val="24"/>
          <w:szCs w:val="24"/>
        </w:rPr>
      </w:pPr>
      <w:r w:rsidRPr="008755F7">
        <w:rPr>
          <w:rFonts w:ascii="Times New Roman" w:hAnsi="Times New Roman"/>
          <w:sz w:val="24"/>
          <w:szCs w:val="24"/>
        </w:rPr>
        <w:t>Комисията ще продължи да наблюдава европейския пазар на въглеродни емисии и към края на 2020 г. ще представи своя следващ доклад.</w:t>
      </w:r>
    </w:p>
    <w:p w14:paraId="2D2DB473" w14:textId="77777777" w:rsidR="00C3264D" w:rsidRPr="008755F7" w:rsidRDefault="00C3264D">
      <w:pPr>
        <w:spacing w:after="0"/>
        <w:jc w:val="both"/>
        <w:rPr>
          <w:rFonts w:ascii="Times New Roman" w:hAnsi="Times New Roman"/>
          <w:sz w:val="24"/>
          <w:szCs w:val="24"/>
        </w:rPr>
      </w:pPr>
    </w:p>
    <w:p w14:paraId="4D707AAA" w14:textId="77777777" w:rsidR="00C3264D" w:rsidRPr="008755F7" w:rsidRDefault="00C3264D">
      <w:pPr>
        <w:spacing w:after="0"/>
        <w:jc w:val="both"/>
        <w:rPr>
          <w:rFonts w:ascii="Times New Roman" w:hAnsi="Times New Roman"/>
          <w:sz w:val="24"/>
          <w:szCs w:val="24"/>
        </w:rPr>
      </w:pPr>
    </w:p>
    <w:p w14:paraId="6F1EB242" w14:textId="77777777" w:rsidR="00C3264D" w:rsidRDefault="00C3264D">
      <w:pPr>
        <w:spacing w:after="0"/>
        <w:jc w:val="both"/>
        <w:rPr>
          <w:rFonts w:ascii="Times New Roman" w:hAnsi="Times New Roman"/>
          <w:sz w:val="24"/>
          <w:szCs w:val="24"/>
        </w:rPr>
      </w:pPr>
    </w:p>
    <w:p w14:paraId="07A97A67" w14:textId="77777777" w:rsidR="00C3264D" w:rsidRDefault="00C3264D">
      <w:pPr>
        <w:spacing w:after="0"/>
        <w:jc w:val="both"/>
        <w:rPr>
          <w:rFonts w:ascii="Times New Roman" w:hAnsi="Times New Roman"/>
          <w:sz w:val="24"/>
          <w:szCs w:val="24"/>
        </w:rPr>
      </w:pPr>
    </w:p>
    <w:p w14:paraId="0BC96E9A" w14:textId="77777777" w:rsidR="00C3264D" w:rsidRDefault="00C3264D">
      <w:pPr>
        <w:spacing w:after="0"/>
        <w:jc w:val="both"/>
        <w:rPr>
          <w:rFonts w:ascii="Times New Roman" w:hAnsi="Times New Roman"/>
          <w:sz w:val="24"/>
          <w:szCs w:val="24"/>
        </w:rPr>
      </w:pPr>
    </w:p>
    <w:p w14:paraId="49A4D1BA" w14:textId="77777777" w:rsidR="00C3264D" w:rsidRDefault="00C3264D">
      <w:pPr>
        <w:spacing w:after="0"/>
        <w:jc w:val="both"/>
        <w:rPr>
          <w:rFonts w:ascii="Times New Roman" w:hAnsi="Times New Roman"/>
          <w:sz w:val="24"/>
          <w:szCs w:val="24"/>
        </w:rPr>
      </w:pPr>
    </w:p>
    <w:p w14:paraId="530EA6DC" w14:textId="77777777" w:rsidR="00C3264D" w:rsidRDefault="00C3264D">
      <w:pPr>
        <w:spacing w:after="0"/>
        <w:jc w:val="both"/>
        <w:rPr>
          <w:rFonts w:ascii="Times New Roman" w:hAnsi="Times New Roman"/>
          <w:sz w:val="24"/>
          <w:szCs w:val="24"/>
        </w:rPr>
      </w:pPr>
    </w:p>
    <w:p w14:paraId="74241B0A" w14:textId="77777777" w:rsidR="00C3264D" w:rsidRDefault="00C3264D">
      <w:pPr>
        <w:spacing w:after="0"/>
        <w:jc w:val="both"/>
        <w:rPr>
          <w:rFonts w:ascii="Times New Roman" w:hAnsi="Times New Roman"/>
          <w:sz w:val="24"/>
          <w:szCs w:val="24"/>
        </w:rPr>
      </w:pPr>
    </w:p>
    <w:p w14:paraId="282E35A9" w14:textId="77777777" w:rsidR="00C3264D" w:rsidRDefault="00C3264D">
      <w:pPr>
        <w:spacing w:after="0"/>
        <w:jc w:val="both"/>
        <w:rPr>
          <w:rFonts w:ascii="Times New Roman" w:hAnsi="Times New Roman"/>
          <w:sz w:val="24"/>
          <w:szCs w:val="24"/>
        </w:rPr>
      </w:pPr>
    </w:p>
    <w:p w14:paraId="0FCD64F2" w14:textId="77777777" w:rsidR="00C3264D" w:rsidRDefault="00C3264D">
      <w:pPr>
        <w:spacing w:after="0"/>
        <w:jc w:val="both"/>
        <w:rPr>
          <w:rFonts w:ascii="Times New Roman" w:hAnsi="Times New Roman"/>
          <w:sz w:val="24"/>
          <w:szCs w:val="24"/>
        </w:rPr>
      </w:pPr>
    </w:p>
    <w:p w14:paraId="55A65581" w14:textId="77777777" w:rsidR="00C3264D" w:rsidRDefault="00C3264D">
      <w:pPr>
        <w:spacing w:after="0"/>
        <w:jc w:val="both"/>
        <w:rPr>
          <w:rFonts w:ascii="Times New Roman" w:hAnsi="Times New Roman"/>
          <w:sz w:val="24"/>
          <w:szCs w:val="24"/>
        </w:rPr>
      </w:pPr>
    </w:p>
    <w:p w14:paraId="692B1B8A" w14:textId="77777777" w:rsidR="00C3264D" w:rsidRDefault="00C3264D">
      <w:pPr>
        <w:spacing w:after="0"/>
        <w:jc w:val="both"/>
        <w:rPr>
          <w:rFonts w:ascii="Times New Roman" w:hAnsi="Times New Roman"/>
          <w:sz w:val="24"/>
          <w:szCs w:val="24"/>
        </w:rPr>
      </w:pPr>
    </w:p>
    <w:p w14:paraId="35CC69A1" w14:textId="77777777" w:rsidR="00C3264D" w:rsidRDefault="00C3264D">
      <w:pPr>
        <w:spacing w:after="0"/>
        <w:jc w:val="both"/>
        <w:rPr>
          <w:rFonts w:ascii="Times New Roman" w:hAnsi="Times New Roman"/>
          <w:sz w:val="24"/>
          <w:szCs w:val="24"/>
        </w:rPr>
      </w:pPr>
    </w:p>
    <w:p w14:paraId="7DFD1FEC" w14:textId="77777777" w:rsidR="00C3264D" w:rsidRDefault="00C3264D">
      <w:pPr>
        <w:spacing w:after="0"/>
        <w:jc w:val="both"/>
        <w:rPr>
          <w:rStyle w:val="Heading1Char"/>
          <w:rFonts w:eastAsia="Calibri"/>
        </w:rPr>
      </w:pPr>
    </w:p>
    <w:p w14:paraId="72BEAA26" w14:textId="77777777" w:rsidR="00C3264D" w:rsidRDefault="00C3264D">
      <w:pPr>
        <w:spacing w:after="0"/>
        <w:jc w:val="both"/>
        <w:rPr>
          <w:rFonts w:ascii="Times New Roman" w:hAnsi="Times New Roman"/>
          <w:sz w:val="24"/>
          <w:szCs w:val="24"/>
        </w:rPr>
      </w:pPr>
    </w:p>
    <w:p w14:paraId="1792791B" w14:textId="77777777" w:rsidR="00C3264D" w:rsidRDefault="00C3264D">
      <w:pPr>
        <w:jc w:val="both"/>
        <w:rPr>
          <w:rStyle w:val="Heading1Char"/>
          <w:rFonts w:eastAsia="Calibri"/>
        </w:rPr>
      </w:pPr>
    </w:p>
    <w:p w14:paraId="693CB9AD" w14:textId="77777777" w:rsidR="00C3264D" w:rsidRDefault="00C3264D">
      <w:pPr>
        <w:jc w:val="both"/>
        <w:rPr>
          <w:rStyle w:val="Heading1Char"/>
          <w:rFonts w:eastAsia="Calibri"/>
        </w:rPr>
      </w:pPr>
    </w:p>
    <w:p w14:paraId="33D75FC7" w14:textId="77777777" w:rsidR="00C3264D" w:rsidRDefault="003A348D">
      <w:pPr>
        <w:jc w:val="both"/>
        <w:rPr>
          <w:rFonts w:ascii="Times New Roman" w:hAnsi="Times New Roman"/>
          <w:b/>
          <w:bCs/>
          <w:kern w:val="32"/>
          <w:sz w:val="24"/>
          <w:szCs w:val="32"/>
        </w:rPr>
      </w:pPr>
      <w:bookmarkStart w:id="26" w:name="_Toc28015597"/>
      <w:r>
        <w:rPr>
          <w:rStyle w:val="Heading1Char"/>
          <w:rFonts w:eastAsia="Calibri"/>
        </w:rPr>
        <w:t>ПРИЛОЖЕНИE</w:t>
      </w:r>
      <w:bookmarkEnd w:id="26"/>
      <w:r>
        <w:rPr>
          <w:rFonts w:ascii="Times New Roman" w:hAnsi="Times New Roman"/>
        </w:rPr>
        <w:t xml:space="preserve"> </w:t>
      </w:r>
    </w:p>
    <w:p w14:paraId="6882368C" w14:textId="77777777" w:rsidR="00C3264D" w:rsidRDefault="003A348D">
      <w:pPr>
        <w:rPr>
          <w:rFonts w:ascii="Times New Roman" w:hAnsi="Times New Roman"/>
          <w:b/>
        </w:rPr>
      </w:pPr>
      <w:r>
        <w:rPr>
          <w:rFonts w:ascii="Times New Roman" w:hAnsi="Times New Roman"/>
          <w:b/>
        </w:rPr>
        <w:t>Допълнение 1</w:t>
      </w:r>
    </w:p>
    <w:p w14:paraId="66739038" w14:textId="77777777" w:rsidR="00C3264D" w:rsidRDefault="003A348D">
      <w:pPr>
        <w:keepNext/>
        <w:rPr>
          <w:rFonts w:ascii="Times New Roman" w:hAnsi="Times New Roman"/>
          <w:b/>
          <w:bCs/>
          <w:sz w:val="20"/>
          <w:szCs w:val="20"/>
        </w:rPr>
      </w:pPr>
      <w:r>
        <w:rPr>
          <w:rFonts w:ascii="Times New Roman" w:hAnsi="Times New Roman"/>
          <w:b/>
          <w:bCs/>
          <w:sz w:val="20"/>
          <w:szCs w:val="20"/>
        </w:rPr>
        <w:t xml:space="preserve">Таблица 1.1: Брой на безплатните квоти, разпределени за модернизиране на електроенергийния сектор </w:t>
      </w:r>
    </w:p>
    <w:tbl>
      <w:tblPr>
        <w:tblW w:w="9241"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hemeFill="background1"/>
        <w:tblLayout w:type="fixed"/>
        <w:tblLook w:val="04A0" w:firstRow="1" w:lastRow="0" w:firstColumn="1" w:lastColumn="0" w:noHBand="0" w:noVBand="1"/>
      </w:tblPr>
      <w:tblGrid>
        <w:gridCol w:w="957"/>
        <w:gridCol w:w="1339"/>
        <w:gridCol w:w="1458"/>
        <w:gridCol w:w="1458"/>
        <w:gridCol w:w="1339"/>
        <w:gridCol w:w="1342"/>
        <w:gridCol w:w="1348"/>
      </w:tblGrid>
      <w:tr w:rsidR="00C3264D" w14:paraId="63294F16" w14:textId="77777777" w:rsidTr="002802C4">
        <w:trPr>
          <w:trHeight w:val="373"/>
          <w:jc w:val="center"/>
        </w:trPr>
        <w:tc>
          <w:tcPr>
            <w:tcW w:w="957" w:type="dxa"/>
            <w:shd w:val="clear" w:color="auto" w:fill="FFFFFF" w:themeFill="background1"/>
            <w:noWrap/>
          </w:tcPr>
          <w:p w14:paraId="7A709BBE" w14:textId="77777777" w:rsidR="00C3264D" w:rsidRDefault="00C3264D">
            <w:pPr>
              <w:spacing w:after="0"/>
              <w:jc w:val="center"/>
              <w:rPr>
                <w:rFonts w:ascii="Times New Roman" w:hAnsi="Times New Roman"/>
                <w:b/>
                <w:sz w:val="20"/>
                <w:szCs w:val="20"/>
              </w:rPr>
            </w:pPr>
          </w:p>
        </w:tc>
        <w:tc>
          <w:tcPr>
            <w:tcW w:w="8284" w:type="dxa"/>
            <w:gridSpan w:val="6"/>
            <w:shd w:val="clear" w:color="auto" w:fill="FFFFFF" w:themeFill="background1"/>
            <w:noWrap/>
          </w:tcPr>
          <w:p w14:paraId="4D13BB56" w14:textId="77777777" w:rsidR="00C3264D" w:rsidRDefault="00C3264D">
            <w:pPr>
              <w:spacing w:after="0"/>
              <w:jc w:val="center"/>
              <w:rPr>
                <w:rFonts w:ascii="Times New Roman" w:hAnsi="Times New Roman"/>
                <w:b/>
                <w:sz w:val="20"/>
                <w:szCs w:val="20"/>
              </w:rPr>
            </w:pPr>
          </w:p>
          <w:p w14:paraId="0906C111" w14:textId="77777777" w:rsidR="00C3264D" w:rsidRDefault="001D7CEB">
            <w:pPr>
              <w:spacing w:after="0"/>
              <w:jc w:val="center"/>
              <w:rPr>
                <w:rFonts w:ascii="Times New Roman" w:hAnsi="Times New Roman"/>
                <w:b/>
                <w:sz w:val="20"/>
                <w:szCs w:val="20"/>
              </w:rPr>
            </w:pPr>
            <w:r>
              <w:rPr>
                <w:rFonts w:ascii="Times New Roman" w:hAnsi="Times New Roman"/>
                <w:b/>
                <w:sz w:val="20"/>
                <w:szCs w:val="20"/>
              </w:rPr>
              <w:t>Брой на безплатните квоти, поискани от държавите членки съгласно член 10в</w:t>
            </w:r>
          </w:p>
        </w:tc>
      </w:tr>
      <w:tr w:rsidR="00C3264D" w14:paraId="6D341873" w14:textId="77777777" w:rsidTr="002802C4">
        <w:trPr>
          <w:trHeight w:val="273"/>
          <w:jc w:val="center"/>
        </w:trPr>
        <w:tc>
          <w:tcPr>
            <w:tcW w:w="957" w:type="dxa"/>
            <w:shd w:val="clear" w:color="auto" w:fill="FFFFFF" w:themeFill="background1"/>
            <w:noWrap/>
            <w:hideMark/>
          </w:tcPr>
          <w:p w14:paraId="42CBFBBF" w14:textId="77777777" w:rsidR="00C3264D" w:rsidRDefault="001D7CEB">
            <w:pPr>
              <w:spacing w:after="0"/>
              <w:jc w:val="center"/>
              <w:rPr>
                <w:rFonts w:ascii="Times New Roman" w:hAnsi="Times New Roman"/>
                <w:b/>
                <w:sz w:val="14"/>
                <w:szCs w:val="14"/>
              </w:rPr>
            </w:pPr>
            <w:r>
              <w:rPr>
                <w:rFonts w:ascii="Times New Roman" w:hAnsi="Times New Roman"/>
                <w:b/>
                <w:sz w:val="14"/>
                <w:szCs w:val="14"/>
              </w:rPr>
              <w:t>Държава членка</w:t>
            </w:r>
          </w:p>
        </w:tc>
        <w:tc>
          <w:tcPr>
            <w:tcW w:w="1339" w:type="dxa"/>
            <w:shd w:val="clear" w:color="auto" w:fill="FFFFFF" w:themeFill="background1"/>
            <w:noWrap/>
            <w:hideMark/>
          </w:tcPr>
          <w:p w14:paraId="2685B8C9" w14:textId="77777777" w:rsidR="00C3264D" w:rsidRDefault="001D7CEB">
            <w:pPr>
              <w:spacing w:after="0"/>
              <w:jc w:val="center"/>
              <w:rPr>
                <w:rFonts w:ascii="Times New Roman" w:hAnsi="Times New Roman"/>
                <w:b/>
                <w:sz w:val="14"/>
                <w:szCs w:val="14"/>
              </w:rPr>
            </w:pPr>
            <w:r>
              <w:rPr>
                <w:rFonts w:ascii="Times New Roman" w:hAnsi="Times New Roman"/>
                <w:b/>
                <w:sz w:val="14"/>
                <w:szCs w:val="14"/>
              </w:rPr>
              <w:t>2013 г.</w:t>
            </w:r>
          </w:p>
        </w:tc>
        <w:tc>
          <w:tcPr>
            <w:tcW w:w="1458" w:type="dxa"/>
            <w:shd w:val="clear" w:color="auto" w:fill="FFFFFF" w:themeFill="background1"/>
          </w:tcPr>
          <w:p w14:paraId="730ECE29" w14:textId="77777777" w:rsidR="00C3264D" w:rsidRDefault="001D7CEB">
            <w:pPr>
              <w:spacing w:after="0"/>
              <w:jc w:val="center"/>
              <w:rPr>
                <w:rFonts w:ascii="Times New Roman" w:hAnsi="Times New Roman"/>
                <w:b/>
                <w:sz w:val="14"/>
                <w:szCs w:val="14"/>
              </w:rPr>
            </w:pPr>
            <w:r>
              <w:rPr>
                <w:rFonts w:ascii="Times New Roman" w:hAnsi="Times New Roman"/>
                <w:b/>
                <w:sz w:val="14"/>
                <w:szCs w:val="14"/>
              </w:rPr>
              <w:t>2014 г.</w:t>
            </w:r>
          </w:p>
        </w:tc>
        <w:tc>
          <w:tcPr>
            <w:tcW w:w="1458" w:type="dxa"/>
            <w:shd w:val="clear" w:color="auto" w:fill="FFFFFF" w:themeFill="background1"/>
          </w:tcPr>
          <w:p w14:paraId="1A07DE41" w14:textId="77777777" w:rsidR="00C3264D" w:rsidRDefault="001D7CEB">
            <w:pPr>
              <w:spacing w:after="0"/>
              <w:jc w:val="center"/>
              <w:rPr>
                <w:rFonts w:ascii="Times New Roman" w:hAnsi="Times New Roman"/>
                <w:b/>
                <w:sz w:val="14"/>
                <w:szCs w:val="14"/>
              </w:rPr>
            </w:pPr>
            <w:r>
              <w:rPr>
                <w:rFonts w:ascii="Times New Roman" w:hAnsi="Times New Roman"/>
                <w:b/>
                <w:sz w:val="14"/>
                <w:szCs w:val="14"/>
              </w:rPr>
              <w:t>2015 г.</w:t>
            </w:r>
          </w:p>
        </w:tc>
        <w:tc>
          <w:tcPr>
            <w:tcW w:w="1339" w:type="dxa"/>
            <w:shd w:val="clear" w:color="auto" w:fill="FFFFFF" w:themeFill="background1"/>
          </w:tcPr>
          <w:p w14:paraId="3AE611B2" w14:textId="77777777" w:rsidR="00C3264D" w:rsidRDefault="001D7CEB">
            <w:pPr>
              <w:spacing w:after="0"/>
              <w:jc w:val="center"/>
              <w:rPr>
                <w:rFonts w:ascii="Times New Roman" w:hAnsi="Times New Roman"/>
                <w:b/>
                <w:sz w:val="14"/>
                <w:szCs w:val="14"/>
              </w:rPr>
            </w:pPr>
            <w:r>
              <w:rPr>
                <w:rFonts w:ascii="Times New Roman" w:hAnsi="Times New Roman"/>
                <w:b/>
                <w:sz w:val="14"/>
                <w:szCs w:val="14"/>
              </w:rPr>
              <w:t>2016 г.</w:t>
            </w:r>
          </w:p>
        </w:tc>
        <w:tc>
          <w:tcPr>
            <w:tcW w:w="1342" w:type="dxa"/>
            <w:shd w:val="clear" w:color="auto" w:fill="FFFFFF" w:themeFill="background1"/>
          </w:tcPr>
          <w:p w14:paraId="2741A857" w14:textId="77777777" w:rsidR="00C3264D" w:rsidRDefault="001D7CEB">
            <w:pPr>
              <w:spacing w:after="0"/>
              <w:jc w:val="center"/>
              <w:rPr>
                <w:rFonts w:ascii="Times New Roman" w:hAnsi="Times New Roman"/>
                <w:b/>
                <w:sz w:val="14"/>
                <w:szCs w:val="14"/>
              </w:rPr>
            </w:pPr>
            <w:r>
              <w:rPr>
                <w:rFonts w:ascii="Times New Roman" w:hAnsi="Times New Roman"/>
                <w:b/>
                <w:sz w:val="14"/>
                <w:szCs w:val="14"/>
              </w:rPr>
              <w:t>2017 г.</w:t>
            </w:r>
          </w:p>
        </w:tc>
        <w:tc>
          <w:tcPr>
            <w:tcW w:w="1344" w:type="dxa"/>
            <w:shd w:val="clear" w:color="auto" w:fill="FFFFFF" w:themeFill="background1"/>
          </w:tcPr>
          <w:p w14:paraId="1CE3E0CF" w14:textId="77777777" w:rsidR="00C3264D" w:rsidRDefault="001D7CEB">
            <w:pPr>
              <w:spacing w:after="0"/>
              <w:jc w:val="center"/>
              <w:rPr>
                <w:rFonts w:ascii="Times New Roman" w:hAnsi="Times New Roman"/>
                <w:b/>
                <w:sz w:val="14"/>
                <w:szCs w:val="14"/>
              </w:rPr>
            </w:pPr>
            <w:r>
              <w:rPr>
                <w:rFonts w:ascii="Times New Roman" w:hAnsi="Times New Roman"/>
                <w:b/>
                <w:sz w:val="14"/>
                <w:szCs w:val="14"/>
              </w:rPr>
              <w:t>2018 г.</w:t>
            </w:r>
          </w:p>
        </w:tc>
      </w:tr>
      <w:tr w:rsidR="00C3264D" w14:paraId="7517D06C" w14:textId="77777777" w:rsidTr="002802C4">
        <w:trPr>
          <w:trHeight w:val="241"/>
          <w:jc w:val="center"/>
        </w:trPr>
        <w:tc>
          <w:tcPr>
            <w:tcW w:w="957" w:type="dxa"/>
            <w:shd w:val="clear" w:color="auto" w:fill="FFFFFF" w:themeFill="background1"/>
            <w:noWrap/>
            <w:hideMark/>
          </w:tcPr>
          <w:p w14:paraId="029AD6E9" w14:textId="77777777" w:rsidR="00C3264D" w:rsidRDefault="001D7CEB">
            <w:pPr>
              <w:spacing w:after="0"/>
              <w:jc w:val="center"/>
              <w:rPr>
                <w:rFonts w:ascii="Times New Roman" w:hAnsi="Times New Roman"/>
                <w:b/>
                <w:sz w:val="14"/>
                <w:szCs w:val="14"/>
              </w:rPr>
            </w:pPr>
            <w:r>
              <w:rPr>
                <w:rFonts w:ascii="Times New Roman" w:hAnsi="Times New Roman"/>
                <w:b/>
                <w:sz w:val="14"/>
                <w:szCs w:val="14"/>
              </w:rPr>
              <w:t>България</w:t>
            </w:r>
          </w:p>
        </w:tc>
        <w:tc>
          <w:tcPr>
            <w:tcW w:w="1339" w:type="dxa"/>
            <w:shd w:val="clear" w:color="auto" w:fill="FFFFFF" w:themeFill="background1"/>
            <w:noWrap/>
            <w:hideMark/>
          </w:tcPr>
          <w:p w14:paraId="0933681D" w14:textId="77777777" w:rsidR="00C3264D" w:rsidRDefault="001D7CEB">
            <w:pPr>
              <w:spacing w:after="0"/>
              <w:jc w:val="center"/>
              <w:rPr>
                <w:rFonts w:ascii="Times New Roman" w:hAnsi="Times New Roman"/>
                <w:sz w:val="14"/>
                <w:szCs w:val="14"/>
              </w:rPr>
            </w:pPr>
            <w:r>
              <w:rPr>
                <w:rFonts w:ascii="Times New Roman" w:hAnsi="Times New Roman"/>
                <w:sz w:val="14"/>
                <w:szCs w:val="14"/>
              </w:rPr>
              <w:t>11 009 416</w:t>
            </w:r>
          </w:p>
        </w:tc>
        <w:tc>
          <w:tcPr>
            <w:tcW w:w="1458" w:type="dxa"/>
            <w:tcBorders>
              <w:bottom w:val="single" w:sz="4" w:space="0" w:color="auto"/>
            </w:tcBorders>
            <w:shd w:val="clear" w:color="auto" w:fill="FFFFFF" w:themeFill="background1"/>
          </w:tcPr>
          <w:p w14:paraId="142DCE3F" w14:textId="77777777" w:rsidR="00C3264D" w:rsidRDefault="001D7CEB">
            <w:pPr>
              <w:spacing w:after="0"/>
              <w:jc w:val="center"/>
              <w:rPr>
                <w:rFonts w:ascii="Times New Roman" w:hAnsi="Times New Roman"/>
                <w:sz w:val="14"/>
                <w:szCs w:val="14"/>
              </w:rPr>
            </w:pPr>
            <w:r>
              <w:rPr>
                <w:rFonts w:ascii="Times New Roman" w:hAnsi="Times New Roman"/>
                <w:sz w:val="14"/>
                <w:szCs w:val="14"/>
              </w:rPr>
              <w:t>9 779 243</w:t>
            </w:r>
          </w:p>
        </w:tc>
        <w:tc>
          <w:tcPr>
            <w:tcW w:w="1458" w:type="dxa"/>
            <w:shd w:val="clear" w:color="auto" w:fill="FFFFFF" w:themeFill="background1"/>
          </w:tcPr>
          <w:p w14:paraId="3C4E09B7" w14:textId="77777777" w:rsidR="00C3264D" w:rsidRDefault="001D7CEB">
            <w:pPr>
              <w:jc w:val="center"/>
              <w:rPr>
                <w:rFonts w:ascii="Times New Roman" w:hAnsi="Times New Roman"/>
                <w:sz w:val="14"/>
                <w:szCs w:val="14"/>
              </w:rPr>
            </w:pPr>
            <w:r>
              <w:rPr>
                <w:rFonts w:ascii="Times New Roman" w:hAnsi="Times New Roman"/>
                <w:sz w:val="14"/>
                <w:szCs w:val="14"/>
              </w:rPr>
              <w:t>8 259 680</w:t>
            </w:r>
          </w:p>
        </w:tc>
        <w:tc>
          <w:tcPr>
            <w:tcW w:w="1339" w:type="dxa"/>
            <w:shd w:val="clear" w:color="auto" w:fill="FFFFFF" w:themeFill="background1"/>
            <w:vAlign w:val="bottom"/>
          </w:tcPr>
          <w:p w14:paraId="18D77CF9" w14:textId="77777777" w:rsidR="00C3264D" w:rsidRDefault="001D7CEB">
            <w:pPr>
              <w:jc w:val="center"/>
              <w:rPr>
                <w:rFonts w:ascii="Times New Roman" w:hAnsi="Times New Roman"/>
                <w:sz w:val="14"/>
                <w:szCs w:val="14"/>
              </w:rPr>
            </w:pPr>
            <w:r>
              <w:rPr>
                <w:rFonts w:ascii="Times New Roman" w:hAnsi="Times New Roman"/>
                <w:sz w:val="14"/>
                <w:szCs w:val="14"/>
              </w:rPr>
              <w:t>6 593 238</w:t>
            </w:r>
          </w:p>
        </w:tc>
        <w:tc>
          <w:tcPr>
            <w:tcW w:w="1342" w:type="dxa"/>
            <w:shd w:val="clear" w:color="auto" w:fill="FFFFFF" w:themeFill="background1"/>
          </w:tcPr>
          <w:p w14:paraId="1DE22331" w14:textId="77777777" w:rsidR="00C3264D" w:rsidRDefault="001D7CEB">
            <w:pPr>
              <w:jc w:val="center"/>
              <w:rPr>
                <w:rFonts w:ascii="Times New Roman" w:hAnsi="Times New Roman"/>
                <w:color w:val="000000"/>
                <w:sz w:val="14"/>
                <w:szCs w:val="14"/>
              </w:rPr>
            </w:pPr>
            <w:r>
              <w:rPr>
                <w:rFonts w:ascii="Times New Roman" w:hAnsi="Times New Roman"/>
                <w:sz w:val="14"/>
                <w:szCs w:val="14"/>
              </w:rPr>
              <w:t>3 812 436</w:t>
            </w:r>
          </w:p>
        </w:tc>
        <w:tc>
          <w:tcPr>
            <w:tcW w:w="1344" w:type="dxa"/>
            <w:shd w:val="clear" w:color="auto" w:fill="FFFFFF" w:themeFill="background1"/>
          </w:tcPr>
          <w:p w14:paraId="076CD443" w14:textId="77777777" w:rsidR="00C3264D" w:rsidRDefault="001D7CEB">
            <w:pPr>
              <w:jc w:val="center"/>
              <w:rPr>
                <w:rFonts w:ascii="Times New Roman" w:hAnsi="Times New Roman"/>
                <w:color w:val="000000"/>
                <w:sz w:val="14"/>
                <w:szCs w:val="14"/>
              </w:rPr>
            </w:pPr>
            <w:r>
              <w:rPr>
                <w:rFonts w:ascii="Times New Roman" w:hAnsi="Times New Roman"/>
                <w:sz w:val="14"/>
                <w:szCs w:val="14"/>
              </w:rPr>
              <w:t>2 471 297</w:t>
            </w:r>
          </w:p>
        </w:tc>
      </w:tr>
      <w:tr w:rsidR="00C3264D" w14:paraId="34919F87" w14:textId="77777777" w:rsidTr="002802C4">
        <w:trPr>
          <w:trHeight w:val="185"/>
          <w:jc w:val="center"/>
        </w:trPr>
        <w:tc>
          <w:tcPr>
            <w:tcW w:w="957" w:type="dxa"/>
            <w:shd w:val="clear" w:color="auto" w:fill="FFFFFF" w:themeFill="background1"/>
            <w:noWrap/>
            <w:hideMark/>
          </w:tcPr>
          <w:p w14:paraId="2DA3C761" w14:textId="77777777" w:rsidR="00C3264D" w:rsidRDefault="001D7CEB">
            <w:pPr>
              <w:spacing w:after="0"/>
              <w:jc w:val="center"/>
              <w:rPr>
                <w:rFonts w:ascii="Times New Roman" w:hAnsi="Times New Roman"/>
                <w:b/>
                <w:sz w:val="14"/>
                <w:szCs w:val="14"/>
              </w:rPr>
            </w:pPr>
            <w:r>
              <w:rPr>
                <w:rFonts w:ascii="Times New Roman" w:hAnsi="Times New Roman"/>
                <w:b/>
                <w:sz w:val="14"/>
                <w:szCs w:val="14"/>
              </w:rPr>
              <w:t>Кипър</w:t>
            </w:r>
          </w:p>
        </w:tc>
        <w:tc>
          <w:tcPr>
            <w:tcW w:w="1339" w:type="dxa"/>
            <w:tcBorders>
              <w:right w:val="single" w:sz="4" w:space="0" w:color="auto"/>
            </w:tcBorders>
            <w:shd w:val="clear" w:color="auto" w:fill="FFFFFF" w:themeFill="background1"/>
            <w:noWrap/>
            <w:hideMark/>
          </w:tcPr>
          <w:p w14:paraId="7F24AFB9" w14:textId="77777777" w:rsidR="00C3264D" w:rsidRDefault="001D7CEB">
            <w:pPr>
              <w:spacing w:after="0"/>
              <w:jc w:val="center"/>
              <w:rPr>
                <w:rFonts w:ascii="Times New Roman" w:hAnsi="Times New Roman"/>
                <w:sz w:val="14"/>
                <w:szCs w:val="14"/>
              </w:rPr>
            </w:pPr>
            <w:r>
              <w:rPr>
                <w:rFonts w:ascii="Times New Roman" w:hAnsi="Times New Roman"/>
                <w:sz w:val="14"/>
                <w:szCs w:val="14"/>
              </w:rPr>
              <w:t>2 519 077</w:t>
            </w:r>
          </w:p>
        </w:tc>
        <w:tc>
          <w:tcPr>
            <w:tcW w:w="1458" w:type="dxa"/>
            <w:tcBorders>
              <w:top w:val="single" w:sz="4" w:space="0" w:color="auto"/>
              <w:left w:val="single" w:sz="4" w:space="0" w:color="auto"/>
              <w:bottom w:val="single" w:sz="4" w:space="0" w:color="auto"/>
              <w:right w:val="single" w:sz="4" w:space="0" w:color="auto"/>
            </w:tcBorders>
            <w:shd w:val="clear" w:color="auto" w:fill="FFFFFF" w:themeFill="background1"/>
          </w:tcPr>
          <w:p w14:paraId="3D764418" w14:textId="77777777" w:rsidR="00C3264D" w:rsidRDefault="001D7CEB">
            <w:pPr>
              <w:spacing w:after="0"/>
              <w:jc w:val="center"/>
              <w:rPr>
                <w:rFonts w:ascii="Times New Roman" w:hAnsi="Times New Roman"/>
                <w:sz w:val="14"/>
                <w:szCs w:val="14"/>
              </w:rPr>
            </w:pPr>
            <w:r>
              <w:rPr>
                <w:rFonts w:ascii="Times New Roman" w:hAnsi="Times New Roman"/>
                <w:sz w:val="14"/>
                <w:szCs w:val="14"/>
              </w:rPr>
              <w:t>2 195 195</w:t>
            </w:r>
          </w:p>
        </w:tc>
        <w:tc>
          <w:tcPr>
            <w:tcW w:w="1458" w:type="dxa"/>
            <w:tcBorders>
              <w:left w:val="single" w:sz="4" w:space="0" w:color="auto"/>
            </w:tcBorders>
            <w:shd w:val="clear" w:color="auto" w:fill="FFFFFF" w:themeFill="background1"/>
          </w:tcPr>
          <w:p w14:paraId="7D1F182B" w14:textId="77777777" w:rsidR="00C3264D" w:rsidRDefault="001D7CEB">
            <w:pPr>
              <w:jc w:val="center"/>
              <w:rPr>
                <w:rFonts w:ascii="Times New Roman" w:hAnsi="Times New Roman"/>
                <w:sz w:val="14"/>
                <w:szCs w:val="14"/>
              </w:rPr>
            </w:pPr>
            <w:r>
              <w:rPr>
                <w:rFonts w:ascii="Times New Roman" w:hAnsi="Times New Roman"/>
                <w:sz w:val="14"/>
                <w:szCs w:val="14"/>
              </w:rPr>
              <w:t>1 907 302</w:t>
            </w:r>
          </w:p>
        </w:tc>
        <w:tc>
          <w:tcPr>
            <w:tcW w:w="1339" w:type="dxa"/>
            <w:shd w:val="clear" w:color="auto" w:fill="FFFFFF" w:themeFill="background1"/>
            <w:vAlign w:val="bottom"/>
          </w:tcPr>
          <w:p w14:paraId="2CEF2674" w14:textId="77777777" w:rsidR="00C3264D" w:rsidRDefault="001D7CEB">
            <w:pPr>
              <w:jc w:val="center"/>
              <w:rPr>
                <w:rFonts w:ascii="Times New Roman" w:hAnsi="Times New Roman"/>
                <w:sz w:val="14"/>
                <w:szCs w:val="14"/>
              </w:rPr>
            </w:pPr>
            <w:r>
              <w:rPr>
                <w:rFonts w:ascii="Times New Roman" w:hAnsi="Times New Roman"/>
                <w:sz w:val="14"/>
                <w:szCs w:val="14"/>
              </w:rPr>
              <w:t>1 583 420</w:t>
            </w:r>
          </w:p>
        </w:tc>
        <w:tc>
          <w:tcPr>
            <w:tcW w:w="1342" w:type="dxa"/>
            <w:shd w:val="clear" w:color="auto" w:fill="FFFFFF" w:themeFill="background1"/>
          </w:tcPr>
          <w:p w14:paraId="6DA2FB4B" w14:textId="77777777" w:rsidR="00C3264D" w:rsidRDefault="001D7CEB">
            <w:pPr>
              <w:jc w:val="center"/>
              <w:rPr>
                <w:rFonts w:ascii="Times New Roman" w:hAnsi="Times New Roman"/>
                <w:color w:val="000000"/>
                <w:sz w:val="14"/>
                <w:szCs w:val="14"/>
              </w:rPr>
            </w:pPr>
            <w:r>
              <w:rPr>
                <w:rFonts w:ascii="Times New Roman" w:hAnsi="Times New Roman"/>
                <w:sz w:val="14"/>
                <w:szCs w:val="14"/>
              </w:rPr>
              <w:t>1 259 538</w:t>
            </w:r>
          </w:p>
        </w:tc>
        <w:tc>
          <w:tcPr>
            <w:tcW w:w="1344" w:type="dxa"/>
            <w:shd w:val="clear" w:color="auto" w:fill="FFFFFF" w:themeFill="background1"/>
          </w:tcPr>
          <w:p w14:paraId="208F4D35" w14:textId="77777777" w:rsidR="00C3264D" w:rsidRDefault="001D7CEB">
            <w:pPr>
              <w:jc w:val="center"/>
              <w:rPr>
                <w:rFonts w:ascii="Times New Roman" w:hAnsi="Times New Roman"/>
                <w:color w:val="000000"/>
                <w:sz w:val="14"/>
                <w:szCs w:val="14"/>
              </w:rPr>
            </w:pPr>
            <w:r>
              <w:rPr>
                <w:rFonts w:ascii="Times New Roman" w:hAnsi="Times New Roman"/>
                <w:sz w:val="14"/>
                <w:szCs w:val="14"/>
              </w:rPr>
              <w:t>935 657</w:t>
            </w:r>
          </w:p>
        </w:tc>
      </w:tr>
      <w:tr w:rsidR="00C3264D" w14:paraId="1E702A0D" w14:textId="77777777" w:rsidTr="002802C4">
        <w:trPr>
          <w:trHeight w:val="185"/>
          <w:jc w:val="center"/>
        </w:trPr>
        <w:tc>
          <w:tcPr>
            <w:tcW w:w="957" w:type="dxa"/>
            <w:shd w:val="clear" w:color="auto" w:fill="FFFFFF" w:themeFill="background1"/>
            <w:noWrap/>
            <w:hideMark/>
          </w:tcPr>
          <w:p w14:paraId="51A1DD80" w14:textId="77777777" w:rsidR="00C3264D" w:rsidRDefault="001D7CEB">
            <w:pPr>
              <w:spacing w:after="0"/>
              <w:jc w:val="center"/>
              <w:rPr>
                <w:rFonts w:ascii="Times New Roman" w:hAnsi="Times New Roman"/>
                <w:b/>
                <w:sz w:val="14"/>
                <w:szCs w:val="14"/>
              </w:rPr>
            </w:pPr>
            <w:r>
              <w:rPr>
                <w:rFonts w:ascii="Times New Roman" w:hAnsi="Times New Roman"/>
                <w:b/>
                <w:sz w:val="14"/>
                <w:szCs w:val="14"/>
              </w:rPr>
              <w:t>Чешка република</w:t>
            </w:r>
          </w:p>
        </w:tc>
        <w:tc>
          <w:tcPr>
            <w:tcW w:w="1339" w:type="dxa"/>
            <w:shd w:val="clear" w:color="auto" w:fill="FFFFFF" w:themeFill="background1"/>
            <w:noWrap/>
            <w:hideMark/>
          </w:tcPr>
          <w:p w14:paraId="49BB6113" w14:textId="77777777" w:rsidR="00C3264D" w:rsidRDefault="001D7CEB">
            <w:pPr>
              <w:spacing w:after="0"/>
              <w:jc w:val="center"/>
              <w:rPr>
                <w:rFonts w:ascii="Times New Roman" w:hAnsi="Times New Roman"/>
                <w:sz w:val="14"/>
                <w:szCs w:val="14"/>
              </w:rPr>
            </w:pPr>
            <w:r>
              <w:rPr>
                <w:rFonts w:ascii="Times New Roman" w:hAnsi="Times New Roman"/>
                <w:sz w:val="14"/>
                <w:szCs w:val="14"/>
              </w:rPr>
              <w:t>25 285 353</w:t>
            </w:r>
          </w:p>
        </w:tc>
        <w:tc>
          <w:tcPr>
            <w:tcW w:w="1458" w:type="dxa"/>
            <w:tcBorders>
              <w:top w:val="single" w:sz="4" w:space="0" w:color="auto"/>
            </w:tcBorders>
            <w:shd w:val="clear" w:color="auto" w:fill="FFFFFF" w:themeFill="background1"/>
          </w:tcPr>
          <w:p w14:paraId="3487ED1F" w14:textId="77777777" w:rsidR="00C3264D" w:rsidRDefault="001D7CEB">
            <w:pPr>
              <w:spacing w:after="0"/>
              <w:jc w:val="center"/>
              <w:rPr>
                <w:rFonts w:ascii="Times New Roman" w:hAnsi="Times New Roman"/>
                <w:sz w:val="14"/>
                <w:szCs w:val="14"/>
              </w:rPr>
            </w:pPr>
            <w:r>
              <w:rPr>
                <w:rFonts w:ascii="Times New Roman" w:hAnsi="Times New Roman"/>
                <w:sz w:val="14"/>
                <w:szCs w:val="14"/>
              </w:rPr>
              <w:t>22 383 398</w:t>
            </w:r>
          </w:p>
        </w:tc>
        <w:tc>
          <w:tcPr>
            <w:tcW w:w="1458" w:type="dxa"/>
            <w:shd w:val="clear" w:color="auto" w:fill="FFFFFF" w:themeFill="background1"/>
          </w:tcPr>
          <w:p w14:paraId="5DA08238" w14:textId="77777777" w:rsidR="00C3264D" w:rsidRDefault="001D7CEB">
            <w:pPr>
              <w:jc w:val="center"/>
              <w:rPr>
                <w:rFonts w:ascii="Times New Roman" w:hAnsi="Times New Roman"/>
                <w:sz w:val="14"/>
                <w:szCs w:val="14"/>
              </w:rPr>
            </w:pPr>
            <w:r>
              <w:rPr>
                <w:rFonts w:ascii="Times New Roman" w:hAnsi="Times New Roman"/>
                <w:sz w:val="14"/>
                <w:szCs w:val="14"/>
              </w:rPr>
              <w:t>20 623 005</w:t>
            </w:r>
          </w:p>
        </w:tc>
        <w:tc>
          <w:tcPr>
            <w:tcW w:w="1339" w:type="dxa"/>
            <w:shd w:val="clear" w:color="auto" w:fill="FFFFFF" w:themeFill="background1"/>
            <w:vAlign w:val="bottom"/>
          </w:tcPr>
          <w:p w14:paraId="71B094E1" w14:textId="77777777" w:rsidR="00C3264D" w:rsidRDefault="001D7CEB">
            <w:pPr>
              <w:jc w:val="center"/>
              <w:rPr>
                <w:rFonts w:ascii="Times New Roman" w:hAnsi="Times New Roman"/>
                <w:sz w:val="14"/>
                <w:szCs w:val="14"/>
              </w:rPr>
            </w:pPr>
            <w:r>
              <w:rPr>
                <w:rFonts w:ascii="Times New Roman" w:hAnsi="Times New Roman"/>
                <w:sz w:val="14"/>
                <w:szCs w:val="14"/>
              </w:rPr>
              <w:t>15 831 329</w:t>
            </w:r>
          </w:p>
        </w:tc>
        <w:tc>
          <w:tcPr>
            <w:tcW w:w="1342" w:type="dxa"/>
            <w:shd w:val="clear" w:color="auto" w:fill="FFFFFF" w:themeFill="background1"/>
          </w:tcPr>
          <w:p w14:paraId="1E4C6337" w14:textId="77777777" w:rsidR="00C3264D" w:rsidRDefault="001D7CEB">
            <w:pPr>
              <w:jc w:val="center"/>
              <w:rPr>
                <w:rFonts w:ascii="Times New Roman" w:hAnsi="Times New Roman"/>
                <w:color w:val="000000"/>
                <w:sz w:val="14"/>
                <w:szCs w:val="14"/>
              </w:rPr>
            </w:pPr>
            <w:r>
              <w:rPr>
                <w:rFonts w:ascii="Times New Roman" w:hAnsi="Times New Roman"/>
                <w:sz w:val="14"/>
                <w:szCs w:val="14"/>
              </w:rPr>
              <w:t>11 681 994</w:t>
            </w:r>
          </w:p>
        </w:tc>
        <w:tc>
          <w:tcPr>
            <w:tcW w:w="1344" w:type="dxa"/>
            <w:shd w:val="clear" w:color="auto" w:fill="FFFFFF" w:themeFill="background1"/>
          </w:tcPr>
          <w:p w14:paraId="738708F9" w14:textId="77777777" w:rsidR="00C3264D" w:rsidRDefault="001D7CEB">
            <w:pPr>
              <w:jc w:val="center"/>
              <w:rPr>
                <w:rFonts w:ascii="Times New Roman" w:hAnsi="Times New Roman"/>
                <w:color w:val="000000"/>
                <w:sz w:val="14"/>
                <w:szCs w:val="14"/>
              </w:rPr>
            </w:pPr>
            <w:r>
              <w:rPr>
                <w:rFonts w:ascii="Times New Roman" w:hAnsi="Times New Roman"/>
                <w:sz w:val="14"/>
                <w:szCs w:val="14"/>
              </w:rPr>
              <w:t>7 661 840</w:t>
            </w:r>
          </w:p>
        </w:tc>
      </w:tr>
      <w:tr w:rsidR="00C3264D" w14:paraId="5D6AF422" w14:textId="77777777" w:rsidTr="002802C4">
        <w:trPr>
          <w:trHeight w:val="185"/>
          <w:jc w:val="center"/>
        </w:trPr>
        <w:tc>
          <w:tcPr>
            <w:tcW w:w="957" w:type="dxa"/>
            <w:shd w:val="clear" w:color="auto" w:fill="FFFFFF" w:themeFill="background1"/>
            <w:noWrap/>
            <w:hideMark/>
          </w:tcPr>
          <w:p w14:paraId="5009F649" w14:textId="77777777" w:rsidR="00C3264D" w:rsidRDefault="001D7CEB">
            <w:pPr>
              <w:spacing w:after="0"/>
              <w:jc w:val="center"/>
              <w:rPr>
                <w:rFonts w:ascii="Times New Roman" w:hAnsi="Times New Roman"/>
                <w:b/>
                <w:sz w:val="14"/>
                <w:szCs w:val="14"/>
              </w:rPr>
            </w:pPr>
            <w:r>
              <w:rPr>
                <w:rFonts w:ascii="Times New Roman" w:hAnsi="Times New Roman"/>
                <w:b/>
                <w:sz w:val="14"/>
                <w:szCs w:val="14"/>
              </w:rPr>
              <w:t>Естония</w:t>
            </w:r>
          </w:p>
        </w:tc>
        <w:tc>
          <w:tcPr>
            <w:tcW w:w="1339" w:type="dxa"/>
            <w:shd w:val="clear" w:color="auto" w:fill="FFFFFF" w:themeFill="background1"/>
            <w:noWrap/>
            <w:hideMark/>
          </w:tcPr>
          <w:p w14:paraId="293A25E3" w14:textId="77777777" w:rsidR="00C3264D" w:rsidRDefault="001D7CEB">
            <w:pPr>
              <w:spacing w:after="0"/>
              <w:jc w:val="center"/>
              <w:rPr>
                <w:rFonts w:ascii="Times New Roman" w:hAnsi="Times New Roman"/>
                <w:sz w:val="14"/>
                <w:szCs w:val="14"/>
              </w:rPr>
            </w:pPr>
            <w:r>
              <w:rPr>
                <w:rFonts w:ascii="Times New Roman" w:hAnsi="Times New Roman"/>
                <w:sz w:val="14"/>
                <w:szCs w:val="14"/>
              </w:rPr>
              <w:t>5 135 166</w:t>
            </w:r>
          </w:p>
        </w:tc>
        <w:tc>
          <w:tcPr>
            <w:tcW w:w="1458" w:type="dxa"/>
            <w:shd w:val="clear" w:color="auto" w:fill="FFFFFF" w:themeFill="background1"/>
          </w:tcPr>
          <w:p w14:paraId="36CC475D" w14:textId="77777777" w:rsidR="00C3264D" w:rsidRDefault="001D7CEB">
            <w:pPr>
              <w:spacing w:after="0"/>
              <w:jc w:val="center"/>
              <w:rPr>
                <w:rFonts w:ascii="Times New Roman" w:hAnsi="Times New Roman"/>
                <w:sz w:val="14"/>
                <w:szCs w:val="14"/>
              </w:rPr>
            </w:pPr>
            <w:r>
              <w:rPr>
                <w:rFonts w:ascii="Times New Roman" w:hAnsi="Times New Roman"/>
                <w:sz w:val="14"/>
                <w:szCs w:val="14"/>
              </w:rPr>
              <w:t>4 401 568</w:t>
            </w:r>
          </w:p>
        </w:tc>
        <w:tc>
          <w:tcPr>
            <w:tcW w:w="1458" w:type="dxa"/>
            <w:shd w:val="clear" w:color="auto" w:fill="FFFFFF" w:themeFill="background1"/>
          </w:tcPr>
          <w:p w14:paraId="55DA82B7" w14:textId="77777777" w:rsidR="00C3264D" w:rsidRDefault="001D7CEB">
            <w:pPr>
              <w:jc w:val="center"/>
              <w:rPr>
                <w:rFonts w:ascii="Times New Roman" w:hAnsi="Times New Roman"/>
                <w:sz w:val="14"/>
                <w:szCs w:val="14"/>
              </w:rPr>
            </w:pPr>
            <w:r>
              <w:rPr>
                <w:rFonts w:ascii="Times New Roman" w:hAnsi="Times New Roman"/>
                <w:sz w:val="14"/>
                <w:szCs w:val="14"/>
              </w:rPr>
              <w:t>3 667 975</w:t>
            </w:r>
          </w:p>
        </w:tc>
        <w:tc>
          <w:tcPr>
            <w:tcW w:w="1339" w:type="dxa"/>
            <w:shd w:val="clear" w:color="auto" w:fill="FFFFFF" w:themeFill="background1"/>
            <w:vAlign w:val="bottom"/>
          </w:tcPr>
          <w:p w14:paraId="3AD58EB5" w14:textId="77777777" w:rsidR="00C3264D" w:rsidRDefault="001D7CEB">
            <w:pPr>
              <w:jc w:val="center"/>
              <w:rPr>
                <w:rFonts w:ascii="Times New Roman" w:hAnsi="Times New Roman"/>
                <w:sz w:val="14"/>
                <w:szCs w:val="14"/>
              </w:rPr>
            </w:pPr>
            <w:r>
              <w:rPr>
                <w:rFonts w:ascii="Times New Roman" w:hAnsi="Times New Roman"/>
                <w:sz w:val="14"/>
                <w:szCs w:val="14"/>
              </w:rPr>
              <w:t>2 934 380</w:t>
            </w:r>
          </w:p>
        </w:tc>
        <w:tc>
          <w:tcPr>
            <w:tcW w:w="1342" w:type="dxa"/>
            <w:shd w:val="clear" w:color="auto" w:fill="FFFFFF" w:themeFill="background1"/>
          </w:tcPr>
          <w:p w14:paraId="2DD082A2" w14:textId="77777777" w:rsidR="00C3264D" w:rsidRDefault="001D7CEB">
            <w:pPr>
              <w:jc w:val="center"/>
              <w:rPr>
                <w:rFonts w:ascii="Times New Roman" w:hAnsi="Times New Roman"/>
                <w:color w:val="000000"/>
                <w:sz w:val="14"/>
                <w:szCs w:val="14"/>
              </w:rPr>
            </w:pPr>
            <w:r>
              <w:rPr>
                <w:rFonts w:ascii="Times New Roman" w:hAnsi="Times New Roman"/>
                <w:sz w:val="14"/>
                <w:szCs w:val="14"/>
              </w:rPr>
              <w:t>2 055 614</w:t>
            </w:r>
          </w:p>
        </w:tc>
        <w:tc>
          <w:tcPr>
            <w:tcW w:w="1344" w:type="dxa"/>
            <w:shd w:val="clear" w:color="auto" w:fill="FFFFFF" w:themeFill="background1"/>
          </w:tcPr>
          <w:p w14:paraId="33304244" w14:textId="77777777" w:rsidR="00C3264D" w:rsidRDefault="001D7CEB">
            <w:pPr>
              <w:jc w:val="center"/>
              <w:rPr>
                <w:rFonts w:ascii="Times New Roman" w:hAnsi="Times New Roman"/>
                <w:color w:val="000000"/>
                <w:sz w:val="14"/>
                <w:szCs w:val="14"/>
              </w:rPr>
            </w:pPr>
            <w:r>
              <w:rPr>
                <w:rFonts w:ascii="Times New Roman" w:hAnsi="Times New Roman"/>
                <w:sz w:val="14"/>
                <w:szCs w:val="14"/>
              </w:rPr>
              <w:t>38 939</w:t>
            </w:r>
          </w:p>
        </w:tc>
      </w:tr>
      <w:tr w:rsidR="00C3264D" w14:paraId="2375AF4D" w14:textId="77777777" w:rsidTr="002802C4">
        <w:trPr>
          <w:trHeight w:val="223"/>
          <w:jc w:val="center"/>
        </w:trPr>
        <w:tc>
          <w:tcPr>
            <w:tcW w:w="957" w:type="dxa"/>
            <w:shd w:val="clear" w:color="auto" w:fill="FFFFFF" w:themeFill="background1"/>
            <w:noWrap/>
            <w:hideMark/>
          </w:tcPr>
          <w:p w14:paraId="6B24967D" w14:textId="77777777" w:rsidR="00C3264D" w:rsidRDefault="001D7CEB">
            <w:pPr>
              <w:spacing w:after="0"/>
              <w:jc w:val="center"/>
              <w:rPr>
                <w:rFonts w:ascii="Times New Roman" w:hAnsi="Times New Roman"/>
                <w:b/>
                <w:sz w:val="14"/>
                <w:szCs w:val="14"/>
              </w:rPr>
            </w:pPr>
            <w:r>
              <w:rPr>
                <w:rFonts w:ascii="Times New Roman" w:hAnsi="Times New Roman"/>
                <w:b/>
                <w:sz w:val="14"/>
                <w:szCs w:val="14"/>
              </w:rPr>
              <w:t>Унгария</w:t>
            </w:r>
          </w:p>
        </w:tc>
        <w:tc>
          <w:tcPr>
            <w:tcW w:w="1339" w:type="dxa"/>
            <w:shd w:val="clear" w:color="auto" w:fill="FFFFFF" w:themeFill="background1"/>
            <w:noWrap/>
            <w:hideMark/>
          </w:tcPr>
          <w:p w14:paraId="75AE26F4" w14:textId="77777777" w:rsidR="00C3264D" w:rsidRDefault="001D7CEB">
            <w:pPr>
              <w:spacing w:after="0"/>
              <w:jc w:val="center"/>
              <w:rPr>
                <w:rFonts w:ascii="Times New Roman" w:hAnsi="Times New Roman"/>
                <w:sz w:val="14"/>
                <w:szCs w:val="14"/>
              </w:rPr>
            </w:pPr>
            <w:r>
              <w:rPr>
                <w:rFonts w:ascii="Times New Roman" w:hAnsi="Times New Roman"/>
                <w:sz w:val="14"/>
                <w:szCs w:val="14"/>
              </w:rPr>
              <w:t>7 047 255</w:t>
            </w:r>
            <w:r>
              <w:rPr>
                <w:rFonts w:ascii="Times New Roman" w:hAnsi="Times New Roman"/>
                <w:sz w:val="14"/>
                <w:szCs w:val="14"/>
                <w:vertAlign w:val="superscript"/>
              </w:rPr>
              <w:footnoteReference w:id="75"/>
            </w:r>
          </w:p>
        </w:tc>
        <w:tc>
          <w:tcPr>
            <w:tcW w:w="1458" w:type="dxa"/>
            <w:shd w:val="clear" w:color="auto" w:fill="FFFFFF" w:themeFill="background1"/>
          </w:tcPr>
          <w:p w14:paraId="35194E0F" w14:textId="77777777" w:rsidR="00C3264D" w:rsidRDefault="001D7CEB">
            <w:pPr>
              <w:spacing w:after="0"/>
              <w:jc w:val="center"/>
              <w:rPr>
                <w:rFonts w:ascii="Times New Roman" w:hAnsi="Times New Roman"/>
                <w:sz w:val="14"/>
                <w:szCs w:val="14"/>
              </w:rPr>
            </w:pPr>
            <w:r>
              <w:rPr>
                <w:rFonts w:ascii="Times New Roman" w:hAnsi="Times New Roman"/>
                <w:sz w:val="14"/>
                <w:szCs w:val="14"/>
              </w:rPr>
              <w:t>не се прилага</w:t>
            </w:r>
          </w:p>
        </w:tc>
        <w:tc>
          <w:tcPr>
            <w:tcW w:w="1458" w:type="dxa"/>
            <w:shd w:val="clear" w:color="auto" w:fill="FFFFFF" w:themeFill="background1"/>
          </w:tcPr>
          <w:p w14:paraId="26D47330" w14:textId="77777777" w:rsidR="00C3264D" w:rsidRDefault="001D7CEB">
            <w:pPr>
              <w:jc w:val="center"/>
              <w:rPr>
                <w:rFonts w:ascii="Times New Roman" w:hAnsi="Times New Roman"/>
                <w:sz w:val="14"/>
                <w:szCs w:val="14"/>
              </w:rPr>
            </w:pPr>
            <w:r>
              <w:rPr>
                <w:rFonts w:ascii="Times New Roman" w:hAnsi="Times New Roman"/>
                <w:sz w:val="14"/>
                <w:szCs w:val="14"/>
              </w:rPr>
              <w:t>не се прилага</w:t>
            </w:r>
          </w:p>
        </w:tc>
        <w:tc>
          <w:tcPr>
            <w:tcW w:w="1339" w:type="dxa"/>
            <w:shd w:val="clear" w:color="auto" w:fill="FFFFFF" w:themeFill="background1"/>
            <w:vAlign w:val="bottom"/>
          </w:tcPr>
          <w:p w14:paraId="3F53B4D4" w14:textId="77777777" w:rsidR="00C3264D" w:rsidRDefault="001D7CEB">
            <w:pPr>
              <w:jc w:val="center"/>
              <w:rPr>
                <w:rFonts w:ascii="Times New Roman" w:hAnsi="Times New Roman"/>
                <w:sz w:val="14"/>
                <w:szCs w:val="14"/>
              </w:rPr>
            </w:pPr>
            <w:r>
              <w:rPr>
                <w:rFonts w:ascii="Times New Roman" w:hAnsi="Times New Roman"/>
                <w:sz w:val="14"/>
                <w:szCs w:val="14"/>
              </w:rPr>
              <w:t>не се прилага</w:t>
            </w:r>
          </w:p>
        </w:tc>
        <w:tc>
          <w:tcPr>
            <w:tcW w:w="1342" w:type="dxa"/>
            <w:shd w:val="clear" w:color="auto" w:fill="FFFFFF" w:themeFill="background1"/>
          </w:tcPr>
          <w:p w14:paraId="094D124B" w14:textId="77777777" w:rsidR="00C3264D" w:rsidRDefault="001D7CEB">
            <w:pPr>
              <w:jc w:val="center"/>
              <w:rPr>
                <w:rFonts w:ascii="Times New Roman" w:hAnsi="Times New Roman"/>
                <w:color w:val="000000"/>
                <w:sz w:val="14"/>
                <w:szCs w:val="14"/>
              </w:rPr>
            </w:pPr>
            <w:r>
              <w:rPr>
                <w:rFonts w:ascii="Times New Roman" w:hAnsi="Times New Roman"/>
                <w:sz w:val="14"/>
                <w:szCs w:val="14"/>
              </w:rPr>
              <w:t>не се прилага</w:t>
            </w:r>
          </w:p>
        </w:tc>
        <w:tc>
          <w:tcPr>
            <w:tcW w:w="1344" w:type="dxa"/>
            <w:shd w:val="clear" w:color="auto" w:fill="FFFFFF" w:themeFill="background1"/>
          </w:tcPr>
          <w:p w14:paraId="6CC38296" w14:textId="77777777" w:rsidR="00C3264D" w:rsidRDefault="001D7CEB">
            <w:pPr>
              <w:jc w:val="center"/>
              <w:rPr>
                <w:rFonts w:ascii="Times New Roman" w:hAnsi="Times New Roman"/>
                <w:color w:val="000000"/>
                <w:sz w:val="14"/>
                <w:szCs w:val="14"/>
              </w:rPr>
            </w:pPr>
            <w:r>
              <w:rPr>
                <w:rFonts w:ascii="Times New Roman" w:hAnsi="Times New Roman"/>
                <w:sz w:val="14"/>
                <w:szCs w:val="14"/>
              </w:rPr>
              <w:t>не се прилага</w:t>
            </w:r>
          </w:p>
        </w:tc>
      </w:tr>
      <w:tr w:rsidR="00C3264D" w14:paraId="6D2529A9" w14:textId="77777777" w:rsidTr="002802C4">
        <w:trPr>
          <w:trHeight w:val="185"/>
          <w:jc w:val="center"/>
        </w:trPr>
        <w:tc>
          <w:tcPr>
            <w:tcW w:w="957" w:type="dxa"/>
            <w:shd w:val="clear" w:color="auto" w:fill="FFFFFF" w:themeFill="background1"/>
            <w:noWrap/>
            <w:hideMark/>
          </w:tcPr>
          <w:p w14:paraId="74D2EBB8" w14:textId="77777777" w:rsidR="00C3264D" w:rsidRDefault="001D7CEB">
            <w:pPr>
              <w:spacing w:after="0"/>
              <w:jc w:val="center"/>
              <w:rPr>
                <w:rFonts w:ascii="Times New Roman" w:hAnsi="Times New Roman"/>
                <w:b/>
                <w:sz w:val="14"/>
                <w:szCs w:val="14"/>
              </w:rPr>
            </w:pPr>
            <w:r>
              <w:rPr>
                <w:rFonts w:ascii="Times New Roman" w:hAnsi="Times New Roman"/>
                <w:b/>
                <w:sz w:val="14"/>
                <w:szCs w:val="14"/>
              </w:rPr>
              <w:t>Литва</w:t>
            </w:r>
          </w:p>
        </w:tc>
        <w:tc>
          <w:tcPr>
            <w:tcW w:w="1339" w:type="dxa"/>
            <w:shd w:val="clear" w:color="auto" w:fill="FFFFFF" w:themeFill="background1"/>
            <w:noWrap/>
            <w:hideMark/>
          </w:tcPr>
          <w:p w14:paraId="5AA9EE60" w14:textId="77777777" w:rsidR="00C3264D" w:rsidRDefault="001D7CEB">
            <w:pPr>
              <w:spacing w:after="0"/>
              <w:jc w:val="center"/>
              <w:rPr>
                <w:rFonts w:ascii="Times New Roman" w:hAnsi="Times New Roman"/>
                <w:sz w:val="14"/>
                <w:szCs w:val="14"/>
              </w:rPr>
            </w:pPr>
            <w:r>
              <w:rPr>
                <w:rFonts w:ascii="Times New Roman" w:hAnsi="Times New Roman"/>
                <w:sz w:val="14"/>
                <w:szCs w:val="14"/>
              </w:rPr>
              <w:t>322 449</w:t>
            </w:r>
          </w:p>
        </w:tc>
        <w:tc>
          <w:tcPr>
            <w:tcW w:w="1458" w:type="dxa"/>
            <w:shd w:val="clear" w:color="auto" w:fill="FFFFFF" w:themeFill="background1"/>
          </w:tcPr>
          <w:p w14:paraId="442AAE85" w14:textId="77777777" w:rsidR="00C3264D" w:rsidRDefault="001D7CEB">
            <w:pPr>
              <w:spacing w:after="0"/>
              <w:jc w:val="center"/>
              <w:rPr>
                <w:rFonts w:ascii="Times New Roman" w:hAnsi="Times New Roman"/>
                <w:sz w:val="14"/>
                <w:szCs w:val="14"/>
              </w:rPr>
            </w:pPr>
            <w:r>
              <w:rPr>
                <w:rFonts w:ascii="Times New Roman" w:hAnsi="Times New Roman"/>
                <w:sz w:val="14"/>
                <w:szCs w:val="14"/>
              </w:rPr>
              <w:t>297 113</w:t>
            </w:r>
          </w:p>
        </w:tc>
        <w:tc>
          <w:tcPr>
            <w:tcW w:w="1458" w:type="dxa"/>
            <w:shd w:val="clear" w:color="auto" w:fill="FFFFFF" w:themeFill="background1"/>
          </w:tcPr>
          <w:p w14:paraId="3475EF65" w14:textId="77777777" w:rsidR="00C3264D" w:rsidRDefault="001D7CEB">
            <w:pPr>
              <w:jc w:val="center"/>
              <w:rPr>
                <w:rFonts w:ascii="Times New Roman" w:hAnsi="Times New Roman"/>
                <w:sz w:val="14"/>
                <w:szCs w:val="14"/>
              </w:rPr>
            </w:pPr>
            <w:r>
              <w:rPr>
                <w:rFonts w:ascii="Times New Roman" w:hAnsi="Times New Roman"/>
                <w:sz w:val="14"/>
                <w:szCs w:val="14"/>
              </w:rPr>
              <w:t>269 475</w:t>
            </w:r>
          </w:p>
        </w:tc>
        <w:tc>
          <w:tcPr>
            <w:tcW w:w="1339" w:type="dxa"/>
            <w:shd w:val="clear" w:color="auto" w:fill="FFFFFF" w:themeFill="background1"/>
            <w:vAlign w:val="bottom"/>
          </w:tcPr>
          <w:p w14:paraId="2B6DCFAF" w14:textId="77777777" w:rsidR="00C3264D" w:rsidRDefault="001D7CEB">
            <w:pPr>
              <w:jc w:val="center"/>
              <w:rPr>
                <w:rFonts w:ascii="Times New Roman" w:hAnsi="Times New Roman"/>
                <w:sz w:val="14"/>
                <w:szCs w:val="14"/>
              </w:rPr>
            </w:pPr>
            <w:r>
              <w:rPr>
                <w:rFonts w:ascii="Times New Roman" w:hAnsi="Times New Roman"/>
                <w:sz w:val="14"/>
                <w:szCs w:val="14"/>
              </w:rPr>
              <w:t>237 230</w:t>
            </w:r>
          </w:p>
        </w:tc>
        <w:tc>
          <w:tcPr>
            <w:tcW w:w="1342" w:type="dxa"/>
            <w:shd w:val="clear" w:color="auto" w:fill="FFFFFF" w:themeFill="background1"/>
          </w:tcPr>
          <w:p w14:paraId="2EC525D2" w14:textId="77777777" w:rsidR="00C3264D" w:rsidRDefault="001D7CEB">
            <w:pPr>
              <w:jc w:val="center"/>
              <w:rPr>
                <w:rFonts w:ascii="Times New Roman" w:hAnsi="Times New Roman"/>
                <w:color w:val="000000"/>
                <w:sz w:val="14"/>
                <w:szCs w:val="14"/>
              </w:rPr>
            </w:pPr>
            <w:r>
              <w:rPr>
                <w:rFonts w:ascii="Times New Roman" w:hAnsi="Times New Roman"/>
                <w:sz w:val="14"/>
                <w:szCs w:val="14"/>
              </w:rPr>
              <w:t>200 379</w:t>
            </w:r>
          </w:p>
        </w:tc>
        <w:tc>
          <w:tcPr>
            <w:tcW w:w="1344" w:type="dxa"/>
            <w:shd w:val="clear" w:color="auto" w:fill="FFFFFF" w:themeFill="background1"/>
          </w:tcPr>
          <w:p w14:paraId="5C48BA6F" w14:textId="77777777" w:rsidR="00C3264D" w:rsidRDefault="001D7CEB">
            <w:pPr>
              <w:jc w:val="center"/>
              <w:rPr>
                <w:rFonts w:ascii="Times New Roman" w:hAnsi="Times New Roman"/>
                <w:color w:val="000000"/>
                <w:sz w:val="14"/>
                <w:szCs w:val="14"/>
              </w:rPr>
            </w:pPr>
            <w:r>
              <w:rPr>
                <w:rFonts w:ascii="Times New Roman" w:hAnsi="Times New Roman"/>
                <w:sz w:val="14"/>
                <w:szCs w:val="14"/>
              </w:rPr>
              <w:t>158 922</w:t>
            </w:r>
          </w:p>
        </w:tc>
      </w:tr>
      <w:tr w:rsidR="00C3264D" w14:paraId="41284CCC" w14:textId="77777777" w:rsidTr="002802C4">
        <w:trPr>
          <w:trHeight w:val="185"/>
          <w:jc w:val="center"/>
        </w:trPr>
        <w:tc>
          <w:tcPr>
            <w:tcW w:w="957" w:type="dxa"/>
            <w:shd w:val="clear" w:color="auto" w:fill="FFFFFF" w:themeFill="background1"/>
            <w:noWrap/>
            <w:hideMark/>
          </w:tcPr>
          <w:p w14:paraId="45BC2378" w14:textId="77777777" w:rsidR="00C3264D" w:rsidRDefault="001D7CEB">
            <w:pPr>
              <w:spacing w:after="0"/>
              <w:jc w:val="center"/>
              <w:rPr>
                <w:rFonts w:ascii="Times New Roman" w:hAnsi="Times New Roman"/>
                <w:b/>
                <w:sz w:val="14"/>
                <w:szCs w:val="14"/>
              </w:rPr>
            </w:pPr>
            <w:r>
              <w:rPr>
                <w:rFonts w:ascii="Times New Roman" w:hAnsi="Times New Roman"/>
                <w:b/>
                <w:sz w:val="14"/>
                <w:szCs w:val="14"/>
              </w:rPr>
              <w:t>Полша</w:t>
            </w:r>
          </w:p>
        </w:tc>
        <w:tc>
          <w:tcPr>
            <w:tcW w:w="1339" w:type="dxa"/>
            <w:shd w:val="clear" w:color="auto" w:fill="FFFFFF" w:themeFill="background1"/>
            <w:noWrap/>
            <w:hideMark/>
          </w:tcPr>
          <w:p w14:paraId="5DA97BCC" w14:textId="77777777" w:rsidR="00C3264D" w:rsidRDefault="001D7CEB">
            <w:pPr>
              <w:spacing w:after="0"/>
              <w:jc w:val="center"/>
              <w:rPr>
                <w:rFonts w:ascii="Times New Roman" w:hAnsi="Times New Roman"/>
                <w:sz w:val="14"/>
                <w:szCs w:val="14"/>
              </w:rPr>
            </w:pPr>
            <w:r>
              <w:rPr>
                <w:rFonts w:ascii="Times New Roman" w:hAnsi="Times New Roman"/>
                <w:sz w:val="14"/>
                <w:szCs w:val="14"/>
              </w:rPr>
              <w:t>65 992 703</w:t>
            </w:r>
          </w:p>
        </w:tc>
        <w:tc>
          <w:tcPr>
            <w:tcW w:w="1458" w:type="dxa"/>
            <w:shd w:val="clear" w:color="auto" w:fill="FFFFFF" w:themeFill="background1"/>
          </w:tcPr>
          <w:p w14:paraId="49FF2CB5" w14:textId="77777777" w:rsidR="00C3264D" w:rsidRDefault="001D7CEB">
            <w:pPr>
              <w:spacing w:after="0"/>
              <w:jc w:val="center"/>
              <w:rPr>
                <w:rFonts w:ascii="Times New Roman" w:hAnsi="Times New Roman"/>
                <w:sz w:val="14"/>
                <w:szCs w:val="14"/>
              </w:rPr>
            </w:pPr>
            <w:r>
              <w:rPr>
                <w:rFonts w:ascii="Times New Roman" w:hAnsi="Times New Roman"/>
                <w:sz w:val="14"/>
                <w:szCs w:val="14"/>
              </w:rPr>
              <w:t>52 920 889</w:t>
            </w:r>
          </w:p>
        </w:tc>
        <w:tc>
          <w:tcPr>
            <w:tcW w:w="1458" w:type="dxa"/>
            <w:shd w:val="clear" w:color="auto" w:fill="FFFFFF" w:themeFill="background1"/>
          </w:tcPr>
          <w:p w14:paraId="5D62EF4C" w14:textId="77777777" w:rsidR="00C3264D" w:rsidRDefault="001D7CEB">
            <w:pPr>
              <w:jc w:val="center"/>
              <w:rPr>
                <w:rFonts w:ascii="Times New Roman" w:hAnsi="Times New Roman"/>
                <w:sz w:val="14"/>
                <w:szCs w:val="14"/>
              </w:rPr>
            </w:pPr>
            <w:r>
              <w:rPr>
                <w:rFonts w:ascii="Times New Roman" w:hAnsi="Times New Roman"/>
                <w:sz w:val="14"/>
                <w:szCs w:val="14"/>
              </w:rPr>
              <w:t>43 594 320</w:t>
            </w:r>
          </w:p>
        </w:tc>
        <w:tc>
          <w:tcPr>
            <w:tcW w:w="1339" w:type="dxa"/>
            <w:shd w:val="clear" w:color="auto" w:fill="FFFFFF" w:themeFill="background1"/>
            <w:vAlign w:val="bottom"/>
          </w:tcPr>
          <w:p w14:paraId="378324C1" w14:textId="77777777" w:rsidR="00C3264D" w:rsidRDefault="001D7CEB">
            <w:pPr>
              <w:jc w:val="center"/>
              <w:rPr>
                <w:rFonts w:ascii="Times New Roman" w:hAnsi="Times New Roman"/>
                <w:sz w:val="14"/>
                <w:szCs w:val="14"/>
              </w:rPr>
            </w:pPr>
            <w:r>
              <w:rPr>
                <w:rFonts w:ascii="Times New Roman" w:hAnsi="Times New Roman"/>
                <w:sz w:val="14"/>
                <w:szCs w:val="14"/>
              </w:rPr>
              <w:t>31 621 148</w:t>
            </w:r>
          </w:p>
        </w:tc>
        <w:tc>
          <w:tcPr>
            <w:tcW w:w="1342" w:type="dxa"/>
            <w:shd w:val="clear" w:color="auto" w:fill="FFFFFF" w:themeFill="background1"/>
          </w:tcPr>
          <w:p w14:paraId="3D25DA67" w14:textId="77777777" w:rsidR="00C3264D" w:rsidRDefault="001D7CEB">
            <w:pPr>
              <w:jc w:val="center"/>
              <w:rPr>
                <w:rFonts w:ascii="Times New Roman" w:hAnsi="Times New Roman"/>
                <w:color w:val="000000"/>
                <w:sz w:val="14"/>
                <w:szCs w:val="14"/>
              </w:rPr>
            </w:pPr>
            <w:r>
              <w:rPr>
                <w:rFonts w:ascii="Times New Roman" w:hAnsi="Times New Roman"/>
                <w:sz w:val="14"/>
                <w:szCs w:val="14"/>
              </w:rPr>
              <w:t>21 752 908</w:t>
            </w:r>
          </w:p>
        </w:tc>
        <w:tc>
          <w:tcPr>
            <w:tcW w:w="1344" w:type="dxa"/>
            <w:shd w:val="clear" w:color="auto" w:fill="FFFFFF" w:themeFill="background1"/>
          </w:tcPr>
          <w:p w14:paraId="70387689" w14:textId="77777777" w:rsidR="00C3264D" w:rsidRDefault="001D7CEB">
            <w:pPr>
              <w:jc w:val="center"/>
              <w:rPr>
                <w:rFonts w:ascii="Times New Roman" w:hAnsi="Times New Roman"/>
                <w:color w:val="000000"/>
                <w:sz w:val="14"/>
                <w:szCs w:val="14"/>
              </w:rPr>
            </w:pPr>
            <w:r>
              <w:rPr>
                <w:rFonts w:ascii="Times New Roman" w:hAnsi="Times New Roman"/>
                <w:sz w:val="14"/>
                <w:szCs w:val="14"/>
              </w:rPr>
              <w:t>31 942 281</w:t>
            </w:r>
          </w:p>
        </w:tc>
      </w:tr>
      <w:tr w:rsidR="00C3264D" w14:paraId="587678EA" w14:textId="77777777" w:rsidTr="002802C4">
        <w:trPr>
          <w:trHeight w:val="312"/>
          <w:jc w:val="center"/>
        </w:trPr>
        <w:tc>
          <w:tcPr>
            <w:tcW w:w="957" w:type="dxa"/>
            <w:shd w:val="clear" w:color="auto" w:fill="FFFFFF" w:themeFill="background1"/>
            <w:noWrap/>
            <w:hideMark/>
          </w:tcPr>
          <w:p w14:paraId="4216FEA8" w14:textId="77777777" w:rsidR="00C3264D" w:rsidRDefault="001D7CEB">
            <w:pPr>
              <w:spacing w:after="0"/>
              <w:jc w:val="center"/>
              <w:rPr>
                <w:rFonts w:ascii="Times New Roman" w:hAnsi="Times New Roman"/>
                <w:b/>
                <w:sz w:val="14"/>
                <w:szCs w:val="14"/>
              </w:rPr>
            </w:pPr>
            <w:r>
              <w:rPr>
                <w:rFonts w:ascii="Times New Roman" w:hAnsi="Times New Roman"/>
                <w:b/>
                <w:sz w:val="14"/>
                <w:szCs w:val="14"/>
              </w:rPr>
              <w:t>Румъния</w:t>
            </w:r>
          </w:p>
        </w:tc>
        <w:tc>
          <w:tcPr>
            <w:tcW w:w="1339" w:type="dxa"/>
            <w:shd w:val="clear" w:color="auto" w:fill="FFFFFF" w:themeFill="background1"/>
            <w:noWrap/>
            <w:hideMark/>
          </w:tcPr>
          <w:p w14:paraId="073456FD" w14:textId="77777777" w:rsidR="00C3264D" w:rsidRDefault="001D7CEB">
            <w:pPr>
              <w:spacing w:after="0"/>
              <w:jc w:val="center"/>
              <w:rPr>
                <w:rFonts w:ascii="Times New Roman" w:hAnsi="Times New Roman"/>
                <w:sz w:val="14"/>
                <w:szCs w:val="14"/>
              </w:rPr>
            </w:pPr>
            <w:r>
              <w:rPr>
                <w:rFonts w:ascii="Times New Roman" w:hAnsi="Times New Roman"/>
                <w:sz w:val="14"/>
                <w:szCs w:val="14"/>
              </w:rPr>
              <w:t>15 748 011</w:t>
            </w:r>
          </w:p>
        </w:tc>
        <w:tc>
          <w:tcPr>
            <w:tcW w:w="1458" w:type="dxa"/>
            <w:shd w:val="clear" w:color="auto" w:fill="FFFFFF" w:themeFill="background1"/>
          </w:tcPr>
          <w:p w14:paraId="7DF9E739" w14:textId="77777777" w:rsidR="00C3264D" w:rsidRDefault="001D7CEB">
            <w:pPr>
              <w:spacing w:after="0"/>
              <w:jc w:val="center"/>
              <w:rPr>
                <w:rFonts w:ascii="Times New Roman" w:hAnsi="Times New Roman"/>
                <w:sz w:val="14"/>
                <w:szCs w:val="14"/>
              </w:rPr>
            </w:pPr>
            <w:r>
              <w:rPr>
                <w:rFonts w:ascii="Times New Roman" w:hAnsi="Times New Roman"/>
                <w:sz w:val="14"/>
                <w:szCs w:val="14"/>
              </w:rPr>
              <w:t>8 591 461</w:t>
            </w:r>
          </w:p>
        </w:tc>
        <w:tc>
          <w:tcPr>
            <w:tcW w:w="1458" w:type="dxa"/>
            <w:shd w:val="clear" w:color="auto" w:fill="FFFFFF" w:themeFill="background1"/>
          </w:tcPr>
          <w:p w14:paraId="77286233" w14:textId="77777777" w:rsidR="00C3264D" w:rsidRDefault="001D7CEB">
            <w:pPr>
              <w:jc w:val="center"/>
              <w:rPr>
                <w:rFonts w:ascii="Times New Roman" w:hAnsi="Times New Roman"/>
                <w:sz w:val="14"/>
                <w:szCs w:val="14"/>
              </w:rPr>
            </w:pPr>
            <w:r>
              <w:rPr>
                <w:rFonts w:ascii="Times New Roman" w:hAnsi="Times New Roman"/>
                <w:sz w:val="14"/>
                <w:szCs w:val="14"/>
              </w:rPr>
              <w:t>9 210 797</w:t>
            </w:r>
          </w:p>
        </w:tc>
        <w:tc>
          <w:tcPr>
            <w:tcW w:w="1339" w:type="dxa"/>
            <w:shd w:val="clear" w:color="auto" w:fill="FFFFFF" w:themeFill="background1"/>
            <w:vAlign w:val="bottom"/>
          </w:tcPr>
          <w:p w14:paraId="634C3F54" w14:textId="77777777" w:rsidR="00C3264D" w:rsidRDefault="001D7CEB">
            <w:pPr>
              <w:jc w:val="center"/>
              <w:rPr>
                <w:rFonts w:ascii="Times New Roman" w:hAnsi="Times New Roman"/>
                <w:sz w:val="14"/>
                <w:szCs w:val="14"/>
              </w:rPr>
            </w:pPr>
            <w:r>
              <w:rPr>
                <w:rFonts w:ascii="Times New Roman" w:hAnsi="Times New Roman"/>
                <w:sz w:val="14"/>
                <w:szCs w:val="14"/>
              </w:rPr>
              <w:t>7 189 961</w:t>
            </w:r>
          </w:p>
        </w:tc>
        <w:tc>
          <w:tcPr>
            <w:tcW w:w="1342" w:type="dxa"/>
            <w:shd w:val="clear" w:color="auto" w:fill="FFFFFF" w:themeFill="background1"/>
          </w:tcPr>
          <w:p w14:paraId="7F265CA4" w14:textId="77777777" w:rsidR="00C3264D" w:rsidRDefault="001D7CEB">
            <w:pPr>
              <w:jc w:val="center"/>
              <w:rPr>
                <w:rFonts w:ascii="Times New Roman" w:hAnsi="Times New Roman"/>
                <w:color w:val="000000"/>
                <w:sz w:val="14"/>
                <w:szCs w:val="14"/>
              </w:rPr>
            </w:pPr>
            <w:r>
              <w:rPr>
                <w:rFonts w:ascii="Times New Roman" w:hAnsi="Times New Roman"/>
                <w:sz w:val="14"/>
                <w:szCs w:val="14"/>
              </w:rPr>
              <w:t>6 222 255</w:t>
            </w:r>
          </w:p>
        </w:tc>
        <w:tc>
          <w:tcPr>
            <w:tcW w:w="1344" w:type="dxa"/>
            <w:shd w:val="clear" w:color="auto" w:fill="FFFFFF" w:themeFill="background1"/>
          </w:tcPr>
          <w:p w14:paraId="7DBD0BB1" w14:textId="77777777" w:rsidR="00C3264D" w:rsidRDefault="001D7CEB">
            <w:pPr>
              <w:jc w:val="center"/>
              <w:rPr>
                <w:rFonts w:ascii="Times New Roman" w:hAnsi="Times New Roman"/>
                <w:color w:val="000000"/>
                <w:sz w:val="14"/>
                <w:szCs w:val="14"/>
              </w:rPr>
            </w:pPr>
            <w:r>
              <w:rPr>
                <w:rFonts w:ascii="Times New Roman" w:hAnsi="Times New Roman"/>
                <w:sz w:val="14"/>
                <w:szCs w:val="14"/>
              </w:rPr>
              <w:t>3 778 439</w:t>
            </w:r>
          </w:p>
        </w:tc>
      </w:tr>
      <w:tr w:rsidR="00C3264D" w14:paraId="5A3000D7" w14:textId="77777777" w:rsidTr="002802C4">
        <w:trPr>
          <w:trHeight w:val="257"/>
          <w:jc w:val="center"/>
        </w:trPr>
        <w:tc>
          <w:tcPr>
            <w:tcW w:w="957" w:type="dxa"/>
            <w:shd w:val="clear" w:color="auto" w:fill="FFFFFF" w:themeFill="background1"/>
            <w:noWrap/>
          </w:tcPr>
          <w:p w14:paraId="54098D56" w14:textId="77777777" w:rsidR="00C3264D" w:rsidRDefault="001D7CEB">
            <w:pPr>
              <w:spacing w:after="0"/>
              <w:jc w:val="center"/>
              <w:rPr>
                <w:rFonts w:ascii="Times New Roman" w:hAnsi="Times New Roman"/>
                <w:b/>
                <w:sz w:val="14"/>
                <w:szCs w:val="14"/>
              </w:rPr>
            </w:pPr>
            <w:r>
              <w:rPr>
                <w:rFonts w:ascii="Times New Roman" w:hAnsi="Times New Roman"/>
                <w:b/>
                <w:sz w:val="14"/>
                <w:szCs w:val="14"/>
              </w:rPr>
              <w:t>Общо</w:t>
            </w:r>
          </w:p>
        </w:tc>
        <w:tc>
          <w:tcPr>
            <w:tcW w:w="1339" w:type="dxa"/>
            <w:shd w:val="clear" w:color="auto" w:fill="FFFFFF" w:themeFill="background1"/>
            <w:noWrap/>
          </w:tcPr>
          <w:p w14:paraId="0D7FFE67" w14:textId="77777777" w:rsidR="00C3264D" w:rsidRDefault="001D7CEB">
            <w:pPr>
              <w:spacing w:after="0"/>
              <w:jc w:val="center"/>
              <w:rPr>
                <w:rFonts w:ascii="Times New Roman" w:hAnsi="Times New Roman"/>
                <w:sz w:val="14"/>
                <w:szCs w:val="14"/>
              </w:rPr>
            </w:pPr>
            <w:r>
              <w:rPr>
                <w:rFonts w:ascii="Times New Roman" w:hAnsi="Times New Roman"/>
                <w:sz w:val="14"/>
                <w:szCs w:val="14"/>
              </w:rPr>
              <w:t>133 059 430</w:t>
            </w:r>
          </w:p>
          <w:p w14:paraId="024F66F3" w14:textId="77777777" w:rsidR="00C3264D" w:rsidRDefault="00C3264D">
            <w:pPr>
              <w:spacing w:after="0"/>
              <w:jc w:val="center"/>
              <w:rPr>
                <w:rFonts w:ascii="Times New Roman" w:hAnsi="Times New Roman"/>
                <w:sz w:val="14"/>
                <w:szCs w:val="14"/>
              </w:rPr>
            </w:pPr>
          </w:p>
        </w:tc>
        <w:tc>
          <w:tcPr>
            <w:tcW w:w="1458" w:type="dxa"/>
            <w:shd w:val="clear" w:color="auto" w:fill="FFFFFF" w:themeFill="background1"/>
          </w:tcPr>
          <w:p w14:paraId="3B2D2E3A" w14:textId="77777777" w:rsidR="00C3264D" w:rsidRDefault="001D7CEB">
            <w:pPr>
              <w:spacing w:after="0"/>
              <w:jc w:val="center"/>
              <w:rPr>
                <w:rFonts w:ascii="Times New Roman" w:hAnsi="Times New Roman"/>
                <w:sz w:val="14"/>
                <w:szCs w:val="14"/>
              </w:rPr>
            </w:pPr>
            <w:r>
              <w:rPr>
                <w:rFonts w:ascii="Times New Roman" w:hAnsi="Times New Roman"/>
                <w:sz w:val="14"/>
                <w:szCs w:val="14"/>
              </w:rPr>
              <w:t>100 568 867</w:t>
            </w:r>
          </w:p>
        </w:tc>
        <w:tc>
          <w:tcPr>
            <w:tcW w:w="1458" w:type="dxa"/>
            <w:shd w:val="clear" w:color="auto" w:fill="FFFFFF" w:themeFill="background1"/>
          </w:tcPr>
          <w:p w14:paraId="4F533885" w14:textId="77777777" w:rsidR="00C3264D" w:rsidRDefault="001D7CEB">
            <w:pPr>
              <w:spacing w:after="0"/>
              <w:jc w:val="center"/>
              <w:rPr>
                <w:rFonts w:ascii="Times New Roman" w:hAnsi="Times New Roman"/>
                <w:sz w:val="14"/>
                <w:szCs w:val="14"/>
              </w:rPr>
            </w:pPr>
            <w:r>
              <w:rPr>
                <w:rFonts w:ascii="Times New Roman" w:hAnsi="Times New Roman"/>
                <w:sz w:val="14"/>
                <w:szCs w:val="14"/>
              </w:rPr>
              <w:t>87 532 554</w:t>
            </w:r>
          </w:p>
        </w:tc>
        <w:tc>
          <w:tcPr>
            <w:tcW w:w="1339" w:type="dxa"/>
            <w:shd w:val="clear" w:color="auto" w:fill="FFFFFF" w:themeFill="background1"/>
          </w:tcPr>
          <w:p w14:paraId="46AC21CE" w14:textId="77777777" w:rsidR="00C3264D" w:rsidRDefault="001D7CEB">
            <w:pPr>
              <w:spacing w:after="0"/>
              <w:jc w:val="center"/>
              <w:rPr>
                <w:rFonts w:ascii="Times New Roman" w:hAnsi="Times New Roman"/>
                <w:sz w:val="14"/>
                <w:szCs w:val="14"/>
              </w:rPr>
            </w:pPr>
            <w:r>
              <w:rPr>
                <w:rFonts w:ascii="Times New Roman" w:hAnsi="Times New Roman"/>
                <w:sz w:val="14"/>
                <w:szCs w:val="14"/>
              </w:rPr>
              <w:t>65 990 706</w:t>
            </w:r>
          </w:p>
        </w:tc>
        <w:tc>
          <w:tcPr>
            <w:tcW w:w="1342" w:type="dxa"/>
            <w:shd w:val="clear" w:color="auto" w:fill="FFFFFF" w:themeFill="background1"/>
          </w:tcPr>
          <w:p w14:paraId="5499AD5B" w14:textId="77777777" w:rsidR="00C3264D" w:rsidRDefault="001D7CEB">
            <w:pPr>
              <w:spacing w:after="0"/>
              <w:jc w:val="center"/>
              <w:rPr>
                <w:rFonts w:ascii="Times New Roman" w:hAnsi="Times New Roman"/>
                <w:sz w:val="14"/>
                <w:szCs w:val="14"/>
              </w:rPr>
            </w:pPr>
            <w:r>
              <w:rPr>
                <w:rFonts w:ascii="Times New Roman" w:hAnsi="Times New Roman"/>
                <w:sz w:val="14"/>
                <w:szCs w:val="14"/>
              </w:rPr>
              <w:t>46 985 124</w:t>
            </w:r>
          </w:p>
        </w:tc>
        <w:tc>
          <w:tcPr>
            <w:tcW w:w="1344" w:type="dxa"/>
            <w:shd w:val="clear" w:color="auto" w:fill="FFFFFF" w:themeFill="background1"/>
          </w:tcPr>
          <w:p w14:paraId="269C6DE0" w14:textId="77777777" w:rsidR="00C3264D" w:rsidRDefault="00A67F00">
            <w:pPr>
              <w:spacing w:after="0"/>
              <w:jc w:val="center"/>
              <w:rPr>
                <w:rFonts w:ascii="Times New Roman" w:hAnsi="Times New Roman"/>
                <w:sz w:val="14"/>
                <w:szCs w:val="14"/>
              </w:rPr>
            </w:pPr>
            <w:r>
              <w:rPr>
                <w:rFonts w:ascii="Times New Roman" w:hAnsi="Times New Roman"/>
                <w:sz w:val="14"/>
                <w:szCs w:val="14"/>
              </w:rPr>
              <w:t>46 987 375</w:t>
            </w:r>
          </w:p>
        </w:tc>
      </w:tr>
    </w:tbl>
    <w:p w14:paraId="7E9D2978" w14:textId="77777777" w:rsidR="00C3264D" w:rsidRDefault="00526348">
      <w:pPr>
        <w:spacing w:line="240" w:lineRule="auto"/>
        <w:contextualSpacing/>
        <w:jc w:val="both"/>
        <w:rPr>
          <w:rFonts w:ascii="Times New Roman" w:hAnsi="Times New Roman"/>
          <w:sz w:val="18"/>
          <w:szCs w:val="18"/>
        </w:rPr>
      </w:pPr>
      <w:r>
        <w:rPr>
          <w:rFonts w:ascii="Times New Roman" w:hAnsi="Times New Roman"/>
          <w:sz w:val="18"/>
          <w:szCs w:val="18"/>
        </w:rPr>
        <w:t>Източник: ГД „Действия по климата“</w:t>
      </w:r>
    </w:p>
    <w:p w14:paraId="6E4CD9FA" w14:textId="77777777" w:rsidR="00C3264D" w:rsidRDefault="00C3264D">
      <w:pPr>
        <w:spacing w:line="240" w:lineRule="auto"/>
        <w:contextualSpacing/>
        <w:jc w:val="both"/>
        <w:rPr>
          <w:rFonts w:ascii="Times New Roman" w:hAnsi="Times New Roman"/>
          <w:sz w:val="18"/>
          <w:szCs w:val="18"/>
        </w:rPr>
      </w:pPr>
    </w:p>
    <w:p w14:paraId="15532F8E" w14:textId="77777777" w:rsidR="00C3264D" w:rsidRDefault="003A348D">
      <w:pPr>
        <w:spacing w:line="240" w:lineRule="auto"/>
        <w:jc w:val="both"/>
        <w:rPr>
          <w:rFonts w:ascii="Times New Roman" w:hAnsi="Times New Roman"/>
          <w:b/>
          <w:sz w:val="20"/>
          <w:szCs w:val="20"/>
        </w:rPr>
      </w:pPr>
      <w:r>
        <w:rPr>
          <w:rFonts w:ascii="Times New Roman" w:hAnsi="Times New Roman"/>
          <w:b/>
          <w:sz w:val="20"/>
          <w:szCs w:val="20"/>
        </w:rPr>
        <w:t>Таблица 1.2: Максимален брой безплатни квоти по години по силата на дерогацията от задължението за тръжна продажба на всички квоти за сектора за производство на електрическа и топлинна енергия</w:t>
      </w:r>
    </w:p>
    <w:tbl>
      <w:tblPr>
        <w:tblW w:w="9313"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086"/>
        <w:gridCol w:w="1123"/>
        <w:gridCol w:w="997"/>
        <w:gridCol w:w="997"/>
        <w:gridCol w:w="997"/>
        <w:gridCol w:w="997"/>
        <w:gridCol w:w="997"/>
        <w:gridCol w:w="997"/>
        <w:gridCol w:w="1111"/>
        <w:gridCol w:w="11"/>
      </w:tblGrid>
      <w:tr w:rsidR="00C3264D" w14:paraId="4E23C48E" w14:textId="77777777" w:rsidTr="002802C4">
        <w:trPr>
          <w:trHeight w:val="610"/>
          <w:jc w:val="center"/>
        </w:trPr>
        <w:tc>
          <w:tcPr>
            <w:tcW w:w="1086" w:type="dxa"/>
            <w:vMerge w:val="restart"/>
          </w:tcPr>
          <w:p w14:paraId="33540512" w14:textId="77777777" w:rsidR="00C3264D" w:rsidRDefault="003A348D">
            <w:pPr>
              <w:spacing w:after="0"/>
              <w:jc w:val="center"/>
              <w:rPr>
                <w:rFonts w:ascii="Times New Roman" w:hAnsi="Times New Roman"/>
                <w:b/>
                <w:sz w:val="20"/>
                <w:szCs w:val="20"/>
              </w:rPr>
            </w:pPr>
            <w:r>
              <w:rPr>
                <w:rFonts w:ascii="Times New Roman" w:hAnsi="Times New Roman"/>
                <w:b/>
                <w:sz w:val="20"/>
                <w:szCs w:val="20"/>
              </w:rPr>
              <w:t>Държава членка</w:t>
            </w:r>
          </w:p>
        </w:tc>
        <w:tc>
          <w:tcPr>
            <w:tcW w:w="8227" w:type="dxa"/>
            <w:gridSpan w:val="9"/>
          </w:tcPr>
          <w:p w14:paraId="39535D01" w14:textId="77777777" w:rsidR="00C3264D" w:rsidRDefault="003A348D">
            <w:pPr>
              <w:spacing w:after="0"/>
              <w:jc w:val="center"/>
              <w:rPr>
                <w:rFonts w:ascii="Times New Roman" w:hAnsi="Times New Roman"/>
                <w:b/>
                <w:sz w:val="20"/>
                <w:szCs w:val="20"/>
              </w:rPr>
            </w:pPr>
            <w:r>
              <w:rPr>
                <w:rFonts w:ascii="Times New Roman" w:hAnsi="Times New Roman"/>
                <w:b/>
                <w:sz w:val="20"/>
                <w:szCs w:val="20"/>
              </w:rPr>
              <w:t>Максимален брой квоти по години</w:t>
            </w:r>
          </w:p>
        </w:tc>
      </w:tr>
      <w:tr w:rsidR="00C3264D" w14:paraId="05BD9ECA" w14:textId="77777777" w:rsidTr="002802C4">
        <w:trPr>
          <w:gridAfter w:val="1"/>
          <w:wAfter w:w="11" w:type="dxa"/>
          <w:trHeight w:val="446"/>
          <w:jc w:val="center"/>
        </w:trPr>
        <w:tc>
          <w:tcPr>
            <w:tcW w:w="1086" w:type="dxa"/>
            <w:vMerge/>
          </w:tcPr>
          <w:p w14:paraId="4D386995" w14:textId="77777777" w:rsidR="00C3264D" w:rsidRDefault="00C3264D">
            <w:pPr>
              <w:spacing w:after="0"/>
              <w:jc w:val="center"/>
              <w:rPr>
                <w:rFonts w:ascii="Times New Roman" w:hAnsi="Times New Roman"/>
                <w:b/>
                <w:sz w:val="14"/>
                <w:szCs w:val="18"/>
              </w:rPr>
            </w:pPr>
          </w:p>
        </w:tc>
        <w:tc>
          <w:tcPr>
            <w:tcW w:w="1123" w:type="dxa"/>
          </w:tcPr>
          <w:p w14:paraId="0837457C" w14:textId="77777777" w:rsidR="00C3264D" w:rsidRDefault="003A348D">
            <w:pPr>
              <w:spacing w:after="0"/>
              <w:jc w:val="center"/>
              <w:rPr>
                <w:rFonts w:ascii="Times New Roman" w:hAnsi="Times New Roman"/>
                <w:b/>
                <w:sz w:val="14"/>
                <w:szCs w:val="18"/>
              </w:rPr>
            </w:pPr>
            <w:r>
              <w:rPr>
                <w:rFonts w:ascii="Times New Roman" w:hAnsi="Times New Roman"/>
                <w:b/>
                <w:sz w:val="14"/>
                <w:szCs w:val="18"/>
              </w:rPr>
              <w:t>2013 г.</w:t>
            </w:r>
          </w:p>
        </w:tc>
        <w:tc>
          <w:tcPr>
            <w:tcW w:w="997" w:type="dxa"/>
          </w:tcPr>
          <w:p w14:paraId="4B715D0B" w14:textId="77777777" w:rsidR="00C3264D" w:rsidRDefault="003A348D">
            <w:pPr>
              <w:spacing w:after="0"/>
              <w:jc w:val="center"/>
              <w:rPr>
                <w:rFonts w:ascii="Times New Roman" w:hAnsi="Times New Roman"/>
                <w:b/>
                <w:sz w:val="14"/>
                <w:szCs w:val="18"/>
              </w:rPr>
            </w:pPr>
            <w:r>
              <w:rPr>
                <w:rFonts w:ascii="Times New Roman" w:hAnsi="Times New Roman"/>
                <w:b/>
                <w:sz w:val="14"/>
                <w:szCs w:val="18"/>
              </w:rPr>
              <w:t>2014 г.</w:t>
            </w:r>
          </w:p>
        </w:tc>
        <w:tc>
          <w:tcPr>
            <w:tcW w:w="997" w:type="dxa"/>
          </w:tcPr>
          <w:p w14:paraId="570B5546" w14:textId="77777777" w:rsidR="00C3264D" w:rsidRDefault="003A348D">
            <w:pPr>
              <w:spacing w:after="0"/>
              <w:jc w:val="center"/>
              <w:rPr>
                <w:rFonts w:ascii="Times New Roman" w:hAnsi="Times New Roman"/>
                <w:b/>
                <w:sz w:val="14"/>
                <w:szCs w:val="18"/>
              </w:rPr>
            </w:pPr>
            <w:r>
              <w:rPr>
                <w:rFonts w:ascii="Times New Roman" w:hAnsi="Times New Roman"/>
                <w:b/>
                <w:sz w:val="14"/>
                <w:szCs w:val="18"/>
              </w:rPr>
              <w:t>2015 г.</w:t>
            </w:r>
          </w:p>
        </w:tc>
        <w:tc>
          <w:tcPr>
            <w:tcW w:w="997" w:type="dxa"/>
          </w:tcPr>
          <w:p w14:paraId="68D335F2" w14:textId="77777777" w:rsidR="00C3264D" w:rsidRDefault="003A348D">
            <w:pPr>
              <w:spacing w:after="0"/>
              <w:jc w:val="center"/>
              <w:rPr>
                <w:rFonts w:ascii="Times New Roman" w:hAnsi="Times New Roman"/>
                <w:b/>
                <w:sz w:val="14"/>
                <w:szCs w:val="18"/>
              </w:rPr>
            </w:pPr>
            <w:r>
              <w:rPr>
                <w:rFonts w:ascii="Times New Roman" w:hAnsi="Times New Roman"/>
                <w:b/>
                <w:sz w:val="14"/>
                <w:szCs w:val="18"/>
              </w:rPr>
              <w:t>2016 г.</w:t>
            </w:r>
          </w:p>
        </w:tc>
        <w:tc>
          <w:tcPr>
            <w:tcW w:w="997" w:type="dxa"/>
          </w:tcPr>
          <w:p w14:paraId="09C964C0" w14:textId="77777777" w:rsidR="00C3264D" w:rsidRDefault="003A348D">
            <w:pPr>
              <w:spacing w:after="0"/>
              <w:jc w:val="center"/>
              <w:rPr>
                <w:rFonts w:ascii="Times New Roman" w:hAnsi="Times New Roman"/>
                <w:b/>
                <w:sz w:val="14"/>
                <w:szCs w:val="18"/>
              </w:rPr>
            </w:pPr>
            <w:r>
              <w:rPr>
                <w:rFonts w:ascii="Times New Roman" w:hAnsi="Times New Roman"/>
                <w:b/>
                <w:sz w:val="14"/>
                <w:szCs w:val="18"/>
              </w:rPr>
              <w:t>2017 г.</w:t>
            </w:r>
          </w:p>
        </w:tc>
        <w:tc>
          <w:tcPr>
            <w:tcW w:w="997" w:type="dxa"/>
          </w:tcPr>
          <w:p w14:paraId="0E2AD971" w14:textId="77777777" w:rsidR="00C3264D" w:rsidRDefault="003A348D">
            <w:pPr>
              <w:spacing w:after="0"/>
              <w:ind w:right="317"/>
              <w:jc w:val="center"/>
              <w:rPr>
                <w:rFonts w:ascii="Times New Roman" w:hAnsi="Times New Roman"/>
                <w:b/>
                <w:sz w:val="14"/>
                <w:szCs w:val="18"/>
              </w:rPr>
            </w:pPr>
            <w:r>
              <w:rPr>
                <w:rFonts w:ascii="Times New Roman" w:hAnsi="Times New Roman"/>
                <w:b/>
                <w:sz w:val="14"/>
                <w:szCs w:val="18"/>
              </w:rPr>
              <w:t>2018 г.</w:t>
            </w:r>
          </w:p>
        </w:tc>
        <w:tc>
          <w:tcPr>
            <w:tcW w:w="997" w:type="dxa"/>
          </w:tcPr>
          <w:p w14:paraId="1CE486AA" w14:textId="77777777" w:rsidR="00C3264D" w:rsidRDefault="003A348D">
            <w:pPr>
              <w:spacing w:after="0"/>
              <w:jc w:val="center"/>
              <w:rPr>
                <w:rFonts w:ascii="Times New Roman" w:hAnsi="Times New Roman"/>
                <w:b/>
                <w:sz w:val="14"/>
                <w:szCs w:val="18"/>
              </w:rPr>
            </w:pPr>
            <w:r>
              <w:rPr>
                <w:rFonts w:ascii="Times New Roman" w:hAnsi="Times New Roman"/>
                <w:b/>
                <w:sz w:val="14"/>
                <w:szCs w:val="18"/>
              </w:rPr>
              <w:t>2019 г.</w:t>
            </w:r>
          </w:p>
        </w:tc>
        <w:tc>
          <w:tcPr>
            <w:tcW w:w="1111" w:type="dxa"/>
          </w:tcPr>
          <w:p w14:paraId="060EED98" w14:textId="77777777" w:rsidR="00C3264D" w:rsidRDefault="003A348D">
            <w:pPr>
              <w:spacing w:after="0"/>
              <w:jc w:val="center"/>
              <w:rPr>
                <w:rFonts w:ascii="Times New Roman" w:hAnsi="Times New Roman"/>
                <w:b/>
                <w:sz w:val="14"/>
                <w:szCs w:val="18"/>
              </w:rPr>
            </w:pPr>
            <w:r>
              <w:rPr>
                <w:rFonts w:ascii="Times New Roman" w:hAnsi="Times New Roman"/>
                <w:b/>
                <w:sz w:val="14"/>
                <w:szCs w:val="18"/>
              </w:rPr>
              <w:t>Общо</w:t>
            </w:r>
          </w:p>
        </w:tc>
      </w:tr>
      <w:tr w:rsidR="00C3264D" w14:paraId="43F649E7" w14:textId="77777777" w:rsidTr="002802C4">
        <w:trPr>
          <w:gridAfter w:val="1"/>
          <w:wAfter w:w="11" w:type="dxa"/>
          <w:trHeight w:val="304"/>
          <w:jc w:val="center"/>
        </w:trPr>
        <w:tc>
          <w:tcPr>
            <w:tcW w:w="1086" w:type="dxa"/>
          </w:tcPr>
          <w:p w14:paraId="56815232" w14:textId="77777777" w:rsidR="00C3264D" w:rsidRDefault="003A348D">
            <w:pPr>
              <w:spacing w:after="0"/>
              <w:jc w:val="center"/>
              <w:rPr>
                <w:rFonts w:ascii="Times New Roman" w:hAnsi="Times New Roman"/>
                <w:sz w:val="14"/>
                <w:szCs w:val="18"/>
              </w:rPr>
            </w:pPr>
            <w:r>
              <w:rPr>
                <w:rFonts w:ascii="Times New Roman" w:hAnsi="Times New Roman"/>
                <w:sz w:val="14"/>
                <w:szCs w:val="18"/>
              </w:rPr>
              <w:t>България</w:t>
            </w:r>
          </w:p>
        </w:tc>
        <w:tc>
          <w:tcPr>
            <w:tcW w:w="1123" w:type="dxa"/>
          </w:tcPr>
          <w:p w14:paraId="3A3B2573" w14:textId="77777777" w:rsidR="00C3264D" w:rsidRDefault="003A348D">
            <w:pPr>
              <w:spacing w:after="0"/>
              <w:jc w:val="center"/>
              <w:rPr>
                <w:rFonts w:ascii="Times New Roman" w:hAnsi="Times New Roman"/>
                <w:sz w:val="14"/>
                <w:szCs w:val="18"/>
              </w:rPr>
            </w:pPr>
            <w:r>
              <w:rPr>
                <w:rFonts w:ascii="Times New Roman" w:hAnsi="Times New Roman"/>
                <w:sz w:val="14"/>
                <w:szCs w:val="18"/>
              </w:rPr>
              <w:t>13 542 000</w:t>
            </w:r>
          </w:p>
        </w:tc>
        <w:tc>
          <w:tcPr>
            <w:tcW w:w="997" w:type="dxa"/>
          </w:tcPr>
          <w:p w14:paraId="0A188C17" w14:textId="77777777" w:rsidR="00C3264D" w:rsidRDefault="003A348D">
            <w:pPr>
              <w:spacing w:after="0"/>
              <w:jc w:val="center"/>
              <w:rPr>
                <w:rFonts w:ascii="Times New Roman" w:hAnsi="Times New Roman"/>
                <w:sz w:val="14"/>
                <w:szCs w:val="18"/>
              </w:rPr>
            </w:pPr>
            <w:r>
              <w:rPr>
                <w:rFonts w:ascii="Times New Roman" w:hAnsi="Times New Roman"/>
                <w:sz w:val="14"/>
                <w:szCs w:val="18"/>
              </w:rPr>
              <w:t>11 607 428</w:t>
            </w:r>
          </w:p>
        </w:tc>
        <w:tc>
          <w:tcPr>
            <w:tcW w:w="997" w:type="dxa"/>
          </w:tcPr>
          <w:p w14:paraId="6AC303A1" w14:textId="77777777" w:rsidR="00C3264D" w:rsidRDefault="003A348D">
            <w:pPr>
              <w:spacing w:after="0"/>
              <w:jc w:val="center"/>
              <w:rPr>
                <w:rFonts w:ascii="Times New Roman" w:hAnsi="Times New Roman"/>
                <w:sz w:val="14"/>
                <w:szCs w:val="18"/>
              </w:rPr>
            </w:pPr>
            <w:r>
              <w:rPr>
                <w:rFonts w:ascii="Times New Roman" w:hAnsi="Times New Roman"/>
                <w:sz w:val="14"/>
                <w:szCs w:val="18"/>
              </w:rPr>
              <w:t>9 672 857</w:t>
            </w:r>
          </w:p>
        </w:tc>
        <w:tc>
          <w:tcPr>
            <w:tcW w:w="997" w:type="dxa"/>
          </w:tcPr>
          <w:p w14:paraId="566F16F2" w14:textId="77777777" w:rsidR="00C3264D" w:rsidRDefault="003A348D">
            <w:pPr>
              <w:spacing w:after="0"/>
              <w:jc w:val="center"/>
              <w:rPr>
                <w:rFonts w:ascii="Times New Roman" w:hAnsi="Times New Roman"/>
                <w:sz w:val="14"/>
                <w:szCs w:val="18"/>
              </w:rPr>
            </w:pPr>
            <w:r>
              <w:rPr>
                <w:rFonts w:ascii="Times New Roman" w:hAnsi="Times New Roman"/>
                <w:sz w:val="14"/>
                <w:szCs w:val="18"/>
              </w:rPr>
              <w:t>7 738 286</w:t>
            </w:r>
          </w:p>
        </w:tc>
        <w:tc>
          <w:tcPr>
            <w:tcW w:w="997" w:type="dxa"/>
          </w:tcPr>
          <w:p w14:paraId="7ED02B7C" w14:textId="77777777" w:rsidR="00C3264D" w:rsidRDefault="003A348D">
            <w:pPr>
              <w:spacing w:after="0"/>
              <w:jc w:val="center"/>
              <w:rPr>
                <w:rFonts w:ascii="Times New Roman" w:hAnsi="Times New Roman"/>
                <w:sz w:val="14"/>
                <w:szCs w:val="18"/>
              </w:rPr>
            </w:pPr>
            <w:r>
              <w:rPr>
                <w:rFonts w:ascii="Times New Roman" w:hAnsi="Times New Roman"/>
                <w:sz w:val="14"/>
                <w:szCs w:val="18"/>
              </w:rPr>
              <w:t>5 803 714</w:t>
            </w:r>
          </w:p>
        </w:tc>
        <w:tc>
          <w:tcPr>
            <w:tcW w:w="997" w:type="dxa"/>
          </w:tcPr>
          <w:p w14:paraId="132131A1" w14:textId="77777777" w:rsidR="00C3264D" w:rsidRDefault="003A348D">
            <w:pPr>
              <w:spacing w:after="0"/>
              <w:jc w:val="center"/>
              <w:rPr>
                <w:rFonts w:ascii="Times New Roman" w:hAnsi="Times New Roman"/>
                <w:sz w:val="14"/>
                <w:szCs w:val="18"/>
              </w:rPr>
            </w:pPr>
            <w:r>
              <w:rPr>
                <w:rFonts w:ascii="Times New Roman" w:hAnsi="Times New Roman"/>
                <w:sz w:val="14"/>
                <w:szCs w:val="18"/>
              </w:rPr>
              <w:t>3 869 143</w:t>
            </w:r>
          </w:p>
        </w:tc>
        <w:tc>
          <w:tcPr>
            <w:tcW w:w="997" w:type="dxa"/>
          </w:tcPr>
          <w:p w14:paraId="7B79B172" w14:textId="77777777" w:rsidR="00C3264D" w:rsidRDefault="003A348D">
            <w:pPr>
              <w:spacing w:after="0"/>
              <w:jc w:val="center"/>
              <w:rPr>
                <w:rFonts w:ascii="Times New Roman" w:hAnsi="Times New Roman"/>
                <w:sz w:val="14"/>
                <w:szCs w:val="18"/>
              </w:rPr>
            </w:pPr>
            <w:r>
              <w:rPr>
                <w:rFonts w:ascii="Times New Roman" w:hAnsi="Times New Roman"/>
                <w:sz w:val="14"/>
                <w:szCs w:val="18"/>
              </w:rPr>
              <w:t>1 934 571</w:t>
            </w:r>
          </w:p>
        </w:tc>
        <w:tc>
          <w:tcPr>
            <w:tcW w:w="1111" w:type="dxa"/>
          </w:tcPr>
          <w:p w14:paraId="069958F4" w14:textId="77777777" w:rsidR="00C3264D" w:rsidRDefault="003A348D">
            <w:pPr>
              <w:spacing w:after="0"/>
              <w:jc w:val="center"/>
              <w:rPr>
                <w:rFonts w:ascii="Times New Roman" w:hAnsi="Times New Roman"/>
                <w:sz w:val="14"/>
                <w:szCs w:val="18"/>
              </w:rPr>
            </w:pPr>
            <w:r>
              <w:rPr>
                <w:rFonts w:ascii="Times New Roman" w:hAnsi="Times New Roman"/>
                <w:sz w:val="14"/>
                <w:szCs w:val="18"/>
              </w:rPr>
              <w:t>54 167 999</w:t>
            </w:r>
          </w:p>
        </w:tc>
      </w:tr>
      <w:tr w:rsidR="00C3264D" w14:paraId="486A666C" w14:textId="77777777" w:rsidTr="002802C4">
        <w:trPr>
          <w:gridAfter w:val="1"/>
          <w:wAfter w:w="11" w:type="dxa"/>
          <w:trHeight w:val="304"/>
          <w:jc w:val="center"/>
        </w:trPr>
        <w:tc>
          <w:tcPr>
            <w:tcW w:w="1086" w:type="dxa"/>
          </w:tcPr>
          <w:p w14:paraId="5A7E04C6" w14:textId="77777777" w:rsidR="00C3264D" w:rsidRDefault="003A348D">
            <w:pPr>
              <w:spacing w:after="0"/>
              <w:jc w:val="center"/>
              <w:rPr>
                <w:rFonts w:ascii="Times New Roman" w:hAnsi="Times New Roman"/>
                <w:sz w:val="14"/>
                <w:szCs w:val="18"/>
              </w:rPr>
            </w:pPr>
            <w:r>
              <w:rPr>
                <w:rFonts w:ascii="Times New Roman" w:hAnsi="Times New Roman"/>
                <w:sz w:val="14"/>
                <w:szCs w:val="18"/>
              </w:rPr>
              <w:t>Кипър</w:t>
            </w:r>
          </w:p>
        </w:tc>
        <w:tc>
          <w:tcPr>
            <w:tcW w:w="1123" w:type="dxa"/>
          </w:tcPr>
          <w:p w14:paraId="2F8A0250" w14:textId="77777777" w:rsidR="00C3264D" w:rsidRDefault="003A348D">
            <w:pPr>
              <w:spacing w:after="0"/>
              <w:jc w:val="center"/>
              <w:rPr>
                <w:rFonts w:ascii="Times New Roman" w:hAnsi="Times New Roman"/>
                <w:sz w:val="14"/>
                <w:szCs w:val="18"/>
              </w:rPr>
            </w:pPr>
            <w:r>
              <w:rPr>
                <w:rFonts w:ascii="Times New Roman" w:hAnsi="Times New Roman"/>
                <w:sz w:val="14"/>
                <w:szCs w:val="18"/>
              </w:rPr>
              <w:t>2 519 077</w:t>
            </w:r>
          </w:p>
        </w:tc>
        <w:tc>
          <w:tcPr>
            <w:tcW w:w="997" w:type="dxa"/>
          </w:tcPr>
          <w:p w14:paraId="5C877D7E" w14:textId="77777777" w:rsidR="00C3264D" w:rsidRDefault="003A348D">
            <w:pPr>
              <w:spacing w:after="0"/>
              <w:jc w:val="center"/>
              <w:rPr>
                <w:rFonts w:ascii="Times New Roman" w:hAnsi="Times New Roman"/>
                <w:sz w:val="14"/>
                <w:szCs w:val="18"/>
              </w:rPr>
            </w:pPr>
            <w:r>
              <w:rPr>
                <w:rFonts w:ascii="Times New Roman" w:hAnsi="Times New Roman"/>
                <w:sz w:val="14"/>
                <w:szCs w:val="18"/>
              </w:rPr>
              <w:t>2 195 195</w:t>
            </w:r>
          </w:p>
        </w:tc>
        <w:tc>
          <w:tcPr>
            <w:tcW w:w="997" w:type="dxa"/>
          </w:tcPr>
          <w:p w14:paraId="54E64116" w14:textId="77777777" w:rsidR="00C3264D" w:rsidRDefault="003A348D">
            <w:pPr>
              <w:spacing w:after="0"/>
              <w:jc w:val="center"/>
              <w:rPr>
                <w:rFonts w:ascii="Times New Roman" w:hAnsi="Times New Roman"/>
                <w:sz w:val="14"/>
                <w:szCs w:val="18"/>
              </w:rPr>
            </w:pPr>
            <w:r>
              <w:rPr>
                <w:rFonts w:ascii="Times New Roman" w:hAnsi="Times New Roman"/>
                <w:sz w:val="14"/>
                <w:szCs w:val="18"/>
              </w:rPr>
              <w:t>1 907 302</w:t>
            </w:r>
          </w:p>
        </w:tc>
        <w:tc>
          <w:tcPr>
            <w:tcW w:w="997" w:type="dxa"/>
          </w:tcPr>
          <w:p w14:paraId="205BBB91" w14:textId="77777777" w:rsidR="00C3264D" w:rsidRDefault="003A348D">
            <w:pPr>
              <w:spacing w:after="0"/>
              <w:jc w:val="center"/>
              <w:rPr>
                <w:rFonts w:ascii="Times New Roman" w:hAnsi="Times New Roman"/>
                <w:sz w:val="14"/>
                <w:szCs w:val="18"/>
              </w:rPr>
            </w:pPr>
            <w:r>
              <w:rPr>
                <w:rFonts w:ascii="Times New Roman" w:hAnsi="Times New Roman"/>
                <w:sz w:val="14"/>
                <w:szCs w:val="18"/>
              </w:rPr>
              <w:t>1 583 420</w:t>
            </w:r>
          </w:p>
        </w:tc>
        <w:tc>
          <w:tcPr>
            <w:tcW w:w="997" w:type="dxa"/>
          </w:tcPr>
          <w:p w14:paraId="7A376398" w14:textId="77777777" w:rsidR="00C3264D" w:rsidRDefault="003A348D">
            <w:pPr>
              <w:spacing w:after="0"/>
              <w:jc w:val="center"/>
              <w:rPr>
                <w:rFonts w:ascii="Times New Roman" w:hAnsi="Times New Roman"/>
                <w:sz w:val="14"/>
                <w:szCs w:val="18"/>
              </w:rPr>
            </w:pPr>
            <w:r>
              <w:rPr>
                <w:rFonts w:ascii="Times New Roman" w:hAnsi="Times New Roman"/>
                <w:sz w:val="14"/>
                <w:szCs w:val="18"/>
              </w:rPr>
              <w:t>1 259 538</w:t>
            </w:r>
          </w:p>
        </w:tc>
        <w:tc>
          <w:tcPr>
            <w:tcW w:w="997" w:type="dxa"/>
          </w:tcPr>
          <w:p w14:paraId="39F4A7B8" w14:textId="77777777" w:rsidR="00C3264D" w:rsidRDefault="003A348D">
            <w:pPr>
              <w:spacing w:after="0"/>
              <w:jc w:val="center"/>
              <w:rPr>
                <w:rFonts w:ascii="Times New Roman" w:hAnsi="Times New Roman"/>
                <w:sz w:val="14"/>
                <w:szCs w:val="18"/>
              </w:rPr>
            </w:pPr>
            <w:r>
              <w:rPr>
                <w:rFonts w:ascii="Times New Roman" w:hAnsi="Times New Roman"/>
                <w:sz w:val="14"/>
                <w:szCs w:val="18"/>
              </w:rPr>
              <w:t>935 657</w:t>
            </w:r>
          </w:p>
        </w:tc>
        <w:tc>
          <w:tcPr>
            <w:tcW w:w="997" w:type="dxa"/>
          </w:tcPr>
          <w:p w14:paraId="79D30E17" w14:textId="77777777" w:rsidR="00C3264D" w:rsidRDefault="003A348D">
            <w:pPr>
              <w:spacing w:after="0"/>
              <w:jc w:val="center"/>
              <w:rPr>
                <w:rFonts w:ascii="Times New Roman" w:hAnsi="Times New Roman"/>
                <w:sz w:val="14"/>
                <w:szCs w:val="18"/>
              </w:rPr>
            </w:pPr>
            <w:r>
              <w:rPr>
                <w:rFonts w:ascii="Times New Roman" w:hAnsi="Times New Roman"/>
                <w:sz w:val="14"/>
                <w:szCs w:val="18"/>
              </w:rPr>
              <w:t>575 789</w:t>
            </w:r>
          </w:p>
        </w:tc>
        <w:tc>
          <w:tcPr>
            <w:tcW w:w="1111" w:type="dxa"/>
          </w:tcPr>
          <w:p w14:paraId="30D076CD" w14:textId="77777777" w:rsidR="00C3264D" w:rsidRDefault="003A348D">
            <w:pPr>
              <w:spacing w:after="0"/>
              <w:jc w:val="center"/>
              <w:rPr>
                <w:rFonts w:ascii="Times New Roman" w:hAnsi="Times New Roman"/>
                <w:sz w:val="14"/>
                <w:szCs w:val="18"/>
              </w:rPr>
            </w:pPr>
            <w:r>
              <w:rPr>
                <w:rFonts w:ascii="Times New Roman" w:hAnsi="Times New Roman"/>
                <w:sz w:val="14"/>
                <w:szCs w:val="18"/>
              </w:rPr>
              <w:t>10 975 978</w:t>
            </w:r>
          </w:p>
        </w:tc>
      </w:tr>
      <w:tr w:rsidR="00C3264D" w14:paraId="41ED66FD" w14:textId="77777777" w:rsidTr="002802C4">
        <w:trPr>
          <w:gridAfter w:val="1"/>
          <w:wAfter w:w="11" w:type="dxa"/>
          <w:trHeight w:val="304"/>
          <w:jc w:val="center"/>
        </w:trPr>
        <w:tc>
          <w:tcPr>
            <w:tcW w:w="1086" w:type="dxa"/>
          </w:tcPr>
          <w:p w14:paraId="34E80FCE" w14:textId="77777777" w:rsidR="00C3264D" w:rsidRDefault="003A348D">
            <w:pPr>
              <w:spacing w:after="0"/>
              <w:jc w:val="center"/>
              <w:rPr>
                <w:rFonts w:ascii="Times New Roman" w:hAnsi="Times New Roman"/>
                <w:sz w:val="14"/>
                <w:szCs w:val="18"/>
              </w:rPr>
            </w:pPr>
            <w:r>
              <w:rPr>
                <w:rFonts w:ascii="Times New Roman" w:hAnsi="Times New Roman"/>
                <w:sz w:val="14"/>
                <w:szCs w:val="18"/>
              </w:rPr>
              <w:t>Чешка република</w:t>
            </w:r>
          </w:p>
        </w:tc>
        <w:tc>
          <w:tcPr>
            <w:tcW w:w="1123" w:type="dxa"/>
          </w:tcPr>
          <w:p w14:paraId="45B3321E" w14:textId="77777777" w:rsidR="00C3264D" w:rsidRDefault="003A348D">
            <w:pPr>
              <w:spacing w:after="0"/>
              <w:jc w:val="center"/>
              <w:rPr>
                <w:rFonts w:ascii="Times New Roman" w:hAnsi="Times New Roman"/>
                <w:sz w:val="14"/>
                <w:szCs w:val="18"/>
              </w:rPr>
            </w:pPr>
            <w:r>
              <w:rPr>
                <w:rFonts w:ascii="Times New Roman" w:hAnsi="Times New Roman"/>
                <w:sz w:val="14"/>
                <w:szCs w:val="18"/>
              </w:rPr>
              <w:t>26 916 667</w:t>
            </w:r>
          </w:p>
        </w:tc>
        <w:tc>
          <w:tcPr>
            <w:tcW w:w="997" w:type="dxa"/>
          </w:tcPr>
          <w:p w14:paraId="06969267" w14:textId="77777777" w:rsidR="00C3264D" w:rsidRDefault="003A348D">
            <w:pPr>
              <w:spacing w:after="0"/>
              <w:jc w:val="center"/>
              <w:rPr>
                <w:rFonts w:ascii="Times New Roman" w:hAnsi="Times New Roman"/>
                <w:sz w:val="14"/>
                <w:szCs w:val="18"/>
              </w:rPr>
            </w:pPr>
            <w:r>
              <w:rPr>
                <w:rFonts w:ascii="Times New Roman" w:hAnsi="Times New Roman"/>
                <w:sz w:val="14"/>
                <w:szCs w:val="18"/>
              </w:rPr>
              <w:t>23 071 429</w:t>
            </w:r>
          </w:p>
        </w:tc>
        <w:tc>
          <w:tcPr>
            <w:tcW w:w="997" w:type="dxa"/>
          </w:tcPr>
          <w:p w14:paraId="597B234D" w14:textId="77777777" w:rsidR="00C3264D" w:rsidRDefault="003A348D">
            <w:pPr>
              <w:spacing w:after="0"/>
              <w:jc w:val="center"/>
              <w:rPr>
                <w:rFonts w:ascii="Times New Roman" w:hAnsi="Times New Roman"/>
                <w:sz w:val="14"/>
                <w:szCs w:val="18"/>
              </w:rPr>
            </w:pPr>
            <w:r>
              <w:rPr>
                <w:rFonts w:ascii="Times New Roman" w:hAnsi="Times New Roman"/>
                <w:sz w:val="14"/>
                <w:szCs w:val="18"/>
              </w:rPr>
              <w:t>19 226 191</w:t>
            </w:r>
          </w:p>
        </w:tc>
        <w:tc>
          <w:tcPr>
            <w:tcW w:w="997" w:type="dxa"/>
          </w:tcPr>
          <w:p w14:paraId="64062F6A" w14:textId="77777777" w:rsidR="00C3264D" w:rsidRDefault="003A348D">
            <w:pPr>
              <w:spacing w:after="0"/>
              <w:jc w:val="center"/>
              <w:rPr>
                <w:rFonts w:ascii="Times New Roman" w:hAnsi="Times New Roman"/>
                <w:sz w:val="14"/>
                <w:szCs w:val="18"/>
              </w:rPr>
            </w:pPr>
            <w:r>
              <w:rPr>
                <w:rFonts w:ascii="Times New Roman" w:hAnsi="Times New Roman"/>
                <w:sz w:val="14"/>
                <w:szCs w:val="18"/>
              </w:rPr>
              <w:t>15 380 953</w:t>
            </w:r>
          </w:p>
        </w:tc>
        <w:tc>
          <w:tcPr>
            <w:tcW w:w="997" w:type="dxa"/>
          </w:tcPr>
          <w:p w14:paraId="5C55EBAB" w14:textId="77777777" w:rsidR="00C3264D" w:rsidRDefault="003A348D">
            <w:pPr>
              <w:spacing w:after="0"/>
              <w:jc w:val="center"/>
              <w:rPr>
                <w:rFonts w:ascii="Times New Roman" w:hAnsi="Times New Roman"/>
                <w:sz w:val="14"/>
                <w:szCs w:val="18"/>
              </w:rPr>
            </w:pPr>
            <w:r>
              <w:rPr>
                <w:rFonts w:ascii="Times New Roman" w:hAnsi="Times New Roman"/>
                <w:sz w:val="14"/>
                <w:szCs w:val="18"/>
              </w:rPr>
              <w:t>11 535 714</w:t>
            </w:r>
          </w:p>
        </w:tc>
        <w:tc>
          <w:tcPr>
            <w:tcW w:w="997" w:type="dxa"/>
          </w:tcPr>
          <w:p w14:paraId="673EEA1E" w14:textId="77777777" w:rsidR="00C3264D" w:rsidRDefault="003A348D">
            <w:pPr>
              <w:spacing w:after="0"/>
              <w:jc w:val="center"/>
              <w:rPr>
                <w:rFonts w:ascii="Times New Roman" w:hAnsi="Times New Roman"/>
                <w:sz w:val="14"/>
                <w:szCs w:val="18"/>
              </w:rPr>
            </w:pPr>
            <w:r>
              <w:rPr>
                <w:rFonts w:ascii="Times New Roman" w:hAnsi="Times New Roman"/>
                <w:sz w:val="14"/>
                <w:szCs w:val="18"/>
              </w:rPr>
              <w:t>7 690 476</w:t>
            </w:r>
          </w:p>
        </w:tc>
        <w:tc>
          <w:tcPr>
            <w:tcW w:w="997" w:type="dxa"/>
          </w:tcPr>
          <w:p w14:paraId="73A8696C" w14:textId="77777777" w:rsidR="00C3264D" w:rsidRDefault="003A348D">
            <w:pPr>
              <w:spacing w:after="0"/>
              <w:jc w:val="center"/>
              <w:rPr>
                <w:rFonts w:ascii="Times New Roman" w:hAnsi="Times New Roman"/>
                <w:sz w:val="14"/>
                <w:szCs w:val="18"/>
              </w:rPr>
            </w:pPr>
            <w:r>
              <w:rPr>
                <w:rFonts w:ascii="Times New Roman" w:hAnsi="Times New Roman"/>
                <w:sz w:val="14"/>
                <w:szCs w:val="18"/>
              </w:rPr>
              <w:t>3 845 238</w:t>
            </w:r>
          </w:p>
        </w:tc>
        <w:tc>
          <w:tcPr>
            <w:tcW w:w="1111" w:type="dxa"/>
          </w:tcPr>
          <w:p w14:paraId="1EE13CFD" w14:textId="77777777" w:rsidR="00C3264D" w:rsidRDefault="003A348D">
            <w:pPr>
              <w:spacing w:after="0"/>
              <w:jc w:val="center"/>
              <w:rPr>
                <w:rFonts w:ascii="Times New Roman" w:hAnsi="Times New Roman"/>
                <w:sz w:val="14"/>
                <w:szCs w:val="18"/>
              </w:rPr>
            </w:pPr>
            <w:r>
              <w:rPr>
                <w:rFonts w:ascii="Times New Roman" w:hAnsi="Times New Roman"/>
                <w:sz w:val="14"/>
                <w:szCs w:val="18"/>
              </w:rPr>
              <w:t>107 666 668</w:t>
            </w:r>
          </w:p>
        </w:tc>
      </w:tr>
      <w:tr w:rsidR="00C3264D" w14:paraId="36B5AD73" w14:textId="77777777" w:rsidTr="002802C4">
        <w:trPr>
          <w:gridAfter w:val="1"/>
          <w:wAfter w:w="11" w:type="dxa"/>
          <w:trHeight w:val="304"/>
          <w:jc w:val="center"/>
        </w:trPr>
        <w:tc>
          <w:tcPr>
            <w:tcW w:w="1086" w:type="dxa"/>
          </w:tcPr>
          <w:p w14:paraId="4B94D0C6" w14:textId="77777777" w:rsidR="00C3264D" w:rsidRDefault="003A348D">
            <w:pPr>
              <w:spacing w:after="0"/>
              <w:jc w:val="center"/>
              <w:rPr>
                <w:rFonts w:ascii="Times New Roman" w:hAnsi="Times New Roman"/>
                <w:sz w:val="14"/>
                <w:szCs w:val="18"/>
              </w:rPr>
            </w:pPr>
            <w:r>
              <w:rPr>
                <w:rFonts w:ascii="Times New Roman" w:hAnsi="Times New Roman"/>
                <w:sz w:val="14"/>
                <w:szCs w:val="18"/>
              </w:rPr>
              <w:t>Естония</w:t>
            </w:r>
          </w:p>
        </w:tc>
        <w:tc>
          <w:tcPr>
            <w:tcW w:w="1123" w:type="dxa"/>
          </w:tcPr>
          <w:p w14:paraId="271A261B" w14:textId="77777777" w:rsidR="00C3264D" w:rsidRDefault="003A348D">
            <w:pPr>
              <w:spacing w:after="0"/>
              <w:jc w:val="center"/>
              <w:rPr>
                <w:rFonts w:ascii="Times New Roman" w:hAnsi="Times New Roman"/>
                <w:sz w:val="14"/>
                <w:szCs w:val="18"/>
              </w:rPr>
            </w:pPr>
            <w:r>
              <w:rPr>
                <w:rFonts w:ascii="Times New Roman" w:hAnsi="Times New Roman"/>
                <w:sz w:val="14"/>
                <w:szCs w:val="18"/>
              </w:rPr>
              <w:t>5 288 827</w:t>
            </w:r>
          </w:p>
        </w:tc>
        <w:tc>
          <w:tcPr>
            <w:tcW w:w="997" w:type="dxa"/>
          </w:tcPr>
          <w:p w14:paraId="31349C0C" w14:textId="77777777" w:rsidR="00C3264D" w:rsidRDefault="003A348D">
            <w:pPr>
              <w:spacing w:after="0"/>
              <w:jc w:val="center"/>
              <w:rPr>
                <w:rFonts w:ascii="Times New Roman" w:hAnsi="Times New Roman"/>
                <w:sz w:val="14"/>
                <w:szCs w:val="18"/>
              </w:rPr>
            </w:pPr>
            <w:r>
              <w:rPr>
                <w:rFonts w:ascii="Times New Roman" w:hAnsi="Times New Roman"/>
                <w:sz w:val="14"/>
                <w:szCs w:val="18"/>
              </w:rPr>
              <w:t>4 533 280</w:t>
            </w:r>
          </w:p>
        </w:tc>
        <w:tc>
          <w:tcPr>
            <w:tcW w:w="997" w:type="dxa"/>
          </w:tcPr>
          <w:p w14:paraId="4A5341B7" w14:textId="77777777" w:rsidR="00C3264D" w:rsidRDefault="003A348D">
            <w:pPr>
              <w:spacing w:after="0"/>
              <w:jc w:val="center"/>
              <w:rPr>
                <w:rFonts w:ascii="Times New Roman" w:hAnsi="Times New Roman"/>
                <w:sz w:val="14"/>
                <w:szCs w:val="18"/>
              </w:rPr>
            </w:pPr>
            <w:r>
              <w:rPr>
                <w:rFonts w:ascii="Times New Roman" w:hAnsi="Times New Roman"/>
                <w:sz w:val="14"/>
                <w:szCs w:val="18"/>
              </w:rPr>
              <w:t>3 777 733</w:t>
            </w:r>
          </w:p>
        </w:tc>
        <w:tc>
          <w:tcPr>
            <w:tcW w:w="997" w:type="dxa"/>
          </w:tcPr>
          <w:p w14:paraId="770CDCA6" w14:textId="77777777" w:rsidR="00C3264D" w:rsidRDefault="003A348D">
            <w:pPr>
              <w:spacing w:after="0"/>
              <w:jc w:val="center"/>
              <w:rPr>
                <w:rFonts w:ascii="Times New Roman" w:hAnsi="Times New Roman"/>
                <w:sz w:val="14"/>
                <w:szCs w:val="18"/>
              </w:rPr>
            </w:pPr>
            <w:r>
              <w:rPr>
                <w:rFonts w:ascii="Times New Roman" w:hAnsi="Times New Roman"/>
                <w:sz w:val="14"/>
                <w:szCs w:val="18"/>
              </w:rPr>
              <w:t>3 022 187</w:t>
            </w:r>
          </w:p>
        </w:tc>
        <w:tc>
          <w:tcPr>
            <w:tcW w:w="997" w:type="dxa"/>
          </w:tcPr>
          <w:p w14:paraId="4379BDF9" w14:textId="77777777" w:rsidR="00C3264D" w:rsidRDefault="003A348D">
            <w:pPr>
              <w:spacing w:after="0"/>
              <w:jc w:val="center"/>
              <w:rPr>
                <w:rFonts w:ascii="Times New Roman" w:hAnsi="Times New Roman"/>
                <w:sz w:val="14"/>
                <w:szCs w:val="18"/>
              </w:rPr>
            </w:pPr>
            <w:r>
              <w:rPr>
                <w:rFonts w:ascii="Times New Roman" w:hAnsi="Times New Roman"/>
                <w:sz w:val="14"/>
                <w:szCs w:val="18"/>
              </w:rPr>
              <w:t>2 266 640</w:t>
            </w:r>
          </w:p>
        </w:tc>
        <w:tc>
          <w:tcPr>
            <w:tcW w:w="997" w:type="dxa"/>
          </w:tcPr>
          <w:p w14:paraId="3079C210" w14:textId="77777777" w:rsidR="00C3264D" w:rsidRDefault="003A348D">
            <w:pPr>
              <w:spacing w:after="0"/>
              <w:jc w:val="center"/>
              <w:rPr>
                <w:rFonts w:ascii="Times New Roman" w:hAnsi="Times New Roman"/>
                <w:sz w:val="14"/>
                <w:szCs w:val="18"/>
              </w:rPr>
            </w:pPr>
            <w:r>
              <w:rPr>
                <w:rFonts w:ascii="Times New Roman" w:hAnsi="Times New Roman"/>
                <w:sz w:val="14"/>
                <w:szCs w:val="18"/>
              </w:rPr>
              <w:t>1 511 093</w:t>
            </w:r>
          </w:p>
        </w:tc>
        <w:tc>
          <w:tcPr>
            <w:tcW w:w="997" w:type="dxa"/>
          </w:tcPr>
          <w:p w14:paraId="4A16BA07" w14:textId="77777777" w:rsidR="00C3264D" w:rsidRDefault="003A348D">
            <w:pPr>
              <w:spacing w:after="0"/>
              <w:jc w:val="center"/>
              <w:rPr>
                <w:rFonts w:ascii="Times New Roman" w:hAnsi="Times New Roman"/>
                <w:sz w:val="14"/>
                <w:szCs w:val="18"/>
              </w:rPr>
            </w:pPr>
            <w:r>
              <w:rPr>
                <w:rFonts w:ascii="Times New Roman" w:hAnsi="Times New Roman"/>
                <w:sz w:val="14"/>
                <w:szCs w:val="18"/>
              </w:rPr>
              <w:t>755 547</w:t>
            </w:r>
          </w:p>
        </w:tc>
        <w:tc>
          <w:tcPr>
            <w:tcW w:w="1111" w:type="dxa"/>
          </w:tcPr>
          <w:p w14:paraId="64EB6CB1" w14:textId="77777777" w:rsidR="00C3264D" w:rsidRDefault="003A348D">
            <w:pPr>
              <w:spacing w:after="0"/>
              <w:jc w:val="center"/>
              <w:rPr>
                <w:rFonts w:ascii="Times New Roman" w:hAnsi="Times New Roman"/>
                <w:sz w:val="14"/>
                <w:szCs w:val="18"/>
              </w:rPr>
            </w:pPr>
            <w:r>
              <w:rPr>
                <w:rFonts w:ascii="Times New Roman" w:hAnsi="Times New Roman"/>
                <w:sz w:val="14"/>
                <w:szCs w:val="18"/>
              </w:rPr>
              <w:t>21 155 307</w:t>
            </w:r>
          </w:p>
        </w:tc>
      </w:tr>
      <w:tr w:rsidR="00C3264D" w14:paraId="6F551BC8" w14:textId="77777777" w:rsidTr="002802C4">
        <w:trPr>
          <w:gridAfter w:val="1"/>
          <w:wAfter w:w="11" w:type="dxa"/>
          <w:trHeight w:val="304"/>
          <w:jc w:val="center"/>
        </w:trPr>
        <w:tc>
          <w:tcPr>
            <w:tcW w:w="1086" w:type="dxa"/>
          </w:tcPr>
          <w:p w14:paraId="72CBE4DF" w14:textId="77777777" w:rsidR="00C3264D" w:rsidRDefault="003A348D">
            <w:pPr>
              <w:spacing w:after="0"/>
              <w:jc w:val="center"/>
              <w:rPr>
                <w:rFonts w:ascii="Times New Roman" w:hAnsi="Times New Roman"/>
                <w:sz w:val="14"/>
                <w:szCs w:val="18"/>
              </w:rPr>
            </w:pPr>
            <w:r>
              <w:rPr>
                <w:rFonts w:ascii="Times New Roman" w:hAnsi="Times New Roman"/>
                <w:sz w:val="14"/>
                <w:szCs w:val="18"/>
              </w:rPr>
              <w:t>Унгария</w:t>
            </w:r>
          </w:p>
        </w:tc>
        <w:tc>
          <w:tcPr>
            <w:tcW w:w="1123" w:type="dxa"/>
          </w:tcPr>
          <w:p w14:paraId="131845E3" w14:textId="77777777" w:rsidR="00C3264D" w:rsidRDefault="003A348D">
            <w:pPr>
              <w:spacing w:after="0"/>
              <w:jc w:val="center"/>
              <w:rPr>
                <w:rFonts w:ascii="Times New Roman" w:hAnsi="Times New Roman"/>
                <w:sz w:val="14"/>
                <w:szCs w:val="18"/>
              </w:rPr>
            </w:pPr>
            <w:r>
              <w:rPr>
                <w:rFonts w:ascii="Times New Roman" w:hAnsi="Times New Roman"/>
                <w:sz w:val="14"/>
                <w:szCs w:val="18"/>
              </w:rPr>
              <w:t>7 047 255</w:t>
            </w:r>
          </w:p>
        </w:tc>
        <w:tc>
          <w:tcPr>
            <w:tcW w:w="997" w:type="dxa"/>
          </w:tcPr>
          <w:p w14:paraId="253DC725" w14:textId="77777777" w:rsidR="00C3264D" w:rsidRDefault="003A348D">
            <w:pPr>
              <w:spacing w:after="0"/>
              <w:jc w:val="center"/>
              <w:rPr>
                <w:rFonts w:ascii="Times New Roman" w:hAnsi="Times New Roman"/>
                <w:sz w:val="14"/>
                <w:szCs w:val="18"/>
              </w:rPr>
            </w:pPr>
            <w:r>
              <w:rPr>
                <w:rFonts w:ascii="Times New Roman" w:hAnsi="Times New Roman"/>
                <w:sz w:val="14"/>
                <w:szCs w:val="18"/>
              </w:rPr>
              <w:t>0</w:t>
            </w:r>
          </w:p>
        </w:tc>
        <w:tc>
          <w:tcPr>
            <w:tcW w:w="997" w:type="dxa"/>
          </w:tcPr>
          <w:p w14:paraId="4E0D9A53" w14:textId="77777777" w:rsidR="00C3264D" w:rsidRDefault="003A348D">
            <w:pPr>
              <w:spacing w:after="0"/>
              <w:jc w:val="center"/>
              <w:rPr>
                <w:rFonts w:ascii="Times New Roman" w:hAnsi="Times New Roman"/>
                <w:sz w:val="14"/>
                <w:szCs w:val="18"/>
              </w:rPr>
            </w:pPr>
            <w:r>
              <w:rPr>
                <w:rFonts w:ascii="Times New Roman" w:hAnsi="Times New Roman"/>
                <w:sz w:val="14"/>
                <w:szCs w:val="18"/>
              </w:rPr>
              <w:t>0</w:t>
            </w:r>
          </w:p>
        </w:tc>
        <w:tc>
          <w:tcPr>
            <w:tcW w:w="997" w:type="dxa"/>
          </w:tcPr>
          <w:p w14:paraId="7AE651B8" w14:textId="77777777" w:rsidR="00C3264D" w:rsidRDefault="003A348D">
            <w:pPr>
              <w:spacing w:after="0"/>
              <w:jc w:val="center"/>
              <w:rPr>
                <w:rFonts w:ascii="Times New Roman" w:hAnsi="Times New Roman"/>
                <w:sz w:val="14"/>
                <w:szCs w:val="18"/>
              </w:rPr>
            </w:pPr>
            <w:r>
              <w:rPr>
                <w:rFonts w:ascii="Times New Roman" w:hAnsi="Times New Roman"/>
                <w:sz w:val="14"/>
                <w:szCs w:val="18"/>
              </w:rPr>
              <w:t>0</w:t>
            </w:r>
          </w:p>
        </w:tc>
        <w:tc>
          <w:tcPr>
            <w:tcW w:w="997" w:type="dxa"/>
          </w:tcPr>
          <w:p w14:paraId="70D9EB70" w14:textId="77777777" w:rsidR="00C3264D" w:rsidRDefault="003A348D">
            <w:pPr>
              <w:spacing w:after="0"/>
              <w:jc w:val="center"/>
              <w:rPr>
                <w:rFonts w:ascii="Times New Roman" w:hAnsi="Times New Roman"/>
                <w:sz w:val="14"/>
                <w:szCs w:val="18"/>
              </w:rPr>
            </w:pPr>
            <w:r>
              <w:rPr>
                <w:rFonts w:ascii="Times New Roman" w:hAnsi="Times New Roman"/>
                <w:sz w:val="14"/>
                <w:szCs w:val="18"/>
              </w:rPr>
              <w:t>0</w:t>
            </w:r>
          </w:p>
        </w:tc>
        <w:tc>
          <w:tcPr>
            <w:tcW w:w="997" w:type="dxa"/>
          </w:tcPr>
          <w:p w14:paraId="732A2198" w14:textId="77777777" w:rsidR="00C3264D" w:rsidRDefault="003A348D">
            <w:pPr>
              <w:spacing w:after="0"/>
              <w:jc w:val="center"/>
              <w:rPr>
                <w:rFonts w:ascii="Times New Roman" w:hAnsi="Times New Roman"/>
                <w:sz w:val="14"/>
                <w:szCs w:val="18"/>
              </w:rPr>
            </w:pPr>
            <w:r>
              <w:rPr>
                <w:rFonts w:ascii="Times New Roman" w:hAnsi="Times New Roman"/>
                <w:sz w:val="14"/>
                <w:szCs w:val="18"/>
              </w:rPr>
              <w:t>0</w:t>
            </w:r>
          </w:p>
        </w:tc>
        <w:tc>
          <w:tcPr>
            <w:tcW w:w="997" w:type="dxa"/>
          </w:tcPr>
          <w:p w14:paraId="3257B270" w14:textId="77777777" w:rsidR="00C3264D" w:rsidRDefault="003A348D">
            <w:pPr>
              <w:spacing w:after="0"/>
              <w:jc w:val="center"/>
              <w:rPr>
                <w:rFonts w:ascii="Times New Roman" w:hAnsi="Times New Roman"/>
                <w:sz w:val="14"/>
                <w:szCs w:val="18"/>
              </w:rPr>
            </w:pPr>
            <w:r>
              <w:rPr>
                <w:rFonts w:ascii="Times New Roman" w:hAnsi="Times New Roman"/>
                <w:sz w:val="14"/>
                <w:szCs w:val="18"/>
              </w:rPr>
              <w:t>0</w:t>
            </w:r>
          </w:p>
        </w:tc>
        <w:tc>
          <w:tcPr>
            <w:tcW w:w="1111" w:type="dxa"/>
          </w:tcPr>
          <w:p w14:paraId="69655404" w14:textId="77777777" w:rsidR="00C3264D" w:rsidRDefault="003A348D">
            <w:pPr>
              <w:spacing w:after="0"/>
              <w:jc w:val="center"/>
              <w:rPr>
                <w:rFonts w:ascii="Times New Roman" w:hAnsi="Times New Roman"/>
                <w:sz w:val="14"/>
                <w:szCs w:val="18"/>
              </w:rPr>
            </w:pPr>
            <w:r>
              <w:rPr>
                <w:rFonts w:ascii="Times New Roman" w:hAnsi="Times New Roman"/>
                <w:sz w:val="14"/>
                <w:szCs w:val="18"/>
              </w:rPr>
              <w:t>7 047 255</w:t>
            </w:r>
          </w:p>
        </w:tc>
      </w:tr>
      <w:tr w:rsidR="00C3264D" w14:paraId="2E3622AE" w14:textId="77777777" w:rsidTr="002802C4">
        <w:trPr>
          <w:gridAfter w:val="1"/>
          <w:wAfter w:w="11" w:type="dxa"/>
          <w:trHeight w:val="304"/>
          <w:jc w:val="center"/>
        </w:trPr>
        <w:tc>
          <w:tcPr>
            <w:tcW w:w="1086" w:type="dxa"/>
          </w:tcPr>
          <w:p w14:paraId="2F17AAF0" w14:textId="77777777" w:rsidR="00C3264D" w:rsidRDefault="003A348D">
            <w:pPr>
              <w:spacing w:after="0"/>
              <w:jc w:val="center"/>
              <w:rPr>
                <w:rFonts w:ascii="Times New Roman" w:hAnsi="Times New Roman"/>
                <w:sz w:val="14"/>
                <w:szCs w:val="18"/>
              </w:rPr>
            </w:pPr>
            <w:r>
              <w:rPr>
                <w:rFonts w:ascii="Times New Roman" w:hAnsi="Times New Roman"/>
                <w:sz w:val="14"/>
                <w:szCs w:val="18"/>
              </w:rPr>
              <w:t>Литва</w:t>
            </w:r>
          </w:p>
        </w:tc>
        <w:tc>
          <w:tcPr>
            <w:tcW w:w="1123" w:type="dxa"/>
          </w:tcPr>
          <w:p w14:paraId="3A058697" w14:textId="77777777" w:rsidR="00C3264D" w:rsidRDefault="003A348D">
            <w:pPr>
              <w:spacing w:after="0"/>
              <w:jc w:val="center"/>
              <w:rPr>
                <w:rFonts w:ascii="Times New Roman" w:hAnsi="Times New Roman"/>
                <w:sz w:val="14"/>
                <w:szCs w:val="18"/>
                <w:highlight w:val="yellow"/>
              </w:rPr>
            </w:pPr>
            <w:r>
              <w:rPr>
                <w:rFonts w:ascii="Times New Roman" w:hAnsi="Times New Roman"/>
                <w:sz w:val="14"/>
                <w:szCs w:val="18"/>
              </w:rPr>
              <w:t>582 373</w:t>
            </w:r>
          </w:p>
        </w:tc>
        <w:tc>
          <w:tcPr>
            <w:tcW w:w="997" w:type="dxa"/>
          </w:tcPr>
          <w:p w14:paraId="01091AB0" w14:textId="77777777" w:rsidR="00C3264D" w:rsidRDefault="003A348D">
            <w:pPr>
              <w:spacing w:after="0"/>
              <w:jc w:val="center"/>
              <w:rPr>
                <w:rFonts w:ascii="Times New Roman" w:hAnsi="Times New Roman"/>
                <w:sz w:val="14"/>
                <w:szCs w:val="18"/>
                <w:highlight w:val="yellow"/>
              </w:rPr>
            </w:pPr>
            <w:r>
              <w:rPr>
                <w:rFonts w:ascii="Times New Roman" w:hAnsi="Times New Roman"/>
                <w:sz w:val="14"/>
                <w:szCs w:val="18"/>
              </w:rPr>
              <w:t>536 615</w:t>
            </w:r>
          </w:p>
        </w:tc>
        <w:tc>
          <w:tcPr>
            <w:tcW w:w="997" w:type="dxa"/>
          </w:tcPr>
          <w:p w14:paraId="55517E85" w14:textId="77777777" w:rsidR="00C3264D" w:rsidRDefault="003A348D">
            <w:pPr>
              <w:spacing w:after="0"/>
              <w:jc w:val="center"/>
              <w:rPr>
                <w:rFonts w:ascii="Times New Roman" w:hAnsi="Times New Roman"/>
                <w:sz w:val="14"/>
                <w:szCs w:val="18"/>
                <w:highlight w:val="yellow"/>
              </w:rPr>
            </w:pPr>
            <w:r>
              <w:rPr>
                <w:rFonts w:ascii="Times New Roman" w:hAnsi="Times New Roman"/>
                <w:sz w:val="14"/>
                <w:szCs w:val="18"/>
              </w:rPr>
              <w:t>486 698</w:t>
            </w:r>
          </w:p>
        </w:tc>
        <w:tc>
          <w:tcPr>
            <w:tcW w:w="997" w:type="dxa"/>
          </w:tcPr>
          <w:p w14:paraId="326F9114" w14:textId="77777777" w:rsidR="00C3264D" w:rsidRDefault="003A348D">
            <w:pPr>
              <w:spacing w:after="0"/>
              <w:jc w:val="center"/>
              <w:rPr>
                <w:rFonts w:ascii="Times New Roman" w:hAnsi="Times New Roman"/>
                <w:sz w:val="14"/>
                <w:szCs w:val="18"/>
                <w:highlight w:val="yellow"/>
              </w:rPr>
            </w:pPr>
            <w:r>
              <w:rPr>
                <w:rFonts w:ascii="Times New Roman" w:hAnsi="Times New Roman"/>
                <w:sz w:val="14"/>
                <w:szCs w:val="18"/>
              </w:rPr>
              <w:t>428 460</w:t>
            </w:r>
          </w:p>
        </w:tc>
        <w:tc>
          <w:tcPr>
            <w:tcW w:w="997" w:type="dxa"/>
          </w:tcPr>
          <w:p w14:paraId="7D1D8C9F" w14:textId="77777777" w:rsidR="00C3264D" w:rsidRDefault="003A348D">
            <w:pPr>
              <w:spacing w:after="0"/>
              <w:jc w:val="center"/>
              <w:rPr>
                <w:rFonts w:ascii="Times New Roman" w:hAnsi="Times New Roman"/>
                <w:sz w:val="14"/>
                <w:szCs w:val="18"/>
                <w:highlight w:val="yellow"/>
              </w:rPr>
            </w:pPr>
            <w:r>
              <w:rPr>
                <w:rFonts w:ascii="Times New Roman" w:hAnsi="Times New Roman"/>
                <w:sz w:val="14"/>
                <w:szCs w:val="18"/>
              </w:rPr>
              <w:t>361 903</w:t>
            </w:r>
          </w:p>
        </w:tc>
        <w:tc>
          <w:tcPr>
            <w:tcW w:w="997" w:type="dxa"/>
          </w:tcPr>
          <w:p w14:paraId="71A8A03A" w14:textId="77777777" w:rsidR="00C3264D" w:rsidRDefault="003A348D">
            <w:pPr>
              <w:spacing w:after="0"/>
              <w:jc w:val="center"/>
              <w:rPr>
                <w:rFonts w:ascii="Times New Roman" w:hAnsi="Times New Roman"/>
                <w:sz w:val="14"/>
                <w:szCs w:val="18"/>
                <w:highlight w:val="yellow"/>
              </w:rPr>
            </w:pPr>
            <w:r>
              <w:rPr>
                <w:rFonts w:ascii="Times New Roman" w:hAnsi="Times New Roman"/>
                <w:sz w:val="14"/>
                <w:szCs w:val="18"/>
              </w:rPr>
              <w:t>287 027</w:t>
            </w:r>
          </w:p>
        </w:tc>
        <w:tc>
          <w:tcPr>
            <w:tcW w:w="997" w:type="dxa"/>
          </w:tcPr>
          <w:p w14:paraId="6D17C3A2" w14:textId="77777777" w:rsidR="00C3264D" w:rsidRDefault="003A348D">
            <w:pPr>
              <w:spacing w:after="0"/>
              <w:jc w:val="center"/>
              <w:rPr>
                <w:rFonts w:ascii="Times New Roman" w:hAnsi="Times New Roman"/>
                <w:sz w:val="14"/>
                <w:szCs w:val="18"/>
                <w:highlight w:val="yellow"/>
              </w:rPr>
            </w:pPr>
            <w:r>
              <w:rPr>
                <w:rFonts w:ascii="Times New Roman" w:hAnsi="Times New Roman"/>
                <w:sz w:val="14"/>
                <w:szCs w:val="18"/>
              </w:rPr>
              <w:t>170 552</w:t>
            </w:r>
          </w:p>
        </w:tc>
        <w:tc>
          <w:tcPr>
            <w:tcW w:w="1111" w:type="dxa"/>
          </w:tcPr>
          <w:p w14:paraId="43B913B7" w14:textId="77777777" w:rsidR="00C3264D" w:rsidRDefault="003A348D">
            <w:pPr>
              <w:spacing w:after="0"/>
              <w:jc w:val="center"/>
              <w:rPr>
                <w:rFonts w:ascii="Times New Roman" w:hAnsi="Times New Roman"/>
                <w:sz w:val="14"/>
                <w:szCs w:val="18"/>
                <w:highlight w:val="yellow"/>
              </w:rPr>
            </w:pPr>
            <w:r>
              <w:rPr>
                <w:rFonts w:ascii="Times New Roman" w:hAnsi="Times New Roman"/>
                <w:sz w:val="14"/>
                <w:szCs w:val="18"/>
              </w:rPr>
              <w:t>2 853 628</w:t>
            </w:r>
          </w:p>
        </w:tc>
      </w:tr>
      <w:tr w:rsidR="00C3264D" w14:paraId="689262B3" w14:textId="77777777" w:rsidTr="002802C4">
        <w:trPr>
          <w:gridAfter w:val="1"/>
          <w:wAfter w:w="11" w:type="dxa"/>
          <w:trHeight w:val="304"/>
          <w:jc w:val="center"/>
        </w:trPr>
        <w:tc>
          <w:tcPr>
            <w:tcW w:w="1086" w:type="dxa"/>
          </w:tcPr>
          <w:p w14:paraId="6DDD46D3" w14:textId="77777777" w:rsidR="00C3264D" w:rsidRDefault="003A348D">
            <w:pPr>
              <w:spacing w:after="0"/>
              <w:jc w:val="center"/>
              <w:rPr>
                <w:rFonts w:ascii="Times New Roman" w:hAnsi="Times New Roman"/>
                <w:sz w:val="14"/>
                <w:szCs w:val="18"/>
              </w:rPr>
            </w:pPr>
            <w:r>
              <w:rPr>
                <w:rFonts w:ascii="Times New Roman" w:hAnsi="Times New Roman"/>
                <w:sz w:val="14"/>
                <w:szCs w:val="18"/>
              </w:rPr>
              <w:t>Полша</w:t>
            </w:r>
          </w:p>
        </w:tc>
        <w:tc>
          <w:tcPr>
            <w:tcW w:w="1123" w:type="dxa"/>
          </w:tcPr>
          <w:p w14:paraId="5CF2EFC8" w14:textId="77777777" w:rsidR="00C3264D" w:rsidRDefault="003A348D">
            <w:pPr>
              <w:spacing w:after="0"/>
              <w:jc w:val="center"/>
              <w:rPr>
                <w:rFonts w:ascii="Times New Roman" w:hAnsi="Times New Roman"/>
                <w:sz w:val="14"/>
                <w:szCs w:val="18"/>
              </w:rPr>
            </w:pPr>
            <w:r>
              <w:rPr>
                <w:rFonts w:ascii="Times New Roman" w:hAnsi="Times New Roman"/>
                <w:sz w:val="14"/>
                <w:szCs w:val="18"/>
              </w:rPr>
              <w:t>77 816 756</w:t>
            </w:r>
          </w:p>
        </w:tc>
        <w:tc>
          <w:tcPr>
            <w:tcW w:w="997" w:type="dxa"/>
          </w:tcPr>
          <w:p w14:paraId="6EE5B17B" w14:textId="77777777" w:rsidR="00C3264D" w:rsidRDefault="003A348D">
            <w:pPr>
              <w:spacing w:after="0"/>
              <w:jc w:val="center"/>
              <w:rPr>
                <w:rFonts w:ascii="Times New Roman" w:hAnsi="Times New Roman"/>
                <w:sz w:val="14"/>
                <w:szCs w:val="18"/>
              </w:rPr>
            </w:pPr>
            <w:r>
              <w:rPr>
                <w:rFonts w:ascii="Times New Roman" w:hAnsi="Times New Roman"/>
                <w:sz w:val="14"/>
                <w:szCs w:val="18"/>
              </w:rPr>
              <w:t>72 258 416</w:t>
            </w:r>
          </w:p>
        </w:tc>
        <w:tc>
          <w:tcPr>
            <w:tcW w:w="997" w:type="dxa"/>
          </w:tcPr>
          <w:p w14:paraId="7CD6B61D" w14:textId="77777777" w:rsidR="00C3264D" w:rsidRDefault="003A348D">
            <w:pPr>
              <w:spacing w:after="0"/>
              <w:jc w:val="center"/>
              <w:rPr>
                <w:rFonts w:ascii="Times New Roman" w:hAnsi="Times New Roman"/>
                <w:sz w:val="14"/>
                <w:szCs w:val="18"/>
              </w:rPr>
            </w:pPr>
            <w:r>
              <w:rPr>
                <w:rFonts w:ascii="Times New Roman" w:hAnsi="Times New Roman"/>
                <w:sz w:val="14"/>
                <w:szCs w:val="18"/>
              </w:rPr>
              <w:t>66 700 076</w:t>
            </w:r>
          </w:p>
        </w:tc>
        <w:tc>
          <w:tcPr>
            <w:tcW w:w="997" w:type="dxa"/>
          </w:tcPr>
          <w:p w14:paraId="54156F3E" w14:textId="77777777" w:rsidR="00C3264D" w:rsidRDefault="003A348D">
            <w:pPr>
              <w:spacing w:after="0"/>
              <w:jc w:val="center"/>
              <w:rPr>
                <w:rFonts w:ascii="Times New Roman" w:hAnsi="Times New Roman"/>
                <w:sz w:val="14"/>
                <w:szCs w:val="18"/>
              </w:rPr>
            </w:pPr>
            <w:r>
              <w:rPr>
                <w:rFonts w:ascii="Times New Roman" w:hAnsi="Times New Roman"/>
                <w:sz w:val="14"/>
                <w:szCs w:val="18"/>
              </w:rPr>
              <w:t>60 030 069</w:t>
            </w:r>
          </w:p>
        </w:tc>
        <w:tc>
          <w:tcPr>
            <w:tcW w:w="997" w:type="dxa"/>
          </w:tcPr>
          <w:p w14:paraId="55598F57" w14:textId="77777777" w:rsidR="00C3264D" w:rsidRDefault="003A348D">
            <w:pPr>
              <w:spacing w:after="0"/>
              <w:jc w:val="center"/>
              <w:rPr>
                <w:rFonts w:ascii="Times New Roman" w:hAnsi="Times New Roman"/>
                <w:sz w:val="14"/>
                <w:szCs w:val="18"/>
              </w:rPr>
            </w:pPr>
            <w:r>
              <w:rPr>
                <w:rFonts w:ascii="Times New Roman" w:hAnsi="Times New Roman"/>
                <w:sz w:val="14"/>
                <w:szCs w:val="18"/>
              </w:rPr>
              <w:t>52 248 393</w:t>
            </w:r>
          </w:p>
        </w:tc>
        <w:tc>
          <w:tcPr>
            <w:tcW w:w="997" w:type="dxa"/>
          </w:tcPr>
          <w:p w14:paraId="67DCD312" w14:textId="77777777" w:rsidR="00C3264D" w:rsidRDefault="003A348D">
            <w:pPr>
              <w:spacing w:after="0"/>
              <w:jc w:val="center"/>
              <w:rPr>
                <w:rFonts w:ascii="Times New Roman" w:hAnsi="Times New Roman"/>
                <w:sz w:val="14"/>
                <w:szCs w:val="18"/>
              </w:rPr>
            </w:pPr>
            <w:r>
              <w:rPr>
                <w:rFonts w:ascii="Times New Roman" w:hAnsi="Times New Roman"/>
                <w:sz w:val="14"/>
                <w:szCs w:val="18"/>
              </w:rPr>
              <w:t>43 355 049</w:t>
            </w:r>
          </w:p>
        </w:tc>
        <w:tc>
          <w:tcPr>
            <w:tcW w:w="997" w:type="dxa"/>
          </w:tcPr>
          <w:p w14:paraId="1D9A4AE8" w14:textId="77777777" w:rsidR="00C3264D" w:rsidRDefault="003A348D">
            <w:pPr>
              <w:spacing w:after="0"/>
              <w:jc w:val="center"/>
              <w:rPr>
                <w:rFonts w:ascii="Times New Roman" w:hAnsi="Times New Roman"/>
                <w:sz w:val="14"/>
                <w:szCs w:val="18"/>
              </w:rPr>
            </w:pPr>
            <w:r>
              <w:rPr>
                <w:rFonts w:ascii="Times New Roman" w:hAnsi="Times New Roman"/>
                <w:sz w:val="14"/>
                <w:szCs w:val="18"/>
              </w:rPr>
              <w:t>32 238 370</w:t>
            </w:r>
          </w:p>
        </w:tc>
        <w:tc>
          <w:tcPr>
            <w:tcW w:w="1111" w:type="dxa"/>
          </w:tcPr>
          <w:p w14:paraId="4338794D" w14:textId="77777777" w:rsidR="00C3264D" w:rsidRDefault="003A348D">
            <w:pPr>
              <w:spacing w:after="0"/>
              <w:jc w:val="center"/>
              <w:rPr>
                <w:rFonts w:ascii="Times New Roman" w:hAnsi="Times New Roman"/>
                <w:sz w:val="14"/>
                <w:szCs w:val="18"/>
              </w:rPr>
            </w:pPr>
            <w:r>
              <w:rPr>
                <w:rFonts w:ascii="Times New Roman" w:hAnsi="Times New Roman"/>
                <w:sz w:val="14"/>
                <w:szCs w:val="18"/>
              </w:rPr>
              <w:t>404 647 129</w:t>
            </w:r>
          </w:p>
        </w:tc>
      </w:tr>
      <w:tr w:rsidR="00C3264D" w14:paraId="4CF10CF6" w14:textId="77777777" w:rsidTr="002802C4">
        <w:trPr>
          <w:gridAfter w:val="1"/>
          <w:wAfter w:w="11" w:type="dxa"/>
          <w:trHeight w:val="304"/>
          <w:jc w:val="center"/>
        </w:trPr>
        <w:tc>
          <w:tcPr>
            <w:tcW w:w="1086" w:type="dxa"/>
          </w:tcPr>
          <w:p w14:paraId="52E1642A" w14:textId="77777777" w:rsidR="00C3264D" w:rsidRDefault="003A348D">
            <w:pPr>
              <w:spacing w:after="0"/>
              <w:jc w:val="center"/>
              <w:rPr>
                <w:rFonts w:ascii="Times New Roman" w:hAnsi="Times New Roman"/>
                <w:sz w:val="14"/>
                <w:szCs w:val="18"/>
              </w:rPr>
            </w:pPr>
            <w:r>
              <w:rPr>
                <w:rFonts w:ascii="Times New Roman" w:hAnsi="Times New Roman"/>
                <w:sz w:val="14"/>
                <w:szCs w:val="18"/>
              </w:rPr>
              <w:t>Румъния</w:t>
            </w:r>
          </w:p>
        </w:tc>
        <w:tc>
          <w:tcPr>
            <w:tcW w:w="1123" w:type="dxa"/>
          </w:tcPr>
          <w:p w14:paraId="2BCC71C1" w14:textId="77777777" w:rsidR="00C3264D" w:rsidRDefault="003A348D">
            <w:pPr>
              <w:spacing w:after="0"/>
              <w:jc w:val="center"/>
              <w:rPr>
                <w:rFonts w:ascii="Times New Roman" w:hAnsi="Times New Roman"/>
                <w:sz w:val="14"/>
                <w:szCs w:val="18"/>
              </w:rPr>
            </w:pPr>
            <w:r>
              <w:rPr>
                <w:rFonts w:ascii="Times New Roman" w:hAnsi="Times New Roman"/>
                <w:sz w:val="14"/>
                <w:szCs w:val="18"/>
              </w:rPr>
              <w:t>17 852 479</w:t>
            </w:r>
          </w:p>
        </w:tc>
        <w:tc>
          <w:tcPr>
            <w:tcW w:w="997" w:type="dxa"/>
          </w:tcPr>
          <w:p w14:paraId="5D34D26D" w14:textId="77777777" w:rsidR="00C3264D" w:rsidRDefault="003A348D">
            <w:pPr>
              <w:spacing w:after="0"/>
              <w:jc w:val="center"/>
              <w:rPr>
                <w:rFonts w:ascii="Times New Roman" w:hAnsi="Times New Roman"/>
                <w:sz w:val="14"/>
                <w:szCs w:val="18"/>
              </w:rPr>
            </w:pPr>
            <w:r>
              <w:rPr>
                <w:rFonts w:ascii="Times New Roman" w:hAnsi="Times New Roman"/>
                <w:sz w:val="14"/>
                <w:szCs w:val="18"/>
              </w:rPr>
              <w:t>15 302 125</w:t>
            </w:r>
          </w:p>
        </w:tc>
        <w:tc>
          <w:tcPr>
            <w:tcW w:w="997" w:type="dxa"/>
          </w:tcPr>
          <w:p w14:paraId="4E798D38" w14:textId="77777777" w:rsidR="00C3264D" w:rsidRDefault="003A348D">
            <w:pPr>
              <w:spacing w:after="0"/>
              <w:jc w:val="center"/>
              <w:rPr>
                <w:rFonts w:ascii="Times New Roman" w:hAnsi="Times New Roman"/>
                <w:sz w:val="14"/>
                <w:szCs w:val="18"/>
              </w:rPr>
            </w:pPr>
            <w:r>
              <w:rPr>
                <w:rFonts w:ascii="Times New Roman" w:hAnsi="Times New Roman"/>
                <w:sz w:val="14"/>
                <w:szCs w:val="18"/>
              </w:rPr>
              <w:t>12 751 771</w:t>
            </w:r>
          </w:p>
        </w:tc>
        <w:tc>
          <w:tcPr>
            <w:tcW w:w="997" w:type="dxa"/>
          </w:tcPr>
          <w:p w14:paraId="282B6D38" w14:textId="77777777" w:rsidR="00C3264D" w:rsidRDefault="003A348D">
            <w:pPr>
              <w:spacing w:after="0"/>
              <w:jc w:val="center"/>
              <w:rPr>
                <w:rFonts w:ascii="Times New Roman" w:hAnsi="Times New Roman"/>
                <w:sz w:val="14"/>
                <w:szCs w:val="18"/>
              </w:rPr>
            </w:pPr>
            <w:r>
              <w:rPr>
                <w:rFonts w:ascii="Times New Roman" w:hAnsi="Times New Roman"/>
                <w:sz w:val="14"/>
                <w:szCs w:val="18"/>
              </w:rPr>
              <w:t>10 201 417</w:t>
            </w:r>
          </w:p>
        </w:tc>
        <w:tc>
          <w:tcPr>
            <w:tcW w:w="997" w:type="dxa"/>
          </w:tcPr>
          <w:p w14:paraId="2509C8F3" w14:textId="77777777" w:rsidR="00C3264D" w:rsidRDefault="003A348D">
            <w:pPr>
              <w:spacing w:after="0"/>
              <w:jc w:val="center"/>
              <w:rPr>
                <w:rFonts w:ascii="Times New Roman" w:hAnsi="Times New Roman"/>
                <w:sz w:val="14"/>
                <w:szCs w:val="18"/>
              </w:rPr>
            </w:pPr>
            <w:r>
              <w:rPr>
                <w:rFonts w:ascii="Times New Roman" w:hAnsi="Times New Roman"/>
                <w:sz w:val="14"/>
                <w:szCs w:val="18"/>
              </w:rPr>
              <w:t>7 651 063</w:t>
            </w:r>
          </w:p>
        </w:tc>
        <w:tc>
          <w:tcPr>
            <w:tcW w:w="997" w:type="dxa"/>
          </w:tcPr>
          <w:p w14:paraId="036ED052" w14:textId="77777777" w:rsidR="00C3264D" w:rsidRDefault="003A348D">
            <w:pPr>
              <w:spacing w:after="0"/>
              <w:jc w:val="center"/>
              <w:rPr>
                <w:rFonts w:ascii="Times New Roman" w:hAnsi="Times New Roman"/>
                <w:sz w:val="14"/>
                <w:szCs w:val="18"/>
              </w:rPr>
            </w:pPr>
            <w:r>
              <w:rPr>
                <w:rFonts w:ascii="Times New Roman" w:hAnsi="Times New Roman"/>
                <w:sz w:val="14"/>
                <w:szCs w:val="18"/>
              </w:rPr>
              <w:t>5 100 708</w:t>
            </w:r>
          </w:p>
        </w:tc>
        <w:tc>
          <w:tcPr>
            <w:tcW w:w="997" w:type="dxa"/>
          </w:tcPr>
          <w:p w14:paraId="4D3A9C8D" w14:textId="77777777" w:rsidR="00C3264D" w:rsidRDefault="003A348D">
            <w:pPr>
              <w:spacing w:after="0"/>
              <w:jc w:val="center"/>
              <w:rPr>
                <w:rFonts w:ascii="Times New Roman" w:hAnsi="Times New Roman"/>
                <w:sz w:val="14"/>
                <w:szCs w:val="18"/>
              </w:rPr>
            </w:pPr>
            <w:r>
              <w:rPr>
                <w:rFonts w:ascii="Times New Roman" w:hAnsi="Times New Roman"/>
                <w:sz w:val="14"/>
                <w:szCs w:val="18"/>
              </w:rPr>
              <w:t>2 550 354</w:t>
            </w:r>
          </w:p>
        </w:tc>
        <w:tc>
          <w:tcPr>
            <w:tcW w:w="1111" w:type="dxa"/>
          </w:tcPr>
          <w:p w14:paraId="5C94A0FE" w14:textId="77777777" w:rsidR="00C3264D" w:rsidRDefault="003A348D">
            <w:pPr>
              <w:spacing w:after="0"/>
              <w:jc w:val="center"/>
              <w:rPr>
                <w:rFonts w:ascii="Times New Roman" w:hAnsi="Times New Roman"/>
                <w:sz w:val="14"/>
                <w:szCs w:val="18"/>
              </w:rPr>
            </w:pPr>
            <w:r>
              <w:rPr>
                <w:rFonts w:ascii="Times New Roman" w:hAnsi="Times New Roman"/>
                <w:sz w:val="14"/>
                <w:szCs w:val="18"/>
              </w:rPr>
              <w:t>71 409 917</w:t>
            </w:r>
          </w:p>
        </w:tc>
      </w:tr>
      <w:tr w:rsidR="00C3264D" w14:paraId="45F12DF7" w14:textId="77777777" w:rsidTr="002802C4">
        <w:trPr>
          <w:gridAfter w:val="1"/>
          <w:wAfter w:w="11" w:type="dxa"/>
          <w:trHeight w:val="432"/>
          <w:jc w:val="center"/>
        </w:trPr>
        <w:tc>
          <w:tcPr>
            <w:tcW w:w="1086" w:type="dxa"/>
          </w:tcPr>
          <w:p w14:paraId="568B074B" w14:textId="77777777" w:rsidR="00C3264D" w:rsidRDefault="003A348D">
            <w:pPr>
              <w:spacing w:after="0"/>
              <w:jc w:val="center"/>
              <w:rPr>
                <w:rFonts w:ascii="Times New Roman" w:hAnsi="Times New Roman"/>
                <w:b/>
                <w:sz w:val="14"/>
                <w:szCs w:val="18"/>
                <w:u w:val="single"/>
              </w:rPr>
            </w:pPr>
            <w:r>
              <w:rPr>
                <w:rFonts w:ascii="Times New Roman" w:hAnsi="Times New Roman"/>
                <w:b/>
                <w:sz w:val="14"/>
                <w:szCs w:val="18"/>
                <w:u w:val="single"/>
              </w:rPr>
              <w:t>Общо</w:t>
            </w:r>
          </w:p>
        </w:tc>
        <w:tc>
          <w:tcPr>
            <w:tcW w:w="1123" w:type="dxa"/>
          </w:tcPr>
          <w:p w14:paraId="2EA39E7D" w14:textId="77777777" w:rsidR="00C3264D" w:rsidRDefault="003A348D">
            <w:pPr>
              <w:spacing w:after="0"/>
              <w:jc w:val="center"/>
              <w:rPr>
                <w:rFonts w:ascii="Times New Roman" w:hAnsi="Times New Roman"/>
                <w:sz w:val="14"/>
                <w:szCs w:val="18"/>
                <w:highlight w:val="yellow"/>
              </w:rPr>
            </w:pPr>
            <w:r>
              <w:rPr>
                <w:rFonts w:ascii="Times New Roman" w:hAnsi="Times New Roman"/>
                <w:sz w:val="14"/>
                <w:szCs w:val="18"/>
              </w:rPr>
              <w:t>151 565 434</w:t>
            </w:r>
          </w:p>
        </w:tc>
        <w:tc>
          <w:tcPr>
            <w:tcW w:w="997" w:type="dxa"/>
          </w:tcPr>
          <w:p w14:paraId="5603FDDF" w14:textId="77777777" w:rsidR="00C3264D" w:rsidRDefault="003A348D">
            <w:pPr>
              <w:spacing w:after="0"/>
              <w:jc w:val="center"/>
              <w:rPr>
                <w:rFonts w:ascii="Times New Roman" w:hAnsi="Times New Roman"/>
                <w:sz w:val="14"/>
                <w:szCs w:val="18"/>
                <w:highlight w:val="yellow"/>
              </w:rPr>
            </w:pPr>
            <w:r>
              <w:rPr>
                <w:rFonts w:ascii="Times New Roman" w:hAnsi="Times New Roman"/>
                <w:sz w:val="14"/>
                <w:szCs w:val="18"/>
              </w:rPr>
              <w:t>129 504 488</w:t>
            </w:r>
          </w:p>
        </w:tc>
        <w:tc>
          <w:tcPr>
            <w:tcW w:w="997" w:type="dxa"/>
          </w:tcPr>
          <w:p w14:paraId="722F3365" w14:textId="77777777" w:rsidR="00C3264D" w:rsidRDefault="003A348D">
            <w:pPr>
              <w:spacing w:after="0"/>
              <w:jc w:val="center"/>
              <w:rPr>
                <w:rFonts w:ascii="Times New Roman" w:hAnsi="Times New Roman"/>
                <w:sz w:val="14"/>
                <w:szCs w:val="18"/>
                <w:highlight w:val="yellow"/>
              </w:rPr>
            </w:pPr>
            <w:r>
              <w:rPr>
                <w:rFonts w:ascii="Times New Roman" w:hAnsi="Times New Roman"/>
                <w:sz w:val="14"/>
                <w:szCs w:val="18"/>
              </w:rPr>
              <w:t>114 522 628</w:t>
            </w:r>
          </w:p>
        </w:tc>
        <w:tc>
          <w:tcPr>
            <w:tcW w:w="997" w:type="dxa"/>
          </w:tcPr>
          <w:p w14:paraId="17D38C4D" w14:textId="77777777" w:rsidR="00C3264D" w:rsidRDefault="003A348D">
            <w:pPr>
              <w:spacing w:after="0"/>
              <w:jc w:val="center"/>
              <w:rPr>
                <w:rFonts w:ascii="Times New Roman" w:hAnsi="Times New Roman"/>
                <w:sz w:val="14"/>
                <w:szCs w:val="18"/>
                <w:highlight w:val="yellow"/>
              </w:rPr>
            </w:pPr>
            <w:r>
              <w:rPr>
                <w:rFonts w:ascii="Times New Roman" w:hAnsi="Times New Roman"/>
                <w:sz w:val="14"/>
                <w:szCs w:val="18"/>
              </w:rPr>
              <w:t>98 384 792</w:t>
            </w:r>
          </w:p>
        </w:tc>
        <w:tc>
          <w:tcPr>
            <w:tcW w:w="997" w:type="dxa"/>
          </w:tcPr>
          <w:p w14:paraId="29BA1AF3" w14:textId="77777777" w:rsidR="00C3264D" w:rsidRDefault="003A348D">
            <w:pPr>
              <w:spacing w:after="0"/>
              <w:jc w:val="center"/>
              <w:rPr>
                <w:rFonts w:ascii="Times New Roman" w:hAnsi="Times New Roman"/>
                <w:sz w:val="14"/>
                <w:szCs w:val="18"/>
                <w:highlight w:val="yellow"/>
              </w:rPr>
            </w:pPr>
            <w:r>
              <w:rPr>
                <w:rFonts w:ascii="Times New Roman" w:hAnsi="Times New Roman"/>
                <w:sz w:val="14"/>
                <w:szCs w:val="18"/>
              </w:rPr>
              <w:t>81 126 965</w:t>
            </w:r>
          </w:p>
        </w:tc>
        <w:tc>
          <w:tcPr>
            <w:tcW w:w="997" w:type="dxa"/>
          </w:tcPr>
          <w:p w14:paraId="63A89FDC" w14:textId="77777777" w:rsidR="00C3264D" w:rsidRDefault="003A348D">
            <w:pPr>
              <w:spacing w:after="0"/>
              <w:jc w:val="center"/>
              <w:rPr>
                <w:rFonts w:ascii="Times New Roman" w:hAnsi="Times New Roman"/>
                <w:sz w:val="14"/>
                <w:szCs w:val="18"/>
                <w:highlight w:val="yellow"/>
              </w:rPr>
            </w:pPr>
            <w:r>
              <w:rPr>
                <w:rFonts w:ascii="Times New Roman" w:hAnsi="Times New Roman"/>
                <w:sz w:val="14"/>
                <w:szCs w:val="18"/>
              </w:rPr>
              <w:t>62 749 153</w:t>
            </w:r>
          </w:p>
        </w:tc>
        <w:tc>
          <w:tcPr>
            <w:tcW w:w="997" w:type="dxa"/>
          </w:tcPr>
          <w:p w14:paraId="5709B4FB" w14:textId="77777777" w:rsidR="00C3264D" w:rsidRDefault="003A348D">
            <w:pPr>
              <w:spacing w:after="0"/>
              <w:jc w:val="center"/>
              <w:rPr>
                <w:rFonts w:ascii="Times New Roman" w:hAnsi="Times New Roman"/>
                <w:sz w:val="14"/>
                <w:szCs w:val="18"/>
                <w:highlight w:val="yellow"/>
              </w:rPr>
            </w:pPr>
            <w:r>
              <w:rPr>
                <w:rFonts w:ascii="Times New Roman" w:hAnsi="Times New Roman"/>
                <w:sz w:val="14"/>
                <w:szCs w:val="18"/>
              </w:rPr>
              <w:t>42 070 421</w:t>
            </w:r>
          </w:p>
        </w:tc>
        <w:tc>
          <w:tcPr>
            <w:tcW w:w="1111" w:type="dxa"/>
          </w:tcPr>
          <w:p w14:paraId="2A70D6E7" w14:textId="77777777" w:rsidR="00C3264D" w:rsidRDefault="003A348D">
            <w:pPr>
              <w:spacing w:after="0"/>
              <w:jc w:val="center"/>
              <w:rPr>
                <w:rFonts w:ascii="Times New Roman" w:hAnsi="Times New Roman"/>
                <w:sz w:val="14"/>
                <w:szCs w:val="18"/>
                <w:highlight w:val="yellow"/>
              </w:rPr>
            </w:pPr>
            <w:r>
              <w:rPr>
                <w:rFonts w:ascii="Times New Roman" w:hAnsi="Times New Roman"/>
                <w:sz w:val="14"/>
                <w:szCs w:val="18"/>
              </w:rPr>
              <w:t>679 923 881</w:t>
            </w:r>
          </w:p>
        </w:tc>
      </w:tr>
    </w:tbl>
    <w:p w14:paraId="507D3299" w14:textId="77777777" w:rsidR="00C3264D" w:rsidRDefault="00526348">
      <w:pPr>
        <w:rPr>
          <w:rFonts w:ascii="Times New Roman" w:hAnsi="Times New Roman"/>
          <w:sz w:val="18"/>
          <w:szCs w:val="18"/>
        </w:rPr>
      </w:pPr>
      <w:r>
        <w:rPr>
          <w:rFonts w:ascii="Times New Roman" w:hAnsi="Times New Roman"/>
          <w:sz w:val="18"/>
          <w:szCs w:val="18"/>
        </w:rPr>
        <w:t>Източник: ГД „Действия по климата“</w:t>
      </w:r>
    </w:p>
    <w:p w14:paraId="6E0AF790" w14:textId="77777777" w:rsidR="00C3264D" w:rsidRDefault="00C3264D">
      <w:pPr>
        <w:rPr>
          <w:rFonts w:ascii="Times New Roman" w:hAnsi="Times New Roman"/>
          <w:b/>
          <w:sz w:val="20"/>
          <w:szCs w:val="20"/>
        </w:rPr>
      </w:pPr>
    </w:p>
    <w:p w14:paraId="35C8434D" w14:textId="77777777" w:rsidR="00C3264D" w:rsidRDefault="00C3264D">
      <w:pPr>
        <w:rPr>
          <w:rFonts w:ascii="Times New Roman" w:hAnsi="Times New Roman"/>
          <w:b/>
          <w:sz w:val="20"/>
          <w:szCs w:val="20"/>
        </w:rPr>
      </w:pPr>
    </w:p>
    <w:p w14:paraId="5ECAC1B4" w14:textId="77777777" w:rsidR="00C3264D" w:rsidRDefault="00C3264D">
      <w:pPr>
        <w:rPr>
          <w:rFonts w:ascii="Times New Roman" w:hAnsi="Times New Roman"/>
          <w:b/>
          <w:sz w:val="20"/>
          <w:szCs w:val="20"/>
        </w:rPr>
      </w:pPr>
    </w:p>
    <w:p w14:paraId="23760357" w14:textId="77777777" w:rsidR="00C3264D" w:rsidRDefault="007708E7">
      <w:pPr>
        <w:rPr>
          <w:rFonts w:ascii="Times New Roman" w:hAnsi="Times New Roman"/>
          <w:b/>
          <w:sz w:val="20"/>
          <w:szCs w:val="20"/>
        </w:rPr>
      </w:pPr>
      <w:r>
        <w:rPr>
          <w:rFonts w:ascii="Times New Roman" w:hAnsi="Times New Roman"/>
          <w:b/>
          <w:sz w:val="20"/>
          <w:szCs w:val="20"/>
        </w:rPr>
        <w:t>Таблица 1.3: Брой на неизползваните безплатни квоти съгласно дерогацията от задължението за тръжна продажба на всички квоти за сектора за производство на електрическа и топлинна енергия, които са продадени на търг или планирани за продажба на търг през периода 2013—2020 г.</w:t>
      </w:r>
      <w:r>
        <w:rPr>
          <w:rStyle w:val="FootnoteReference"/>
          <w:rFonts w:ascii="Times New Roman" w:hAnsi="Times New Roman"/>
          <w:b/>
          <w:sz w:val="20"/>
          <w:szCs w:val="20"/>
        </w:rPr>
        <w:footnoteReference w:id="76"/>
      </w:r>
    </w:p>
    <w:tbl>
      <w:tblPr>
        <w:tblW w:w="9042" w:type="dxa"/>
        <w:tblInd w:w="85" w:type="dxa"/>
        <w:tblLook w:val="04A0" w:firstRow="1" w:lastRow="0" w:firstColumn="1" w:lastColumn="0" w:noHBand="0" w:noVBand="1"/>
      </w:tblPr>
      <w:tblGrid>
        <w:gridCol w:w="1926"/>
        <w:gridCol w:w="1135"/>
        <w:gridCol w:w="1135"/>
        <w:gridCol w:w="1135"/>
        <w:gridCol w:w="1135"/>
        <w:gridCol w:w="1288"/>
        <w:gridCol w:w="1288"/>
      </w:tblGrid>
      <w:tr w:rsidR="00C3264D" w14:paraId="7AF23450" w14:textId="77777777" w:rsidTr="007708E7">
        <w:trPr>
          <w:trHeight w:val="330"/>
        </w:trPr>
        <w:tc>
          <w:tcPr>
            <w:tcW w:w="9042" w:type="dxa"/>
            <w:gridSpan w:val="7"/>
            <w:tcBorders>
              <w:top w:val="double" w:sz="6" w:space="0" w:color="auto"/>
              <w:left w:val="double" w:sz="6" w:space="0" w:color="auto"/>
              <w:bottom w:val="double" w:sz="6" w:space="0" w:color="auto"/>
              <w:right w:val="double" w:sz="6" w:space="0" w:color="auto"/>
            </w:tcBorders>
            <w:shd w:val="clear" w:color="auto" w:fill="auto"/>
            <w:noWrap/>
            <w:vAlign w:val="center"/>
            <w:hideMark/>
          </w:tcPr>
          <w:p w14:paraId="016AD822" w14:textId="77777777" w:rsidR="00C3264D" w:rsidRDefault="007708E7">
            <w:pPr>
              <w:spacing w:after="0" w:line="240" w:lineRule="auto"/>
              <w:jc w:val="center"/>
              <w:rPr>
                <w:rFonts w:ascii="Times New Roman" w:eastAsia="Times New Roman" w:hAnsi="Times New Roman"/>
                <w:b/>
                <w:bCs/>
                <w:color w:val="000000"/>
                <w:sz w:val="20"/>
                <w:szCs w:val="20"/>
              </w:rPr>
            </w:pPr>
            <w:r>
              <w:rPr>
                <w:rFonts w:ascii="Times New Roman" w:hAnsi="Times New Roman"/>
                <w:b/>
                <w:bCs/>
                <w:sz w:val="20"/>
                <w:szCs w:val="20"/>
              </w:rPr>
              <w:t xml:space="preserve">Продадени на търг неизползвани квоти по член 10в </w:t>
            </w:r>
          </w:p>
        </w:tc>
      </w:tr>
      <w:tr w:rsidR="00C3264D" w14:paraId="3CCBB46A" w14:textId="77777777" w:rsidTr="007708E7">
        <w:trPr>
          <w:trHeight w:val="330"/>
        </w:trPr>
        <w:tc>
          <w:tcPr>
            <w:tcW w:w="1926" w:type="dxa"/>
            <w:tcBorders>
              <w:top w:val="nil"/>
              <w:left w:val="double" w:sz="6" w:space="0" w:color="auto"/>
              <w:bottom w:val="double" w:sz="6" w:space="0" w:color="auto"/>
              <w:right w:val="double" w:sz="6" w:space="0" w:color="auto"/>
            </w:tcBorders>
            <w:shd w:val="clear" w:color="auto" w:fill="auto"/>
            <w:noWrap/>
            <w:vAlign w:val="center"/>
            <w:hideMark/>
          </w:tcPr>
          <w:p w14:paraId="38CDE876" w14:textId="77777777" w:rsidR="00C3264D" w:rsidRDefault="007708E7">
            <w:pPr>
              <w:spacing w:after="0" w:line="240" w:lineRule="auto"/>
              <w:jc w:val="center"/>
              <w:rPr>
                <w:rFonts w:ascii="Times New Roman" w:eastAsia="Times New Roman" w:hAnsi="Times New Roman"/>
                <w:b/>
                <w:bCs/>
                <w:color w:val="000000"/>
                <w:sz w:val="20"/>
                <w:szCs w:val="20"/>
              </w:rPr>
            </w:pPr>
            <w:r>
              <w:rPr>
                <w:rFonts w:ascii="Times New Roman" w:hAnsi="Times New Roman"/>
                <w:b/>
                <w:bCs/>
                <w:sz w:val="20"/>
                <w:szCs w:val="20"/>
              </w:rPr>
              <w:t>Държава членка</w:t>
            </w:r>
          </w:p>
        </w:tc>
        <w:tc>
          <w:tcPr>
            <w:tcW w:w="1135" w:type="dxa"/>
            <w:tcBorders>
              <w:top w:val="nil"/>
              <w:left w:val="nil"/>
              <w:bottom w:val="double" w:sz="6" w:space="0" w:color="auto"/>
              <w:right w:val="double" w:sz="6" w:space="0" w:color="auto"/>
            </w:tcBorders>
            <w:shd w:val="clear" w:color="auto" w:fill="auto"/>
            <w:noWrap/>
            <w:vAlign w:val="center"/>
            <w:hideMark/>
          </w:tcPr>
          <w:p w14:paraId="4E5BBE93" w14:textId="77777777" w:rsidR="00C3264D" w:rsidRDefault="007708E7">
            <w:pPr>
              <w:spacing w:after="0" w:line="240" w:lineRule="auto"/>
              <w:jc w:val="center"/>
              <w:rPr>
                <w:rFonts w:ascii="Times New Roman" w:eastAsia="Times New Roman" w:hAnsi="Times New Roman"/>
                <w:b/>
                <w:bCs/>
                <w:color w:val="000000"/>
                <w:sz w:val="20"/>
                <w:szCs w:val="20"/>
              </w:rPr>
            </w:pPr>
            <w:r>
              <w:rPr>
                <w:rFonts w:ascii="Times New Roman" w:hAnsi="Times New Roman"/>
                <w:b/>
                <w:bCs/>
                <w:sz w:val="20"/>
                <w:szCs w:val="20"/>
              </w:rPr>
              <w:t>2015 г.</w:t>
            </w:r>
          </w:p>
        </w:tc>
        <w:tc>
          <w:tcPr>
            <w:tcW w:w="1135" w:type="dxa"/>
            <w:tcBorders>
              <w:top w:val="nil"/>
              <w:left w:val="nil"/>
              <w:bottom w:val="double" w:sz="6" w:space="0" w:color="auto"/>
              <w:right w:val="double" w:sz="6" w:space="0" w:color="auto"/>
            </w:tcBorders>
            <w:shd w:val="clear" w:color="auto" w:fill="auto"/>
            <w:noWrap/>
            <w:vAlign w:val="center"/>
            <w:hideMark/>
          </w:tcPr>
          <w:p w14:paraId="30AAE0B9" w14:textId="77777777" w:rsidR="00C3264D" w:rsidRDefault="007708E7">
            <w:pPr>
              <w:spacing w:after="0" w:line="240" w:lineRule="auto"/>
              <w:jc w:val="center"/>
              <w:rPr>
                <w:rFonts w:ascii="Times New Roman" w:eastAsia="Times New Roman" w:hAnsi="Times New Roman"/>
                <w:b/>
                <w:bCs/>
                <w:color w:val="000000"/>
                <w:sz w:val="20"/>
                <w:szCs w:val="20"/>
              </w:rPr>
            </w:pPr>
            <w:r>
              <w:rPr>
                <w:rFonts w:ascii="Times New Roman" w:hAnsi="Times New Roman"/>
                <w:b/>
                <w:bCs/>
                <w:sz w:val="20"/>
                <w:szCs w:val="20"/>
              </w:rPr>
              <w:t>2016 г.</w:t>
            </w:r>
          </w:p>
        </w:tc>
        <w:tc>
          <w:tcPr>
            <w:tcW w:w="1135" w:type="dxa"/>
            <w:tcBorders>
              <w:top w:val="nil"/>
              <w:left w:val="nil"/>
              <w:bottom w:val="double" w:sz="6" w:space="0" w:color="auto"/>
              <w:right w:val="double" w:sz="6" w:space="0" w:color="auto"/>
            </w:tcBorders>
            <w:shd w:val="clear" w:color="auto" w:fill="auto"/>
            <w:noWrap/>
            <w:vAlign w:val="center"/>
            <w:hideMark/>
          </w:tcPr>
          <w:p w14:paraId="267BF273" w14:textId="77777777" w:rsidR="00C3264D" w:rsidRDefault="007708E7">
            <w:pPr>
              <w:spacing w:after="0" w:line="240" w:lineRule="auto"/>
              <w:jc w:val="center"/>
              <w:rPr>
                <w:rFonts w:ascii="Times New Roman" w:eastAsia="Times New Roman" w:hAnsi="Times New Roman"/>
                <w:b/>
                <w:bCs/>
                <w:color w:val="000000"/>
                <w:sz w:val="20"/>
                <w:szCs w:val="20"/>
              </w:rPr>
            </w:pPr>
            <w:r>
              <w:rPr>
                <w:rFonts w:ascii="Times New Roman" w:hAnsi="Times New Roman"/>
                <w:b/>
                <w:bCs/>
                <w:sz w:val="20"/>
                <w:szCs w:val="20"/>
              </w:rPr>
              <w:t>2017 г.</w:t>
            </w:r>
          </w:p>
        </w:tc>
        <w:tc>
          <w:tcPr>
            <w:tcW w:w="1135" w:type="dxa"/>
            <w:tcBorders>
              <w:top w:val="nil"/>
              <w:left w:val="nil"/>
              <w:bottom w:val="double" w:sz="6" w:space="0" w:color="auto"/>
              <w:right w:val="double" w:sz="6" w:space="0" w:color="auto"/>
            </w:tcBorders>
            <w:shd w:val="clear" w:color="auto" w:fill="auto"/>
            <w:noWrap/>
            <w:vAlign w:val="center"/>
            <w:hideMark/>
          </w:tcPr>
          <w:p w14:paraId="7C10E610" w14:textId="77777777" w:rsidR="00C3264D" w:rsidRDefault="007708E7">
            <w:pPr>
              <w:spacing w:after="0" w:line="240" w:lineRule="auto"/>
              <w:jc w:val="center"/>
              <w:rPr>
                <w:rFonts w:ascii="Times New Roman" w:eastAsia="Times New Roman" w:hAnsi="Times New Roman"/>
                <w:b/>
                <w:bCs/>
                <w:color w:val="000000"/>
                <w:sz w:val="20"/>
                <w:szCs w:val="20"/>
              </w:rPr>
            </w:pPr>
            <w:r>
              <w:rPr>
                <w:rFonts w:ascii="Times New Roman" w:hAnsi="Times New Roman"/>
                <w:b/>
                <w:bCs/>
                <w:sz w:val="20"/>
                <w:szCs w:val="20"/>
              </w:rPr>
              <w:t>2018 г.</w:t>
            </w:r>
          </w:p>
        </w:tc>
        <w:tc>
          <w:tcPr>
            <w:tcW w:w="1288" w:type="dxa"/>
            <w:tcBorders>
              <w:top w:val="nil"/>
              <w:left w:val="nil"/>
              <w:bottom w:val="double" w:sz="6" w:space="0" w:color="auto"/>
              <w:right w:val="double" w:sz="6" w:space="0" w:color="auto"/>
            </w:tcBorders>
            <w:shd w:val="clear" w:color="auto" w:fill="auto"/>
            <w:noWrap/>
            <w:vAlign w:val="center"/>
            <w:hideMark/>
          </w:tcPr>
          <w:p w14:paraId="2F56EE2C" w14:textId="77777777" w:rsidR="00C3264D" w:rsidRDefault="007708E7">
            <w:pPr>
              <w:spacing w:after="0" w:line="240" w:lineRule="auto"/>
              <w:jc w:val="center"/>
              <w:rPr>
                <w:rFonts w:ascii="Times New Roman" w:eastAsia="Times New Roman" w:hAnsi="Times New Roman"/>
                <w:b/>
                <w:bCs/>
                <w:color w:val="000000"/>
                <w:sz w:val="20"/>
                <w:szCs w:val="20"/>
              </w:rPr>
            </w:pPr>
            <w:r>
              <w:rPr>
                <w:rFonts w:ascii="Times New Roman" w:hAnsi="Times New Roman"/>
                <w:b/>
                <w:bCs/>
                <w:sz w:val="20"/>
                <w:szCs w:val="20"/>
              </w:rPr>
              <w:t>2019 г.</w:t>
            </w:r>
          </w:p>
        </w:tc>
        <w:tc>
          <w:tcPr>
            <w:tcW w:w="1288" w:type="dxa"/>
            <w:tcBorders>
              <w:top w:val="nil"/>
              <w:left w:val="nil"/>
              <w:bottom w:val="double" w:sz="6" w:space="0" w:color="auto"/>
              <w:right w:val="double" w:sz="6" w:space="0" w:color="auto"/>
            </w:tcBorders>
            <w:shd w:val="clear" w:color="auto" w:fill="auto"/>
            <w:noWrap/>
            <w:vAlign w:val="center"/>
            <w:hideMark/>
          </w:tcPr>
          <w:p w14:paraId="34FBD94A" w14:textId="77777777" w:rsidR="00C3264D" w:rsidRDefault="007708E7">
            <w:pPr>
              <w:spacing w:after="0" w:line="240" w:lineRule="auto"/>
              <w:jc w:val="center"/>
              <w:rPr>
                <w:rFonts w:ascii="Times New Roman" w:eastAsia="Times New Roman" w:hAnsi="Times New Roman"/>
                <w:b/>
                <w:bCs/>
                <w:color w:val="000000"/>
                <w:sz w:val="20"/>
                <w:szCs w:val="20"/>
              </w:rPr>
            </w:pPr>
            <w:r>
              <w:rPr>
                <w:rFonts w:ascii="Times New Roman" w:hAnsi="Times New Roman"/>
                <w:b/>
                <w:bCs/>
                <w:sz w:val="20"/>
                <w:szCs w:val="20"/>
              </w:rPr>
              <w:t>2020 г.</w:t>
            </w:r>
          </w:p>
        </w:tc>
      </w:tr>
      <w:tr w:rsidR="00C3264D" w14:paraId="52506049" w14:textId="77777777" w:rsidTr="007708E7">
        <w:trPr>
          <w:trHeight w:val="330"/>
        </w:trPr>
        <w:tc>
          <w:tcPr>
            <w:tcW w:w="1926" w:type="dxa"/>
            <w:tcBorders>
              <w:top w:val="nil"/>
              <w:left w:val="double" w:sz="6" w:space="0" w:color="auto"/>
              <w:bottom w:val="double" w:sz="6" w:space="0" w:color="auto"/>
              <w:right w:val="double" w:sz="6" w:space="0" w:color="auto"/>
            </w:tcBorders>
            <w:shd w:val="clear" w:color="auto" w:fill="auto"/>
            <w:noWrap/>
            <w:vAlign w:val="center"/>
            <w:hideMark/>
          </w:tcPr>
          <w:p w14:paraId="6DD519C0" w14:textId="77777777" w:rsidR="00C3264D" w:rsidRDefault="007708E7">
            <w:pPr>
              <w:spacing w:after="0" w:line="240" w:lineRule="auto"/>
              <w:jc w:val="center"/>
              <w:rPr>
                <w:rFonts w:ascii="Times New Roman" w:eastAsia="Times New Roman" w:hAnsi="Times New Roman"/>
                <w:b/>
                <w:bCs/>
                <w:color w:val="000000"/>
                <w:sz w:val="20"/>
                <w:szCs w:val="20"/>
              </w:rPr>
            </w:pPr>
            <w:r>
              <w:rPr>
                <w:rFonts w:ascii="Times New Roman" w:hAnsi="Times New Roman"/>
                <w:b/>
                <w:bCs/>
                <w:sz w:val="20"/>
                <w:szCs w:val="20"/>
              </w:rPr>
              <w:t>България</w:t>
            </w:r>
          </w:p>
        </w:tc>
        <w:tc>
          <w:tcPr>
            <w:tcW w:w="1135" w:type="dxa"/>
            <w:tcBorders>
              <w:top w:val="nil"/>
              <w:left w:val="nil"/>
              <w:bottom w:val="double" w:sz="6" w:space="0" w:color="auto"/>
              <w:right w:val="double" w:sz="6" w:space="0" w:color="auto"/>
            </w:tcBorders>
            <w:shd w:val="clear" w:color="auto" w:fill="auto"/>
            <w:noWrap/>
            <w:vAlign w:val="center"/>
            <w:hideMark/>
          </w:tcPr>
          <w:p w14:paraId="2349D363" w14:textId="77777777" w:rsidR="00C3264D" w:rsidRDefault="007708E7">
            <w:pPr>
              <w:spacing w:after="0" w:line="240" w:lineRule="auto"/>
              <w:jc w:val="center"/>
              <w:rPr>
                <w:rFonts w:ascii="Times New Roman" w:eastAsia="Times New Roman" w:hAnsi="Times New Roman"/>
                <w:color w:val="000000"/>
                <w:sz w:val="20"/>
                <w:szCs w:val="20"/>
              </w:rPr>
            </w:pPr>
            <w:r>
              <w:rPr>
                <w:rFonts w:ascii="Times New Roman" w:hAnsi="Times New Roman"/>
                <w:sz w:val="20"/>
                <w:szCs w:val="20"/>
              </w:rPr>
              <w:t>5 444 169</w:t>
            </w:r>
          </w:p>
        </w:tc>
        <w:tc>
          <w:tcPr>
            <w:tcW w:w="1135" w:type="dxa"/>
            <w:tcBorders>
              <w:top w:val="nil"/>
              <w:left w:val="nil"/>
              <w:bottom w:val="double" w:sz="6" w:space="0" w:color="auto"/>
              <w:right w:val="double" w:sz="6" w:space="0" w:color="auto"/>
            </w:tcBorders>
            <w:shd w:val="clear" w:color="auto" w:fill="auto"/>
            <w:noWrap/>
            <w:vAlign w:val="center"/>
            <w:hideMark/>
          </w:tcPr>
          <w:p w14:paraId="623F4186" w14:textId="77777777" w:rsidR="00C3264D" w:rsidRDefault="007708E7">
            <w:pPr>
              <w:spacing w:after="0" w:line="240" w:lineRule="auto"/>
              <w:jc w:val="center"/>
              <w:rPr>
                <w:rFonts w:ascii="Times New Roman" w:eastAsia="Times New Roman" w:hAnsi="Times New Roman"/>
                <w:color w:val="000000"/>
                <w:sz w:val="20"/>
                <w:szCs w:val="20"/>
              </w:rPr>
            </w:pPr>
            <w:r>
              <w:rPr>
                <w:rFonts w:ascii="Times New Roman" w:hAnsi="Times New Roman"/>
                <w:sz w:val="20"/>
                <w:szCs w:val="20"/>
              </w:rPr>
              <w:t>1 461 360</w:t>
            </w:r>
          </w:p>
        </w:tc>
        <w:tc>
          <w:tcPr>
            <w:tcW w:w="1135" w:type="dxa"/>
            <w:tcBorders>
              <w:top w:val="nil"/>
              <w:left w:val="nil"/>
              <w:bottom w:val="double" w:sz="6" w:space="0" w:color="auto"/>
              <w:right w:val="double" w:sz="6" w:space="0" w:color="auto"/>
            </w:tcBorders>
            <w:shd w:val="clear" w:color="auto" w:fill="auto"/>
            <w:noWrap/>
            <w:vAlign w:val="center"/>
            <w:hideMark/>
          </w:tcPr>
          <w:p w14:paraId="2FC1933D" w14:textId="77777777" w:rsidR="00C3264D" w:rsidRDefault="007708E7">
            <w:pPr>
              <w:spacing w:after="0" w:line="240" w:lineRule="auto"/>
              <w:jc w:val="center"/>
              <w:rPr>
                <w:rFonts w:ascii="Times New Roman" w:eastAsia="Times New Roman" w:hAnsi="Times New Roman"/>
                <w:color w:val="000000"/>
                <w:sz w:val="20"/>
                <w:szCs w:val="20"/>
              </w:rPr>
            </w:pPr>
            <w:r>
              <w:rPr>
                <w:rFonts w:ascii="Times New Roman" w:hAnsi="Times New Roman"/>
                <w:sz w:val="20"/>
                <w:szCs w:val="20"/>
              </w:rPr>
              <w:t>920 823</w:t>
            </w:r>
          </w:p>
        </w:tc>
        <w:tc>
          <w:tcPr>
            <w:tcW w:w="1135" w:type="dxa"/>
            <w:tcBorders>
              <w:top w:val="nil"/>
              <w:left w:val="nil"/>
              <w:bottom w:val="double" w:sz="6" w:space="0" w:color="auto"/>
              <w:right w:val="double" w:sz="6" w:space="0" w:color="auto"/>
            </w:tcBorders>
            <w:shd w:val="clear" w:color="auto" w:fill="auto"/>
            <w:noWrap/>
            <w:vAlign w:val="center"/>
            <w:hideMark/>
          </w:tcPr>
          <w:p w14:paraId="303A51AB" w14:textId="77777777" w:rsidR="00C3264D" w:rsidRDefault="007708E7">
            <w:pPr>
              <w:spacing w:after="0" w:line="240" w:lineRule="auto"/>
              <w:jc w:val="center"/>
              <w:rPr>
                <w:rFonts w:ascii="Times New Roman" w:eastAsia="Times New Roman" w:hAnsi="Times New Roman"/>
                <w:color w:val="000000"/>
                <w:sz w:val="20"/>
                <w:szCs w:val="20"/>
              </w:rPr>
            </w:pPr>
            <w:r>
              <w:rPr>
                <w:rFonts w:ascii="Times New Roman" w:hAnsi="Times New Roman"/>
                <w:sz w:val="20"/>
                <w:szCs w:val="20"/>
              </w:rPr>
              <w:t>604 908</w:t>
            </w:r>
          </w:p>
        </w:tc>
        <w:tc>
          <w:tcPr>
            <w:tcW w:w="1288" w:type="dxa"/>
            <w:tcBorders>
              <w:top w:val="nil"/>
              <w:left w:val="nil"/>
              <w:bottom w:val="double" w:sz="6" w:space="0" w:color="auto"/>
              <w:right w:val="double" w:sz="6" w:space="0" w:color="auto"/>
            </w:tcBorders>
            <w:shd w:val="clear" w:color="auto" w:fill="auto"/>
            <w:noWrap/>
            <w:vAlign w:val="center"/>
            <w:hideMark/>
          </w:tcPr>
          <w:p w14:paraId="485BE40A" w14:textId="77777777" w:rsidR="00C3264D" w:rsidRDefault="007708E7">
            <w:pPr>
              <w:spacing w:after="0" w:line="240" w:lineRule="auto"/>
              <w:jc w:val="center"/>
              <w:rPr>
                <w:rFonts w:ascii="Times New Roman" w:eastAsia="Times New Roman" w:hAnsi="Times New Roman"/>
                <w:color w:val="000000"/>
                <w:sz w:val="20"/>
                <w:szCs w:val="20"/>
              </w:rPr>
            </w:pPr>
            <w:r>
              <w:rPr>
                <w:rFonts w:ascii="Times New Roman" w:hAnsi="Times New Roman"/>
                <w:sz w:val="20"/>
                <w:szCs w:val="20"/>
              </w:rPr>
              <w:t>1 386 372</w:t>
            </w:r>
          </w:p>
        </w:tc>
        <w:tc>
          <w:tcPr>
            <w:tcW w:w="1288" w:type="dxa"/>
            <w:tcBorders>
              <w:top w:val="nil"/>
              <w:left w:val="nil"/>
              <w:bottom w:val="double" w:sz="6" w:space="0" w:color="auto"/>
              <w:right w:val="double" w:sz="6" w:space="0" w:color="auto"/>
            </w:tcBorders>
            <w:shd w:val="clear" w:color="auto" w:fill="auto"/>
            <w:noWrap/>
            <w:vAlign w:val="center"/>
            <w:hideMark/>
          </w:tcPr>
          <w:p w14:paraId="08482216" w14:textId="77777777" w:rsidR="00C3264D" w:rsidRDefault="007708E7">
            <w:pPr>
              <w:spacing w:after="0" w:line="240" w:lineRule="auto"/>
              <w:jc w:val="center"/>
              <w:rPr>
                <w:rFonts w:ascii="Times New Roman" w:eastAsia="Times New Roman" w:hAnsi="Times New Roman"/>
                <w:color w:val="000000"/>
                <w:sz w:val="20"/>
                <w:szCs w:val="20"/>
              </w:rPr>
            </w:pPr>
            <w:r>
              <w:rPr>
                <w:rFonts w:ascii="Times New Roman" w:hAnsi="Times New Roman"/>
                <w:sz w:val="20"/>
                <w:szCs w:val="20"/>
              </w:rPr>
              <w:t>0</w:t>
            </w:r>
          </w:p>
        </w:tc>
      </w:tr>
      <w:tr w:rsidR="00C3264D" w14:paraId="49CDF87F" w14:textId="77777777" w:rsidTr="007708E7">
        <w:trPr>
          <w:trHeight w:val="330"/>
        </w:trPr>
        <w:tc>
          <w:tcPr>
            <w:tcW w:w="1926" w:type="dxa"/>
            <w:tcBorders>
              <w:top w:val="nil"/>
              <w:left w:val="double" w:sz="6" w:space="0" w:color="auto"/>
              <w:bottom w:val="double" w:sz="6" w:space="0" w:color="auto"/>
              <w:right w:val="double" w:sz="6" w:space="0" w:color="auto"/>
            </w:tcBorders>
            <w:shd w:val="clear" w:color="auto" w:fill="auto"/>
            <w:noWrap/>
            <w:vAlign w:val="center"/>
            <w:hideMark/>
          </w:tcPr>
          <w:p w14:paraId="708AB67F" w14:textId="77777777" w:rsidR="00C3264D" w:rsidRDefault="007708E7">
            <w:pPr>
              <w:spacing w:after="0" w:line="240" w:lineRule="auto"/>
              <w:jc w:val="center"/>
              <w:rPr>
                <w:rFonts w:ascii="Times New Roman" w:eastAsia="Times New Roman" w:hAnsi="Times New Roman"/>
                <w:b/>
                <w:bCs/>
                <w:color w:val="000000"/>
                <w:sz w:val="20"/>
                <w:szCs w:val="20"/>
              </w:rPr>
            </w:pPr>
            <w:r>
              <w:rPr>
                <w:rFonts w:ascii="Times New Roman" w:hAnsi="Times New Roman"/>
                <w:b/>
                <w:bCs/>
                <w:sz w:val="20"/>
                <w:szCs w:val="20"/>
              </w:rPr>
              <w:t>Кипър</w:t>
            </w:r>
          </w:p>
        </w:tc>
        <w:tc>
          <w:tcPr>
            <w:tcW w:w="1135" w:type="dxa"/>
            <w:tcBorders>
              <w:top w:val="nil"/>
              <w:left w:val="nil"/>
              <w:bottom w:val="double" w:sz="6" w:space="0" w:color="auto"/>
              <w:right w:val="double" w:sz="6" w:space="0" w:color="auto"/>
            </w:tcBorders>
            <w:shd w:val="clear" w:color="auto" w:fill="auto"/>
            <w:noWrap/>
            <w:vAlign w:val="center"/>
            <w:hideMark/>
          </w:tcPr>
          <w:p w14:paraId="14880825" w14:textId="77777777" w:rsidR="00C3264D" w:rsidRDefault="007708E7">
            <w:pPr>
              <w:spacing w:after="0" w:line="240" w:lineRule="auto"/>
              <w:jc w:val="center"/>
              <w:rPr>
                <w:rFonts w:ascii="Times New Roman" w:eastAsia="Times New Roman" w:hAnsi="Times New Roman"/>
                <w:color w:val="000000"/>
                <w:sz w:val="20"/>
                <w:szCs w:val="20"/>
              </w:rPr>
            </w:pPr>
            <w:r>
              <w:rPr>
                <w:rFonts w:ascii="Times New Roman" w:hAnsi="Times New Roman"/>
                <w:sz w:val="20"/>
                <w:szCs w:val="20"/>
              </w:rPr>
              <w:t>0</w:t>
            </w:r>
          </w:p>
        </w:tc>
        <w:tc>
          <w:tcPr>
            <w:tcW w:w="1135" w:type="dxa"/>
            <w:tcBorders>
              <w:top w:val="nil"/>
              <w:left w:val="nil"/>
              <w:bottom w:val="double" w:sz="6" w:space="0" w:color="auto"/>
              <w:right w:val="double" w:sz="6" w:space="0" w:color="auto"/>
            </w:tcBorders>
            <w:shd w:val="clear" w:color="auto" w:fill="auto"/>
            <w:noWrap/>
            <w:vAlign w:val="center"/>
            <w:hideMark/>
          </w:tcPr>
          <w:p w14:paraId="41AD3D65" w14:textId="77777777" w:rsidR="00C3264D" w:rsidRDefault="007708E7">
            <w:pPr>
              <w:spacing w:after="0" w:line="240" w:lineRule="auto"/>
              <w:jc w:val="center"/>
              <w:rPr>
                <w:rFonts w:ascii="Times New Roman" w:eastAsia="Times New Roman" w:hAnsi="Times New Roman"/>
                <w:color w:val="000000"/>
                <w:sz w:val="20"/>
                <w:szCs w:val="20"/>
              </w:rPr>
            </w:pPr>
            <w:r>
              <w:rPr>
                <w:rFonts w:ascii="Times New Roman" w:hAnsi="Times New Roman"/>
                <w:sz w:val="20"/>
                <w:szCs w:val="20"/>
              </w:rPr>
              <w:t>0</w:t>
            </w:r>
          </w:p>
        </w:tc>
        <w:tc>
          <w:tcPr>
            <w:tcW w:w="1135" w:type="dxa"/>
            <w:tcBorders>
              <w:top w:val="nil"/>
              <w:left w:val="nil"/>
              <w:bottom w:val="double" w:sz="6" w:space="0" w:color="auto"/>
              <w:right w:val="double" w:sz="6" w:space="0" w:color="auto"/>
            </w:tcBorders>
            <w:shd w:val="clear" w:color="auto" w:fill="auto"/>
            <w:noWrap/>
            <w:vAlign w:val="center"/>
            <w:hideMark/>
          </w:tcPr>
          <w:p w14:paraId="2E19303F" w14:textId="77777777" w:rsidR="00C3264D" w:rsidRDefault="007708E7">
            <w:pPr>
              <w:spacing w:after="0" w:line="240" w:lineRule="auto"/>
              <w:jc w:val="center"/>
              <w:rPr>
                <w:rFonts w:ascii="Times New Roman" w:eastAsia="Times New Roman" w:hAnsi="Times New Roman"/>
                <w:color w:val="000000"/>
                <w:sz w:val="20"/>
                <w:szCs w:val="20"/>
              </w:rPr>
            </w:pPr>
            <w:r>
              <w:rPr>
                <w:rFonts w:ascii="Times New Roman" w:hAnsi="Times New Roman"/>
                <w:sz w:val="20"/>
                <w:szCs w:val="20"/>
              </w:rPr>
              <w:t>0</w:t>
            </w:r>
          </w:p>
        </w:tc>
        <w:tc>
          <w:tcPr>
            <w:tcW w:w="1135" w:type="dxa"/>
            <w:tcBorders>
              <w:top w:val="nil"/>
              <w:left w:val="nil"/>
              <w:bottom w:val="double" w:sz="6" w:space="0" w:color="auto"/>
              <w:right w:val="double" w:sz="6" w:space="0" w:color="auto"/>
            </w:tcBorders>
            <w:shd w:val="clear" w:color="auto" w:fill="auto"/>
            <w:noWrap/>
            <w:vAlign w:val="center"/>
            <w:hideMark/>
          </w:tcPr>
          <w:p w14:paraId="175CB196" w14:textId="77777777" w:rsidR="00C3264D" w:rsidRDefault="007708E7">
            <w:pPr>
              <w:spacing w:after="0" w:line="240" w:lineRule="auto"/>
              <w:jc w:val="center"/>
              <w:rPr>
                <w:rFonts w:ascii="Times New Roman" w:eastAsia="Times New Roman" w:hAnsi="Times New Roman"/>
                <w:color w:val="000000"/>
                <w:sz w:val="20"/>
                <w:szCs w:val="20"/>
              </w:rPr>
            </w:pPr>
            <w:r>
              <w:rPr>
                <w:rFonts w:ascii="Times New Roman" w:hAnsi="Times New Roman"/>
                <w:sz w:val="20"/>
                <w:szCs w:val="20"/>
              </w:rPr>
              <w:t>0</w:t>
            </w:r>
          </w:p>
        </w:tc>
        <w:tc>
          <w:tcPr>
            <w:tcW w:w="1288" w:type="dxa"/>
            <w:tcBorders>
              <w:top w:val="nil"/>
              <w:left w:val="nil"/>
              <w:bottom w:val="double" w:sz="6" w:space="0" w:color="auto"/>
              <w:right w:val="double" w:sz="6" w:space="0" w:color="auto"/>
            </w:tcBorders>
            <w:shd w:val="clear" w:color="auto" w:fill="auto"/>
            <w:noWrap/>
            <w:vAlign w:val="center"/>
            <w:hideMark/>
          </w:tcPr>
          <w:p w14:paraId="5A159305" w14:textId="77777777" w:rsidR="00C3264D" w:rsidRDefault="007708E7">
            <w:pPr>
              <w:spacing w:after="0" w:line="240" w:lineRule="auto"/>
              <w:jc w:val="center"/>
              <w:rPr>
                <w:rFonts w:ascii="Times New Roman" w:eastAsia="Times New Roman" w:hAnsi="Times New Roman"/>
                <w:color w:val="000000"/>
                <w:sz w:val="20"/>
                <w:szCs w:val="20"/>
              </w:rPr>
            </w:pPr>
            <w:r>
              <w:rPr>
                <w:rFonts w:ascii="Times New Roman" w:hAnsi="Times New Roman"/>
                <w:sz w:val="20"/>
                <w:szCs w:val="20"/>
              </w:rPr>
              <w:t>0</w:t>
            </w:r>
          </w:p>
        </w:tc>
        <w:tc>
          <w:tcPr>
            <w:tcW w:w="1288" w:type="dxa"/>
            <w:tcBorders>
              <w:top w:val="nil"/>
              <w:left w:val="nil"/>
              <w:bottom w:val="double" w:sz="6" w:space="0" w:color="auto"/>
              <w:right w:val="double" w:sz="6" w:space="0" w:color="auto"/>
            </w:tcBorders>
            <w:shd w:val="clear" w:color="auto" w:fill="auto"/>
            <w:noWrap/>
            <w:vAlign w:val="center"/>
            <w:hideMark/>
          </w:tcPr>
          <w:p w14:paraId="08B60441" w14:textId="77777777" w:rsidR="00C3264D" w:rsidRDefault="007708E7">
            <w:pPr>
              <w:spacing w:after="0" w:line="240" w:lineRule="auto"/>
              <w:jc w:val="center"/>
              <w:rPr>
                <w:rFonts w:ascii="Times New Roman" w:eastAsia="Times New Roman" w:hAnsi="Times New Roman"/>
                <w:color w:val="000000"/>
                <w:sz w:val="20"/>
                <w:szCs w:val="20"/>
              </w:rPr>
            </w:pPr>
            <w:r>
              <w:rPr>
                <w:rFonts w:ascii="Times New Roman" w:hAnsi="Times New Roman"/>
                <w:sz w:val="20"/>
                <w:szCs w:val="20"/>
              </w:rPr>
              <w:t>0</w:t>
            </w:r>
          </w:p>
        </w:tc>
      </w:tr>
      <w:tr w:rsidR="00C3264D" w14:paraId="25CEBD87" w14:textId="77777777" w:rsidTr="007708E7">
        <w:trPr>
          <w:trHeight w:val="330"/>
        </w:trPr>
        <w:tc>
          <w:tcPr>
            <w:tcW w:w="1926" w:type="dxa"/>
            <w:tcBorders>
              <w:top w:val="nil"/>
              <w:left w:val="double" w:sz="6" w:space="0" w:color="auto"/>
              <w:bottom w:val="double" w:sz="6" w:space="0" w:color="auto"/>
              <w:right w:val="double" w:sz="6" w:space="0" w:color="auto"/>
            </w:tcBorders>
            <w:shd w:val="clear" w:color="auto" w:fill="auto"/>
            <w:noWrap/>
            <w:vAlign w:val="center"/>
            <w:hideMark/>
          </w:tcPr>
          <w:p w14:paraId="7DC2F387" w14:textId="77777777" w:rsidR="00C3264D" w:rsidRDefault="007708E7">
            <w:pPr>
              <w:spacing w:after="0" w:line="240" w:lineRule="auto"/>
              <w:jc w:val="center"/>
              <w:rPr>
                <w:rFonts w:ascii="Times New Roman" w:eastAsia="Times New Roman" w:hAnsi="Times New Roman"/>
                <w:b/>
                <w:bCs/>
                <w:color w:val="000000"/>
                <w:sz w:val="20"/>
                <w:szCs w:val="20"/>
              </w:rPr>
            </w:pPr>
            <w:r>
              <w:rPr>
                <w:rFonts w:ascii="Times New Roman" w:hAnsi="Times New Roman"/>
                <w:b/>
                <w:bCs/>
                <w:sz w:val="20"/>
                <w:szCs w:val="20"/>
              </w:rPr>
              <w:t>Чешка република</w:t>
            </w:r>
          </w:p>
        </w:tc>
        <w:tc>
          <w:tcPr>
            <w:tcW w:w="1135" w:type="dxa"/>
            <w:tcBorders>
              <w:top w:val="nil"/>
              <w:left w:val="nil"/>
              <w:bottom w:val="double" w:sz="6" w:space="0" w:color="auto"/>
              <w:right w:val="double" w:sz="6" w:space="0" w:color="auto"/>
            </w:tcBorders>
            <w:shd w:val="clear" w:color="auto" w:fill="auto"/>
            <w:noWrap/>
            <w:vAlign w:val="center"/>
            <w:hideMark/>
          </w:tcPr>
          <w:p w14:paraId="3B05889D" w14:textId="77777777" w:rsidR="00C3264D" w:rsidRDefault="007708E7">
            <w:pPr>
              <w:spacing w:after="0" w:line="240" w:lineRule="auto"/>
              <w:jc w:val="center"/>
              <w:rPr>
                <w:rFonts w:ascii="Times New Roman" w:eastAsia="Times New Roman" w:hAnsi="Times New Roman"/>
                <w:color w:val="000000"/>
                <w:sz w:val="20"/>
                <w:szCs w:val="20"/>
              </w:rPr>
            </w:pPr>
            <w:r>
              <w:rPr>
                <w:rFonts w:ascii="Times New Roman" w:hAnsi="Times New Roman"/>
                <w:sz w:val="20"/>
                <w:szCs w:val="20"/>
              </w:rPr>
              <w:t>0</w:t>
            </w:r>
          </w:p>
        </w:tc>
        <w:tc>
          <w:tcPr>
            <w:tcW w:w="1135" w:type="dxa"/>
            <w:tcBorders>
              <w:top w:val="nil"/>
              <w:left w:val="nil"/>
              <w:bottom w:val="double" w:sz="6" w:space="0" w:color="auto"/>
              <w:right w:val="double" w:sz="6" w:space="0" w:color="auto"/>
            </w:tcBorders>
            <w:shd w:val="clear" w:color="auto" w:fill="auto"/>
            <w:noWrap/>
            <w:vAlign w:val="center"/>
            <w:hideMark/>
          </w:tcPr>
          <w:p w14:paraId="5E56D190" w14:textId="77777777" w:rsidR="00C3264D" w:rsidRDefault="007708E7">
            <w:pPr>
              <w:spacing w:after="0" w:line="240" w:lineRule="auto"/>
              <w:jc w:val="center"/>
              <w:rPr>
                <w:rFonts w:ascii="Times New Roman" w:eastAsia="Times New Roman" w:hAnsi="Times New Roman"/>
                <w:color w:val="000000"/>
                <w:sz w:val="20"/>
                <w:szCs w:val="20"/>
              </w:rPr>
            </w:pPr>
            <w:r>
              <w:rPr>
                <w:rFonts w:ascii="Times New Roman" w:hAnsi="Times New Roman"/>
                <w:sz w:val="20"/>
                <w:szCs w:val="20"/>
              </w:rPr>
              <w:t>90 694</w:t>
            </w:r>
          </w:p>
        </w:tc>
        <w:tc>
          <w:tcPr>
            <w:tcW w:w="1135" w:type="dxa"/>
            <w:tcBorders>
              <w:top w:val="nil"/>
              <w:left w:val="nil"/>
              <w:bottom w:val="double" w:sz="6" w:space="0" w:color="auto"/>
              <w:right w:val="double" w:sz="6" w:space="0" w:color="auto"/>
            </w:tcBorders>
            <w:shd w:val="clear" w:color="auto" w:fill="auto"/>
            <w:noWrap/>
            <w:vAlign w:val="center"/>
            <w:hideMark/>
          </w:tcPr>
          <w:p w14:paraId="43B27C0C" w14:textId="77777777" w:rsidR="00C3264D" w:rsidRDefault="007708E7">
            <w:pPr>
              <w:spacing w:after="0" w:line="240" w:lineRule="auto"/>
              <w:jc w:val="center"/>
              <w:rPr>
                <w:rFonts w:ascii="Times New Roman" w:eastAsia="Times New Roman" w:hAnsi="Times New Roman"/>
                <w:color w:val="000000"/>
                <w:sz w:val="20"/>
                <w:szCs w:val="20"/>
              </w:rPr>
            </w:pPr>
            <w:r>
              <w:rPr>
                <w:rFonts w:ascii="Times New Roman" w:hAnsi="Times New Roman"/>
                <w:sz w:val="20"/>
                <w:szCs w:val="20"/>
              </w:rPr>
              <w:t>77 741</w:t>
            </w:r>
          </w:p>
        </w:tc>
        <w:tc>
          <w:tcPr>
            <w:tcW w:w="1135" w:type="dxa"/>
            <w:tcBorders>
              <w:top w:val="nil"/>
              <w:left w:val="nil"/>
              <w:bottom w:val="double" w:sz="6" w:space="0" w:color="auto"/>
              <w:right w:val="double" w:sz="6" w:space="0" w:color="auto"/>
            </w:tcBorders>
            <w:shd w:val="clear" w:color="auto" w:fill="auto"/>
            <w:noWrap/>
            <w:vAlign w:val="center"/>
            <w:hideMark/>
          </w:tcPr>
          <w:p w14:paraId="314DA011" w14:textId="77777777" w:rsidR="00C3264D" w:rsidRDefault="007708E7">
            <w:pPr>
              <w:spacing w:after="0" w:line="240" w:lineRule="auto"/>
              <w:jc w:val="center"/>
              <w:rPr>
                <w:rFonts w:ascii="Times New Roman" w:eastAsia="Times New Roman" w:hAnsi="Times New Roman"/>
                <w:color w:val="000000"/>
                <w:sz w:val="20"/>
                <w:szCs w:val="20"/>
              </w:rPr>
            </w:pPr>
            <w:r>
              <w:rPr>
                <w:rFonts w:ascii="Times New Roman" w:hAnsi="Times New Roman"/>
                <w:sz w:val="20"/>
                <w:szCs w:val="20"/>
              </w:rPr>
              <w:t>66 740</w:t>
            </w:r>
          </w:p>
        </w:tc>
        <w:tc>
          <w:tcPr>
            <w:tcW w:w="1288" w:type="dxa"/>
            <w:tcBorders>
              <w:top w:val="nil"/>
              <w:left w:val="nil"/>
              <w:bottom w:val="double" w:sz="6" w:space="0" w:color="auto"/>
              <w:right w:val="double" w:sz="6" w:space="0" w:color="auto"/>
            </w:tcBorders>
            <w:shd w:val="clear" w:color="auto" w:fill="auto"/>
            <w:noWrap/>
            <w:vAlign w:val="center"/>
            <w:hideMark/>
          </w:tcPr>
          <w:p w14:paraId="0A027F80" w14:textId="77777777" w:rsidR="00C3264D" w:rsidRDefault="007708E7">
            <w:pPr>
              <w:spacing w:after="0" w:line="240" w:lineRule="auto"/>
              <w:jc w:val="center"/>
              <w:rPr>
                <w:rFonts w:ascii="Times New Roman" w:eastAsia="Times New Roman" w:hAnsi="Times New Roman"/>
                <w:color w:val="000000"/>
                <w:sz w:val="20"/>
                <w:szCs w:val="20"/>
              </w:rPr>
            </w:pPr>
            <w:r>
              <w:rPr>
                <w:rFonts w:ascii="Times New Roman" w:hAnsi="Times New Roman"/>
                <w:sz w:val="20"/>
                <w:szCs w:val="20"/>
              </w:rPr>
              <w:t>54 550</w:t>
            </w:r>
          </w:p>
        </w:tc>
        <w:tc>
          <w:tcPr>
            <w:tcW w:w="1288" w:type="dxa"/>
            <w:tcBorders>
              <w:top w:val="nil"/>
              <w:left w:val="nil"/>
              <w:bottom w:val="double" w:sz="6" w:space="0" w:color="auto"/>
              <w:right w:val="double" w:sz="6" w:space="0" w:color="auto"/>
            </w:tcBorders>
            <w:shd w:val="clear" w:color="auto" w:fill="auto"/>
            <w:noWrap/>
            <w:vAlign w:val="center"/>
            <w:hideMark/>
          </w:tcPr>
          <w:p w14:paraId="1CE20461" w14:textId="77777777" w:rsidR="00C3264D" w:rsidRDefault="007708E7">
            <w:pPr>
              <w:spacing w:after="0" w:line="240" w:lineRule="auto"/>
              <w:jc w:val="center"/>
              <w:rPr>
                <w:rFonts w:ascii="Times New Roman" w:eastAsia="Times New Roman" w:hAnsi="Times New Roman"/>
                <w:color w:val="000000"/>
                <w:sz w:val="20"/>
                <w:szCs w:val="20"/>
              </w:rPr>
            </w:pPr>
            <w:r>
              <w:rPr>
                <w:rFonts w:ascii="Times New Roman" w:hAnsi="Times New Roman"/>
                <w:sz w:val="20"/>
                <w:szCs w:val="20"/>
              </w:rPr>
              <w:t>80 295</w:t>
            </w:r>
          </w:p>
        </w:tc>
      </w:tr>
      <w:tr w:rsidR="00C3264D" w14:paraId="7F676F58" w14:textId="77777777" w:rsidTr="007708E7">
        <w:trPr>
          <w:trHeight w:val="330"/>
        </w:trPr>
        <w:tc>
          <w:tcPr>
            <w:tcW w:w="1926" w:type="dxa"/>
            <w:tcBorders>
              <w:top w:val="nil"/>
              <w:left w:val="double" w:sz="6" w:space="0" w:color="auto"/>
              <w:bottom w:val="double" w:sz="6" w:space="0" w:color="auto"/>
              <w:right w:val="double" w:sz="6" w:space="0" w:color="auto"/>
            </w:tcBorders>
            <w:shd w:val="clear" w:color="auto" w:fill="auto"/>
            <w:noWrap/>
            <w:vAlign w:val="center"/>
            <w:hideMark/>
          </w:tcPr>
          <w:p w14:paraId="0749B80B" w14:textId="77777777" w:rsidR="00C3264D" w:rsidRDefault="007708E7">
            <w:pPr>
              <w:spacing w:after="0" w:line="240" w:lineRule="auto"/>
              <w:jc w:val="center"/>
              <w:rPr>
                <w:rFonts w:ascii="Times New Roman" w:eastAsia="Times New Roman" w:hAnsi="Times New Roman"/>
                <w:b/>
                <w:bCs/>
                <w:color w:val="000000"/>
                <w:sz w:val="20"/>
                <w:szCs w:val="20"/>
              </w:rPr>
            </w:pPr>
            <w:r>
              <w:rPr>
                <w:rFonts w:ascii="Times New Roman" w:hAnsi="Times New Roman"/>
                <w:b/>
                <w:bCs/>
                <w:sz w:val="20"/>
                <w:szCs w:val="20"/>
              </w:rPr>
              <w:t>Естония</w:t>
            </w:r>
          </w:p>
        </w:tc>
        <w:tc>
          <w:tcPr>
            <w:tcW w:w="1135" w:type="dxa"/>
            <w:tcBorders>
              <w:top w:val="nil"/>
              <w:left w:val="nil"/>
              <w:bottom w:val="double" w:sz="6" w:space="0" w:color="auto"/>
              <w:right w:val="double" w:sz="6" w:space="0" w:color="auto"/>
            </w:tcBorders>
            <w:shd w:val="clear" w:color="auto" w:fill="auto"/>
            <w:noWrap/>
            <w:vAlign w:val="center"/>
            <w:hideMark/>
          </w:tcPr>
          <w:p w14:paraId="322622DD" w14:textId="77777777" w:rsidR="00C3264D" w:rsidRDefault="007708E7">
            <w:pPr>
              <w:spacing w:after="0" w:line="240" w:lineRule="auto"/>
              <w:jc w:val="center"/>
              <w:rPr>
                <w:rFonts w:ascii="Times New Roman" w:eastAsia="Times New Roman" w:hAnsi="Times New Roman"/>
                <w:color w:val="000000"/>
                <w:sz w:val="20"/>
                <w:szCs w:val="20"/>
              </w:rPr>
            </w:pPr>
            <w:r>
              <w:rPr>
                <w:rFonts w:ascii="Times New Roman" w:hAnsi="Times New Roman"/>
                <w:sz w:val="20"/>
                <w:szCs w:val="20"/>
              </w:rPr>
              <w:t>0</w:t>
            </w:r>
          </w:p>
        </w:tc>
        <w:tc>
          <w:tcPr>
            <w:tcW w:w="1135" w:type="dxa"/>
            <w:tcBorders>
              <w:top w:val="nil"/>
              <w:left w:val="nil"/>
              <w:bottom w:val="double" w:sz="6" w:space="0" w:color="auto"/>
              <w:right w:val="double" w:sz="6" w:space="0" w:color="auto"/>
            </w:tcBorders>
            <w:shd w:val="clear" w:color="auto" w:fill="auto"/>
            <w:noWrap/>
            <w:vAlign w:val="center"/>
            <w:hideMark/>
          </w:tcPr>
          <w:p w14:paraId="7C1439D8" w14:textId="77777777" w:rsidR="00C3264D" w:rsidRDefault="007708E7">
            <w:pPr>
              <w:spacing w:after="0" w:line="240" w:lineRule="auto"/>
              <w:jc w:val="center"/>
              <w:rPr>
                <w:rFonts w:ascii="Times New Roman" w:eastAsia="Times New Roman" w:hAnsi="Times New Roman"/>
                <w:color w:val="000000"/>
                <w:sz w:val="20"/>
                <w:szCs w:val="20"/>
              </w:rPr>
            </w:pPr>
            <w:r>
              <w:rPr>
                <w:rFonts w:ascii="Times New Roman" w:hAnsi="Times New Roman"/>
                <w:sz w:val="20"/>
                <w:szCs w:val="20"/>
              </w:rPr>
              <w:t>188 682</w:t>
            </w:r>
          </w:p>
        </w:tc>
        <w:tc>
          <w:tcPr>
            <w:tcW w:w="1135" w:type="dxa"/>
            <w:tcBorders>
              <w:top w:val="nil"/>
              <w:left w:val="nil"/>
              <w:bottom w:val="double" w:sz="6" w:space="0" w:color="auto"/>
              <w:right w:val="double" w:sz="6" w:space="0" w:color="auto"/>
            </w:tcBorders>
            <w:shd w:val="clear" w:color="auto" w:fill="auto"/>
            <w:noWrap/>
            <w:vAlign w:val="center"/>
            <w:hideMark/>
          </w:tcPr>
          <w:p w14:paraId="2EFC1133" w14:textId="77777777" w:rsidR="00C3264D" w:rsidRDefault="007708E7">
            <w:pPr>
              <w:spacing w:after="0" w:line="240" w:lineRule="auto"/>
              <w:jc w:val="center"/>
              <w:rPr>
                <w:rFonts w:ascii="Times New Roman" w:eastAsia="Times New Roman" w:hAnsi="Times New Roman"/>
                <w:color w:val="000000"/>
                <w:sz w:val="20"/>
                <w:szCs w:val="20"/>
              </w:rPr>
            </w:pPr>
            <w:r>
              <w:rPr>
                <w:rFonts w:ascii="Times New Roman" w:hAnsi="Times New Roman"/>
                <w:sz w:val="20"/>
                <w:szCs w:val="20"/>
              </w:rPr>
              <w:t>134 897</w:t>
            </w:r>
          </w:p>
        </w:tc>
        <w:tc>
          <w:tcPr>
            <w:tcW w:w="1135" w:type="dxa"/>
            <w:tcBorders>
              <w:top w:val="nil"/>
              <w:left w:val="nil"/>
              <w:bottom w:val="double" w:sz="6" w:space="0" w:color="auto"/>
              <w:right w:val="double" w:sz="6" w:space="0" w:color="auto"/>
            </w:tcBorders>
            <w:shd w:val="clear" w:color="auto" w:fill="auto"/>
            <w:noWrap/>
            <w:vAlign w:val="center"/>
            <w:hideMark/>
          </w:tcPr>
          <w:p w14:paraId="172CA394" w14:textId="77777777" w:rsidR="00C3264D" w:rsidRDefault="007708E7">
            <w:pPr>
              <w:spacing w:after="0" w:line="240" w:lineRule="auto"/>
              <w:jc w:val="center"/>
              <w:rPr>
                <w:rFonts w:ascii="Times New Roman" w:eastAsia="Times New Roman" w:hAnsi="Times New Roman"/>
                <w:color w:val="000000"/>
                <w:sz w:val="20"/>
                <w:szCs w:val="20"/>
              </w:rPr>
            </w:pPr>
            <w:r>
              <w:rPr>
                <w:rFonts w:ascii="Times New Roman" w:hAnsi="Times New Roman"/>
                <w:sz w:val="20"/>
                <w:szCs w:val="20"/>
              </w:rPr>
              <w:t>1 767 499</w:t>
            </w:r>
          </w:p>
        </w:tc>
        <w:tc>
          <w:tcPr>
            <w:tcW w:w="1288" w:type="dxa"/>
            <w:tcBorders>
              <w:top w:val="nil"/>
              <w:left w:val="nil"/>
              <w:bottom w:val="double" w:sz="6" w:space="0" w:color="auto"/>
              <w:right w:val="double" w:sz="6" w:space="0" w:color="auto"/>
            </w:tcBorders>
            <w:shd w:val="clear" w:color="auto" w:fill="auto"/>
            <w:noWrap/>
            <w:vAlign w:val="center"/>
            <w:hideMark/>
          </w:tcPr>
          <w:p w14:paraId="268C1446" w14:textId="77777777" w:rsidR="00C3264D" w:rsidRDefault="007708E7">
            <w:pPr>
              <w:spacing w:after="0" w:line="240" w:lineRule="auto"/>
              <w:jc w:val="center"/>
              <w:rPr>
                <w:rFonts w:ascii="Times New Roman" w:eastAsia="Times New Roman" w:hAnsi="Times New Roman"/>
                <w:color w:val="000000"/>
                <w:sz w:val="20"/>
                <w:szCs w:val="20"/>
              </w:rPr>
            </w:pPr>
            <w:r>
              <w:rPr>
                <w:rFonts w:ascii="Times New Roman" w:hAnsi="Times New Roman"/>
                <w:sz w:val="20"/>
                <w:szCs w:val="20"/>
              </w:rPr>
              <w:t>761 088</w:t>
            </w:r>
          </w:p>
        </w:tc>
        <w:tc>
          <w:tcPr>
            <w:tcW w:w="1288" w:type="dxa"/>
            <w:tcBorders>
              <w:top w:val="nil"/>
              <w:left w:val="nil"/>
              <w:bottom w:val="double" w:sz="6" w:space="0" w:color="auto"/>
              <w:right w:val="double" w:sz="6" w:space="0" w:color="auto"/>
            </w:tcBorders>
            <w:shd w:val="clear" w:color="auto" w:fill="auto"/>
            <w:noWrap/>
            <w:vAlign w:val="center"/>
            <w:hideMark/>
          </w:tcPr>
          <w:p w14:paraId="66F27B0C" w14:textId="77777777" w:rsidR="00C3264D" w:rsidRDefault="007708E7">
            <w:pPr>
              <w:spacing w:after="0" w:line="240" w:lineRule="auto"/>
              <w:jc w:val="center"/>
              <w:rPr>
                <w:rFonts w:ascii="Times New Roman" w:eastAsia="Times New Roman" w:hAnsi="Times New Roman"/>
                <w:color w:val="000000"/>
                <w:sz w:val="20"/>
                <w:szCs w:val="20"/>
              </w:rPr>
            </w:pPr>
            <w:r>
              <w:rPr>
                <w:rFonts w:ascii="Times New Roman" w:hAnsi="Times New Roman"/>
                <w:sz w:val="20"/>
                <w:szCs w:val="20"/>
              </w:rPr>
              <w:t>50 026</w:t>
            </w:r>
          </w:p>
        </w:tc>
      </w:tr>
      <w:tr w:rsidR="00C3264D" w14:paraId="3B5F6919" w14:textId="77777777" w:rsidTr="007708E7">
        <w:trPr>
          <w:trHeight w:val="330"/>
        </w:trPr>
        <w:tc>
          <w:tcPr>
            <w:tcW w:w="1926" w:type="dxa"/>
            <w:tcBorders>
              <w:top w:val="nil"/>
              <w:left w:val="double" w:sz="6" w:space="0" w:color="auto"/>
              <w:bottom w:val="double" w:sz="6" w:space="0" w:color="auto"/>
              <w:right w:val="double" w:sz="6" w:space="0" w:color="auto"/>
            </w:tcBorders>
            <w:shd w:val="clear" w:color="auto" w:fill="auto"/>
            <w:noWrap/>
            <w:vAlign w:val="center"/>
            <w:hideMark/>
          </w:tcPr>
          <w:p w14:paraId="3E278A11" w14:textId="77777777" w:rsidR="00C3264D" w:rsidRDefault="007708E7">
            <w:pPr>
              <w:spacing w:after="0" w:line="240" w:lineRule="auto"/>
              <w:jc w:val="center"/>
              <w:rPr>
                <w:rFonts w:ascii="Times New Roman" w:eastAsia="Times New Roman" w:hAnsi="Times New Roman"/>
                <w:b/>
                <w:bCs/>
                <w:color w:val="000000"/>
                <w:sz w:val="20"/>
                <w:szCs w:val="20"/>
              </w:rPr>
            </w:pPr>
            <w:r>
              <w:rPr>
                <w:rFonts w:ascii="Times New Roman" w:hAnsi="Times New Roman"/>
                <w:b/>
                <w:bCs/>
                <w:sz w:val="20"/>
                <w:szCs w:val="20"/>
              </w:rPr>
              <w:t>Литва</w:t>
            </w:r>
          </w:p>
        </w:tc>
        <w:tc>
          <w:tcPr>
            <w:tcW w:w="1135" w:type="dxa"/>
            <w:tcBorders>
              <w:top w:val="nil"/>
              <w:left w:val="nil"/>
              <w:bottom w:val="double" w:sz="6" w:space="0" w:color="auto"/>
              <w:right w:val="double" w:sz="6" w:space="0" w:color="auto"/>
            </w:tcBorders>
            <w:shd w:val="clear" w:color="auto" w:fill="auto"/>
            <w:noWrap/>
            <w:vAlign w:val="center"/>
            <w:hideMark/>
          </w:tcPr>
          <w:p w14:paraId="0DE874D6" w14:textId="77777777" w:rsidR="00C3264D" w:rsidRDefault="007708E7">
            <w:pPr>
              <w:spacing w:after="0" w:line="240" w:lineRule="auto"/>
              <w:jc w:val="center"/>
              <w:rPr>
                <w:rFonts w:ascii="Times New Roman" w:eastAsia="Times New Roman" w:hAnsi="Times New Roman"/>
                <w:color w:val="000000"/>
                <w:sz w:val="20"/>
                <w:szCs w:val="20"/>
              </w:rPr>
            </w:pPr>
            <w:r>
              <w:rPr>
                <w:rFonts w:ascii="Times New Roman" w:hAnsi="Times New Roman"/>
                <w:sz w:val="20"/>
                <w:szCs w:val="20"/>
              </w:rPr>
              <w:t>259 924</w:t>
            </w:r>
          </w:p>
        </w:tc>
        <w:tc>
          <w:tcPr>
            <w:tcW w:w="1135" w:type="dxa"/>
            <w:tcBorders>
              <w:top w:val="nil"/>
              <w:left w:val="nil"/>
              <w:bottom w:val="double" w:sz="6" w:space="0" w:color="auto"/>
              <w:right w:val="double" w:sz="6" w:space="0" w:color="auto"/>
            </w:tcBorders>
            <w:shd w:val="clear" w:color="auto" w:fill="auto"/>
            <w:noWrap/>
            <w:vAlign w:val="center"/>
            <w:hideMark/>
          </w:tcPr>
          <w:p w14:paraId="29D6F43C" w14:textId="77777777" w:rsidR="00C3264D" w:rsidRDefault="007708E7">
            <w:pPr>
              <w:spacing w:after="0" w:line="240" w:lineRule="auto"/>
              <w:jc w:val="center"/>
              <w:rPr>
                <w:rFonts w:ascii="Times New Roman" w:eastAsia="Times New Roman" w:hAnsi="Times New Roman"/>
                <w:color w:val="000000"/>
                <w:sz w:val="20"/>
                <w:szCs w:val="20"/>
              </w:rPr>
            </w:pPr>
            <w:r>
              <w:rPr>
                <w:rFonts w:ascii="Times New Roman" w:hAnsi="Times New Roman"/>
                <w:sz w:val="20"/>
                <w:szCs w:val="20"/>
              </w:rPr>
              <w:t>0</w:t>
            </w:r>
          </w:p>
        </w:tc>
        <w:tc>
          <w:tcPr>
            <w:tcW w:w="1135" w:type="dxa"/>
            <w:tcBorders>
              <w:top w:val="nil"/>
              <w:left w:val="nil"/>
              <w:bottom w:val="double" w:sz="6" w:space="0" w:color="auto"/>
              <w:right w:val="double" w:sz="6" w:space="0" w:color="auto"/>
            </w:tcBorders>
            <w:shd w:val="clear" w:color="auto" w:fill="auto"/>
            <w:noWrap/>
            <w:vAlign w:val="center"/>
            <w:hideMark/>
          </w:tcPr>
          <w:p w14:paraId="36646801" w14:textId="77777777" w:rsidR="00C3264D" w:rsidRDefault="007708E7">
            <w:pPr>
              <w:spacing w:after="0" w:line="240" w:lineRule="auto"/>
              <w:jc w:val="center"/>
              <w:rPr>
                <w:rFonts w:ascii="Times New Roman" w:eastAsia="Times New Roman" w:hAnsi="Times New Roman"/>
                <w:color w:val="000000"/>
                <w:sz w:val="20"/>
                <w:szCs w:val="20"/>
              </w:rPr>
            </w:pPr>
            <w:r>
              <w:rPr>
                <w:rFonts w:ascii="Times New Roman" w:hAnsi="Times New Roman"/>
                <w:sz w:val="20"/>
                <w:szCs w:val="20"/>
              </w:rPr>
              <w:t>456 725</w:t>
            </w:r>
          </w:p>
        </w:tc>
        <w:tc>
          <w:tcPr>
            <w:tcW w:w="1135" w:type="dxa"/>
            <w:tcBorders>
              <w:top w:val="nil"/>
              <w:left w:val="nil"/>
              <w:bottom w:val="double" w:sz="6" w:space="0" w:color="auto"/>
              <w:right w:val="double" w:sz="6" w:space="0" w:color="auto"/>
            </w:tcBorders>
            <w:shd w:val="clear" w:color="auto" w:fill="auto"/>
            <w:noWrap/>
            <w:vAlign w:val="center"/>
            <w:hideMark/>
          </w:tcPr>
          <w:p w14:paraId="44F6CFC5" w14:textId="77777777" w:rsidR="00C3264D" w:rsidRDefault="007708E7">
            <w:pPr>
              <w:spacing w:after="0" w:line="240" w:lineRule="auto"/>
              <w:jc w:val="center"/>
              <w:rPr>
                <w:rFonts w:ascii="Times New Roman" w:eastAsia="Times New Roman" w:hAnsi="Times New Roman"/>
                <w:color w:val="000000"/>
                <w:sz w:val="20"/>
                <w:szCs w:val="20"/>
              </w:rPr>
            </w:pPr>
            <w:r>
              <w:rPr>
                <w:rFonts w:ascii="Times New Roman" w:hAnsi="Times New Roman"/>
                <w:sz w:val="20"/>
                <w:szCs w:val="20"/>
              </w:rPr>
              <w:t>191 229</w:t>
            </w:r>
          </w:p>
        </w:tc>
        <w:tc>
          <w:tcPr>
            <w:tcW w:w="1288" w:type="dxa"/>
            <w:tcBorders>
              <w:top w:val="nil"/>
              <w:left w:val="nil"/>
              <w:bottom w:val="double" w:sz="6" w:space="0" w:color="auto"/>
              <w:right w:val="double" w:sz="6" w:space="0" w:color="auto"/>
            </w:tcBorders>
            <w:shd w:val="clear" w:color="auto" w:fill="auto"/>
            <w:noWrap/>
            <w:vAlign w:val="center"/>
            <w:hideMark/>
          </w:tcPr>
          <w:p w14:paraId="4B8D9780" w14:textId="77777777" w:rsidR="00C3264D" w:rsidRDefault="007708E7">
            <w:pPr>
              <w:spacing w:after="0" w:line="240" w:lineRule="auto"/>
              <w:jc w:val="center"/>
              <w:rPr>
                <w:rFonts w:ascii="Times New Roman" w:eastAsia="Times New Roman" w:hAnsi="Times New Roman"/>
                <w:color w:val="000000"/>
                <w:sz w:val="20"/>
                <w:szCs w:val="20"/>
              </w:rPr>
            </w:pPr>
            <w:r>
              <w:rPr>
                <w:rFonts w:ascii="Times New Roman" w:hAnsi="Times New Roman"/>
                <w:sz w:val="20"/>
                <w:szCs w:val="20"/>
              </w:rPr>
              <w:t>161 522</w:t>
            </w:r>
          </w:p>
        </w:tc>
        <w:tc>
          <w:tcPr>
            <w:tcW w:w="1288" w:type="dxa"/>
            <w:tcBorders>
              <w:top w:val="nil"/>
              <w:left w:val="nil"/>
              <w:bottom w:val="double" w:sz="6" w:space="0" w:color="auto"/>
              <w:right w:val="double" w:sz="6" w:space="0" w:color="auto"/>
            </w:tcBorders>
            <w:shd w:val="clear" w:color="auto" w:fill="auto"/>
            <w:noWrap/>
            <w:vAlign w:val="center"/>
            <w:hideMark/>
          </w:tcPr>
          <w:p w14:paraId="11F9E8A9" w14:textId="77777777" w:rsidR="00C3264D" w:rsidRDefault="007708E7">
            <w:pPr>
              <w:spacing w:after="0" w:line="240" w:lineRule="auto"/>
              <w:jc w:val="center"/>
              <w:rPr>
                <w:rFonts w:ascii="Times New Roman" w:eastAsia="Times New Roman" w:hAnsi="Times New Roman"/>
                <w:color w:val="000000"/>
                <w:sz w:val="20"/>
                <w:szCs w:val="20"/>
              </w:rPr>
            </w:pPr>
            <w:r>
              <w:rPr>
                <w:rFonts w:ascii="Times New Roman" w:hAnsi="Times New Roman"/>
                <w:sz w:val="20"/>
                <w:szCs w:val="20"/>
              </w:rPr>
              <w:t>128 105</w:t>
            </w:r>
          </w:p>
        </w:tc>
      </w:tr>
      <w:tr w:rsidR="00C3264D" w14:paraId="6E5D041C" w14:textId="77777777" w:rsidTr="007708E7">
        <w:trPr>
          <w:trHeight w:val="405"/>
        </w:trPr>
        <w:tc>
          <w:tcPr>
            <w:tcW w:w="1926" w:type="dxa"/>
            <w:tcBorders>
              <w:top w:val="nil"/>
              <w:left w:val="double" w:sz="6" w:space="0" w:color="auto"/>
              <w:bottom w:val="double" w:sz="6" w:space="0" w:color="auto"/>
              <w:right w:val="double" w:sz="6" w:space="0" w:color="auto"/>
            </w:tcBorders>
            <w:shd w:val="clear" w:color="auto" w:fill="auto"/>
            <w:noWrap/>
            <w:vAlign w:val="center"/>
            <w:hideMark/>
          </w:tcPr>
          <w:p w14:paraId="564FA56B" w14:textId="77777777" w:rsidR="00C3264D" w:rsidRDefault="007708E7">
            <w:pPr>
              <w:spacing w:after="0" w:line="240" w:lineRule="auto"/>
              <w:jc w:val="center"/>
              <w:rPr>
                <w:rFonts w:ascii="Times New Roman" w:eastAsia="Times New Roman" w:hAnsi="Times New Roman"/>
                <w:b/>
                <w:bCs/>
                <w:color w:val="000000"/>
                <w:sz w:val="20"/>
                <w:szCs w:val="20"/>
              </w:rPr>
            </w:pPr>
            <w:r>
              <w:rPr>
                <w:rFonts w:ascii="Times New Roman" w:hAnsi="Times New Roman"/>
                <w:b/>
                <w:bCs/>
                <w:sz w:val="20"/>
                <w:szCs w:val="20"/>
              </w:rPr>
              <w:t>Полша</w:t>
            </w:r>
          </w:p>
        </w:tc>
        <w:tc>
          <w:tcPr>
            <w:tcW w:w="1135" w:type="dxa"/>
            <w:tcBorders>
              <w:top w:val="nil"/>
              <w:left w:val="nil"/>
              <w:bottom w:val="double" w:sz="6" w:space="0" w:color="auto"/>
              <w:right w:val="double" w:sz="6" w:space="0" w:color="auto"/>
            </w:tcBorders>
            <w:shd w:val="clear" w:color="auto" w:fill="auto"/>
            <w:noWrap/>
            <w:vAlign w:val="center"/>
            <w:hideMark/>
          </w:tcPr>
          <w:p w14:paraId="4889E2B2" w14:textId="77777777" w:rsidR="00C3264D" w:rsidRDefault="007708E7">
            <w:pPr>
              <w:spacing w:after="0" w:line="240" w:lineRule="auto"/>
              <w:jc w:val="center"/>
              <w:rPr>
                <w:rFonts w:ascii="Times New Roman" w:eastAsia="Times New Roman" w:hAnsi="Times New Roman"/>
                <w:color w:val="000000"/>
                <w:sz w:val="20"/>
                <w:szCs w:val="20"/>
              </w:rPr>
            </w:pPr>
            <w:r>
              <w:rPr>
                <w:rFonts w:ascii="Times New Roman" w:hAnsi="Times New Roman"/>
                <w:sz w:val="20"/>
                <w:szCs w:val="20"/>
              </w:rPr>
              <w:t>1 196</w:t>
            </w:r>
          </w:p>
        </w:tc>
        <w:tc>
          <w:tcPr>
            <w:tcW w:w="1135" w:type="dxa"/>
            <w:tcBorders>
              <w:top w:val="nil"/>
              <w:left w:val="nil"/>
              <w:bottom w:val="double" w:sz="6" w:space="0" w:color="auto"/>
              <w:right w:val="double" w:sz="6" w:space="0" w:color="auto"/>
            </w:tcBorders>
            <w:shd w:val="clear" w:color="auto" w:fill="auto"/>
            <w:noWrap/>
            <w:vAlign w:val="center"/>
            <w:hideMark/>
          </w:tcPr>
          <w:p w14:paraId="6CCAA4EC" w14:textId="77777777" w:rsidR="00C3264D" w:rsidRDefault="007708E7">
            <w:pPr>
              <w:spacing w:after="0" w:line="240" w:lineRule="auto"/>
              <w:jc w:val="center"/>
              <w:rPr>
                <w:rFonts w:ascii="Times New Roman" w:eastAsia="Times New Roman" w:hAnsi="Times New Roman"/>
                <w:color w:val="000000"/>
                <w:sz w:val="20"/>
                <w:szCs w:val="20"/>
              </w:rPr>
            </w:pPr>
            <w:r>
              <w:rPr>
                <w:rFonts w:ascii="Times New Roman" w:hAnsi="Times New Roman"/>
                <w:sz w:val="20"/>
                <w:szCs w:val="20"/>
              </w:rPr>
              <w:t>0</w:t>
            </w:r>
          </w:p>
        </w:tc>
        <w:tc>
          <w:tcPr>
            <w:tcW w:w="1135" w:type="dxa"/>
            <w:tcBorders>
              <w:top w:val="nil"/>
              <w:left w:val="nil"/>
              <w:bottom w:val="double" w:sz="6" w:space="0" w:color="auto"/>
              <w:right w:val="double" w:sz="6" w:space="0" w:color="auto"/>
            </w:tcBorders>
            <w:shd w:val="clear" w:color="auto" w:fill="auto"/>
            <w:noWrap/>
            <w:vAlign w:val="center"/>
            <w:hideMark/>
          </w:tcPr>
          <w:p w14:paraId="3525DEE8" w14:textId="77777777" w:rsidR="00C3264D" w:rsidRDefault="007708E7">
            <w:pPr>
              <w:spacing w:after="0" w:line="240" w:lineRule="auto"/>
              <w:jc w:val="center"/>
              <w:rPr>
                <w:rFonts w:ascii="Times New Roman" w:eastAsia="Times New Roman" w:hAnsi="Times New Roman"/>
                <w:color w:val="000000"/>
                <w:sz w:val="20"/>
                <w:szCs w:val="20"/>
              </w:rPr>
            </w:pPr>
            <w:r>
              <w:rPr>
                <w:rFonts w:ascii="Times New Roman" w:hAnsi="Times New Roman"/>
                <w:sz w:val="20"/>
                <w:szCs w:val="20"/>
              </w:rPr>
              <w:t>7 491</w:t>
            </w:r>
          </w:p>
        </w:tc>
        <w:tc>
          <w:tcPr>
            <w:tcW w:w="1135" w:type="dxa"/>
            <w:tcBorders>
              <w:top w:val="nil"/>
              <w:left w:val="nil"/>
              <w:bottom w:val="double" w:sz="6" w:space="0" w:color="auto"/>
              <w:right w:val="double" w:sz="6" w:space="0" w:color="auto"/>
            </w:tcBorders>
            <w:shd w:val="clear" w:color="auto" w:fill="auto"/>
            <w:noWrap/>
            <w:vAlign w:val="center"/>
            <w:hideMark/>
          </w:tcPr>
          <w:p w14:paraId="08E536C9" w14:textId="77777777" w:rsidR="00C3264D" w:rsidRDefault="007708E7">
            <w:pPr>
              <w:spacing w:after="0" w:line="240" w:lineRule="auto"/>
              <w:jc w:val="center"/>
              <w:rPr>
                <w:rFonts w:ascii="Times New Roman" w:eastAsia="Times New Roman" w:hAnsi="Times New Roman"/>
                <w:color w:val="000000"/>
                <w:sz w:val="20"/>
                <w:szCs w:val="20"/>
              </w:rPr>
            </w:pPr>
            <w:r>
              <w:rPr>
                <w:rFonts w:ascii="Times New Roman" w:hAnsi="Times New Roman"/>
                <w:sz w:val="20"/>
                <w:szCs w:val="20"/>
              </w:rPr>
              <w:t>0</w:t>
            </w:r>
          </w:p>
        </w:tc>
        <w:tc>
          <w:tcPr>
            <w:tcW w:w="1288" w:type="dxa"/>
            <w:tcBorders>
              <w:top w:val="nil"/>
              <w:left w:val="nil"/>
              <w:bottom w:val="double" w:sz="6" w:space="0" w:color="auto"/>
              <w:right w:val="double" w:sz="6" w:space="0" w:color="auto"/>
            </w:tcBorders>
            <w:shd w:val="clear" w:color="auto" w:fill="auto"/>
            <w:noWrap/>
            <w:vAlign w:val="center"/>
            <w:hideMark/>
          </w:tcPr>
          <w:p w14:paraId="5C7381F4" w14:textId="77777777" w:rsidR="00C3264D" w:rsidRDefault="007708E7">
            <w:pPr>
              <w:spacing w:after="0" w:line="240" w:lineRule="auto"/>
              <w:jc w:val="center"/>
              <w:rPr>
                <w:rFonts w:ascii="Times New Roman" w:eastAsia="Times New Roman" w:hAnsi="Times New Roman"/>
                <w:color w:val="000000"/>
                <w:sz w:val="20"/>
                <w:szCs w:val="20"/>
              </w:rPr>
            </w:pPr>
            <w:r>
              <w:rPr>
                <w:rFonts w:ascii="Times New Roman" w:hAnsi="Times New Roman"/>
                <w:sz w:val="20"/>
                <w:szCs w:val="20"/>
              </w:rPr>
              <w:t>55 800 000</w:t>
            </w:r>
          </w:p>
        </w:tc>
        <w:tc>
          <w:tcPr>
            <w:tcW w:w="1288" w:type="dxa"/>
            <w:tcBorders>
              <w:top w:val="nil"/>
              <w:left w:val="nil"/>
              <w:bottom w:val="double" w:sz="6" w:space="0" w:color="auto"/>
              <w:right w:val="double" w:sz="6" w:space="0" w:color="auto"/>
            </w:tcBorders>
            <w:shd w:val="clear" w:color="auto" w:fill="auto"/>
            <w:noWrap/>
            <w:vAlign w:val="center"/>
            <w:hideMark/>
          </w:tcPr>
          <w:p w14:paraId="564D4BAD" w14:textId="77777777" w:rsidR="00C3264D" w:rsidRDefault="007708E7">
            <w:pPr>
              <w:spacing w:after="0" w:line="240" w:lineRule="auto"/>
              <w:jc w:val="center"/>
              <w:rPr>
                <w:rFonts w:ascii="Times New Roman" w:eastAsia="Times New Roman" w:hAnsi="Times New Roman"/>
                <w:color w:val="000000"/>
                <w:sz w:val="20"/>
                <w:szCs w:val="20"/>
              </w:rPr>
            </w:pPr>
            <w:r>
              <w:rPr>
                <w:rFonts w:ascii="Times New Roman" w:hAnsi="Times New Roman"/>
                <w:sz w:val="20"/>
                <w:szCs w:val="20"/>
              </w:rPr>
              <w:t>49 520 000</w:t>
            </w:r>
          </w:p>
        </w:tc>
      </w:tr>
      <w:tr w:rsidR="00C3264D" w14:paraId="0F2435B6" w14:textId="77777777" w:rsidTr="007708E7">
        <w:trPr>
          <w:trHeight w:val="330"/>
        </w:trPr>
        <w:tc>
          <w:tcPr>
            <w:tcW w:w="1926" w:type="dxa"/>
            <w:tcBorders>
              <w:top w:val="nil"/>
              <w:left w:val="double" w:sz="6" w:space="0" w:color="auto"/>
              <w:bottom w:val="double" w:sz="6" w:space="0" w:color="auto"/>
              <w:right w:val="double" w:sz="6" w:space="0" w:color="auto"/>
            </w:tcBorders>
            <w:shd w:val="clear" w:color="auto" w:fill="auto"/>
            <w:noWrap/>
            <w:vAlign w:val="center"/>
            <w:hideMark/>
          </w:tcPr>
          <w:p w14:paraId="0173A554" w14:textId="77777777" w:rsidR="00C3264D" w:rsidRDefault="007708E7">
            <w:pPr>
              <w:spacing w:after="0" w:line="240" w:lineRule="auto"/>
              <w:jc w:val="center"/>
              <w:rPr>
                <w:rFonts w:ascii="Times New Roman" w:eastAsia="Times New Roman" w:hAnsi="Times New Roman"/>
                <w:b/>
                <w:bCs/>
                <w:color w:val="000000"/>
                <w:sz w:val="20"/>
                <w:szCs w:val="20"/>
              </w:rPr>
            </w:pPr>
            <w:r>
              <w:rPr>
                <w:rFonts w:ascii="Times New Roman" w:hAnsi="Times New Roman"/>
                <w:b/>
                <w:bCs/>
                <w:sz w:val="20"/>
                <w:szCs w:val="20"/>
              </w:rPr>
              <w:t>Румъния</w:t>
            </w:r>
          </w:p>
        </w:tc>
        <w:tc>
          <w:tcPr>
            <w:tcW w:w="1135" w:type="dxa"/>
            <w:tcBorders>
              <w:top w:val="nil"/>
              <w:left w:val="nil"/>
              <w:bottom w:val="double" w:sz="6" w:space="0" w:color="auto"/>
              <w:right w:val="double" w:sz="6" w:space="0" w:color="auto"/>
            </w:tcBorders>
            <w:shd w:val="clear" w:color="auto" w:fill="auto"/>
            <w:noWrap/>
            <w:vAlign w:val="center"/>
            <w:hideMark/>
          </w:tcPr>
          <w:p w14:paraId="4C9A446F" w14:textId="77777777" w:rsidR="00C3264D" w:rsidRDefault="007708E7">
            <w:pPr>
              <w:spacing w:after="0" w:line="240" w:lineRule="auto"/>
              <w:jc w:val="center"/>
              <w:rPr>
                <w:rFonts w:ascii="Times New Roman" w:eastAsia="Times New Roman" w:hAnsi="Times New Roman"/>
                <w:color w:val="000000"/>
                <w:sz w:val="20"/>
                <w:szCs w:val="20"/>
              </w:rPr>
            </w:pPr>
            <w:r>
              <w:rPr>
                <w:rFonts w:ascii="Times New Roman" w:hAnsi="Times New Roman"/>
                <w:sz w:val="20"/>
                <w:szCs w:val="20"/>
              </w:rPr>
              <w:t>2 104 468</w:t>
            </w:r>
          </w:p>
        </w:tc>
        <w:tc>
          <w:tcPr>
            <w:tcW w:w="1135" w:type="dxa"/>
            <w:tcBorders>
              <w:top w:val="nil"/>
              <w:left w:val="nil"/>
              <w:bottom w:val="double" w:sz="6" w:space="0" w:color="auto"/>
              <w:right w:val="double" w:sz="6" w:space="0" w:color="auto"/>
            </w:tcBorders>
            <w:shd w:val="clear" w:color="auto" w:fill="auto"/>
            <w:noWrap/>
            <w:vAlign w:val="center"/>
            <w:hideMark/>
          </w:tcPr>
          <w:p w14:paraId="554023A7" w14:textId="77777777" w:rsidR="00C3264D" w:rsidRDefault="007708E7">
            <w:pPr>
              <w:spacing w:after="0" w:line="240" w:lineRule="auto"/>
              <w:jc w:val="center"/>
              <w:rPr>
                <w:rFonts w:ascii="Times New Roman" w:eastAsia="Times New Roman" w:hAnsi="Times New Roman"/>
                <w:color w:val="000000"/>
                <w:sz w:val="20"/>
                <w:szCs w:val="20"/>
              </w:rPr>
            </w:pPr>
            <w:r>
              <w:rPr>
                <w:rFonts w:ascii="Times New Roman" w:hAnsi="Times New Roman"/>
                <w:sz w:val="20"/>
                <w:szCs w:val="20"/>
              </w:rPr>
              <w:t>6 710 664</w:t>
            </w:r>
          </w:p>
        </w:tc>
        <w:tc>
          <w:tcPr>
            <w:tcW w:w="1135" w:type="dxa"/>
            <w:tcBorders>
              <w:top w:val="nil"/>
              <w:left w:val="nil"/>
              <w:bottom w:val="double" w:sz="6" w:space="0" w:color="auto"/>
              <w:right w:val="double" w:sz="6" w:space="0" w:color="auto"/>
            </w:tcBorders>
            <w:shd w:val="clear" w:color="auto" w:fill="auto"/>
            <w:noWrap/>
            <w:vAlign w:val="center"/>
            <w:hideMark/>
          </w:tcPr>
          <w:p w14:paraId="18A48DFE" w14:textId="77777777" w:rsidR="00C3264D" w:rsidRDefault="007708E7">
            <w:pPr>
              <w:spacing w:after="0" w:line="240" w:lineRule="auto"/>
              <w:jc w:val="center"/>
              <w:rPr>
                <w:rFonts w:ascii="Times New Roman" w:eastAsia="Times New Roman" w:hAnsi="Times New Roman"/>
                <w:color w:val="000000"/>
                <w:sz w:val="20"/>
                <w:szCs w:val="20"/>
              </w:rPr>
            </w:pPr>
            <w:r>
              <w:rPr>
                <w:rFonts w:ascii="Times New Roman" w:hAnsi="Times New Roman"/>
                <w:sz w:val="20"/>
                <w:szCs w:val="20"/>
              </w:rPr>
              <w:t>3 540 974</w:t>
            </w:r>
          </w:p>
        </w:tc>
        <w:tc>
          <w:tcPr>
            <w:tcW w:w="1135" w:type="dxa"/>
            <w:tcBorders>
              <w:top w:val="nil"/>
              <w:left w:val="nil"/>
              <w:bottom w:val="double" w:sz="6" w:space="0" w:color="auto"/>
              <w:right w:val="double" w:sz="6" w:space="0" w:color="auto"/>
            </w:tcBorders>
            <w:shd w:val="clear" w:color="auto" w:fill="auto"/>
            <w:noWrap/>
            <w:vAlign w:val="center"/>
            <w:hideMark/>
          </w:tcPr>
          <w:p w14:paraId="7BE81852" w14:textId="77777777" w:rsidR="00C3264D" w:rsidRDefault="007708E7">
            <w:pPr>
              <w:spacing w:after="0" w:line="240" w:lineRule="auto"/>
              <w:jc w:val="center"/>
              <w:rPr>
                <w:rFonts w:ascii="Times New Roman" w:eastAsia="Times New Roman" w:hAnsi="Times New Roman"/>
                <w:color w:val="000000"/>
                <w:sz w:val="20"/>
                <w:szCs w:val="20"/>
              </w:rPr>
            </w:pPr>
            <w:r>
              <w:rPr>
                <w:rFonts w:ascii="Times New Roman" w:hAnsi="Times New Roman"/>
                <w:sz w:val="20"/>
                <w:szCs w:val="20"/>
              </w:rPr>
              <w:t>3 011 456</w:t>
            </w:r>
          </w:p>
        </w:tc>
        <w:tc>
          <w:tcPr>
            <w:tcW w:w="1288" w:type="dxa"/>
            <w:tcBorders>
              <w:top w:val="nil"/>
              <w:left w:val="nil"/>
              <w:bottom w:val="double" w:sz="6" w:space="0" w:color="auto"/>
              <w:right w:val="double" w:sz="6" w:space="0" w:color="auto"/>
            </w:tcBorders>
            <w:shd w:val="clear" w:color="auto" w:fill="auto"/>
            <w:noWrap/>
            <w:vAlign w:val="center"/>
            <w:hideMark/>
          </w:tcPr>
          <w:p w14:paraId="11F9F3D5" w14:textId="77777777" w:rsidR="00C3264D" w:rsidRDefault="007708E7">
            <w:pPr>
              <w:spacing w:after="0" w:line="240" w:lineRule="auto"/>
              <w:jc w:val="center"/>
              <w:rPr>
                <w:rFonts w:ascii="Times New Roman" w:eastAsia="Times New Roman" w:hAnsi="Times New Roman"/>
                <w:color w:val="000000"/>
                <w:sz w:val="20"/>
                <w:szCs w:val="20"/>
              </w:rPr>
            </w:pPr>
            <w:r>
              <w:rPr>
                <w:rFonts w:ascii="Times New Roman" w:hAnsi="Times New Roman"/>
                <w:sz w:val="20"/>
                <w:szCs w:val="20"/>
              </w:rPr>
              <w:t>0</w:t>
            </w:r>
          </w:p>
        </w:tc>
        <w:tc>
          <w:tcPr>
            <w:tcW w:w="1288" w:type="dxa"/>
            <w:tcBorders>
              <w:top w:val="nil"/>
              <w:left w:val="nil"/>
              <w:bottom w:val="double" w:sz="6" w:space="0" w:color="auto"/>
              <w:right w:val="double" w:sz="6" w:space="0" w:color="auto"/>
            </w:tcBorders>
            <w:shd w:val="clear" w:color="auto" w:fill="auto"/>
            <w:noWrap/>
            <w:vAlign w:val="center"/>
            <w:hideMark/>
          </w:tcPr>
          <w:p w14:paraId="3D0BF78A" w14:textId="77777777" w:rsidR="00C3264D" w:rsidRDefault="007708E7">
            <w:pPr>
              <w:spacing w:after="0" w:line="240" w:lineRule="auto"/>
              <w:jc w:val="center"/>
              <w:rPr>
                <w:rFonts w:ascii="Times New Roman" w:eastAsia="Times New Roman" w:hAnsi="Times New Roman"/>
                <w:color w:val="000000"/>
                <w:sz w:val="20"/>
                <w:szCs w:val="20"/>
              </w:rPr>
            </w:pPr>
            <w:r>
              <w:rPr>
                <w:rFonts w:ascii="Times New Roman" w:hAnsi="Times New Roman"/>
                <w:sz w:val="20"/>
                <w:szCs w:val="20"/>
              </w:rPr>
              <w:t>0</w:t>
            </w:r>
          </w:p>
        </w:tc>
      </w:tr>
      <w:tr w:rsidR="00C3264D" w14:paraId="23B118CF" w14:textId="77777777" w:rsidTr="007708E7">
        <w:trPr>
          <w:trHeight w:val="330"/>
        </w:trPr>
        <w:tc>
          <w:tcPr>
            <w:tcW w:w="1926" w:type="dxa"/>
            <w:tcBorders>
              <w:top w:val="nil"/>
              <w:left w:val="double" w:sz="6" w:space="0" w:color="auto"/>
              <w:bottom w:val="double" w:sz="6" w:space="0" w:color="auto"/>
              <w:right w:val="double" w:sz="6" w:space="0" w:color="auto"/>
            </w:tcBorders>
            <w:shd w:val="clear" w:color="auto" w:fill="auto"/>
            <w:noWrap/>
            <w:vAlign w:val="center"/>
            <w:hideMark/>
          </w:tcPr>
          <w:p w14:paraId="7B2D5304" w14:textId="77777777" w:rsidR="00C3264D" w:rsidRDefault="007708E7">
            <w:pPr>
              <w:spacing w:after="0" w:line="240" w:lineRule="auto"/>
              <w:jc w:val="center"/>
              <w:rPr>
                <w:rFonts w:ascii="Times New Roman" w:eastAsia="Times New Roman" w:hAnsi="Times New Roman"/>
                <w:b/>
                <w:bCs/>
                <w:color w:val="000000"/>
                <w:sz w:val="20"/>
                <w:szCs w:val="20"/>
              </w:rPr>
            </w:pPr>
            <w:r>
              <w:rPr>
                <w:rFonts w:ascii="Times New Roman" w:hAnsi="Times New Roman"/>
                <w:b/>
                <w:bCs/>
                <w:sz w:val="20"/>
                <w:szCs w:val="20"/>
              </w:rPr>
              <w:t>Унгария</w:t>
            </w:r>
          </w:p>
        </w:tc>
        <w:tc>
          <w:tcPr>
            <w:tcW w:w="1135" w:type="dxa"/>
            <w:tcBorders>
              <w:top w:val="nil"/>
              <w:left w:val="nil"/>
              <w:bottom w:val="double" w:sz="6" w:space="0" w:color="auto"/>
              <w:right w:val="double" w:sz="6" w:space="0" w:color="auto"/>
            </w:tcBorders>
            <w:shd w:val="clear" w:color="auto" w:fill="auto"/>
            <w:noWrap/>
            <w:vAlign w:val="center"/>
            <w:hideMark/>
          </w:tcPr>
          <w:p w14:paraId="14D6C0BC" w14:textId="77777777" w:rsidR="00C3264D" w:rsidRDefault="007708E7">
            <w:pPr>
              <w:spacing w:after="0" w:line="240" w:lineRule="auto"/>
              <w:jc w:val="center"/>
              <w:rPr>
                <w:rFonts w:ascii="Times New Roman" w:eastAsia="Times New Roman" w:hAnsi="Times New Roman"/>
                <w:color w:val="000000"/>
                <w:sz w:val="20"/>
                <w:szCs w:val="20"/>
              </w:rPr>
            </w:pPr>
            <w:r>
              <w:rPr>
                <w:rFonts w:ascii="Times New Roman" w:hAnsi="Times New Roman"/>
                <w:sz w:val="20"/>
                <w:szCs w:val="20"/>
              </w:rPr>
              <w:t>0</w:t>
            </w:r>
          </w:p>
        </w:tc>
        <w:tc>
          <w:tcPr>
            <w:tcW w:w="1135" w:type="dxa"/>
            <w:tcBorders>
              <w:top w:val="nil"/>
              <w:left w:val="nil"/>
              <w:bottom w:val="double" w:sz="6" w:space="0" w:color="auto"/>
              <w:right w:val="double" w:sz="6" w:space="0" w:color="auto"/>
            </w:tcBorders>
            <w:shd w:val="clear" w:color="auto" w:fill="auto"/>
            <w:noWrap/>
            <w:vAlign w:val="center"/>
            <w:hideMark/>
          </w:tcPr>
          <w:p w14:paraId="0DAC9E94" w14:textId="77777777" w:rsidR="00C3264D" w:rsidRDefault="007708E7">
            <w:pPr>
              <w:spacing w:after="0" w:line="240" w:lineRule="auto"/>
              <w:jc w:val="center"/>
              <w:rPr>
                <w:rFonts w:ascii="Times New Roman" w:eastAsia="Times New Roman" w:hAnsi="Times New Roman"/>
                <w:color w:val="000000"/>
                <w:sz w:val="20"/>
                <w:szCs w:val="20"/>
              </w:rPr>
            </w:pPr>
            <w:r>
              <w:rPr>
                <w:rFonts w:ascii="Times New Roman" w:hAnsi="Times New Roman"/>
                <w:sz w:val="20"/>
                <w:szCs w:val="20"/>
              </w:rPr>
              <w:t>0</w:t>
            </w:r>
          </w:p>
        </w:tc>
        <w:tc>
          <w:tcPr>
            <w:tcW w:w="1135" w:type="dxa"/>
            <w:tcBorders>
              <w:top w:val="nil"/>
              <w:left w:val="nil"/>
              <w:bottom w:val="double" w:sz="6" w:space="0" w:color="auto"/>
              <w:right w:val="double" w:sz="6" w:space="0" w:color="auto"/>
            </w:tcBorders>
            <w:shd w:val="clear" w:color="auto" w:fill="auto"/>
            <w:noWrap/>
            <w:vAlign w:val="center"/>
            <w:hideMark/>
          </w:tcPr>
          <w:p w14:paraId="324C42AC" w14:textId="77777777" w:rsidR="00C3264D" w:rsidRDefault="007708E7">
            <w:pPr>
              <w:spacing w:after="0" w:line="240" w:lineRule="auto"/>
              <w:jc w:val="center"/>
              <w:rPr>
                <w:rFonts w:ascii="Times New Roman" w:eastAsia="Times New Roman" w:hAnsi="Times New Roman"/>
                <w:color w:val="000000"/>
                <w:sz w:val="20"/>
                <w:szCs w:val="20"/>
              </w:rPr>
            </w:pPr>
            <w:r>
              <w:rPr>
                <w:rFonts w:ascii="Times New Roman" w:hAnsi="Times New Roman"/>
                <w:sz w:val="20"/>
                <w:szCs w:val="20"/>
              </w:rPr>
              <w:t>0</w:t>
            </w:r>
          </w:p>
        </w:tc>
        <w:tc>
          <w:tcPr>
            <w:tcW w:w="1135" w:type="dxa"/>
            <w:tcBorders>
              <w:top w:val="nil"/>
              <w:left w:val="nil"/>
              <w:bottom w:val="double" w:sz="6" w:space="0" w:color="auto"/>
              <w:right w:val="double" w:sz="6" w:space="0" w:color="auto"/>
            </w:tcBorders>
            <w:shd w:val="clear" w:color="auto" w:fill="auto"/>
            <w:noWrap/>
            <w:vAlign w:val="center"/>
            <w:hideMark/>
          </w:tcPr>
          <w:p w14:paraId="32A68F16" w14:textId="77777777" w:rsidR="00C3264D" w:rsidRDefault="007708E7">
            <w:pPr>
              <w:spacing w:after="0" w:line="240" w:lineRule="auto"/>
              <w:jc w:val="center"/>
              <w:rPr>
                <w:rFonts w:ascii="Times New Roman" w:eastAsia="Times New Roman" w:hAnsi="Times New Roman"/>
                <w:color w:val="000000"/>
                <w:sz w:val="20"/>
                <w:szCs w:val="20"/>
              </w:rPr>
            </w:pPr>
            <w:r>
              <w:rPr>
                <w:rFonts w:ascii="Times New Roman" w:hAnsi="Times New Roman"/>
                <w:sz w:val="20"/>
                <w:szCs w:val="20"/>
              </w:rPr>
              <w:t>0</w:t>
            </w:r>
          </w:p>
        </w:tc>
        <w:tc>
          <w:tcPr>
            <w:tcW w:w="1288" w:type="dxa"/>
            <w:tcBorders>
              <w:top w:val="nil"/>
              <w:left w:val="nil"/>
              <w:bottom w:val="double" w:sz="6" w:space="0" w:color="auto"/>
              <w:right w:val="double" w:sz="6" w:space="0" w:color="auto"/>
            </w:tcBorders>
            <w:shd w:val="clear" w:color="auto" w:fill="auto"/>
            <w:noWrap/>
            <w:vAlign w:val="center"/>
            <w:hideMark/>
          </w:tcPr>
          <w:p w14:paraId="3ACC0739" w14:textId="77777777" w:rsidR="00C3264D" w:rsidRDefault="007708E7">
            <w:pPr>
              <w:spacing w:after="0" w:line="240" w:lineRule="auto"/>
              <w:jc w:val="center"/>
              <w:rPr>
                <w:rFonts w:ascii="Times New Roman" w:eastAsia="Times New Roman" w:hAnsi="Times New Roman"/>
                <w:color w:val="000000"/>
                <w:sz w:val="20"/>
                <w:szCs w:val="20"/>
              </w:rPr>
            </w:pPr>
            <w:r>
              <w:rPr>
                <w:rFonts w:ascii="Times New Roman" w:hAnsi="Times New Roman"/>
                <w:sz w:val="20"/>
                <w:szCs w:val="20"/>
              </w:rPr>
              <w:t>0</w:t>
            </w:r>
          </w:p>
        </w:tc>
        <w:tc>
          <w:tcPr>
            <w:tcW w:w="1288" w:type="dxa"/>
            <w:tcBorders>
              <w:top w:val="nil"/>
              <w:left w:val="nil"/>
              <w:bottom w:val="double" w:sz="6" w:space="0" w:color="auto"/>
              <w:right w:val="double" w:sz="6" w:space="0" w:color="auto"/>
            </w:tcBorders>
            <w:shd w:val="clear" w:color="auto" w:fill="auto"/>
            <w:noWrap/>
            <w:vAlign w:val="center"/>
            <w:hideMark/>
          </w:tcPr>
          <w:p w14:paraId="403DF371" w14:textId="77777777" w:rsidR="00C3264D" w:rsidRDefault="007708E7">
            <w:pPr>
              <w:spacing w:after="0" w:line="240" w:lineRule="auto"/>
              <w:jc w:val="center"/>
              <w:rPr>
                <w:rFonts w:ascii="Times New Roman" w:eastAsia="Times New Roman" w:hAnsi="Times New Roman"/>
                <w:color w:val="000000"/>
                <w:sz w:val="20"/>
                <w:szCs w:val="20"/>
              </w:rPr>
            </w:pPr>
            <w:r>
              <w:rPr>
                <w:rFonts w:ascii="Times New Roman" w:hAnsi="Times New Roman"/>
                <w:sz w:val="20"/>
                <w:szCs w:val="20"/>
              </w:rPr>
              <w:t>0</w:t>
            </w:r>
          </w:p>
        </w:tc>
      </w:tr>
    </w:tbl>
    <w:p w14:paraId="5C11801C" w14:textId="77777777" w:rsidR="00C3264D" w:rsidRDefault="00526348">
      <w:pPr>
        <w:rPr>
          <w:rFonts w:ascii="Times New Roman" w:hAnsi="Times New Roman"/>
          <w:sz w:val="18"/>
          <w:szCs w:val="18"/>
        </w:rPr>
      </w:pPr>
      <w:r>
        <w:rPr>
          <w:rFonts w:ascii="Times New Roman" w:hAnsi="Times New Roman"/>
          <w:sz w:val="18"/>
          <w:szCs w:val="18"/>
        </w:rPr>
        <w:t>Източник: ГД „Действия по климата“</w:t>
      </w:r>
    </w:p>
    <w:p w14:paraId="266C93E1" w14:textId="77777777" w:rsidR="00C3264D" w:rsidRDefault="00C3264D">
      <w:pPr>
        <w:rPr>
          <w:rFonts w:ascii="Times New Roman" w:hAnsi="Times New Roman"/>
          <w:b/>
        </w:rPr>
      </w:pPr>
    </w:p>
    <w:p w14:paraId="2E71F32F" w14:textId="77777777" w:rsidR="00C3264D" w:rsidRDefault="003A348D">
      <w:pPr>
        <w:rPr>
          <w:rFonts w:ascii="Times New Roman" w:hAnsi="Times New Roman"/>
          <w:b/>
        </w:rPr>
      </w:pPr>
      <w:r>
        <w:rPr>
          <w:rFonts w:ascii="Times New Roman" w:hAnsi="Times New Roman"/>
          <w:b/>
        </w:rPr>
        <w:t>Допълнение 2</w:t>
      </w:r>
    </w:p>
    <w:p w14:paraId="648B20BF" w14:textId="77777777" w:rsidR="00C3264D" w:rsidRDefault="003A348D">
      <w:pPr>
        <w:rPr>
          <w:rFonts w:ascii="Times New Roman" w:hAnsi="Times New Roman"/>
          <w:b/>
          <w:sz w:val="20"/>
          <w:szCs w:val="20"/>
        </w:rPr>
      </w:pPr>
      <w:r>
        <w:rPr>
          <w:rFonts w:ascii="Times New Roman" w:hAnsi="Times New Roman"/>
          <w:b/>
          <w:sz w:val="20"/>
          <w:szCs w:val="20"/>
        </w:rPr>
        <w:t>Фигура 2.1: Брой на участниците в търговете за общи квоти за периода от 2013 г. до 30 юни 2019 г.</w:t>
      </w:r>
    </w:p>
    <w:p w14:paraId="487434F3" w14:textId="77777777" w:rsidR="00C3264D" w:rsidRDefault="006E0EB4">
      <w:pPr>
        <w:spacing w:after="0"/>
        <w:rPr>
          <w:b/>
          <w:color w:val="00B050"/>
          <w:sz w:val="24"/>
          <w:szCs w:val="24"/>
        </w:rPr>
      </w:pPr>
      <w:r>
        <w:rPr>
          <w:b/>
          <w:noProof/>
          <w:color w:val="00B050"/>
          <w:lang w:val="en-GB" w:eastAsia="en-GB"/>
        </w:rPr>
        <w:drawing>
          <wp:inline distT="0" distB="0" distL="0" distR="0" wp14:anchorId="7589ADBD" wp14:editId="3DDB18D5">
            <wp:extent cx="5908964" cy="2967592"/>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26383" cy="2976340"/>
                    </a:xfrm>
                    <a:prstGeom prst="rect">
                      <a:avLst/>
                    </a:prstGeom>
                    <a:noFill/>
                  </pic:spPr>
                </pic:pic>
              </a:graphicData>
            </a:graphic>
          </wp:inline>
        </w:drawing>
      </w:r>
    </w:p>
    <w:p w14:paraId="2D2027E5" w14:textId="77777777" w:rsidR="00C3264D" w:rsidRDefault="00626D3C">
      <w:pPr>
        <w:spacing w:after="0"/>
        <w:rPr>
          <w:rFonts w:ascii="Times New Roman" w:hAnsi="Times New Roman"/>
          <w:color w:val="000000" w:themeColor="text1"/>
          <w:sz w:val="18"/>
          <w:szCs w:val="18"/>
        </w:rPr>
      </w:pPr>
      <w:r>
        <w:rPr>
          <w:rFonts w:ascii="Times New Roman" w:hAnsi="Times New Roman"/>
          <w:sz w:val="18"/>
          <w:szCs w:val="18"/>
        </w:rPr>
        <w:t>Източник: ЕЕХ</w:t>
      </w:r>
    </w:p>
    <w:p w14:paraId="45A738F5" w14:textId="77777777" w:rsidR="00C3264D" w:rsidRDefault="002A6473">
      <w:pPr>
        <w:rPr>
          <w:b/>
        </w:rPr>
      </w:pPr>
      <w:r>
        <w:rPr>
          <w:b/>
          <w:sz w:val="32"/>
          <w:szCs w:val="32"/>
        </w:rPr>
        <w:t>.</w:t>
      </w:r>
      <w:r>
        <w:rPr>
          <w:rFonts w:ascii="Times New Roman" w:hAnsi="Times New Roman"/>
          <w:b/>
          <w:sz w:val="20"/>
          <w:szCs w:val="20"/>
        </w:rPr>
        <w:t xml:space="preserve">  </w:t>
      </w:r>
      <w:r>
        <w:rPr>
          <w:rFonts w:ascii="Times New Roman" w:hAnsi="Times New Roman"/>
          <w:sz w:val="20"/>
          <w:szCs w:val="20"/>
        </w:rPr>
        <w:t>Брой участници</w:t>
      </w:r>
      <w:r>
        <w:rPr>
          <w:b/>
        </w:rPr>
        <w:t xml:space="preserve"> </w:t>
      </w:r>
    </w:p>
    <w:p w14:paraId="3B40F4C2" w14:textId="77777777" w:rsidR="00C3264D" w:rsidRDefault="00C3264D">
      <w:pPr>
        <w:rPr>
          <w:b/>
        </w:rPr>
      </w:pPr>
    </w:p>
    <w:p w14:paraId="45FA8394" w14:textId="77777777" w:rsidR="00C3264D" w:rsidRDefault="00CA734B">
      <w:pPr>
        <w:rPr>
          <w:rFonts w:ascii="Times New Roman" w:hAnsi="Times New Roman"/>
          <w:b/>
          <w:sz w:val="20"/>
          <w:szCs w:val="20"/>
          <w:highlight w:val="yellow"/>
        </w:rPr>
      </w:pPr>
      <w:r>
        <w:br w:type="page"/>
      </w:r>
    </w:p>
    <w:p w14:paraId="36969B15" w14:textId="77777777" w:rsidR="00C3264D" w:rsidRDefault="00C3264D">
      <w:pPr>
        <w:rPr>
          <w:rFonts w:ascii="Times New Roman" w:hAnsi="Times New Roman"/>
          <w:b/>
          <w:sz w:val="20"/>
          <w:szCs w:val="20"/>
          <w:highlight w:val="yellow"/>
        </w:rPr>
        <w:sectPr w:rsidR="00C3264D" w:rsidSect="0069589D">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1440" w:left="1440" w:header="708" w:footer="708" w:gutter="0"/>
          <w:pgNumType w:start="1"/>
          <w:cols w:space="720"/>
          <w:docGrid w:linePitch="360"/>
        </w:sectPr>
      </w:pPr>
    </w:p>
    <w:p w14:paraId="4AC8580F" w14:textId="77777777" w:rsidR="00C3264D" w:rsidRDefault="00750C8E">
      <w:pPr>
        <w:rPr>
          <w:rFonts w:ascii="Times New Roman" w:hAnsi="Times New Roman"/>
          <w:b/>
          <w:sz w:val="20"/>
          <w:szCs w:val="20"/>
        </w:rPr>
      </w:pPr>
      <w:r>
        <w:rPr>
          <w:rFonts w:ascii="Times New Roman" w:hAnsi="Times New Roman"/>
          <w:b/>
          <w:sz w:val="20"/>
          <w:szCs w:val="20"/>
        </w:rPr>
        <w:t>Таблица 2.1: Приходи от тръжна продажба на държавите членки през периода 2012—2018 г.</w:t>
      </w:r>
      <w:r>
        <w:rPr>
          <w:rStyle w:val="FootnoteReference"/>
          <w:rFonts w:ascii="Times New Roman" w:hAnsi="Times New Roman"/>
          <w:b/>
          <w:sz w:val="20"/>
          <w:szCs w:val="20"/>
        </w:rPr>
        <w:footnoteReference w:id="77"/>
      </w:r>
    </w:p>
    <w:tbl>
      <w:tblPr>
        <w:tblW w:w="14055" w:type="dxa"/>
        <w:tblInd w:w="-459" w:type="dxa"/>
        <w:tblLook w:val="04A0" w:firstRow="1" w:lastRow="0" w:firstColumn="1" w:lastColumn="0" w:noHBand="0" w:noVBand="1"/>
      </w:tblPr>
      <w:tblGrid>
        <w:gridCol w:w="1220"/>
        <w:gridCol w:w="934"/>
        <w:gridCol w:w="1093"/>
        <w:gridCol w:w="790"/>
        <w:gridCol w:w="1094"/>
        <w:gridCol w:w="790"/>
        <w:gridCol w:w="1094"/>
        <w:gridCol w:w="790"/>
        <w:gridCol w:w="1094"/>
        <w:gridCol w:w="790"/>
        <w:gridCol w:w="1094"/>
        <w:gridCol w:w="790"/>
        <w:gridCol w:w="1094"/>
        <w:gridCol w:w="872"/>
        <w:gridCol w:w="1094"/>
      </w:tblGrid>
      <w:tr w:rsidR="00C3264D" w14:paraId="3C749DE7" w14:textId="77777777" w:rsidTr="00516F65">
        <w:trPr>
          <w:trHeight w:val="319"/>
        </w:trPr>
        <w:tc>
          <w:tcPr>
            <w:tcW w:w="14055" w:type="dxa"/>
            <w:gridSpan w:val="15"/>
            <w:tcBorders>
              <w:top w:val="double" w:sz="6" w:space="0" w:color="auto"/>
              <w:left w:val="double" w:sz="6" w:space="0" w:color="auto"/>
              <w:bottom w:val="double" w:sz="6" w:space="0" w:color="auto"/>
              <w:right w:val="double" w:sz="6" w:space="0" w:color="auto"/>
            </w:tcBorders>
            <w:shd w:val="clear" w:color="auto" w:fill="auto"/>
            <w:noWrap/>
            <w:vAlign w:val="bottom"/>
            <w:hideMark/>
          </w:tcPr>
          <w:p w14:paraId="02E712B7" w14:textId="77777777" w:rsidR="00C3264D" w:rsidRDefault="00696C1E">
            <w:pPr>
              <w:spacing w:after="0" w:line="240" w:lineRule="auto"/>
              <w:jc w:val="center"/>
              <w:rPr>
                <w:rFonts w:ascii="Times New Roman" w:eastAsia="Times New Roman" w:hAnsi="Times New Roman"/>
                <w:b/>
                <w:bCs/>
                <w:color w:val="000000"/>
                <w:sz w:val="20"/>
                <w:szCs w:val="20"/>
              </w:rPr>
            </w:pPr>
            <w:r>
              <w:rPr>
                <w:rFonts w:ascii="Times New Roman" w:hAnsi="Times New Roman"/>
                <w:b/>
                <w:bCs/>
                <w:sz w:val="20"/>
                <w:szCs w:val="20"/>
              </w:rPr>
              <w:t xml:space="preserve">                                        Приходи от тръжната продажба на квоти за емисии за периода 2012—2018 г. (в млн. евро)</w:t>
            </w:r>
          </w:p>
          <w:p w14:paraId="75C5B318" w14:textId="77777777" w:rsidR="00C3264D" w:rsidRDefault="00696C1E">
            <w:pPr>
              <w:spacing w:after="0" w:line="240" w:lineRule="auto"/>
              <w:rPr>
                <w:rFonts w:ascii="Times New Roman" w:eastAsia="Times New Roman" w:hAnsi="Times New Roman"/>
                <w:color w:val="000000"/>
                <w:sz w:val="20"/>
                <w:szCs w:val="20"/>
              </w:rPr>
            </w:pPr>
            <w:r>
              <w:rPr>
                <w:rFonts w:ascii="Times New Roman" w:hAnsi="Times New Roman"/>
                <w:sz w:val="20"/>
                <w:szCs w:val="20"/>
              </w:rPr>
              <w:t> </w:t>
            </w:r>
          </w:p>
        </w:tc>
      </w:tr>
      <w:tr w:rsidR="00C3264D" w14:paraId="324B4796" w14:textId="77777777" w:rsidTr="00516F65">
        <w:trPr>
          <w:trHeight w:val="315"/>
        </w:trPr>
        <w:tc>
          <w:tcPr>
            <w:tcW w:w="917" w:type="dxa"/>
            <w:tcBorders>
              <w:top w:val="nil"/>
              <w:left w:val="double" w:sz="6" w:space="0" w:color="auto"/>
              <w:bottom w:val="nil"/>
              <w:right w:val="double" w:sz="6" w:space="0" w:color="auto"/>
            </w:tcBorders>
            <w:shd w:val="clear" w:color="auto" w:fill="auto"/>
            <w:noWrap/>
            <w:vAlign w:val="bottom"/>
            <w:hideMark/>
          </w:tcPr>
          <w:p w14:paraId="60DA6CF9" w14:textId="77777777" w:rsidR="00C3264D" w:rsidRDefault="001379D6">
            <w:pPr>
              <w:spacing w:after="0" w:line="240" w:lineRule="auto"/>
              <w:jc w:val="center"/>
              <w:rPr>
                <w:rFonts w:ascii="Times New Roman" w:eastAsia="Times New Roman" w:hAnsi="Times New Roman"/>
                <w:color w:val="000000"/>
                <w:sz w:val="20"/>
                <w:szCs w:val="20"/>
              </w:rPr>
            </w:pPr>
            <w:r>
              <w:rPr>
                <w:rFonts w:ascii="Times New Roman" w:hAnsi="Times New Roman"/>
                <w:sz w:val="20"/>
                <w:szCs w:val="20"/>
              </w:rPr>
              <w:t> </w:t>
            </w:r>
          </w:p>
        </w:tc>
        <w:tc>
          <w:tcPr>
            <w:tcW w:w="2129" w:type="dxa"/>
            <w:gridSpan w:val="2"/>
            <w:tcBorders>
              <w:top w:val="double" w:sz="6" w:space="0" w:color="auto"/>
              <w:left w:val="nil"/>
              <w:bottom w:val="double" w:sz="6" w:space="0" w:color="auto"/>
              <w:right w:val="double" w:sz="6" w:space="0" w:color="000000"/>
            </w:tcBorders>
            <w:shd w:val="clear" w:color="auto" w:fill="auto"/>
            <w:noWrap/>
            <w:vAlign w:val="bottom"/>
            <w:hideMark/>
          </w:tcPr>
          <w:p w14:paraId="3693864B" w14:textId="77777777" w:rsidR="00C3264D" w:rsidRDefault="001379D6">
            <w:pPr>
              <w:spacing w:after="0" w:line="240" w:lineRule="auto"/>
              <w:jc w:val="center"/>
              <w:rPr>
                <w:rFonts w:ascii="Times New Roman" w:eastAsia="Times New Roman" w:hAnsi="Times New Roman"/>
                <w:b/>
                <w:bCs/>
                <w:color w:val="000000"/>
                <w:sz w:val="20"/>
                <w:szCs w:val="20"/>
              </w:rPr>
            </w:pPr>
            <w:r>
              <w:rPr>
                <w:rFonts w:ascii="Times New Roman" w:hAnsi="Times New Roman"/>
                <w:b/>
                <w:bCs/>
                <w:sz w:val="20"/>
                <w:szCs w:val="20"/>
              </w:rPr>
              <w:t>2012 г.</w:t>
            </w:r>
          </w:p>
        </w:tc>
        <w:tc>
          <w:tcPr>
            <w:tcW w:w="1817" w:type="dxa"/>
            <w:gridSpan w:val="2"/>
            <w:tcBorders>
              <w:top w:val="double" w:sz="6" w:space="0" w:color="auto"/>
              <w:left w:val="nil"/>
              <w:bottom w:val="double" w:sz="6" w:space="0" w:color="auto"/>
              <w:right w:val="double" w:sz="6" w:space="0" w:color="000000"/>
            </w:tcBorders>
            <w:shd w:val="clear" w:color="auto" w:fill="auto"/>
            <w:noWrap/>
            <w:vAlign w:val="bottom"/>
            <w:hideMark/>
          </w:tcPr>
          <w:p w14:paraId="5493AC0F" w14:textId="77777777" w:rsidR="00C3264D" w:rsidRDefault="001379D6">
            <w:pPr>
              <w:spacing w:after="0" w:line="240" w:lineRule="auto"/>
              <w:jc w:val="center"/>
              <w:rPr>
                <w:rFonts w:ascii="Times New Roman" w:eastAsia="Times New Roman" w:hAnsi="Times New Roman"/>
                <w:b/>
                <w:bCs/>
                <w:color w:val="000000"/>
                <w:sz w:val="20"/>
                <w:szCs w:val="20"/>
              </w:rPr>
            </w:pPr>
            <w:r>
              <w:rPr>
                <w:rFonts w:ascii="Times New Roman" w:hAnsi="Times New Roman"/>
                <w:b/>
                <w:bCs/>
                <w:sz w:val="20"/>
                <w:szCs w:val="20"/>
              </w:rPr>
              <w:t>2013 г.</w:t>
            </w:r>
          </w:p>
        </w:tc>
        <w:tc>
          <w:tcPr>
            <w:tcW w:w="1817" w:type="dxa"/>
            <w:gridSpan w:val="2"/>
            <w:tcBorders>
              <w:top w:val="double" w:sz="6" w:space="0" w:color="auto"/>
              <w:left w:val="nil"/>
              <w:bottom w:val="double" w:sz="6" w:space="0" w:color="auto"/>
              <w:right w:val="double" w:sz="6" w:space="0" w:color="000000"/>
            </w:tcBorders>
            <w:shd w:val="clear" w:color="auto" w:fill="auto"/>
            <w:noWrap/>
            <w:vAlign w:val="bottom"/>
            <w:hideMark/>
          </w:tcPr>
          <w:p w14:paraId="403C99DC" w14:textId="77777777" w:rsidR="00C3264D" w:rsidRDefault="001379D6">
            <w:pPr>
              <w:spacing w:after="0" w:line="240" w:lineRule="auto"/>
              <w:jc w:val="center"/>
              <w:rPr>
                <w:rFonts w:ascii="Times New Roman" w:eastAsia="Times New Roman" w:hAnsi="Times New Roman"/>
                <w:b/>
                <w:bCs/>
                <w:color w:val="000000"/>
                <w:sz w:val="20"/>
                <w:szCs w:val="20"/>
              </w:rPr>
            </w:pPr>
            <w:r>
              <w:rPr>
                <w:rFonts w:ascii="Times New Roman" w:hAnsi="Times New Roman"/>
                <w:b/>
                <w:bCs/>
                <w:sz w:val="20"/>
                <w:szCs w:val="20"/>
              </w:rPr>
              <w:t>2014 г.</w:t>
            </w:r>
          </w:p>
        </w:tc>
        <w:tc>
          <w:tcPr>
            <w:tcW w:w="1834" w:type="dxa"/>
            <w:gridSpan w:val="2"/>
            <w:tcBorders>
              <w:top w:val="double" w:sz="6" w:space="0" w:color="auto"/>
              <w:left w:val="nil"/>
              <w:bottom w:val="double" w:sz="6" w:space="0" w:color="auto"/>
              <w:right w:val="double" w:sz="6" w:space="0" w:color="000000"/>
            </w:tcBorders>
            <w:shd w:val="clear" w:color="auto" w:fill="auto"/>
            <w:noWrap/>
            <w:vAlign w:val="bottom"/>
            <w:hideMark/>
          </w:tcPr>
          <w:p w14:paraId="6FE761AA" w14:textId="77777777" w:rsidR="00C3264D" w:rsidRDefault="001379D6">
            <w:pPr>
              <w:spacing w:after="0" w:line="240" w:lineRule="auto"/>
              <w:jc w:val="center"/>
              <w:rPr>
                <w:rFonts w:ascii="Times New Roman" w:eastAsia="Times New Roman" w:hAnsi="Times New Roman"/>
                <w:b/>
                <w:bCs/>
                <w:color w:val="000000"/>
                <w:sz w:val="20"/>
                <w:szCs w:val="20"/>
              </w:rPr>
            </w:pPr>
            <w:r>
              <w:rPr>
                <w:rFonts w:ascii="Times New Roman" w:hAnsi="Times New Roman"/>
                <w:b/>
                <w:bCs/>
                <w:sz w:val="20"/>
                <w:szCs w:val="20"/>
              </w:rPr>
              <w:t>2015 г.</w:t>
            </w:r>
          </w:p>
        </w:tc>
        <w:tc>
          <w:tcPr>
            <w:tcW w:w="1817" w:type="dxa"/>
            <w:gridSpan w:val="2"/>
            <w:tcBorders>
              <w:top w:val="double" w:sz="6" w:space="0" w:color="auto"/>
              <w:left w:val="nil"/>
              <w:bottom w:val="double" w:sz="6" w:space="0" w:color="auto"/>
              <w:right w:val="double" w:sz="6" w:space="0" w:color="000000"/>
            </w:tcBorders>
            <w:shd w:val="clear" w:color="auto" w:fill="auto"/>
            <w:noWrap/>
            <w:vAlign w:val="bottom"/>
            <w:hideMark/>
          </w:tcPr>
          <w:p w14:paraId="1A9AA14F" w14:textId="77777777" w:rsidR="00C3264D" w:rsidRDefault="001379D6">
            <w:pPr>
              <w:spacing w:after="0" w:line="240" w:lineRule="auto"/>
              <w:jc w:val="center"/>
              <w:rPr>
                <w:rFonts w:ascii="Times New Roman" w:eastAsia="Times New Roman" w:hAnsi="Times New Roman"/>
                <w:b/>
                <w:bCs/>
                <w:color w:val="000000"/>
                <w:sz w:val="20"/>
                <w:szCs w:val="20"/>
              </w:rPr>
            </w:pPr>
            <w:r>
              <w:rPr>
                <w:rFonts w:ascii="Times New Roman" w:hAnsi="Times New Roman"/>
                <w:b/>
                <w:bCs/>
                <w:sz w:val="20"/>
                <w:szCs w:val="20"/>
              </w:rPr>
              <w:t>2016 г.</w:t>
            </w:r>
          </w:p>
        </w:tc>
        <w:tc>
          <w:tcPr>
            <w:tcW w:w="1834" w:type="dxa"/>
            <w:gridSpan w:val="2"/>
            <w:tcBorders>
              <w:top w:val="double" w:sz="6" w:space="0" w:color="auto"/>
              <w:left w:val="nil"/>
              <w:bottom w:val="double" w:sz="6" w:space="0" w:color="auto"/>
              <w:right w:val="double" w:sz="6" w:space="0" w:color="000000"/>
            </w:tcBorders>
            <w:shd w:val="clear" w:color="auto" w:fill="auto"/>
            <w:noWrap/>
            <w:vAlign w:val="bottom"/>
            <w:hideMark/>
          </w:tcPr>
          <w:p w14:paraId="392B1291" w14:textId="77777777" w:rsidR="00C3264D" w:rsidRDefault="001379D6">
            <w:pPr>
              <w:spacing w:after="0" w:line="240" w:lineRule="auto"/>
              <w:jc w:val="center"/>
              <w:rPr>
                <w:rFonts w:ascii="Times New Roman" w:eastAsia="Times New Roman" w:hAnsi="Times New Roman"/>
                <w:b/>
                <w:bCs/>
                <w:color w:val="000000"/>
                <w:sz w:val="20"/>
                <w:szCs w:val="20"/>
              </w:rPr>
            </w:pPr>
            <w:r>
              <w:rPr>
                <w:rFonts w:ascii="Times New Roman" w:hAnsi="Times New Roman"/>
                <w:b/>
                <w:bCs/>
                <w:sz w:val="20"/>
                <w:szCs w:val="20"/>
              </w:rPr>
              <w:t>2017 г.</w:t>
            </w:r>
          </w:p>
        </w:tc>
        <w:tc>
          <w:tcPr>
            <w:tcW w:w="1890" w:type="dxa"/>
            <w:gridSpan w:val="2"/>
            <w:tcBorders>
              <w:top w:val="double" w:sz="6" w:space="0" w:color="auto"/>
              <w:left w:val="nil"/>
              <w:bottom w:val="double" w:sz="6" w:space="0" w:color="auto"/>
              <w:right w:val="double" w:sz="6" w:space="0" w:color="000000"/>
            </w:tcBorders>
            <w:shd w:val="clear" w:color="auto" w:fill="auto"/>
            <w:noWrap/>
            <w:vAlign w:val="bottom"/>
            <w:hideMark/>
          </w:tcPr>
          <w:p w14:paraId="4474075D" w14:textId="77777777" w:rsidR="00C3264D" w:rsidRDefault="001379D6">
            <w:pPr>
              <w:spacing w:after="0" w:line="240" w:lineRule="auto"/>
              <w:jc w:val="center"/>
              <w:rPr>
                <w:rFonts w:ascii="Times New Roman" w:eastAsia="Times New Roman" w:hAnsi="Times New Roman"/>
                <w:b/>
                <w:bCs/>
                <w:color w:val="000000"/>
                <w:sz w:val="20"/>
                <w:szCs w:val="20"/>
              </w:rPr>
            </w:pPr>
            <w:r>
              <w:rPr>
                <w:rFonts w:ascii="Times New Roman" w:hAnsi="Times New Roman"/>
                <w:b/>
                <w:bCs/>
                <w:sz w:val="20"/>
                <w:szCs w:val="20"/>
              </w:rPr>
              <w:t>2018 г.</w:t>
            </w:r>
          </w:p>
        </w:tc>
      </w:tr>
      <w:tr w:rsidR="00C3264D" w14:paraId="429B0FF4" w14:textId="77777777" w:rsidTr="00516F65">
        <w:trPr>
          <w:trHeight w:val="889"/>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0D06264E" w14:textId="77777777" w:rsidR="00C3264D" w:rsidRDefault="001379D6">
            <w:pPr>
              <w:spacing w:after="0" w:line="240" w:lineRule="auto"/>
              <w:rPr>
                <w:rFonts w:ascii="Times New Roman" w:eastAsia="Times New Roman" w:hAnsi="Times New Roman"/>
                <w:b/>
                <w:bCs/>
                <w:color w:val="000000"/>
                <w:sz w:val="20"/>
                <w:szCs w:val="20"/>
              </w:rPr>
            </w:pPr>
            <w:r>
              <w:rPr>
                <w:rFonts w:ascii="Times New Roman" w:hAnsi="Times New Roman"/>
                <w:b/>
                <w:bCs/>
                <w:sz w:val="20"/>
                <w:szCs w:val="20"/>
              </w:rPr>
              <w:t> </w:t>
            </w:r>
          </w:p>
        </w:tc>
        <w:tc>
          <w:tcPr>
            <w:tcW w:w="1093" w:type="dxa"/>
            <w:tcBorders>
              <w:top w:val="nil"/>
              <w:left w:val="nil"/>
              <w:bottom w:val="double" w:sz="6" w:space="0" w:color="auto"/>
              <w:right w:val="double" w:sz="6" w:space="0" w:color="auto"/>
            </w:tcBorders>
            <w:shd w:val="clear" w:color="auto" w:fill="auto"/>
            <w:vAlign w:val="bottom"/>
            <w:hideMark/>
          </w:tcPr>
          <w:p w14:paraId="3FF82586" w14:textId="77777777" w:rsidR="00C3264D" w:rsidRDefault="001379D6">
            <w:pPr>
              <w:spacing w:after="0" w:line="240" w:lineRule="auto"/>
              <w:jc w:val="center"/>
              <w:rPr>
                <w:rFonts w:ascii="Times New Roman" w:eastAsia="Times New Roman" w:hAnsi="Times New Roman"/>
                <w:color w:val="000000"/>
                <w:sz w:val="20"/>
                <w:szCs w:val="20"/>
              </w:rPr>
            </w:pPr>
            <w:r>
              <w:rPr>
                <w:rFonts w:ascii="Times New Roman" w:hAnsi="Times New Roman"/>
                <w:sz w:val="20"/>
                <w:szCs w:val="20"/>
              </w:rPr>
              <w:t>Общи (ранни търгове)</w:t>
            </w:r>
          </w:p>
        </w:tc>
        <w:tc>
          <w:tcPr>
            <w:tcW w:w="1036" w:type="dxa"/>
            <w:tcBorders>
              <w:top w:val="nil"/>
              <w:left w:val="nil"/>
              <w:bottom w:val="double" w:sz="6" w:space="0" w:color="auto"/>
              <w:right w:val="double" w:sz="6" w:space="0" w:color="auto"/>
            </w:tcBorders>
            <w:shd w:val="clear" w:color="auto" w:fill="auto"/>
            <w:vAlign w:val="bottom"/>
            <w:hideMark/>
          </w:tcPr>
          <w:p w14:paraId="2DC45F72" w14:textId="77777777" w:rsidR="00C3264D" w:rsidRDefault="001379D6">
            <w:pPr>
              <w:spacing w:after="0" w:line="240" w:lineRule="auto"/>
              <w:jc w:val="center"/>
              <w:rPr>
                <w:rFonts w:ascii="Times New Roman" w:eastAsia="Times New Roman" w:hAnsi="Times New Roman"/>
                <w:color w:val="000000"/>
                <w:sz w:val="20"/>
                <w:szCs w:val="20"/>
              </w:rPr>
            </w:pPr>
            <w:r>
              <w:rPr>
                <w:rFonts w:ascii="Times New Roman" w:hAnsi="Times New Roman"/>
                <w:sz w:val="20"/>
                <w:szCs w:val="20"/>
              </w:rPr>
              <w:t>Авиационни (ранни търгове)</w:t>
            </w:r>
          </w:p>
        </w:tc>
        <w:tc>
          <w:tcPr>
            <w:tcW w:w="892" w:type="dxa"/>
            <w:tcBorders>
              <w:top w:val="nil"/>
              <w:left w:val="nil"/>
              <w:bottom w:val="double" w:sz="6" w:space="0" w:color="auto"/>
              <w:right w:val="double" w:sz="6" w:space="0" w:color="auto"/>
            </w:tcBorders>
            <w:shd w:val="clear" w:color="auto" w:fill="auto"/>
            <w:noWrap/>
            <w:vAlign w:val="bottom"/>
            <w:hideMark/>
          </w:tcPr>
          <w:p w14:paraId="618E631E" w14:textId="77777777" w:rsidR="00C3264D" w:rsidRDefault="001379D6">
            <w:pPr>
              <w:spacing w:after="0" w:line="240" w:lineRule="auto"/>
              <w:jc w:val="center"/>
              <w:rPr>
                <w:rFonts w:ascii="Times New Roman" w:eastAsia="Times New Roman" w:hAnsi="Times New Roman"/>
                <w:color w:val="000000"/>
                <w:sz w:val="20"/>
                <w:szCs w:val="20"/>
              </w:rPr>
            </w:pPr>
            <w:r>
              <w:rPr>
                <w:rFonts w:ascii="Times New Roman" w:hAnsi="Times New Roman"/>
                <w:sz w:val="20"/>
                <w:szCs w:val="20"/>
              </w:rPr>
              <w:t xml:space="preserve">Общи </w:t>
            </w:r>
          </w:p>
        </w:tc>
        <w:tc>
          <w:tcPr>
            <w:tcW w:w="925" w:type="dxa"/>
            <w:tcBorders>
              <w:top w:val="nil"/>
              <w:left w:val="nil"/>
              <w:bottom w:val="double" w:sz="6" w:space="0" w:color="auto"/>
              <w:right w:val="double" w:sz="6" w:space="0" w:color="auto"/>
            </w:tcBorders>
            <w:shd w:val="clear" w:color="auto" w:fill="auto"/>
            <w:noWrap/>
            <w:vAlign w:val="bottom"/>
            <w:hideMark/>
          </w:tcPr>
          <w:p w14:paraId="2E7D5369" w14:textId="77777777" w:rsidR="00C3264D" w:rsidRDefault="001379D6">
            <w:pPr>
              <w:spacing w:after="0" w:line="240" w:lineRule="auto"/>
              <w:jc w:val="center"/>
              <w:rPr>
                <w:rFonts w:ascii="Times New Roman" w:eastAsia="Times New Roman" w:hAnsi="Times New Roman"/>
                <w:color w:val="000000"/>
                <w:sz w:val="20"/>
                <w:szCs w:val="20"/>
              </w:rPr>
            </w:pPr>
            <w:r>
              <w:rPr>
                <w:rFonts w:ascii="Times New Roman" w:hAnsi="Times New Roman"/>
                <w:sz w:val="20"/>
                <w:szCs w:val="20"/>
              </w:rPr>
              <w:t>Авиационни</w:t>
            </w:r>
          </w:p>
        </w:tc>
        <w:tc>
          <w:tcPr>
            <w:tcW w:w="892" w:type="dxa"/>
            <w:tcBorders>
              <w:top w:val="nil"/>
              <w:left w:val="nil"/>
              <w:bottom w:val="double" w:sz="6" w:space="0" w:color="auto"/>
              <w:right w:val="double" w:sz="6" w:space="0" w:color="auto"/>
            </w:tcBorders>
            <w:shd w:val="clear" w:color="auto" w:fill="auto"/>
            <w:noWrap/>
            <w:vAlign w:val="bottom"/>
            <w:hideMark/>
          </w:tcPr>
          <w:p w14:paraId="18F5B0FF" w14:textId="77777777" w:rsidR="00C3264D" w:rsidRDefault="001379D6">
            <w:pPr>
              <w:spacing w:after="0" w:line="240" w:lineRule="auto"/>
              <w:jc w:val="center"/>
              <w:rPr>
                <w:rFonts w:ascii="Times New Roman" w:eastAsia="Times New Roman" w:hAnsi="Times New Roman"/>
                <w:color w:val="000000"/>
                <w:sz w:val="20"/>
                <w:szCs w:val="20"/>
              </w:rPr>
            </w:pPr>
            <w:r>
              <w:rPr>
                <w:rFonts w:ascii="Times New Roman" w:hAnsi="Times New Roman"/>
                <w:sz w:val="20"/>
                <w:szCs w:val="20"/>
              </w:rPr>
              <w:t>Общи</w:t>
            </w:r>
          </w:p>
        </w:tc>
        <w:tc>
          <w:tcPr>
            <w:tcW w:w="925" w:type="dxa"/>
            <w:tcBorders>
              <w:top w:val="nil"/>
              <w:left w:val="nil"/>
              <w:bottom w:val="double" w:sz="6" w:space="0" w:color="auto"/>
              <w:right w:val="double" w:sz="6" w:space="0" w:color="auto"/>
            </w:tcBorders>
            <w:shd w:val="clear" w:color="auto" w:fill="auto"/>
            <w:noWrap/>
            <w:vAlign w:val="bottom"/>
            <w:hideMark/>
          </w:tcPr>
          <w:p w14:paraId="2493F5EA" w14:textId="77777777" w:rsidR="00C3264D" w:rsidRDefault="001379D6">
            <w:pPr>
              <w:spacing w:after="0" w:line="240" w:lineRule="auto"/>
              <w:jc w:val="center"/>
              <w:rPr>
                <w:rFonts w:ascii="Times New Roman" w:eastAsia="Times New Roman" w:hAnsi="Times New Roman"/>
                <w:color w:val="000000"/>
                <w:sz w:val="20"/>
                <w:szCs w:val="20"/>
              </w:rPr>
            </w:pPr>
            <w:r>
              <w:rPr>
                <w:rFonts w:ascii="Times New Roman" w:hAnsi="Times New Roman"/>
                <w:sz w:val="20"/>
                <w:szCs w:val="20"/>
              </w:rPr>
              <w:t>Авиационни</w:t>
            </w:r>
          </w:p>
        </w:tc>
        <w:tc>
          <w:tcPr>
            <w:tcW w:w="910" w:type="dxa"/>
            <w:tcBorders>
              <w:top w:val="nil"/>
              <w:left w:val="nil"/>
              <w:bottom w:val="double" w:sz="6" w:space="0" w:color="auto"/>
              <w:right w:val="double" w:sz="6" w:space="0" w:color="auto"/>
            </w:tcBorders>
            <w:shd w:val="clear" w:color="auto" w:fill="auto"/>
            <w:noWrap/>
            <w:vAlign w:val="bottom"/>
            <w:hideMark/>
          </w:tcPr>
          <w:p w14:paraId="5B4DCC3A" w14:textId="77777777" w:rsidR="00C3264D" w:rsidRDefault="001379D6">
            <w:pPr>
              <w:spacing w:after="0" w:line="240" w:lineRule="auto"/>
              <w:jc w:val="center"/>
              <w:rPr>
                <w:rFonts w:ascii="Times New Roman" w:eastAsia="Times New Roman" w:hAnsi="Times New Roman"/>
                <w:color w:val="000000"/>
                <w:sz w:val="20"/>
                <w:szCs w:val="20"/>
              </w:rPr>
            </w:pPr>
            <w:r>
              <w:rPr>
                <w:rFonts w:ascii="Times New Roman" w:hAnsi="Times New Roman"/>
                <w:sz w:val="20"/>
                <w:szCs w:val="20"/>
              </w:rPr>
              <w:t>Общи</w:t>
            </w:r>
          </w:p>
        </w:tc>
        <w:tc>
          <w:tcPr>
            <w:tcW w:w="924" w:type="dxa"/>
            <w:tcBorders>
              <w:top w:val="nil"/>
              <w:left w:val="nil"/>
              <w:bottom w:val="double" w:sz="6" w:space="0" w:color="auto"/>
              <w:right w:val="double" w:sz="6" w:space="0" w:color="auto"/>
            </w:tcBorders>
            <w:shd w:val="clear" w:color="auto" w:fill="auto"/>
            <w:noWrap/>
            <w:vAlign w:val="bottom"/>
            <w:hideMark/>
          </w:tcPr>
          <w:p w14:paraId="52A0AC14" w14:textId="77777777" w:rsidR="00C3264D" w:rsidRDefault="001379D6">
            <w:pPr>
              <w:spacing w:after="0" w:line="240" w:lineRule="auto"/>
              <w:jc w:val="center"/>
              <w:rPr>
                <w:rFonts w:ascii="Times New Roman" w:eastAsia="Times New Roman" w:hAnsi="Times New Roman"/>
                <w:color w:val="000000"/>
                <w:sz w:val="20"/>
                <w:szCs w:val="20"/>
              </w:rPr>
            </w:pPr>
            <w:r>
              <w:rPr>
                <w:rFonts w:ascii="Times New Roman" w:hAnsi="Times New Roman"/>
                <w:sz w:val="20"/>
                <w:szCs w:val="20"/>
              </w:rPr>
              <w:t>Авиационни</w:t>
            </w:r>
          </w:p>
        </w:tc>
        <w:tc>
          <w:tcPr>
            <w:tcW w:w="892" w:type="dxa"/>
            <w:tcBorders>
              <w:top w:val="nil"/>
              <w:left w:val="nil"/>
              <w:bottom w:val="double" w:sz="6" w:space="0" w:color="auto"/>
              <w:right w:val="double" w:sz="6" w:space="0" w:color="auto"/>
            </w:tcBorders>
            <w:shd w:val="clear" w:color="auto" w:fill="auto"/>
            <w:noWrap/>
            <w:vAlign w:val="bottom"/>
            <w:hideMark/>
          </w:tcPr>
          <w:p w14:paraId="78F66164" w14:textId="77777777" w:rsidR="00C3264D" w:rsidRDefault="001379D6">
            <w:pPr>
              <w:spacing w:after="0" w:line="240" w:lineRule="auto"/>
              <w:jc w:val="center"/>
              <w:rPr>
                <w:rFonts w:ascii="Times New Roman" w:eastAsia="Times New Roman" w:hAnsi="Times New Roman"/>
                <w:color w:val="000000"/>
                <w:sz w:val="20"/>
                <w:szCs w:val="20"/>
              </w:rPr>
            </w:pPr>
            <w:r>
              <w:rPr>
                <w:rFonts w:ascii="Times New Roman" w:hAnsi="Times New Roman"/>
                <w:sz w:val="20"/>
                <w:szCs w:val="20"/>
              </w:rPr>
              <w:t>Общи</w:t>
            </w:r>
          </w:p>
        </w:tc>
        <w:tc>
          <w:tcPr>
            <w:tcW w:w="925" w:type="dxa"/>
            <w:tcBorders>
              <w:top w:val="nil"/>
              <w:left w:val="nil"/>
              <w:bottom w:val="double" w:sz="6" w:space="0" w:color="auto"/>
              <w:right w:val="double" w:sz="6" w:space="0" w:color="auto"/>
            </w:tcBorders>
            <w:shd w:val="clear" w:color="auto" w:fill="auto"/>
            <w:noWrap/>
            <w:vAlign w:val="bottom"/>
            <w:hideMark/>
          </w:tcPr>
          <w:p w14:paraId="1F032946" w14:textId="77777777" w:rsidR="00C3264D" w:rsidRDefault="001379D6">
            <w:pPr>
              <w:spacing w:after="0" w:line="240" w:lineRule="auto"/>
              <w:jc w:val="center"/>
              <w:rPr>
                <w:rFonts w:ascii="Times New Roman" w:eastAsia="Times New Roman" w:hAnsi="Times New Roman"/>
                <w:color w:val="000000"/>
                <w:sz w:val="20"/>
                <w:szCs w:val="20"/>
              </w:rPr>
            </w:pPr>
            <w:r>
              <w:rPr>
                <w:rFonts w:ascii="Times New Roman" w:hAnsi="Times New Roman"/>
                <w:sz w:val="20"/>
                <w:szCs w:val="20"/>
              </w:rPr>
              <w:t>Авиационни</w:t>
            </w:r>
          </w:p>
        </w:tc>
        <w:tc>
          <w:tcPr>
            <w:tcW w:w="910" w:type="dxa"/>
            <w:tcBorders>
              <w:top w:val="nil"/>
              <w:left w:val="nil"/>
              <w:bottom w:val="double" w:sz="6" w:space="0" w:color="auto"/>
              <w:right w:val="double" w:sz="6" w:space="0" w:color="auto"/>
            </w:tcBorders>
            <w:shd w:val="clear" w:color="auto" w:fill="auto"/>
            <w:noWrap/>
            <w:vAlign w:val="bottom"/>
            <w:hideMark/>
          </w:tcPr>
          <w:p w14:paraId="5753244A" w14:textId="77777777" w:rsidR="00C3264D" w:rsidRDefault="001379D6">
            <w:pPr>
              <w:spacing w:after="0" w:line="240" w:lineRule="auto"/>
              <w:jc w:val="center"/>
              <w:rPr>
                <w:rFonts w:ascii="Times New Roman" w:eastAsia="Times New Roman" w:hAnsi="Times New Roman"/>
                <w:color w:val="000000"/>
                <w:sz w:val="20"/>
                <w:szCs w:val="20"/>
              </w:rPr>
            </w:pPr>
            <w:r>
              <w:rPr>
                <w:rFonts w:ascii="Times New Roman" w:hAnsi="Times New Roman"/>
                <w:sz w:val="20"/>
                <w:szCs w:val="20"/>
              </w:rPr>
              <w:t>Общи</w:t>
            </w:r>
          </w:p>
        </w:tc>
        <w:tc>
          <w:tcPr>
            <w:tcW w:w="924" w:type="dxa"/>
            <w:tcBorders>
              <w:top w:val="nil"/>
              <w:left w:val="nil"/>
              <w:bottom w:val="double" w:sz="6" w:space="0" w:color="auto"/>
              <w:right w:val="double" w:sz="6" w:space="0" w:color="auto"/>
            </w:tcBorders>
            <w:shd w:val="clear" w:color="auto" w:fill="auto"/>
            <w:noWrap/>
            <w:vAlign w:val="bottom"/>
            <w:hideMark/>
          </w:tcPr>
          <w:p w14:paraId="2BA41E20" w14:textId="77777777" w:rsidR="00C3264D" w:rsidRDefault="001379D6">
            <w:pPr>
              <w:spacing w:after="0" w:line="240" w:lineRule="auto"/>
              <w:jc w:val="center"/>
              <w:rPr>
                <w:rFonts w:ascii="Times New Roman" w:eastAsia="Times New Roman" w:hAnsi="Times New Roman"/>
                <w:color w:val="000000"/>
                <w:sz w:val="20"/>
                <w:szCs w:val="20"/>
              </w:rPr>
            </w:pPr>
            <w:r>
              <w:rPr>
                <w:rFonts w:ascii="Times New Roman" w:hAnsi="Times New Roman"/>
                <w:sz w:val="20"/>
                <w:szCs w:val="20"/>
              </w:rPr>
              <w:t>Авиационни</w:t>
            </w:r>
          </w:p>
        </w:tc>
        <w:tc>
          <w:tcPr>
            <w:tcW w:w="966" w:type="dxa"/>
            <w:tcBorders>
              <w:top w:val="nil"/>
              <w:left w:val="nil"/>
              <w:bottom w:val="double" w:sz="6" w:space="0" w:color="auto"/>
              <w:right w:val="double" w:sz="6" w:space="0" w:color="auto"/>
            </w:tcBorders>
            <w:shd w:val="clear" w:color="auto" w:fill="auto"/>
            <w:noWrap/>
            <w:vAlign w:val="bottom"/>
            <w:hideMark/>
          </w:tcPr>
          <w:p w14:paraId="52247309" w14:textId="77777777" w:rsidR="00C3264D" w:rsidRDefault="001379D6">
            <w:pPr>
              <w:spacing w:after="0" w:line="240" w:lineRule="auto"/>
              <w:jc w:val="center"/>
              <w:rPr>
                <w:rFonts w:ascii="Times New Roman" w:eastAsia="Times New Roman" w:hAnsi="Times New Roman"/>
                <w:color w:val="000000"/>
                <w:sz w:val="20"/>
                <w:szCs w:val="20"/>
              </w:rPr>
            </w:pPr>
            <w:r>
              <w:rPr>
                <w:rFonts w:ascii="Times New Roman" w:hAnsi="Times New Roman"/>
                <w:sz w:val="20"/>
                <w:szCs w:val="20"/>
              </w:rPr>
              <w:t>Общи</w:t>
            </w:r>
          </w:p>
        </w:tc>
        <w:tc>
          <w:tcPr>
            <w:tcW w:w="924" w:type="dxa"/>
            <w:tcBorders>
              <w:top w:val="nil"/>
              <w:left w:val="nil"/>
              <w:bottom w:val="double" w:sz="6" w:space="0" w:color="auto"/>
              <w:right w:val="double" w:sz="6" w:space="0" w:color="auto"/>
            </w:tcBorders>
            <w:shd w:val="clear" w:color="auto" w:fill="auto"/>
            <w:noWrap/>
            <w:vAlign w:val="bottom"/>
            <w:hideMark/>
          </w:tcPr>
          <w:p w14:paraId="5B5E1010" w14:textId="77777777" w:rsidR="00C3264D" w:rsidRDefault="001379D6">
            <w:pPr>
              <w:spacing w:after="0" w:line="240" w:lineRule="auto"/>
              <w:jc w:val="center"/>
              <w:rPr>
                <w:rFonts w:ascii="Times New Roman" w:eastAsia="Times New Roman" w:hAnsi="Times New Roman"/>
                <w:color w:val="000000"/>
                <w:sz w:val="20"/>
                <w:szCs w:val="20"/>
              </w:rPr>
            </w:pPr>
            <w:r>
              <w:rPr>
                <w:rFonts w:ascii="Times New Roman" w:hAnsi="Times New Roman"/>
                <w:sz w:val="20"/>
                <w:szCs w:val="20"/>
              </w:rPr>
              <w:t>Авиационни</w:t>
            </w:r>
          </w:p>
        </w:tc>
      </w:tr>
      <w:tr w:rsidR="00C3264D" w14:paraId="6820C7CD"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51BFCAD2" w14:textId="77777777" w:rsidR="00C3264D" w:rsidRDefault="001379D6">
            <w:pPr>
              <w:spacing w:after="0" w:line="240" w:lineRule="auto"/>
              <w:rPr>
                <w:rFonts w:ascii="Times New Roman" w:eastAsia="Times New Roman" w:hAnsi="Times New Roman"/>
                <w:b/>
                <w:bCs/>
                <w:color w:val="000000"/>
                <w:sz w:val="20"/>
                <w:szCs w:val="20"/>
              </w:rPr>
            </w:pPr>
            <w:r>
              <w:rPr>
                <w:rFonts w:ascii="Times New Roman" w:hAnsi="Times New Roman"/>
                <w:b/>
                <w:bCs/>
                <w:sz w:val="20"/>
                <w:szCs w:val="20"/>
              </w:rPr>
              <w:t>Австрия</w:t>
            </w:r>
          </w:p>
        </w:tc>
        <w:tc>
          <w:tcPr>
            <w:tcW w:w="1093" w:type="dxa"/>
            <w:tcBorders>
              <w:top w:val="nil"/>
              <w:left w:val="nil"/>
              <w:bottom w:val="double" w:sz="6" w:space="0" w:color="auto"/>
              <w:right w:val="double" w:sz="6" w:space="0" w:color="auto"/>
            </w:tcBorders>
            <w:shd w:val="clear" w:color="auto" w:fill="auto"/>
            <w:noWrap/>
            <w:vAlign w:val="bottom"/>
            <w:hideMark/>
          </w:tcPr>
          <w:p w14:paraId="45D4C98F"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11,05</w:t>
            </w:r>
          </w:p>
        </w:tc>
        <w:tc>
          <w:tcPr>
            <w:tcW w:w="1036" w:type="dxa"/>
            <w:tcBorders>
              <w:top w:val="nil"/>
              <w:left w:val="nil"/>
              <w:bottom w:val="double" w:sz="6" w:space="0" w:color="auto"/>
              <w:right w:val="double" w:sz="6" w:space="0" w:color="auto"/>
            </w:tcBorders>
            <w:shd w:val="clear" w:color="auto" w:fill="auto"/>
            <w:noWrap/>
            <w:vAlign w:val="bottom"/>
            <w:hideMark/>
          </w:tcPr>
          <w:p w14:paraId="0F4542AD"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6F1BA483"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55,75</w:t>
            </w:r>
          </w:p>
        </w:tc>
        <w:tc>
          <w:tcPr>
            <w:tcW w:w="925" w:type="dxa"/>
            <w:tcBorders>
              <w:top w:val="nil"/>
              <w:left w:val="nil"/>
              <w:bottom w:val="double" w:sz="6" w:space="0" w:color="auto"/>
              <w:right w:val="double" w:sz="6" w:space="0" w:color="auto"/>
            </w:tcBorders>
            <w:shd w:val="clear" w:color="auto" w:fill="auto"/>
            <w:noWrap/>
            <w:vAlign w:val="bottom"/>
            <w:hideMark/>
          </w:tcPr>
          <w:p w14:paraId="1283223D"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4BC54052"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52,17</w:t>
            </w:r>
          </w:p>
        </w:tc>
        <w:tc>
          <w:tcPr>
            <w:tcW w:w="925" w:type="dxa"/>
            <w:tcBorders>
              <w:top w:val="nil"/>
              <w:left w:val="nil"/>
              <w:bottom w:val="double" w:sz="6" w:space="0" w:color="auto"/>
              <w:right w:val="double" w:sz="6" w:space="0" w:color="auto"/>
            </w:tcBorders>
            <w:shd w:val="clear" w:color="auto" w:fill="auto"/>
            <w:noWrap/>
            <w:vAlign w:val="bottom"/>
            <w:hideMark/>
          </w:tcPr>
          <w:p w14:paraId="69417289"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1,18</w:t>
            </w:r>
          </w:p>
        </w:tc>
        <w:tc>
          <w:tcPr>
            <w:tcW w:w="910" w:type="dxa"/>
            <w:tcBorders>
              <w:top w:val="nil"/>
              <w:left w:val="nil"/>
              <w:bottom w:val="double" w:sz="6" w:space="0" w:color="auto"/>
              <w:right w:val="double" w:sz="6" w:space="0" w:color="auto"/>
            </w:tcBorders>
            <w:shd w:val="clear" w:color="auto" w:fill="auto"/>
            <w:noWrap/>
            <w:vAlign w:val="bottom"/>
            <w:hideMark/>
          </w:tcPr>
          <w:p w14:paraId="0ED3EF6D"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76,24</w:t>
            </w:r>
          </w:p>
        </w:tc>
        <w:tc>
          <w:tcPr>
            <w:tcW w:w="924" w:type="dxa"/>
            <w:tcBorders>
              <w:top w:val="nil"/>
              <w:left w:val="nil"/>
              <w:bottom w:val="double" w:sz="6" w:space="0" w:color="auto"/>
              <w:right w:val="double" w:sz="6" w:space="0" w:color="auto"/>
            </w:tcBorders>
            <w:shd w:val="clear" w:color="auto" w:fill="auto"/>
            <w:noWrap/>
            <w:vAlign w:val="bottom"/>
            <w:hideMark/>
          </w:tcPr>
          <w:p w14:paraId="7394F386"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2,36</w:t>
            </w:r>
          </w:p>
        </w:tc>
        <w:tc>
          <w:tcPr>
            <w:tcW w:w="892" w:type="dxa"/>
            <w:tcBorders>
              <w:top w:val="nil"/>
              <w:left w:val="nil"/>
              <w:bottom w:val="double" w:sz="6" w:space="0" w:color="auto"/>
              <w:right w:val="double" w:sz="6" w:space="0" w:color="auto"/>
            </w:tcBorders>
            <w:shd w:val="clear" w:color="auto" w:fill="auto"/>
            <w:noWrap/>
            <w:vAlign w:val="bottom"/>
            <w:hideMark/>
          </w:tcPr>
          <w:p w14:paraId="344F4E19"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58,81</w:t>
            </w:r>
          </w:p>
        </w:tc>
        <w:tc>
          <w:tcPr>
            <w:tcW w:w="925" w:type="dxa"/>
            <w:tcBorders>
              <w:top w:val="nil"/>
              <w:left w:val="nil"/>
              <w:bottom w:val="double" w:sz="6" w:space="0" w:color="auto"/>
              <w:right w:val="double" w:sz="6" w:space="0" w:color="auto"/>
            </w:tcBorders>
            <w:shd w:val="clear" w:color="auto" w:fill="auto"/>
            <w:noWrap/>
            <w:vAlign w:val="bottom"/>
            <w:hideMark/>
          </w:tcPr>
          <w:p w14:paraId="6173D6A4"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0,65</w:t>
            </w:r>
          </w:p>
        </w:tc>
        <w:tc>
          <w:tcPr>
            <w:tcW w:w="910" w:type="dxa"/>
            <w:tcBorders>
              <w:top w:val="nil"/>
              <w:left w:val="nil"/>
              <w:bottom w:val="double" w:sz="6" w:space="0" w:color="auto"/>
              <w:right w:val="double" w:sz="6" w:space="0" w:color="auto"/>
            </w:tcBorders>
            <w:shd w:val="clear" w:color="auto" w:fill="auto"/>
            <w:noWrap/>
            <w:vAlign w:val="bottom"/>
            <w:hideMark/>
          </w:tcPr>
          <w:p w14:paraId="33FE4F4F"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78,74</w:t>
            </w:r>
          </w:p>
        </w:tc>
        <w:tc>
          <w:tcPr>
            <w:tcW w:w="924" w:type="dxa"/>
            <w:tcBorders>
              <w:top w:val="nil"/>
              <w:left w:val="nil"/>
              <w:bottom w:val="double" w:sz="6" w:space="0" w:color="auto"/>
              <w:right w:val="double" w:sz="6" w:space="0" w:color="auto"/>
            </w:tcBorders>
            <w:shd w:val="clear" w:color="auto" w:fill="auto"/>
            <w:noWrap/>
            <w:vAlign w:val="bottom"/>
            <w:hideMark/>
          </w:tcPr>
          <w:p w14:paraId="3E355B99"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0,69</w:t>
            </w:r>
          </w:p>
        </w:tc>
        <w:tc>
          <w:tcPr>
            <w:tcW w:w="966" w:type="dxa"/>
            <w:tcBorders>
              <w:top w:val="nil"/>
              <w:left w:val="nil"/>
              <w:bottom w:val="double" w:sz="6" w:space="0" w:color="auto"/>
              <w:right w:val="double" w:sz="6" w:space="0" w:color="auto"/>
            </w:tcBorders>
            <w:shd w:val="clear" w:color="auto" w:fill="auto"/>
            <w:noWrap/>
            <w:vAlign w:val="bottom"/>
            <w:hideMark/>
          </w:tcPr>
          <w:p w14:paraId="2007C484"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208,20</w:t>
            </w:r>
          </w:p>
        </w:tc>
        <w:tc>
          <w:tcPr>
            <w:tcW w:w="924" w:type="dxa"/>
            <w:tcBorders>
              <w:top w:val="nil"/>
              <w:left w:val="nil"/>
              <w:bottom w:val="double" w:sz="6" w:space="0" w:color="auto"/>
              <w:right w:val="double" w:sz="6" w:space="0" w:color="auto"/>
            </w:tcBorders>
            <w:shd w:val="clear" w:color="auto" w:fill="auto"/>
            <w:noWrap/>
            <w:vAlign w:val="bottom"/>
            <w:hideMark/>
          </w:tcPr>
          <w:p w14:paraId="650ABDD0"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2,16</w:t>
            </w:r>
          </w:p>
        </w:tc>
      </w:tr>
      <w:tr w:rsidR="00C3264D" w14:paraId="543DF30A"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4C9DEB3F" w14:textId="77777777" w:rsidR="00C3264D" w:rsidRDefault="001379D6">
            <w:pPr>
              <w:spacing w:after="0" w:line="240" w:lineRule="auto"/>
              <w:rPr>
                <w:rFonts w:ascii="Times New Roman" w:eastAsia="Times New Roman" w:hAnsi="Times New Roman"/>
                <w:b/>
                <w:bCs/>
                <w:color w:val="000000"/>
                <w:sz w:val="20"/>
                <w:szCs w:val="20"/>
              </w:rPr>
            </w:pPr>
            <w:r>
              <w:rPr>
                <w:rFonts w:ascii="Times New Roman" w:hAnsi="Times New Roman"/>
                <w:b/>
                <w:bCs/>
                <w:sz w:val="20"/>
                <w:szCs w:val="20"/>
              </w:rPr>
              <w:t>Белгия</w:t>
            </w:r>
          </w:p>
        </w:tc>
        <w:tc>
          <w:tcPr>
            <w:tcW w:w="1093" w:type="dxa"/>
            <w:tcBorders>
              <w:top w:val="nil"/>
              <w:left w:val="nil"/>
              <w:bottom w:val="double" w:sz="6" w:space="0" w:color="auto"/>
              <w:right w:val="double" w:sz="6" w:space="0" w:color="auto"/>
            </w:tcBorders>
            <w:shd w:val="clear" w:color="auto" w:fill="auto"/>
            <w:noWrap/>
            <w:vAlign w:val="bottom"/>
            <w:hideMark/>
          </w:tcPr>
          <w:p w14:paraId="6156BFAE"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1036" w:type="dxa"/>
            <w:tcBorders>
              <w:top w:val="nil"/>
              <w:left w:val="nil"/>
              <w:bottom w:val="double" w:sz="6" w:space="0" w:color="auto"/>
              <w:right w:val="double" w:sz="6" w:space="0" w:color="auto"/>
            </w:tcBorders>
            <w:shd w:val="clear" w:color="auto" w:fill="auto"/>
            <w:noWrap/>
            <w:vAlign w:val="bottom"/>
            <w:hideMark/>
          </w:tcPr>
          <w:p w14:paraId="58045059"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388B53E1"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114,99</w:t>
            </w:r>
          </w:p>
        </w:tc>
        <w:tc>
          <w:tcPr>
            <w:tcW w:w="925" w:type="dxa"/>
            <w:tcBorders>
              <w:top w:val="nil"/>
              <w:left w:val="nil"/>
              <w:bottom w:val="double" w:sz="6" w:space="0" w:color="auto"/>
              <w:right w:val="double" w:sz="6" w:space="0" w:color="auto"/>
            </w:tcBorders>
            <w:shd w:val="clear" w:color="auto" w:fill="auto"/>
            <w:noWrap/>
            <w:vAlign w:val="bottom"/>
            <w:hideMark/>
          </w:tcPr>
          <w:p w14:paraId="541DA7A5"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10B534AB"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95,03</w:t>
            </w:r>
          </w:p>
        </w:tc>
        <w:tc>
          <w:tcPr>
            <w:tcW w:w="925" w:type="dxa"/>
            <w:tcBorders>
              <w:top w:val="nil"/>
              <w:left w:val="nil"/>
              <w:bottom w:val="double" w:sz="6" w:space="0" w:color="auto"/>
              <w:right w:val="double" w:sz="6" w:space="0" w:color="auto"/>
            </w:tcBorders>
            <w:shd w:val="clear" w:color="auto" w:fill="auto"/>
            <w:noWrap/>
            <w:vAlign w:val="bottom"/>
            <w:hideMark/>
          </w:tcPr>
          <w:p w14:paraId="12B241CA"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2,05</w:t>
            </w:r>
          </w:p>
        </w:tc>
        <w:tc>
          <w:tcPr>
            <w:tcW w:w="910" w:type="dxa"/>
            <w:tcBorders>
              <w:top w:val="nil"/>
              <w:left w:val="nil"/>
              <w:bottom w:val="double" w:sz="6" w:space="0" w:color="auto"/>
              <w:right w:val="double" w:sz="6" w:space="0" w:color="auto"/>
            </w:tcBorders>
            <w:shd w:val="clear" w:color="auto" w:fill="auto"/>
            <w:noWrap/>
            <w:vAlign w:val="bottom"/>
            <w:hideMark/>
          </w:tcPr>
          <w:p w14:paraId="5B92A8AA"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138,96</w:t>
            </w:r>
          </w:p>
        </w:tc>
        <w:tc>
          <w:tcPr>
            <w:tcW w:w="924" w:type="dxa"/>
            <w:tcBorders>
              <w:top w:val="nil"/>
              <w:left w:val="nil"/>
              <w:bottom w:val="double" w:sz="6" w:space="0" w:color="auto"/>
              <w:right w:val="double" w:sz="6" w:space="0" w:color="auto"/>
            </w:tcBorders>
            <w:shd w:val="clear" w:color="auto" w:fill="auto"/>
            <w:noWrap/>
            <w:vAlign w:val="bottom"/>
            <w:hideMark/>
          </w:tcPr>
          <w:p w14:paraId="245D6A23"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2,69</w:t>
            </w:r>
          </w:p>
        </w:tc>
        <w:tc>
          <w:tcPr>
            <w:tcW w:w="892" w:type="dxa"/>
            <w:tcBorders>
              <w:top w:val="nil"/>
              <w:left w:val="nil"/>
              <w:bottom w:val="double" w:sz="6" w:space="0" w:color="auto"/>
              <w:right w:val="double" w:sz="6" w:space="0" w:color="auto"/>
            </w:tcBorders>
            <w:shd w:val="clear" w:color="auto" w:fill="auto"/>
            <w:noWrap/>
            <w:vAlign w:val="bottom"/>
            <w:hideMark/>
          </w:tcPr>
          <w:p w14:paraId="2EBD752B"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107,14</w:t>
            </w:r>
          </w:p>
        </w:tc>
        <w:tc>
          <w:tcPr>
            <w:tcW w:w="925" w:type="dxa"/>
            <w:tcBorders>
              <w:top w:val="nil"/>
              <w:left w:val="nil"/>
              <w:bottom w:val="double" w:sz="6" w:space="0" w:color="auto"/>
              <w:right w:val="double" w:sz="6" w:space="0" w:color="auto"/>
            </w:tcBorders>
            <w:shd w:val="clear" w:color="auto" w:fill="auto"/>
            <w:noWrap/>
            <w:vAlign w:val="bottom"/>
            <w:hideMark/>
          </w:tcPr>
          <w:p w14:paraId="3544ABCB"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0,74</w:t>
            </w:r>
          </w:p>
        </w:tc>
        <w:tc>
          <w:tcPr>
            <w:tcW w:w="910" w:type="dxa"/>
            <w:tcBorders>
              <w:top w:val="nil"/>
              <w:left w:val="nil"/>
              <w:bottom w:val="double" w:sz="6" w:space="0" w:color="auto"/>
              <w:right w:val="double" w:sz="6" w:space="0" w:color="auto"/>
            </w:tcBorders>
            <w:shd w:val="clear" w:color="auto" w:fill="auto"/>
            <w:noWrap/>
            <w:vAlign w:val="bottom"/>
            <w:hideMark/>
          </w:tcPr>
          <w:p w14:paraId="267F54ED"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143,52</w:t>
            </w:r>
          </w:p>
        </w:tc>
        <w:tc>
          <w:tcPr>
            <w:tcW w:w="924" w:type="dxa"/>
            <w:tcBorders>
              <w:top w:val="nil"/>
              <w:left w:val="nil"/>
              <w:bottom w:val="double" w:sz="6" w:space="0" w:color="auto"/>
              <w:right w:val="double" w:sz="6" w:space="0" w:color="auto"/>
            </w:tcBorders>
            <w:shd w:val="clear" w:color="auto" w:fill="auto"/>
            <w:noWrap/>
            <w:vAlign w:val="bottom"/>
            <w:hideMark/>
          </w:tcPr>
          <w:p w14:paraId="7DE9DB31"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0,79</w:t>
            </w:r>
          </w:p>
        </w:tc>
        <w:tc>
          <w:tcPr>
            <w:tcW w:w="966" w:type="dxa"/>
            <w:tcBorders>
              <w:top w:val="nil"/>
              <w:left w:val="nil"/>
              <w:bottom w:val="double" w:sz="6" w:space="0" w:color="auto"/>
              <w:right w:val="double" w:sz="6" w:space="0" w:color="auto"/>
            </w:tcBorders>
            <w:shd w:val="clear" w:color="auto" w:fill="auto"/>
            <w:noWrap/>
            <w:vAlign w:val="bottom"/>
            <w:hideMark/>
          </w:tcPr>
          <w:p w14:paraId="0F8AD180"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379,00</w:t>
            </w:r>
          </w:p>
        </w:tc>
        <w:tc>
          <w:tcPr>
            <w:tcW w:w="924" w:type="dxa"/>
            <w:tcBorders>
              <w:top w:val="nil"/>
              <w:left w:val="nil"/>
              <w:bottom w:val="double" w:sz="6" w:space="0" w:color="auto"/>
              <w:right w:val="double" w:sz="6" w:space="0" w:color="auto"/>
            </w:tcBorders>
            <w:shd w:val="clear" w:color="auto" w:fill="auto"/>
            <w:noWrap/>
            <w:vAlign w:val="bottom"/>
            <w:hideMark/>
          </w:tcPr>
          <w:p w14:paraId="5B93E826"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2,47</w:t>
            </w:r>
          </w:p>
        </w:tc>
      </w:tr>
      <w:tr w:rsidR="00C3264D" w14:paraId="0F3A127D"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67A19C6C" w14:textId="77777777" w:rsidR="00C3264D" w:rsidRDefault="001379D6">
            <w:pPr>
              <w:spacing w:after="0" w:line="240" w:lineRule="auto"/>
              <w:rPr>
                <w:rFonts w:ascii="Times New Roman" w:eastAsia="Times New Roman" w:hAnsi="Times New Roman"/>
                <w:b/>
                <w:bCs/>
                <w:color w:val="000000"/>
                <w:sz w:val="20"/>
                <w:szCs w:val="20"/>
              </w:rPr>
            </w:pPr>
            <w:r>
              <w:rPr>
                <w:rFonts w:ascii="Times New Roman" w:hAnsi="Times New Roman"/>
                <w:b/>
                <w:bCs/>
                <w:sz w:val="20"/>
                <w:szCs w:val="20"/>
              </w:rPr>
              <w:t>България</w:t>
            </w:r>
          </w:p>
        </w:tc>
        <w:tc>
          <w:tcPr>
            <w:tcW w:w="1093" w:type="dxa"/>
            <w:tcBorders>
              <w:top w:val="nil"/>
              <w:left w:val="nil"/>
              <w:bottom w:val="double" w:sz="6" w:space="0" w:color="auto"/>
              <w:right w:val="double" w:sz="6" w:space="0" w:color="auto"/>
            </w:tcBorders>
            <w:shd w:val="clear" w:color="auto" w:fill="auto"/>
            <w:noWrap/>
            <w:vAlign w:val="bottom"/>
            <w:hideMark/>
          </w:tcPr>
          <w:p w14:paraId="3DFADA9D"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22,14</w:t>
            </w:r>
          </w:p>
        </w:tc>
        <w:tc>
          <w:tcPr>
            <w:tcW w:w="1036" w:type="dxa"/>
            <w:tcBorders>
              <w:top w:val="nil"/>
              <w:left w:val="nil"/>
              <w:bottom w:val="double" w:sz="6" w:space="0" w:color="auto"/>
              <w:right w:val="double" w:sz="6" w:space="0" w:color="auto"/>
            </w:tcBorders>
            <w:shd w:val="clear" w:color="auto" w:fill="auto"/>
            <w:noWrap/>
            <w:vAlign w:val="bottom"/>
            <w:hideMark/>
          </w:tcPr>
          <w:p w14:paraId="5BA18AC8"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5F55FB03"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52,63</w:t>
            </w:r>
          </w:p>
        </w:tc>
        <w:tc>
          <w:tcPr>
            <w:tcW w:w="925" w:type="dxa"/>
            <w:tcBorders>
              <w:top w:val="nil"/>
              <w:left w:val="nil"/>
              <w:bottom w:val="double" w:sz="6" w:space="0" w:color="auto"/>
              <w:right w:val="double" w:sz="6" w:space="0" w:color="auto"/>
            </w:tcBorders>
            <w:shd w:val="clear" w:color="auto" w:fill="auto"/>
            <w:noWrap/>
            <w:vAlign w:val="bottom"/>
            <w:hideMark/>
          </w:tcPr>
          <w:p w14:paraId="008B9290"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05824415"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36,19</w:t>
            </w:r>
          </w:p>
        </w:tc>
        <w:tc>
          <w:tcPr>
            <w:tcW w:w="925" w:type="dxa"/>
            <w:tcBorders>
              <w:top w:val="nil"/>
              <w:left w:val="nil"/>
              <w:bottom w:val="double" w:sz="6" w:space="0" w:color="auto"/>
              <w:right w:val="double" w:sz="6" w:space="0" w:color="auto"/>
            </w:tcBorders>
            <w:shd w:val="clear" w:color="auto" w:fill="auto"/>
            <w:noWrap/>
            <w:vAlign w:val="bottom"/>
            <w:hideMark/>
          </w:tcPr>
          <w:p w14:paraId="717A7BB8"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0,22</w:t>
            </w:r>
          </w:p>
        </w:tc>
        <w:tc>
          <w:tcPr>
            <w:tcW w:w="910" w:type="dxa"/>
            <w:tcBorders>
              <w:top w:val="nil"/>
              <w:left w:val="nil"/>
              <w:bottom w:val="double" w:sz="6" w:space="0" w:color="auto"/>
              <w:right w:val="double" w:sz="6" w:space="0" w:color="auto"/>
            </w:tcBorders>
            <w:shd w:val="clear" w:color="auto" w:fill="auto"/>
            <w:noWrap/>
            <w:vAlign w:val="bottom"/>
            <w:hideMark/>
          </w:tcPr>
          <w:p w14:paraId="02E93FFC"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120,91</w:t>
            </w:r>
          </w:p>
        </w:tc>
        <w:tc>
          <w:tcPr>
            <w:tcW w:w="924" w:type="dxa"/>
            <w:tcBorders>
              <w:top w:val="nil"/>
              <w:left w:val="nil"/>
              <w:bottom w:val="double" w:sz="6" w:space="0" w:color="auto"/>
              <w:right w:val="double" w:sz="6" w:space="0" w:color="auto"/>
            </w:tcBorders>
            <w:shd w:val="clear" w:color="auto" w:fill="auto"/>
            <w:noWrap/>
            <w:vAlign w:val="bottom"/>
            <w:hideMark/>
          </w:tcPr>
          <w:p w14:paraId="49485D9E"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0,91</w:t>
            </w:r>
          </w:p>
        </w:tc>
        <w:tc>
          <w:tcPr>
            <w:tcW w:w="892" w:type="dxa"/>
            <w:tcBorders>
              <w:top w:val="nil"/>
              <w:left w:val="nil"/>
              <w:bottom w:val="double" w:sz="6" w:space="0" w:color="auto"/>
              <w:right w:val="double" w:sz="6" w:space="0" w:color="auto"/>
            </w:tcBorders>
            <w:shd w:val="clear" w:color="auto" w:fill="auto"/>
            <w:noWrap/>
            <w:vAlign w:val="bottom"/>
            <w:hideMark/>
          </w:tcPr>
          <w:p w14:paraId="783C63A5"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85,08</w:t>
            </w:r>
          </w:p>
        </w:tc>
        <w:tc>
          <w:tcPr>
            <w:tcW w:w="925" w:type="dxa"/>
            <w:tcBorders>
              <w:top w:val="nil"/>
              <w:left w:val="nil"/>
              <w:bottom w:val="double" w:sz="6" w:space="0" w:color="auto"/>
              <w:right w:val="double" w:sz="6" w:space="0" w:color="auto"/>
            </w:tcBorders>
            <w:shd w:val="clear" w:color="auto" w:fill="auto"/>
            <w:noWrap/>
            <w:vAlign w:val="bottom"/>
            <w:hideMark/>
          </w:tcPr>
          <w:p w14:paraId="3FC79B57"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0,25</w:t>
            </w:r>
          </w:p>
        </w:tc>
        <w:tc>
          <w:tcPr>
            <w:tcW w:w="910" w:type="dxa"/>
            <w:tcBorders>
              <w:top w:val="nil"/>
              <w:left w:val="nil"/>
              <w:bottom w:val="double" w:sz="6" w:space="0" w:color="auto"/>
              <w:right w:val="double" w:sz="6" w:space="0" w:color="auto"/>
            </w:tcBorders>
            <w:shd w:val="clear" w:color="auto" w:fill="auto"/>
            <w:noWrap/>
            <w:vAlign w:val="bottom"/>
            <w:hideMark/>
          </w:tcPr>
          <w:p w14:paraId="679F2FBF"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130,15</w:t>
            </w:r>
          </w:p>
        </w:tc>
        <w:tc>
          <w:tcPr>
            <w:tcW w:w="924" w:type="dxa"/>
            <w:tcBorders>
              <w:top w:val="nil"/>
              <w:left w:val="nil"/>
              <w:bottom w:val="double" w:sz="6" w:space="0" w:color="auto"/>
              <w:right w:val="double" w:sz="6" w:space="0" w:color="auto"/>
            </w:tcBorders>
            <w:shd w:val="clear" w:color="auto" w:fill="auto"/>
            <w:noWrap/>
            <w:vAlign w:val="bottom"/>
            <w:hideMark/>
          </w:tcPr>
          <w:p w14:paraId="60F795BD"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0,27</w:t>
            </w:r>
          </w:p>
        </w:tc>
        <w:tc>
          <w:tcPr>
            <w:tcW w:w="966" w:type="dxa"/>
            <w:tcBorders>
              <w:top w:val="nil"/>
              <w:left w:val="nil"/>
              <w:bottom w:val="double" w:sz="6" w:space="0" w:color="auto"/>
              <w:right w:val="double" w:sz="6" w:space="0" w:color="auto"/>
            </w:tcBorders>
            <w:shd w:val="clear" w:color="auto" w:fill="auto"/>
            <w:noWrap/>
            <w:vAlign w:val="bottom"/>
            <w:hideMark/>
          </w:tcPr>
          <w:p w14:paraId="15386E52"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367,34</w:t>
            </w:r>
          </w:p>
        </w:tc>
        <w:tc>
          <w:tcPr>
            <w:tcW w:w="924" w:type="dxa"/>
            <w:tcBorders>
              <w:top w:val="nil"/>
              <w:left w:val="nil"/>
              <w:bottom w:val="double" w:sz="6" w:space="0" w:color="auto"/>
              <w:right w:val="double" w:sz="6" w:space="0" w:color="auto"/>
            </w:tcBorders>
            <w:shd w:val="clear" w:color="auto" w:fill="auto"/>
            <w:noWrap/>
            <w:vAlign w:val="bottom"/>
            <w:hideMark/>
          </w:tcPr>
          <w:p w14:paraId="30ED0087"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0,83</w:t>
            </w:r>
          </w:p>
        </w:tc>
      </w:tr>
      <w:tr w:rsidR="00C3264D" w14:paraId="4FF1C228"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41E3F7E9" w14:textId="77777777" w:rsidR="00C3264D" w:rsidRDefault="001379D6">
            <w:pPr>
              <w:spacing w:after="0" w:line="240" w:lineRule="auto"/>
              <w:rPr>
                <w:rFonts w:ascii="Times New Roman" w:eastAsia="Times New Roman" w:hAnsi="Times New Roman"/>
                <w:b/>
                <w:bCs/>
                <w:color w:val="000000"/>
                <w:sz w:val="20"/>
                <w:szCs w:val="20"/>
              </w:rPr>
            </w:pPr>
            <w:r>
              <w:rPr>
                <w:rFonts w:ascii="Times New Roman" w:hAnsi="Times New Roman"/>
                <w:b/>
                <w:bCs/>
                <w:sz w:val="20"/>
                <w:szCs w:val="20"/>
              </w:rPr>
              <w:t>Кипър</w:t>
            </w:r>
          </w:p>
        </w:tc>
        <w:tc>
          <w:tcPr>
            <w:tcW w:w="1093" w:type="dxa"/>
            <w:tcBorders>
              <w:top w:val="nil"/>
              <w:left w:val="nil"/>
              <w:bottom w:val="double" w:sz="6" w:space="0" w:color="auto"/>
              <w:right w:val="double" w:sz="6" w:space="0" w:color="auto"/>
            </w:tcBorders>
            <w:shd w:val="clear" w:color="auto" w:fill="auto"/>
            <w:noWrap/>
            <w:vAlign w:val="bottom"/>
            <w:hideMark/>
          </w:tcPr>
          <w:p w14:paraId="61AA8FD1"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1,58</w:t>
            </w:r>
          </w:p>
        </w:tc>
        <w:tc>
          <w:tcPr>
            <w:tcW w:w="1036" w:type="dxa"/>
            <w:tcBorders>
              <w:top w:val="nil"/>
              <w:left w:val="nil"/>
              <w:bottom w:val="double" w:sz="6" w:space="0" w:color="auto"/>
              <w:right w:val="double" w:sz="6" w:space="0" w:color="auto"/>
            </w:tcBorders>
            <w:shd w:val="clear" w:color="auto" w:fill="auto"/>
            <w:noWrap/>
            <w:vAlign w:val="bottom"/>
            <w:hideMark/>
          </w:tcPr>
          <w:p w14:paraId="675C2D86"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564B5D66"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0,35</w:t>
            </w:r>
          </w:p>
        </w:tc>
        <w:tc>
          <w:tcPr>
            <w:tcW w:w="925" w:type="dxa"/>
            <w:tcBorders>
              <w:top w:val="nil"/>
              <w:left w:val="nil"/>
              <w:bottom w:val="double" w:sz="6" w:space="0" w:color="auto"/>
              <w:right w:val="double" w:sz="6" w:space="0" w:color="auto"/>
            </w:tcBorders>
            <w:shd w:val="clear" w:color="auto" w:fill="auto"/>
            <w:noWrap/>
            <w:vAlign w:val="bottom"/>
            <w:hideMark/>
          </w:tcPr>
          <w:p w14:paraId="244AE53A"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6848AD5F"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0,43</w:t>
            </w:r>
          </w:p>
        </w:tc>
        <w:tc>
          <w:tcPr>
            <w:tcW w:w="925" w:type="dxa"/>
            <w:tcBorders>
              <w:top w:val="nil"/>
              <w:left w:val="nil"/>
              <w:bottom w:val="double" w:sz="6" w:space="0" w:color="auto"/>
              <w:right w:val="double" w:sz="6" w:space="0" w:color="auto"/>
            </w:tcBorders>
            <w:shd w:val="clear" w:color="auto" w:fill="auto"/>
            <w:noWrap/>
            <w:vAlign w:val="bottom"/>
            <w:hideMark/>
          </w:tcPr>
          <w:p w14:paraId="47300468"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0,30</w:t>
            </w:r>
          </w:p>
        </w:tc>
        <w:tc>
          <w:tcPr>
            <w:tcW w:w="910" w:type="dxa"/>
            <w:tcBorders>
              <w:top w:val="nil"/>
              <w:left w:val="nil"/>
              <w:bottom w:val="double" w:sz="6" w:space="0" w:color="auto"/>
              <w:right w:val="double" w:sz="6" w:space="0" w:color="auto"/>
            </w:tcBorders>
            <w:shd w:val="clear" w:color="auto" w:fill="auto"/>
            <w:noWrap/>
            <w:vAlign w:val="bottom"/>
            <w:hideMark/>
          </w:tcPr>
          <w:p w14:paraId="1825DD08"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924" w:type="dxa"/>
            <w:tcBorders>
              <w:top w:val="nil"/>
              <w:left w:val="nil"/>
              <w:bottom w:val="double" w:sz="6" w:space="0" w:color="auto"/>
              <w:right w:val="double" w:sz="6" w:space="0" w:color="auto"/>
            </w:tcBorders>
            <w:shd w:val="clear" w:color="auto" w:fill="auto"/>
            <w:noWrap/>
            <w:vAlign w:val="bottom"/>
            <w:hideMark/>
          </w:tcPr>
          <w:p w14:paraId="7F9D27D0"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1,42</w:t>
            </w:r>
          </w:p>
        </w:tc>
        <w:tc>
          <w:tcPr>
            <w:tcW w:w="892" w:type="dxa"/>
            <w:tcBorders>
              <w:top w:val="nil"/>
              <w:left w:val="nil"/>
              <w:bottom w:val="double" w:sz="6" w:space="0" w:color="auto"/>
              <w:right w:val="double" w:sz="6" w:space="0" w:color="auto"/>
            </w:tcBorders>
            <w:shd w:val="clear" w:color="auto" w:fill="auto"/>
            <w:noWrap/>
            <w:vAlign w:val="bottom"/>
            <w:hideMark/>
          </w:tcPr>
          <w:p w14:paraId="4B0D4156"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925" w:type="dxa"/>
            <w:tcBorders>
              <w:top w:val="nil"/>
              <w:left w:val="nil"/>
              <w:bottom w:val="double" w:sz="6" w:space="0" w:color="auto"/>
              <w:right w:val="double" w:sz="6" w:space="0" w:color="auto"/>
            </w:tcBorders>
            <w:shd w:val="clear" w:color="auto" w:fill="auto"/>
            <w:noWrap/>
            <w:vAlign w:val="bottom"/>
            <w:hideMark/>
          </w:tcPr>
          <w:p w14:paraId="569053F0"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0,39</w:t>
            </w:r>
          </w:p>
        </w:tc>
        <w:tc>
          <w:tcPr>
            <w:tcW w:w="910" w:type="dxa"/>
            <w:tcBorders>
              <w:top w:val="nil"/>
              <w:left w:val="nil"/>
              <w:bottom w:val="double" w:sz="6" w:space="0" w:color="auto"/>
              <w:right w:val="double" w:sz="6" w:space="0" w:color="auto"/>
            </w:tcBorders>
            <w:shd w:val="clear" w:color="auto" w:fill="auto"/>
            <w:noWrap/>
            <w:vAlign w:val="bottom"/>
            <w:hideMark/>
          </w:tcPr>
          <w:p w14:paraId="79F0F3E7"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6,15</w:t>
            </w:r>
          </w:p>
        </w:tc>
        <w:tc>
          <w:tcPr>
            <w:tcW w:w="924" w:type="dxa"/>
            <w:tcBorders>
              <w:top w:val="nil"/>
              <w:left w:val="nil"/>
              <w:bottom w:val="double" w:sz="6" w:space="0" w:color="auto"/>
              <w:right w:val="double" w:sz="6" w:space="0" w:color="auto"/>
            </w:tcBorders>
            <w:shd w:val="clear" w:color="auto" w:fill="auto"/>
            <w:noWrap/>
            <w:vAlign w:val="bottom"/>
            <w:hideMark/>
          </w:tcPr>
          <w:p w14:paraId="2BC9DD54"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0,41</w:t>
            </w:r>
          </w:p>
        </w:tc>
        <w:tc>
          <w:tcPr>
            <w:tcW w:w="966" w:type="dxa"/>
            <w:tcBorders>
              <w:top w:val="nil"/>
              <w:left w:val="nil"/>
              <w:bottom w:val="double" w:sz="6" w:space="0" w:color="auto"/>
              <w:right w:val="double" w:sz="6" w:space="0" w:color="auto"/>
            </w:tcBorders>
            <w:shd w:val="clear" w:color="auto" w:fill="auto"/>
            <w:noWrap/>
            <w:vAlign w:val="bottom"/>
            <w:hideMark/>
          </w:tcPr>
          <w:p w14:paraId="7A3CB575" w14:textId="77777777" w:rsidR="00C3264D" w:rsidRDefault="00E55173">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 xml:space="preserve">24,66 </w:t>
            </w:r>
          </w:p>
        </w:tc>
        <w:tc>
          <w:tcPr>
            <w:tcW w:w="924" w:type="dxa"/>
            <w:tcBorders>
              <w:top w:val="nil"/>
              <w:left w:val="nil"/>
              <w:bottom w:val="double" w:sz="6" w:space="0" w:color="auto"/>
              <w:right w:val="double" w:sz="6" w:space="0" w:color="auto"/>
            </w:tcBorders>
            <w:shd w:val="clear" w:color="auto" w:fill="auto"/>
            <w:noWrap/>
            <w:vAlign w:val="bottom"/>
            <w:hideMark/>
          </w:tcPr>
          <w:p w14:paraId="060A3076"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1,30</w:t>
            </w:r>
          </w:p>
        </w:tc>
      </w:tr>
      <w:tr w:rsidR="00C3264D" w14:paraId="1B7EB028"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08B26794" w14:textId="77777777" w:rsidR="00C3264D" w:rsidRDefault="001379D6">
            <w:pPr>
              <w:spacing w:after="0" w:line="240" w:lineRule="auto"/>
              <w:rPr>
                <w:rFonts w:ascii="Times New Roman" w:eastAsia="Times New Roman" w:hAnsi="Times New Roman"/>
                <w:b/>
                <w:bCs/>
                <w:color w:val="000000"/>
                <w:sz w:val="20"/>
                <w:szCs w:val="20"/>
              </w:rPr>
            </w:pPr>
            <w:r>
              <w:rPr>
                <w:rFonts w:ascii="Times New Roman" w:hAnsi="Times New Roman"/>
                <w:b/>
                <w:bCs/>
                <w:sz w:val="20"/>
                <w:szCs w:val="20"/>
              </w:rPr>
              <w:t>Хърватия</w:t>
            </w:r>
          </w:p>
        </w:tc>
        <w:tc>
          <w:tcPr>
            <w:tcW w:w="1093" w:type="dxa"/>
            <w:tcBorders>
              <w:top w:val="nil"/>
              <w:left w:val="nil"/>
              <w:bottom w:val="double" w:sz="6" w:space="0" w:color="auto"/>
              <w:right w:val="double" w:sz="6" w:space="0" w:color="auto"/>
            </w:tcBorders>
            <w:shd w:val="clear" w:color="auto" w:fill="auto"/>
            <w:noWrap/>
            <w:vAlign w:val="bottom"/>
            <w:hideMark/>
          </w:tcPr>
          <w:p w14:paraId="3F3C5396"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1036" w:type="dxa"/>
            <w:tcBorders>
              <w:top w:val="nil"/>
              <w:left w:val="nil"/>
              <w:bottom w:val="double" w:sz="6" w:space="0" w:color="auto"/>
              <w:right w:val="double" w:sz="6" w:space="0" w:color="auto"/>
            </w:tcBorders>
            <w:shd w:val="clear" w:color="auto" w:fill="auto"/>
            <w:noWrap/>
            <w:vAlign w:val="bottom"/>
            <w:hideMark/>
          </w:tcPr>
          <w:p w14:paraId="085F6B86"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4FACB8D6"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925" w:type="dxa"/>
            <w:tcBorders>
              <w:top w:val="nil"/>
              <w:left w:val="nil"/>
              <w:bottom w:val="double" w:sz="6" w:space="0" w:color="auto"/>
              <w:right w:val="double" w:sz="6" w:space="0" w:color="auto"/>
            </w:tcBorders>
            <w:shd w:val="clear" w:color="auto" w:fill="auto"/>
            <w:noWrap/>
            <w:vAlign w:val="bottom"/>
            <w:hideMark/>
          </w:tcPr>
          <w:p w14:paraId="303BDCAF"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038DF17B"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925" w:type="dxa"/>
            <w:tcBorders>
              <w:top w:val="nil"/>
              <w:left w:val="nil"/>
              <w:bottom w:val="double" w:sz="6" w:space="0" w:color="auto"/>
              <w:right w:val="double" w:sz="6" w:space="0" w:color="auto"/>
            </w:tcBorders>
            <w:shd w:val="clear" w:color="auto" w:fill="auto"/>
            <w:noWrap/>
            <w:vAlign w:val="bottom"/>
            <w:hideMark/>
          </w:tcPr>
          <w:p w14:paraId="7775AF3B"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910" w:type="dxa"/>
            <w:tcBorders>
              <w:top w:val="nil"/>
              <w:left w:val="nil"/>
              <w:bottom w:val="double" w:sz="6" w:space="0" w:color="auto"/>
              <w:right w:val="double" w:sz="6" w:space="0" w:color="auto"/>
            </w:tcBorders>
            <w:shd w:val="clear" w:color="auto" w:fill="auto"/>
            <w:noWrap/>
            <w:vAlign w:val="bottom"/>
            <w:hideMark/>
          </w:tcPr>
          <w:p w14:paraId="78D0696F"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86,40</w:t>
            </w:r>
          </w:p>
        </w:tc>
        <w:tc>
          <w:tcPr>
            <w:tcW w:w="924" w:type="dxa"/>
            <w:tcBorders>
              <w:top w:val="nil"/>
              <w:left w:val="nil"/>
              <w:bottom w:val="double" w:sz="6" w:space="0" w:color="auto"/>
              <w:right w:val="double" w:sz="6" w:space="0" w:color="auto"/>
            </w:tcBorders>
            <w:shd w:val="clear" w:color="auto" w:fill="auto"/>
            <w:noWrap/>
            <w:vAlign w:val="bottom"/>
            <w:hideMark/>
          </w:tcPr>
          <w:p w14:paraId="6E69C307"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0,49</w:t>
            </w:r>
          </w:p>
        </w:tc>
        <w:tc>
          <w:tcPr>
            <w:tcW w:w="892" w:type="dxa"/>
            <w:tcBorders>
              <w:top w:val="nil"/>
              <w:left w:val="nil"/>
              <w:bottom w:val="double" w:sz="6" w:space="0" w:color="auto"/>
              <w:right w:val="double" w:sz="6" w:space="0" w:color="auto"/>
            </w:tcBorders>
            <w:shd w:val="clear" w:color="auto" w:fill="auto"/>
            <w:noWrap/>
            <w:vAlign w:val="bottom"/>
            <w:hideMark/>
          </w:tcPr>
          <w:p w14:paraId="6A6BDF8C"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20,09</w:t>
            </w:r>
          </w:p>
        </w:tc>
        <w:tc>
          <w:tcPr>
            <w:tcW w:w="925" w:type="dxa"/>
            <w:tcBorders>
              <w:top w:val="nil"/>
              <w:left w:val="nil"/>
              <w:bottom w:val="double" w:sz="6" w:space="0" w:color="auto"/>
              <w:right w:val="double" w:sz="6" w:space="0" w:color="auto"/>
            </w:tcBorders>
            <w:shd w:val="clear" w:color="auto" w:fill="auto"/>
            <w:noWrap/>
            <w:vAlign w:val="bottom"/>
            <w:hideMark/>
          </w:tcPr>
          <w:p w14:paraId="476BEF60"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0,16</w:t>
            </w:r>
          </w:p>
        </w:tc>
        <w:tc>
          <w:tcPr>
            <w:tcW w:w="910" w:type="dxa"/>
            <w:tcBorders>
              <w:top w:val="nil"/>
              <w:left w:val="nil"/>
              <w:bottom w:val="double" w:sz="6" w:space="0" w:color="auto"/>
              <w:right w:val="double" w:sz="6" w:space="0" w:color="auto"/>
            </w:tcBorders>
            <w:shd w:val="clear" w:color="auto" w:fill="auto"/>
            <w:noWrap/>
            <w:vAlign w:val="bottom"/>
            <w:hideMark/>
          </w:tcPr>
          <w:p w14:paraId="12CB16D6"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26,97</w:t>
            </w:r>
          </w:p>
        </w:tc>
        <w:tc>
          <w:tcPr>
            <w:tcW w:w="924" w:type="dxa"/>
            <w:tcBorders>
              <w:top w:val="nil"/>
              <w:left w:val="nil"/>
              <w:bottom w:val="double" w:sz="6" w:space="0" w:color="auto"/>
              <w:right w:val="double" w:sz="6" w:space="0" w:color="auto"/>
            </w:tcBorders>
            <w:shd w:val="clear" w:color="auto" w:fill="auto"/>
            <w:noWrap/>
            <w:vAlign w:val="bottom"/>
            <w:hideMark/>
          </w:tcPr>
          <w:p w14:paraId="1437C4DF"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0,18</w:t>
            </w:r>
          </w:p>
        </w:tc>
        <w:tc>
          <w:tcPr>
            <w:tcW w:w="966" w:type="dxa"/>
            <w:tcBorders>
              <w:top w:val="nil"/>
              <w:left w:val="nil"/>
              <w:bottom w:val="double" w:sz="6" w:space="0" w:color="auto"/>
              <w:right w:val="double" w:sz="6" w:space="0" w:color="auto"/>
            </w:tcBorders>
            <w:shd w:val="clear" w:color="auto" w:fill="auto"/>
            <w:noWrap/>
            <w:vAlign w:val="bottom"/>
            <w:hideMark/>
          </w:tcPr>
          <w:p w14:paraId="3A884A2C"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70,96</w:t>
            </w:r>
          </w:p>
        </w:tc>
        <w:tc>
          <w:tcPr>
            <w:tcW w:w="924" w:type="dxa"/>
            <w:tcBorders>
              <w:top w:val="nil"/>
              <w:left w:val="nil"/>
              <w:bottom w:val="double" w:sz="6" w:space="0" w:color="auto"/>
              <w:right w:val="double" w:sz="6" w:space="0" w:color="auto"/>
            </w:tcBorders>
            <w:shd w:val="clear" w:color="auto" w:fill="auto"/>
            <w:noWrap/>
            <w:vAlign w:val="bottom"/>
            <w:hideMark/>
          </w:tcPr>
          <w:p w14:paraId="19924571"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0,55</w:t>
            </w:r>
          </w:p>
        </w:tc>
      </w:tr>
      <w:tr w:rsidR="00C3264D" w14:paraId="31A9D934"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6638B988" w14:textId="77777777" w:rsidR="00C3264D" w:rsidRDefault="001379D6">
            <w:pPr>
              <w:spacing w:after="0" w:line="240" w:lineRule="auto"/>
              <w:rPr>
                <w:rFonts w:ascii="Times New Roman" w:eastAsia="Times New Roman" w:hAnsi="Times New Roman"/>
                <w:b/>
                <w:bCs/>
                <w:color w:val="000000"/>
                <w:sz w:val="20"/>
                <w:szCs w:val="20"/>
              </w:rPr>
            </w:pPr>
            <w:r>
              <w:rPr>
                <w:rFonts w:ascii="Times New Roman" w:hAnsi="Times New Roman"/>
                <w:b/>
                <w:bCs/>
                <w:sz w:val="20"/>
                <w:szCs w:val="20"/>
              </w:rPr>
              <w:t>Чешка република</w:t>
            </w:r>
          </w:p>
        </w:tc>
        <w:tc>
          <w:tcPr>
            <w:tcW w:w="1093" w:type="dxa"/>
            <w:tcBorders>
              <w:top w:val="nil"/>
              <w:left w:val="nil"/>
              <w:bottom w:val="double" w:sz="6" w:space="0" w:color="auto"/>
              <w:right w:val="double" w:sz="6" w:space="0" w:color="auto"/>
            </w:tcBorders>
            <w:shd w:val="clear" w:color="auto" w:fill="auto"/>
            <w:noWrap/>
            <w:vAlign w:val="bottom"/>
            <w:hideMark/>
          </w:tcPr>
          <w:p w14:paraId="29328FCB"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1036" w:type="dxa"/>
            <w:tcBorders>
              <w:top w:val="nil"/>
              <w:left w:val="nil"/>
              <w:bottom w:val="double" w:sz="6" w:space="0" w:color="auto"/>
              <w:right w:val="double" w:sz="6" w:space="0" w:color="auto"/>
            </w:tcBorders>
            <w:shd w:val="clear" w:color="auto" w:fill="auto"/>
            <w:noWrap/>
            <w:vAlign w:val="bottom"/>
            <w:hideMark/>
          </w:tcPr>
          <w:p w14:paraId="13C31C1E"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3F1A554F"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925" w:type="dxa"/>
            <w:tcBorders>
              <w:top w:val="nil"/>
              <w:left w:val="nil"/>
              <w:bottom w:val="double" w:sz="6" w:space="0" w:color="auto"/>
              <w:right w:val="double" w:sz="6" w:space="0" w:color="auto"/>
            </w:tcBorders>
            <w:shd w:val="clear" w:color="auto" w:fill="auto"/>
            <w:noWrap/>
            <w:vAlign w:val="bottom"/>
            <w:hideMark/>
          </w:tcPr>
          <w:p w14:paraId="70478A31"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038D797C"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55,24</w:t>
            </w:r>
          </w:p>
        </w:tc>
        <w:tc>
          <w:tcPr>
            <w:tcW w:w="925" w:type="dxa"/>
            <w:tcBorders>
              <w:top w:val="nil"/>
              <w:left w:val="nil"/>
              <w:bottom w:val="double" w:sz="6" w:space="0" w:color="auto"/>
              <w:right w:val="double" w:sz="6" w:space="0" w:color="auto"/>
            </w:tcBorders>
            <w:shd w:val="clear" w:color="auto" w:fill="auto"/>
            <w:noWrap/>
            <w:vAlign w:val="bottom"/>
            <w:hideMark/>
          </w:tcPr>
          <w:p w14:paraId="657A2AF0"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0,47</w:t>
            </w:r>
          </w:p>
        </w:tc>
        <w:tc>
          <w:tcPr>
            <w:tcW w:w="910" w:type="dxa"/>
            <w:tcBorders>
              <w:top w:val="nil"/>
              <w:left w:val="nil"/>
              <w:bottom w:val="double" w:sz="6" w:space="0" w:color="auto"/>
              <w:right w:val="double" w:sz="6" w:space="0" w:color="auto"/>
            </w:tcBorders>
            <w:shd w:val="clear" w:color="auto" w:fill="auto"/>
            <w:noWrap/>
            <w:vAlign w:val="bottom"/>
            <w:hideMark/>
          </w:tcPr>
          <w:p w14:paraId="1ACE2F6D"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110,30</w:t>
            </w:r>
          </w:p>
        </w:tc>
        <w:tc>
          <w:tcPr>
            <w:tcW w:w="924" w:type="dxa"/>
            <w:tcBorders>
              <w:top w:val="nil"/>
              <w:left w:val="nil"/>
              <w:bottom w:val="double" w:sz="6" w:space="0" w:color="auto"/>
              <w:right w:val="double" w:sz="6" w:space="0" w:color="auto"/>
            </w:tcBorders>
            <w:shd w:val="clear" w:color="auto" w:fill="auto"/>
            <w:noWrap/>
            <w:vAlign w:val="bottom"/>
            <w:hideMark/>
          </w:tcPr>
          <w:p w14:paraId="72FE3433"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1,20</w:t>
            </w:r>
          </w:p>
        </w:tc>
        <w:tc>
          <w:tcPr>
            <w:tcW w:w="892" w:type="dxa"/>
            <w:tcBorders>
              <w:top w:val="nil"/>
              <w:left w:val="nil"/>
              <w:bottom w:val="double" w:sz="6" w:space="0" w:color="auto"/>
              <w:right w:val="double" w:sz="6" w:space="0" w:color="auto"/>
            </w:tcBorders>
            <w:shd w:val="clear" w:color="auto" w:fill="auto"/>
            <w:noWrap/>
            <w:vAlign w:val="bottom"/>
            <w:hideMark/>
          </w:tcPr>
          <w:p w14:paraId="1D256CEF"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117,63</w:t>
            </w:r>
          </w:p>
        </w:tc>
        <w:tc>
          <w:tcPr>
            <w:tcW w:w="925" w:type="dxa"/>
            <w:tcBorders>
              <w:top w:val="nil"/>
              <w:left w:val="nil"/>
              <w:bottom w:val="double" w:sz="6" w:space="0" w:color="auto"/>
              <w:right w:val="double" w:sz="6" w:space="0" w:color="auto"/>
            </w:tcBorders>
            <w:shd w:val="clear" w:color="auto" w:fill="auto"/>
            <w:noWrap/>
            <w:vAlign w:val="bottom"/>
            <w:hideMark/>
          </w:tcPr>
          <w:p w14:paraId="3FD0CF96"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0,33</w:t>
            </w:r>
          </w:p>
        </w:tc>
        <w:tc>
          <w:tcPr>
            <w:tcW w:w="910" w:type="dxa"/>
            <w:tcBorders>
              <w:top w:val="nil"/>
              <w:left w:val="nil"/>
              <w:bottom w:val="double" w:sz="6" w:space="0" w:color="auto"/>
              <w:right w:val="double" w:sz="6" w:space="0" w:color="auto"/>
            </w:tcBorders>
            <w:shd w:val="clear" w:color="auto" w:fill="auto"/>
            <w:noWrap/>
            <w:vAlign w:val="bottom"/>
            <w:hideMark/>
          </w:tcPr>
          <w:p w14:paraId="48B88143"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199,43</w:t>
            </w:r>
          </w:p>
        </w:tc>
        <w:tc>
          <w:tcPr>
            <w:tcW w:w="924" w:type="dxa"/>
            <w:tcBorders>
              <w:top w:val="nil"/>
              <w:left w:val="nil"/>
              <w:bottom w:val="double" w:sz="6" w:space="0" w:color="auto"/>
              <w:right w:val="double" w:sz="6" w:space="0" w:color="auto"/>
            </w:tcBorders>
            <w:shd w:val="clear" w:color="auto" w:fill="auto"/>
            <w:noWrap/>
            <w:vAlign w:val="bottom"/>
            <w:hideMark/>
          </w:tcPr>
          <w:p w14:paraId="6943C406"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0,35</w:t>
            </w:r>
          </w:p>
        </w:tc>
        <w:tc>
          <w:tcPr>
            <w:tcW w:w="966" w:type="dxa"/>
            <w:tcBorders>
              <w:top w:val="nil"/>
              <w:left w:val="nil"/>
              <w:bottom w:val="double" w:sz="6" w:space="0" w:color="auto"/>
              <w:right w:val="double" w:sz="6" w:space="0" w:color="auto"/>
            </w:tcBorders>
            <w:shd w:val="clear" w:color="auto" w:fill="auto"/>
            <w:noWrap/>
            <w:vAlign w:val="bottom"/>
            <w:hideMark/>
          </w:tcPr>
          <w:p w14:paraId="67C40E77" w14:textId="77777777" w:rsidR="00C3264D" w:rsidRDefault="00E55173">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 xml:space="preserve">583,33 </w:t>
            </w:r>
          </w:p>
        </w:tc>
        <w:tc>
          <w:tcPr>
            <w:tcW w:w="924" w:type="dxa"/>
            <w:tcBorders>
              <w:top w:val="nil"/>
              <w:left w:val="nil"/>
              <w:bottom w:val="double" w:sz="6" w:space="0" w:color="auto"/>
              <w:right w:val="double" w:sz="6" w:space="0" w:color="auto"/>
            </w:tcBorders>
            <w:shd w:val="clear" w:color="auto" w:fill="auto"/>
            <w:noWrap/>
            <w:vAlign w:val="bottom"/>
            <w:hideMark/>
          </w:tcPr>
          <w:p w14:paraId="676BE7D6"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1,10</w:t>
            </w:r>
          </w:p>
        </w:tc>
      </w:tr>
      <w:tr w:rsidR="00C3264D" w14:paraId="1A93B58D"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tcPr>
          <w:p w14:paraId="5BFE7F46" w14:textId="77777777" w:rsidR="00C3264D" w:rsidRDefault="005C0D84">
            <w:pPr>
              <w:spacing w:after="0" w:line="240" w:lineRule="auto"/>
              <w:rPr>
                <w:rFonts w:ascii="Times New Roman" w:eastAsia="Times New Roman" w:hAnsi="Times New Roman"/>
                <w:b/>
                <w:bCs/>
                <w:color w:val="000000"/>
                <w:sz w:val="20"/>
                <w:szCs w:val="20"/>
              </w:rPr>
            </w:pPr>
            <w:r>
              <w:rPr>
                <w:rFonts w:ascii="Times New Roman" w:hAnsi="Times New Roman"/>
                <w:b/>
                <w:bCs/>
                <w:sz w:val="20"/>
                <w:szCs w:val="20"/>
              </w:rPr>
              <w:t>Германия</w:t>
            </w:r>
          </w:p>
        </w:tc>
        <w:tc>
          <w:tcPr>
            <w:tcW w:w="1093" w:type="dxa"/>
            <w:tcBorders>
              <w:top w:val="nil"/>
              <w:left w:val="nil"/>
              <w:bottom w:val="double" w:sz="6" w:space="0" w:color="auto"/>
              <w:right w:val="double" w:sz="6" w:space="0" w:color="auto"/>
            </w:tcBorders>
            <w:shd w:val="clear" w:color="auto" w:fill="auto"/>
            <w:noWrap/>
            <w:vAlign w:val="bottom"/>
          </w:tcPr>
          <w:p w14:paraId="4D658309" w14:textId="77777777" w:rsidR="00C3264D" w:rsidRDefault="005C0D84">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166,18</w:t>
            </w:r>
          </w:p>
        </w:tc>
        <w:tc>
          <w:tcPr>
            <w:tcW w:w="1036" w:type="dxa"/>
            <w:tcBorders>
              <w:top w:val="nil"/>
              <w:left w:val="nil"/>
              <w:bottom w:val="double" w:sz="6" w:space="0" w:color="auto"/>
              <w:right w:val="double" w:sz="6" w:space="0" w:color="auto"/>
            </w:tcBorders>
            <w:shd w:val="clear" w:color="auto" w:fill="auto"/>
            <w:noWrap/>
            <w:vAlign w:val="bottom"/>
          </w:tcPr>
          <w:p w14:paraId="4A60CB9B" w14:textId="77777777" w:rsidR="00C3264D" w:rsidRDefault="005C0D84">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17,52</w:t>
            </w:r>
          </w:p>
        </w:tc>
        <w:tc>
          <w:tcPr>
            <w:tcW w:w="892" w:type="dxa"/>
            <w:tcBorders>
              <w:top w:val="nil"/>
              <w:left w:val="nil"/>
              <w:bottom w:val="double" w:sz="6" w:space="0" w:color="auto"/>
              <w:right w:val="double" w:sz="6" w:space="0" w:color="auto"/>
            </w:tcBorders>
            <w:shd w:val="clear" w:color="auto" w:fill="auto"/>
            <w:noWrap/>
            <w:vAlign w:val="bottom"/>
          </w:tcPr>
          <w:p w14:paraId="7E6FE341" w14:textId="77777777" w:rsidR="00C3264D" w:rsidRDefault="005C0D84">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791,25</w:t>
            </w:r>
          </w:p>
        </w:tc>
        <w:tc>
          <w:tcPr>
            <w:tcW w:w="925" w:type="dxa"/>
            <w:tcBorders>
              <w:top w:val="nil"/>
              <w:left w:val="nil"/>
              <w:bottom w:val="double" w:sz="6" w:space="0" w:color="auto"/>
              <w:right w:val="double" w:sz="6" w:space="0" w:color="auto"/>
            </w:tcBorders>
            <w:shd w:val="clear" w:color="auto" w:fill="auto"/>
            <w:noWrap/>
            <w:vAlign w:val="bottom"/>
          </w:tcPr>
          <w:p w14:paraId="256E2EAC" w14:textId="77777777" w:rsidR="00C3264D" w:rsidRDefault="005C0D84">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tcPr>
          <w:p w14:paraId="0F015248" w14:textId="77777777" w:rsidR="00C3264D" w:rsidRDefault="005C0D84">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749,97</w:t>
            </w:r>
          </w:p>
        </w:tc>
        <w:tc>
          <w:tcPr>
            <w:tcW w:w="925" w:type="dxa"/>
            <w:tcBorders>
              <w:top w:val="nil"/>
              <w:left w:val="nil"/>
              <w:bottom w:val="double" w:sz="6" w:space="0" w:color="auto"/>
              <w:right w:val="double" w:sz="6" w:space="0" w:color="auto"/>
            </w:tcBorders>
            <w:shd w:val="clear" w:color="auto" w:fill="auto"/>
            <w:noWrap/>
            <w:vAlign w:val="bottom"/>
          </w:tcPr>
          <w:p w14:paraId="40BE46CF" w14:textId="77777777" w:rsidR="00C3264D" w:rsidRDefault="005C0D84">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910" w:type="dxa"/>
            <w:tcBorders>
              <w:top w:val="nil"/>
              <w:left w:val="nil"/>
              <w:bottom w:val="double" w:sz="6" w:space="0" w:color="auto"/>
              <w:right w:val="double" w:sz="6" w:space="0" w:color="auto"/>
            </w:tcBorders>
            <w:shd w:val="clear" w:color="auto" w:fill="auto"/>
            <w:noWrap/>
            <w:vAlign w:val="bottom"/>
          </w:tcPr>
          <w:p w14:paraId="5EAF44F2" w14:textId="77777777" w:rsidR="00C3264D" w:rsidRDefault="005C0D84">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1 093,31</w:t>
            </w:r>
          </w:p>
        </w:tc>
        <w:tc>
          <w:tcPr>
            <w:tcW w:w="924" w:type="dxa"/>
            <w:tcBorders>
              <w:top w:val="nil"/>
              <w:left w:val="nil"/>
              <w:bottom w:val="double" w:sz="6" w:space="0" w:color="auto"/>
              <w:right w:val="double" w:sz="6" w:space="0" w:color="auto"/>
            </w:tcBorders>
            <w:shd w:val="clear" w:color="auto" w:fill="auto"/>
            <w:noWrap/>
            <w:vAlign w:val="bottom"/>
          </w:tcPr>
          <w:p w14:paraId="04F4D847" w14:textId="77777777" w:rsidR="00C3264D" w:rsidRDefault="005C0D84">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16,87</w:t>
            </w:r>
          </w:p>
        </w:tc>
        <w:tc>
          <w:tcPr>
            <w:tcW w:w="892" w:type="dxa"/>
            <w:tcBorders>
              <w:top w:val="nil"/>
              <w:left w:val="nil"/>
              <w:bottom w:val="double" w:sz="6" w:space="0" w:color="auto"/>
              <w:right w:val="double" w:sz="6" w:space="0" w:color="auto"/>
            </w:tcBorders>
            <w:shd w:val="clear" w:color="auto" w:fill="auto"/>
            <w:noWrap/>
            <w:vAlign w:val="bottom"/>
          </w:tcPr>
          <w:p w14:paraId="4019BF89" w14:textId="77777777" w:rsidR="00C3264D" w:rsidRDefault="005C0D84">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845,74</w:t>
            </w:r>
          </w:p>
        </w:tc>
        <w:tc>
          <w:tcPr>
            <w:tcW w:w="925" w:type="dxa"/>
            <w:tcBorders>
              <w:top w:val="nil"/>
              <w:left w:val="nil"/>
              <w:bottom w:val="double" w:sz="6" w:space="0" w:color="auto"/>
              <w:right w:val="double" w:sz="6" w:space="0" w:color="auto"/>
            </w:tcBorders>
            <w:shd w:val="clear" w:color="auto" w:fill="auto"/>
            <w:noWrap/>
            <w:vAlign w:val="bottom"/>
          </w:tcPr>
          <w:p w14:paraId="36D5B6E6" w14:textId="77777777" w:rsidR="00C3264D" w:rsidRDefault="005C0D84">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4,65</w:t>
            </w:r>
          </w:p>
        </w:tc>
        <w:tc>
          <w:tcPr>
            <w:tcW w:w="910" w:type="dxa"/>
            <w:tcBorders>
              <w:top w:val="nil"/>
              <w:left w:val="nil"/>
              <w:bottom w:val="double" w:sz="6" w:space="0" w:color="auto"/>
              <w:right w:val="double" w:sz="6" w:space="0" w:color="auto"/>
            </w:tcBorders>
            <w:shd w:val="clear" w:color="auto" w:fill="auto"/>
            <w:noWrap/>
            <w:vAlign w:val="bottom"/>
          </w:tcPr>
          <w:p w14:paraId="3FD65E03" w14:textId="77777777" w:rsidR="00C3264D" w:rsidRDefault="005C0D84">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1 141,74</w:t>
            </w:r>
          </w:p>
        </w:tc>
        <w:tc>
          <w:tcPr>
            <w:tcW w:w="924" w:type="dxa"/>
            <w:tcBorders>
              <w:top w:val="nil"/>
              <w:left w:val="nil"/>
              <w:bottom w:val="double" w:sz="6" w:space="0" w:color="auto"/>
              <w:right w:val="double" w:sz="6" w:space="0" w:color="auto"/>
            </w:tcBorders>
            <w:shd w:val="clear" w:color="auto" w:fill="auto"/>
            <w:noWrap/>
            <w:vAlign w:val="bottom"/>
          </w:tcPr>
          <w:p w14:paraId="1DE1655F" w14:textId="77777777" w:rsidR="00C3264D" w:rsidRDefault="005C0D84">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5,07</w:t>
            </w:r>
          </w:p>
        </w:tc>
        <w:tc>
          <w:tcPr>
            <w:tcW w:w="966" w:type="dxa"/>
            <w:tcBorders>
              <w:top w:val="nil"/>
              <w:left w:val="nil"/>
              <w:bottom w:val="double" w:sz="6" w:space="0" w:color="auto"/>
              <w:right w:val="double" w:sz="6" w:space="0" w:color="auto"/>
            </w:tcBorders>
            <w:shd w:val="clear" w:color="auto" w:fill="auto"/>
            <w:noWrap/>
            <w:vAlign w:val="bottom"/>
          </w:tcPr>
          <w:p w14:paraId="6AFA9D8A" w14:textId="77777777" w:rsidR="00C3264D" w:rsidRDefault="005C0D84">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2 565,34</w:t>
            </w:r>
          </w:p>
        </w:tc>
        <w:tc>
          <w:tcPr>
            <w:tcW w:w="924" w:type="dxa"/>
            <w:tcBorders>
              <w:top w:val="nil"/>
              <w:left w:val="nil"/>
              <w:bottom w:val="double" w:sz="6" w:space="0" w:color="auto"/>
              <w:right w:val="double" w:sz="6" w:space="0" w:color="auto"/>
            </w:tcBorders>
            <w:shd w:val="clear" w:color="auto" w:fill="auto"/>
            <w:noWrap/>
            <w:vAlign w:val="bottom"/>
          </w:tcPr>
          <w:p w14:paraId="2B7AA188" w14:textId="77777777" w:rsidR="00C3264D" w:rsidRDefault="005C0D84">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16,31</w:t>
            </w:r>
          </w:p>
        </w:tc>
      </w:tr>
      <w:tr w:rsidR="00C3264D" w14:paraId="2CB3AA90"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2FA89F37" w14:textId="77777777" w:rsidR="00C3264D" w:rsidRDefault="00524AA2">
            <w:pPr>
              <w:spacing w:after="0" w:line="240" w:lineRule="auto"/>
              <w:rPr>
                <w:rFonts w:ascii="Times New Roman" w:eastAsia="Times New Roman" w:hAnsi="Times New Roman"/>
                <w:b/>
                <w:bCs/>
                <w:color w:val="000000"/>
                <w:sz w:val="20"/>
                <w:szCs w:val="20"/>
              </w:rPr>
            </w:pPr>
            <w:r>
              <w:rPr>
                <w:rFonts w:ascii="Times New Roman" w:hAnsi="Times New Roman"/>
                <w:b/>
                <w:bCs/>
                <w:sz w:val="20"/>
                <w:szCs w:val="20"/>
              </w:rPr>
              <w:t>Дания</w:t>
            </w:r>
          </w:p>
        </w:tc>
        <w:tc>
          <w:tcPr>
            <w:tcW w:w="1093" w:type="dxa"/>
            <w:tcBorders>
              <w:top w:val="nil"/>
              <w:left w:val="nil"/>
              <w:bottom w:val="double" w:sz="6" w:space="0" w:color="auto"/>
              <w:right w:val="double" w:sz="6" w:space="0" w:color="auto"/>
            </w:tcBorders>
            <w:shd w:val="clear" w:color="auto" w:fill="auto"/>
            <w:noWrap/>
            <w:vAlign w:val="bottom"/>
            <w:hideMark/>
          </w:tcPr>
          <w:p w14:paraId="72F0D546"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1,07</w:t>
            </w:r>
          </w:p>
        </w:tc>
        <w:tc>
          <w:tcPr>
            <w:tcW w:w="1036" w:type="dxa"/>
            <w:tcBorders>
              <w:top w:val="nil"/>
              <w:left w:val="nil"/>
              <w:bottom w:val="double" w:sz="6" w:space="0" w:color="auto"/>
              <w:right w:val="double" w:sz="6" w:space="0" w:color="auto"/>
            </w:tcBorders>
            <w:shd w:val="clear" w:color="auto" w:fill="auto"/>
            <w:noWrap/>
            <w:vAlign w:val="bottom"/>
            <w:hideMark/>
          </w:tcPr>
          <w:p w14:paraId="1C32C589"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62D0C9D9"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56,06</w:t>
            </w:r>
          </w:p>
        </w:tc>
        <w:tc>
          <w:tcPr>
            <w:tcW w:w="925" w:type="dxa"/>
            <w:tcBorders>
              <w:top w:val="nil"/>
              <w:left w:val="nil"/>
              <w:bottom w:val="double" w:sz="6" w:space="0" w:color="auto"/>
              <w:right w:val="double" w:sz="6" w:space="0" w:color="auto"/>
            </w:tcBorders>
            <w:shd w:val="clear" w:color="auto" w:fill="auto"/>
            <w:noWrap/>
            <w:vAlign w:val="bottom"/>
            <w:hideMark/>
          </w:tcPr>
          <w:p w14:paraId="7EDC62B2"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67C330D6"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46,93</w:t>
            </w:r>
          </w:p>
        </w:tc>
        <w:tc>
          <w:tcPr>
            <w:tcW w:w="925" w:type="dxa"/>
            <w:tcBorders>
              <w:top w:val="nil"/>
              <w:left w:val="nil"/>
              <w:bottom w:val="double" w:sz="6" w:space="0" w:color="auto"/>
              <w:right w:val="double" w:sz="6" w:space="0" w:color="auto"/>
            </w:tcBorders>
            <w:shd w:val="clear" w:color="auto" w:fill="auto"/>
            <w:noWrap/>
            <w:vAlign w:val="bottom"/>
            <w:hideMark/>
          </w:tcPr>
          <w:p w14:paraId="46356A6B"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1,16</w:t>
            </w:r>
          </w:p>
        </w:tc>
        <w:tc>
          <w:tcPr>
            <w:tcW w:w="910" w:type="dxa"/>
            <w:tcBorders>
              <w:top w:val="nil"/>
              <w:left w:val="nil"/>
              <w:bottom w:val="double" w:sz="6" w:space="0" w:color="auto"/>
              <w:right w:val="double" w:sz="6" w:space="0" w:color="auto"/>
            </w:tcBorders>
            <w:shd w:val="clear" w:color="auto" w:fill="auto"/>
            <w:noWrap/>
            <w:vAlign w:val="bottom"/>
            <w:hideMark/>
          </w:tcPr>
          <w:p w14:paraId="0A405B33"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68,64</w:t>
            </w:r>
          </w:p>
        </w:tc>
        <w:tc>
          <w:tcPr>
            <w:tcW w:w="924" w:type="dxa"/>
            <w:tcBorders>
              <w:top w:val="nil"/>
              <w:left w:val="nil"/>
              <w:bottom w:val="double" w:sz="6" w:space="0" w:color="auto"/>
              <w:right w:val="double" w:sz="6" w:space="0" w:color="auto"/>
            </w:tcBorders>
            <w:shd w:val="clear" w:color="auto" w:fill="auto"/>
            <w:noWrap/>
            <w:vAlign w:val="bottom"/>
            <w:hideMark/>
          </w:tcPr>
          <w:p w14:paraId="61F75C36"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2,71</w:t>
            </w:r>
          </w:p>
        </w:tc>
        <w:tc>
          <w:tcPr>
            <w:tcW w:w="892" w:type="dxa"/>
            <w:tcBorders>
              <w:top w:val="nil"/>
              <w:left w:val="nil"/>
              <w:bottom w:val="double" w:sz="6" w:space="0" w:color="auto"/>
              <w:right w:val="double" w:sz="6" w:space="0" w:color="auto"/>
            </w:tcBorders>
            <w:shd w:val="clear" w:color="auto" w:fill="auto"/>
            <w:noWrap/>
            <w:vAlign w:val="bottom"/>
            <w:hideMark/>
          </w:tcPr>
          <w:p w14:paraId="699975A8"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52,93</w:t>
            </w:r>
          </w:p>
        </w:tc>
        <w:tc>
          <w:tcPr>
            <w:tcW w:w="925" w:type="dxa"/>
            <w:tcBorders>
              <w:top w:val="nil"/>
              <w:left w:val="nil"/>
              <w:bottom w:val="double" w:sz="6" w:space="0" w:color="auto"/>
              <w:right w:val="double" w:sz="6" w:space="0" w:color="auto"/>
            </w:tcBorders>
            <w:shd w:val="clear" w:color="auto" w:fill="auto"/>
            <w:noWrap/>
            <w:vAlign w:val="bottom"/>
            <w:hideMark/>
          </w:tcPr>
          <w:p w14:paraId="3F439967"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0,74</w:t>
            </w:r>
          </w:p>
        </w:tc>
        <w:tc>
          <w:tcPr>
            <w:tcW w:w="910" w:type="dxa"/>
            <w:tcBorders>
              <w:top w:val="nil"/>
              <w:left w:val="nil"/>
              <w:bottom w:val="double" w:sz="6" w:space="0" w:color="auto"/>
              <w:right w:val="double" w:sz="6" w:space="0" w:color="auto"/>
            </w:tcBorders>
            <w:shd w:val="clear" w:color="auto" w:fill="auto"/>
            <w:noWrap/>
            <w:vAlign w:val="bottom"/>
            <w:hideMark/>
          </w:tcPr>
          <w:p w14:paraId="1F60E96C"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70,93</w:t>
            </w:r>
          </w:p>
        </w:tc>
        <w:tc>
          <w:tcPr>
            <w:tcW w:w="924" w:type="dxa"/>
            <w:tcBorders>
              <w:top w:val="nil"/>
              <w:left w:val="nil"/>
              <w:bottom w:val="double" w:sz="6" w:space="0" w:color="auto"/>
              <w:right w:val="double" w:sz="6" w:space="0" w:color="auto"/>
            </w:tcBorders>
            <w:shd w:val="clear" w:color="auto" w:fill="auto"/>
            <w:noWrap/>
            <w:vAlign w:val="bottom"/>
            <w:hideMark/>
          </w:tcPr>
          <w:p w14:paraId="63E7A861"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0,79</w:t>
            </w:r>
          </w:p>
        </w:tc>
        <w:tc>
          <w:tcPr>
            <w:tcW w:w="966" w:type="dxa"/>
            <w:tcBorders>
              <w:top w:val="nil"/>
              <w:left w:val="nil"/>
              <w:bottom w:val="double" w:sz="6" w:space="0" w:color="auto"/>
              <w:right w:val="double" w:sz="6" w:space="0" w:color="auto"/>
            </w:tcBorders>
            <w:shd w:val="clear" w:color="auto" w:fill="auto"/>
            <w:noWrap/>
            <w:vAlign w:val="bottom"/>
            <w:hideMark/>
          </w:tcPr>
          <w:p w14:paraId="49336A67"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187,32</w:t>
            </w:r>
          </w:p>
        </w:tc>
        <w:tc>
          <w:tcPr>
            <w:tcW w:w="924" w:type="dxa"/>
            <w:tcBorders>
              <w:top w:val="nil"/>
              <w:left w:val="nil"/>
              <w:bottom w:val="double" w:sz="6" w:space="0" w:color="auto"/>
              <w:right w:val="double" w:sz="6" w:space="0" w:color="auto"/>
            </w:tcBorders>
            <w:shd w:val="clear" w:color="auto" w:fill="auto"/>
            <w:noWrap/>
            <w:vAlign w:val="bottom"/>
            <w:hideMark/>
          </w:tcPr>
          <w:p w14:paraId="5485D11A"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2,48</w:t>
            </w:r>
          </w:p>
        </w:tc>
      </w:tr>
      <w:tr w:rsidR="00C3264D" w14:paraId="5422B39A"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03A3212B" w14:textId="77777777" w:rsidR="00C3264D" w:rsidRDefault="001379D6">
            <w:pPr>
              <w:spacing w:after="0" w:line="240" w:lineRule="auto"/>
              <w:rPr>
                <w:rFonts w:ascii="Times New Roman" w:eastAsia="Times New Roman" w:hAnsi="Times New Roman"/>
                <w:b/>
                <w:bCs/>
                <w:color w:val="000000"/>
                <w:sz w:val="20"/>
                <w:szCs w:val="20"/>
              </w:rPr>
            </w:pPr>
            <w:r>
              <w:rPr>
                <w:rFonts w:ascii="Times New Roman" w:hAnsi="Times New Roman"/>
                <w:b/>
                <w:bCs/>
                <w:sz w:val="20"/>
                <w:szCs w:val="20"/>
              </w:rPr>
              <w:t>Естония</w:t>
            </w:r>
          </w:p>
        </w:tc>
        <w:tc>
          <w:tcPr>
            <w:tcW w:w="1093" w:type="dxa"/>
            <w:tcBorders>
              <w:top w:val="nil"/>
              <w:left w:val="nil"/>
              <w:bottom w:val="double" w:sz="6" w:space="0" w:color="auto"/>
              <w:right w:val="double" w:sz="6" w:space="0" w:color="auto"/>
            </w:tcBorders>
            <w:shd w:val="clear" w:color="auto" w:fill="auto"/>
            <w:noWrap/>
            <w:vAlign w:val="bottom"/>
            <w:hideMark/>
          </w:tcPr>
          <w:p w14:paraId="243C33B5"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1036" w:type="dxa"/>
            <w:tcBorders>
              <w:top w:val="nil"/>
              <w:left w:val="nil"/>
              <w:bottom w:val="double" w:sz="6" w:space="0" w:color="auto"/>
              <w:right w:val="double" w:sz="6" w:space="0" w:color="auto"/>
            </w:tcBorders>
            <w:shd w:val="clear" w:color="auto" w:fill="auto"/>
            <w:noWrap/>
            <w:vAlign w:val="bottom"/>
            <w:hideMark/>
          </w:tcPr>
          <w:p w14:paraId="34986C5D"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5681FBCF"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18,07</w:t>
            </w:r>
          </w:p>
        </w:tc>
        <w:tc>
          <w:tcPr>
            <w:tcW w:w="925" w:type="dxa"/>
            <w:tcBorders>
              <w:top w:val="nil"/>
              <w:left w:val="nil"/>
              <w:bottom w:val="double" w:sz="6" w:space="0" w:color="auto"/>
              <w:right w:val="double" w:sz="6" w:space="0" w:color="auto"/>
            </w:tcBorders>
            <w:shd w:val="clear" w:color="auto" w:fill="auto"/>
            <w:noWrap/>
            <w:vAlign w:val="bottom"/>
            <w:hideMark/>
          </w:tcPr>
          <w:p w14:paraId="53A60DBD"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2469E7D3"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7,41</w:t>
            </w:r>
          </w:p>
        </w:tc>
        <w:tc>
          <w:tcPr>
            <w:tcW w:w="925" w:type="dxa"/>
            <w:tcBorders>
              <w:top w:val="nil"/>
              <w:left w:val="nil"/>
              <w:bottom w:val="double" w:sz="6" w:space="0" w:color="auto"/>
              <w:right w:val="double" w:sz="6" w:space="0" w:color="auto"/>
            </w:tcBorders>
            <w:shd w:val="clear" w:color="auto" w:fill="auto"/>
            <w:noWrap/>
            <w:vAlign w:val="bottom"/>
            <w:hideMark/>
          </w:tcPr>
          <w:p w14:paraId="0DEF4D2B"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0,04</w:t>
            </w:r>
          </w:p>
        </w:tc>
        <w:tc>
          <w:tcPr>
            <w:tcW w:w="910" w:type="dxa"/>
            <w:tcBorders>
              <w:top w:val="nil"/>
              <w:left w:val="nil"/>
              <w:bottom w:val="double" w:sz="6" w:space="0" w:color="auto"/>
              <w:right w:val="double" w:sz="6" w:space="0" w:color="auto"/>
            </w:tcBorders>
            <w:shd w:val="clear" w:color="auto" w:fill="auto"/>
            <w:noWrap/>
            <w:vAlign w:val="bottom"/>
            <w:hideMark/>
          </w:tcPr>
          <w:p w14:paraId="307010FC"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21,13</w:t>
            </w:r>
          </w:p>
        </w:tc>
        <w:tc>
          <w:tcPr>
            <w:tcW w:w="924" w:type="dxa"/>
            <w:tcBorders>
              <w:top w:val="nil"/>
              <w:left w:val="nil"/>
              <w:bottom w:val="double" w:sz="6" w:space="0" w:color="auto"/>
              <w:right w:val="double" w:sz="6" w:space="0" w:color="auto"/>
            </w:tcBorders>
            <w:shd w:val="clear" w:color="auto" w:fill="auto"/>
            <w:noWrap/>
            <w:vAlign w:val="bottom"/>
            <w:hideMark/>
          </w:tcPr>
          <w:p w14:paraId="56486D63"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0,15</w:t>
            </w:r>
          </w:p>
        </w:tc>
        <w:tc>
          <w:tcPr>
            <w:tcW w:w="892" w:type="dxa"/>
            <w:tcBorders>
              <w:top w:val="nil"/>
              <w:left w:val="nil"/>
              <w:bottom w:val="double" w:sz="6" w:space="0" w:color="auto"/>
              <w:right w:val="double" w:sz="6" w:space="0" w:color="auto"/>
            </w:tcBorders>
            <w:shd w:val="clear" w:color="auto" w:fill="auto"/>
            <w:noWrap/>
            <w:vAlign w:val="bottom"/>
            <w:hideMark/>
          </w:tcPr>
          <w:p w14:paraId="339940A3"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23,57</w:t>
            </w:r>
          </w:p>
        </w:tc>
        <w:tc>
          <w:tcPr>
            <w:tcW w:w="925" w:type="dxa"/>
            <w:tcBorders>
              <w:top w:val="nil"/>
              <w:left w:val="nil"/>
              <w:bottom w:val="double" w:sz="6" w:space="0" w:color="auto"/>
              <w:right w:val="double" w:sz="6" w:space="0" w:color="auto"/>
            </w:tcBorders>
            <w:shd w:val="clear" w:color="auto" w:fill="auto"/>
            <w:noWrap/>
            <w:vAlign w:val="bottom"/>
            <w:hideMark/>
          </w:tcPr>
          <w:p w14:paraId="1951869B"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0,04</w:t>
            </w:r>
          </w:p>
        </w:tc>
        <w:tc>
          <w:tcPr>
            <w:tcW w:w="910" w:type="dxa"/>
            <w:tcBorders>
              <w:top w:val="nil"/>
              <w:left w:val="nil"/>
              <w:bottom w:val="double" w:sz="6" w:space="0" w:color="auto"/>
              <w:right w:val="double" w:sz="6" w:space="0" w:color="auto"/>
            </w:tcBorders>
            <w:shd w:val="clear" w:color="auto" w:fill="auto"/>
            <w:noWrap/>
            <w:vAlign w:val="bottom"/>
            <w:hideMark/>
          </w:tcPr>
          <w:p w14:paraId="67A5B688"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39,31</w:t>
            </w:r>
          </w:p>
        </w:tc>
        <w:tc>
          <w:tcPr>
            <w:tcW w:w="924" w:type="dxa"/>
            <w:tcBorders>
              <w:top w:val="nil"/>
              <w:left w:val="nil"/>
              <w:bottom w:val="double" w:sz="6" w:space="0" w:color="auto"/>
              <w:right w:val="double" w:sz="6" w:space="0" w:color="auto"/>
            </w:tcBorders>
            <w:shd w:val="clear" w:color="auto" w:fill="auto"/>
            <w:noWrap/>
            <w:vAlign w:val="bottom"/>
            <w:hideMark/>
          </w:tcPr>
          <w:p w14:paraId="5B587185"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0,05</w:t>
            </w:r>
          </w:p>
        </w:tc>
        <w:tc>
          <w:tcPr>
            <w:tcW w:w="966" w:type="dxa"/>
            <w:tcBorders>
              <w:top w:val="nil"/>
              <w:left w:val="nil"/>
              <w:bottom w:val="double" w:sz="6" w:space="0" w:color="auto"/>
              <w:right w:val="double" w:sz="6" w:space="0" w:color="auto"/>
            </w:tcBorders>
            <w:shd w:val="clear" w:color="auto" w:fill="auto"/>
            <w:noWrap/>
            <w:vAlign w:val="bottom"/>
            <w:hideMark/>
          </w:tcPr>
          <w:p w14:paraId="6B07EDA8"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139,89</w:t>
            </w:r>
          </w:p>
        </w:tc>
        <w:tc>
          <w:tcPr>
            <w:tcW w:w="924" w:type="dxa"/>
            <w:tcBorders>
              <w:top w:val="nil"/>
              <w:left w:val="nil"/>
              <w:bottom w:val="double" w:sz="6" w:space="0" w:color="auto"/>
              <w:right w:val="double" w:sz="6" w:space="0" w:color="auto"/>
            </w:tcBorders>
            <w:shd w:val="clear" w:color="auto" w:fill="auto"/>
            <w:noWrap/>
            <w:vAlign w:val="bottom"/>
            <w:hideMark/>
          </w:tcPr>
          <w:p w14:paraId="2A3526EA"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0,14</w:t>
            </w:r>
          </w:p>
        </w:tc>
      </w:tr>
      <w:tr w:rsidR="00C3264D" w14:paraId="37A4022E"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5250F78E" w14:textId="77777777" w:rsidR="00C3264D" w:rsidRDefault="001379D6">
            <w:pPr>
              <w:spacing w:after="0" w:line="240" w:lineRule="auto"/>
              <w:rPr>
                <w:rFonts w:ascii="Times New Roman" w:eastAsia="Times New Roman" w:hAnsi="Times New Roman"/>
                <w:b/>
                <w:bCs/>
                <w:color w:val="000000"/>
                <w:sz w:val="20"/>
                <w:szCs w:val="20"/>
              </w:rPr>
            </w:pPr>
            <w:r>
              <w:rPr>
                <w:rFonts w:ascii="Times New Roman" w:hAnsi="Times New Roman"/>
                <w:b/>
                <w:bCs/>
                <w:sz w:val="20"/>
                <w:szCs w:val="20"/>
              </w:rPr>
              <w:t>Гърция</w:t>
            </w:r>
          </w:p>
        </w:tc>
        <w:tc>
          <w:tcPr>
            <w:tcW w:w="1093" w:type="dxa"/>
            <w:tcBorders>
              <w:top w:val="nil"/>
              <w:left w:val="nil"/>
              <w:bottom w:val="double" w:sz="6" w:space="0" w:color="auto"/>
              <w:right w:val="double" w:sz="6" w:space="0" w:color="auto"/>
            </w:tcBorders>
            <w:shd w:val="clear" w:color="auto" w:fill="auto"/>
            <w:noWrap/>
            <w:vAlign w:val="bottom"/>
            <w:hideMark/>
          </w:tcPr>
          <w:p w14:paraId="0735EFE9"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14,84</w:t>
            </w:r>
          </w:p>
        </w:tc>
        <w:tc>
          <w:tcPr>
            <w:tcW w:w="1036" w:type="dxa"/>
            <w:tcBorders>
              <w:top w:val="nil"/>
              <w:left w:val="nil"/>
              <w:bottom w:val="double" w:sz="6" w:space="0" w:color="auto"/>
              <w:right w:val="double" w:sz="6" w:space="0" w:color="auto"/>
            </w:tcBorders>
            <w:shd w:val="clear" w:color="auto" w:fill="auto"/>
            <w:noWrap/>
            <w:vAlign w:val="bottom"/>
            <w:hideMark/>
          </w:tcPr>
          <w:p w14:paraId="3B4171A5"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58B1A307"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147,64</w:t>
            </w:r>
          </w:p>
        </w:tc>
        <w:tc>
          <w:tcPr>
            <w:tcW w:w="925" w:type="dxa"/>
            <w:tcBorders>
              <w:top w:val="nil"/>
              <w:left w:val="nil"/>
              <w:bottom w:val="double" w:sz="6" w:space="0" w:color="auto"/>
              <w:right w:val="double" w:sz="6" w:space="0" w:color="auto"/>
            </w:tcBorders>
            <w:shd w:val="clear" w:color="auto" w:fill="auto"/>
            <w:noWrap/>
            <w:vAlign w:val="bottom"/>
            <w:hideMark/>
          </w:tcPr>
          <w:p w14:paraId="31C82673"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6677DA9F"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129,97</w:t>
            </w:r>
          </w:p>
        </w:tc>
        <w:tc>
          <w:tcPr>
            <w:tcW w:w="925" w:type="dxa"/>
            <w:tcBorders>
              <w:top w:val="nil"/>
              <w:left w:val="nil"/>
              <w:bottom w:val="double" w:sz="6" w:space="0" w:color="auto"/>
              <w:right w:val="double" w:sz="6" w:space="0" w:color="auto"/>
            </w:tcBorders>
            <w:shd w:val="clear" w:color="auto" w:fill="auto"/>
            <w:noWrap/>
            <w:vAlign w:val="bottom"/>
            <w:hideMark/>
          </w:tcPr>
          <w:p w14:paraId="1F0B0597"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1,10</w:t>
            </w:r>
          </w:p>
        </w:tc>
        <w:tc>
          <w:tcPr>
            <w:tcW w:w="910" w:type="dxa"/>
            <w:tcBorders>
              <w:top w:val="nil"/>
              <w:left w:val="nil"/>
              <w:bottom w:val="double" w:sz="6" w:space="0" w:color="auto"/>
              <w:right w:val="double" w:sz="6" w:space="0" w:color="auto"/>
            </w:tcBorders>
            <w:shd w:val="clear" w:color="auto" w:fill="auto"/>
            <w:noWrap/>
            <w:vAlign w:val="bottom"/>
            <w:hideMark/>
          </w:tcPr>
          <w:p w14:paraId="04E2470E"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190,17</w:t>
            </w:r>
          </w:p>
        </w:tc>
        <w:tc>
          <w:tcPr>
            <w:tcW w:w="924" w:type="dxa"/>
            <w:tcBorders>
              <w:top w:val="nil"/>
              <w:left w:val="nil"/>
              <w:bottom w:val="double" w:sz="6" w:space="0" w:color="auto"/>
              <w:right w:val="double" w:sz="6" w:space="0" w:color="auto"/>
            </w:tcBorders>
            <w:shd w:val="clear" w:color="auto" w:fill="auto"/>
            <w:noWrap/>
            <w:vAlign w:val="bottom"/>
            <w:hideMark/>
          </w:tcPr>
          <w:p w14:paraId="77CC855A"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4,99</w:t>
            </w:r>
          </w:p>
        </w:tc>
        <w:tc>
          <w:tcPr>
            <w:tcW w:w="892" w:type="dxa"/>
            <w:tcBorders>
              <w:top w:val="nil"/>
              <w:left w:val="nil"/>
              <w:bottom w:val="double" w:sz="6" w:space="0" w:color="auto"/>
              <w:right w:val="double" w:sz="6" w:space="0" w:color="auto"/>
            </w:tcBorders>
            <w:shd w:val="clear" w:color="auto" w:fill="auto"/>
            <w:noWrap/>
            <w:vAlign w:val="bottom"/>
            <w:hideMark/>
          </w:tcPr>
          <w:p w14:paraId="7C24C068"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146,68</w:t>
            </w:r>
          </w:p>
        </w:tc>
        <w:tc>
          <w:tcPr>
            <w:tcW w:w="925" w:type="dxa"/>
            <w:tcBorders>
              <w:top w:val="nil"/>
              <w:left w:val="nil"/>
              <w:bottom w:val="double" w:sz="6" w:space="0" w:color="auto"/>
              <w:right w:val="double" w:sz="6" w:space="0" w:color="auto"/>
            </w:tcBorders>
            <w:shd w:val="clear" w:color="auto" w:fill="auto"/>
            <w:noWrap/>
            <w:vAlign w:val="bottom"/>
            <w:hideMark/>
          </w:tcPr>
          <w:p w14:paraId="28F65995"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1,37</w:t>
            </w:r>
          </w:p>
        </w:tc>
        <w:tc>
          <w:tcPr>
            <w:tcW w:w="910" w:type="dxa"/>
            <w:tcBorders>
              <w:top w:val="nil"/>
              <w:left w:val="nil"/>
              <w:bottom w:val="double" w:sz="6" w:space="0" w:color="auto"/>
              <w:right w:val="double" w:sz="6" w:space="0" w:color="auto"/>
            </w:tcBorders>
            <w:shd w:val="clear" w:color="auto" w:fill="auto"/>
            <w:noWrap/>
            <w:vAlign w:val="bottom"/>
            <w:hideMark/>
          </w:tcPr>
          <w:p w14:paraId="0DD77017"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196,57</w:t>
            </w:r>
          </w:p>
        </w:tc>
        <w:tc>
          <w:tcPr>
            <w:tcW w:w="924" w:type="dxa"/>
            <w:tcBorders>
              <w:top w:val="nil"/>
              <w:left w:val="nil"/>
              <w:bottom w:val="double" w:sz="6" w:space="0" w:color="auto"/>
              <w:right w:val="double" w:sz="6" w:space="0" w:color="auto"/>
            </w:tcBorders>
            <w:shd w:val="clear" w:color="auto" w:fill="auto"/>
            <w:noWrap/>
            <w:vAlign w:val="bottom"/>
            <w:hideMark/>
          </w:tcPr>
          <w:p w14:paraId="1CF3D65C"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1,46</w:t>
            </w:r>
          </w:p>
        </w:tc>
        <w:tc>
          <w:tcPr>
            <w:tcW w:w="966" w:type="dxa"/>
            <w:tcBorders>
              <w:top w:val="nil"/>
              <w:left w:val="nil"/>
              <w:bottom w:val="double" w:sz="6" w:space="0" w:color="auto"/>
              <w:right w:val="double" w:sz="6" w:space="0" w:color="auto"/>
            </w:tcBorders>
            <w:shd w:val="clear" w:color="auto" w:fill="auto"/>
            <w:noWrap/>
            <w:vAlign w:val="bottom"/>
            <w:hideMark/>
          </w:tcPr>
          <w:p w14:paraId="51733D25"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518,96</w:t>
            </w:r>
          </w:p>
        </w:tc>
        <w:tc>
          <w:tcPr>
            <w:tcW w:w="924" w:type="dxa"/>
            <w:tcBorders>
              <w:top w:val="nil"/>
              <w:left w:val="nil"/>
              <w:bottom w:val="double" w:sz="6" w:space="0" w:color="auto"/>
              <w:right w:val="double" w:sz="6" w:space="0" w:color="auto"/>
            </w:tcBorders>
            <w:shd w:val="clear" w:color="auto" w:fill="auto"/>
            <w:noWrap/>
            <w:vAlign w:val="bottom"/>
            <w:hideMark/>
          </w:tcPr>
          <w:p w14:paraId="4CFD9759"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4,57</w:t>
            </w:r>
          </w:p>
        </w:tc>
      </w:tr>
      <w:tr w:rsidR="00C3264D" w14:paraId="6B1D40A9"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29F4782D" w14:textId="77777777" w:rsidR="00C3264D" w:rsidRDefault="001379D6">
            <w:pPr>
              <w:spacing w:after="0" w:line="240" w:lineRule="auto"/>
              <w:rPr>
                <w:rFonts w:ascii="Times New Roman" w:eastAsia="Times New Roman" w:hAnsi="Times New Roman"/>
                <w:b/>
                <w:bCs/>
                <w:color w:val="000000"/>
                <w:sz w:val="20"/>
                <w:szCs w:val="20"/>
              </w:rPr>
            </w:pPr>
            <w:r>
              <w:rPr>
                <w:rFonts w:ascii="Times New Roman" w:hAnsi="Times New Roman"/>
                <w:b/>
                <w:bCs/>
                <w:sz w:val="20"/>
                <w:szCs w:val="20"/>
              </w:rPr>
              <w:t>Испания</w:t>
            </w:r>
          </w:p>
        </w:tc>
        <w:tc>
          <w:tcPr>
            <w:tcW w:w="1093" w:type="dxa"/>
            <w:tcBorders>
              <w:top w:val="nil"/>
              <w:left w:val="nil"/>
              <w:bottom w:val="double" w:sz="6" w:space="0" w:color="auto"/>
              <w:right w:val="double" w:sz="6" w:space="0" w:color="auto"/>
            </w:tcBorders>
            <w:shd w:val="clear" w:color="auto" w:fill="auto"/>
            <w:noWrap/>
            <w:vAlign w:val="bottom"/>
            <w:hideMark/>
          </w:tcPr>
          <w:p w14:paraId="22B32B8B"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68,53</w:t>
            </w:r>
          </w:p>
        </w:tc>
        <w:tc>
          <w:tcPr>
            <w:tcW w:w="1036" w:type="dxa"/>
            <w:tcBorders>
              <w:top w:val="nil"/>
              <w:left w:val="nil"/>
              <w:bottom w:val="double" w:sz="6" w:space="0" w:color="auto"/>
              <w:right w:val="double" w:sz="6" w:space="0" w:color="auto"/>
            </w:tcBorders>
            <w:shd w:val="clear" w:color="auto" w:fill="auto"/>
            <w:noWrap/>
            <w:vAlign w:val="bottom"/>
            <w:hideMark/>
          </w:tcPr>
          <w:p w14:paraId="4E9A3B21"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0DDB2D58"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346,11</w:t>
            </w:r>
          </w:p>
        </w:tc>
        <w:tc>
          <w:tcPr>
            <w:tcW w:w="925" w:type="dxa"/>
            <w:tcBorders>
              <w:top w:val="nil"/>
              <w:left w:val="nil"/>
              <w:bottom w:val="double" w:sz="6" w:space="0" w:color="auto"/>
              <w:right w:val="double" w:sz="6" w:space="0" w:color="auto"/>
            </w:tcBorders>
            <w:shd w:val="clear" w:color="auto" w:fill="auto"/>
            <w:noWrap/>
            <w:vAlign w:val="bottom"/>
            <w:hideMark/>
          </w:tcPr>
          <w:p w14:paraId="2C673FF8"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100DCD03"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323,53</w:t>
            </w:r>
          </w:p>
        </w:tc>
        <w:tc>
          <w:tcPr>
            <w:tcW w:w="925" w:type="dxa"/>
            <w:tcBorders>
              <w:top w:val="nil"/>
              <w:left w:val="nil"/>
              <w:bottom w:val="double" w:sz="6" w:space="0" w:color="auto"/>
              <w:right w:val="double" w:sz="6" w:space="0" w:color="auto"/>
            </w:tcBorders>
            <w:shd w:val="clear" w:color="auto" w:fill="auto"/>
            <w:noWrap/>
            <w:vAlign w:val="bottom"/>
            <w:hideMark/>
          </w:tcPr>
          <w:p w14:paraId="7C7E9D3D"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6,56</w:t>
            </w:r>
          </w:p>
        </w:tc>
        <w:tc>
          <w:tcPr>
            <w:tcW w:w="910" w:type="dxa"/>
            <w:tcBorders>
              <w:top w:val="nil"/>
              <w:left w:val="nil"/>
              <w:bottom w:val="double" w:sz="6" w:space="0" w:color="auto"/>
              <w:right w:val="double" w:sz="6" w:space="0" w:color="auto"/>
            </w:tcBorders>
            <w:shd w:val="clear" w:color="auto" w:fill="auto"/>
            <w:noWrap/>
            <w:vAlign w:val="bottom"/>
            <w:hideMark/>
          </w:tcPr>
          <w:p w14:paraId="2063335C"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473,20</w:t>
            </w:r>
          </w:p>
        </w:tc>
        <w:tc>
          <w:tcPr>
            <w:tcW w:w="924" w:type="dxa"/>
            <w:tcBorders>
              <w:top w:val="nil"/>
              <w:left w:val="nil"/>
              <w:bottom w:val="double" w:sz="6" w:space="0" w:color="auto"/>
              <w:right w:val="double" w:sz="6" w:space="0" w:color="auto"/>
            </w:tcBorders>
            <w:shd w:val="clear" w:color="auto" w:fill="auto"/>
            <w:noWrap/>
            <w:vAlign w:val="bottom"/>
            <w:hideMark/>
          </w:tcPr>
          <w:p w14:paraId="18B61030"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16,32</w:t>
            </w:r>
          </w:p>
        </w:tc>
        <w:tc>
          <w:tcPr>
            <w:tcW w:w="892" w:type="dxa"/>
            <w:tcBorders>
              <w:top w:val="nil"/>
              <w:left w:val="nil"/>
              <w:bottom w:val="double" w:sz="6" w:space="0" w:color="auto"/>
              <w:right w:val="double" w:sz="6" w:space="0" w:color="auto"/>
            </w:tcBorders>
            <w:shd w:val="clear" w:color="auto" w:fill="auto"/>
            <w:noWrap/>
            <w:vAlign w:val="bottom"/>
            <w:hideMark/>
          </w:tcPr>
          <w:p w14:paraId="1B97CB05"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364,97</w:t>
            </w:r>
          </w:p>
        </w:tc>
        <w:tc>
          <w:tcPr>
            <w:tcW w:w="925" w:type="dxa"/>
            <w:tcBorders>
              <w:top w:val="nil"/>
              <w:left w:val="nil"/>
              <w:bottom w:val="double" w:sz="6" w:space="0" w:color="auto"/>
              <w:right w:val="double" w:sz="6" w:space="0" w:color="auto"/>
            </w:tcBorders>
            <w:shd w:val="clear" w:color="auto" w:fill="auto"/>
            <w:noWrap/>
            <w:vAlign w:val="bottom"/>
            <w:hideMark/>
          </w:tcPr>
          <w:p w14:paraId="29544088"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4,48</w:t>
            </w:r>
          </w:p>
        </w:tc>
        <w:tc>
          <w:tcPr>
            <w:tcW w:w="910" w:type="dxa"/>
            <w:tcBorders>
              <w:top w:val="nil"/>
              <w:left w:val="nil"/>
              <w:bottom w:val="double" w:sz="6" w:space="0" w:color="auto"/>
              <w:right w:val="double" w:sz="6" w:space="0" w:color="auto"/>
            </w:tcBorders>
            <w:shd w:val="clear" w:color="auto" w:fill="auto"/>
            <w:noWrap/>
            <w:vAlign w:val="bottom"/>
            <w:hideMark/>
          </w:tcPr>
          <w:p w14:paraId="203C6059"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488,78</w:t>
            </w:r>
          </w:p>
        </w:tc>
        <w:tc>
          <w:tcPr>
            <w:tcW w:w="924" w:type="dxa"/>
            <w:tcBorders>
              <w:top w:val="nil"/>
              <w:left w:val="nil"/>
              <w:bottom w:val="double" w:sz="6" w:space="0" w:color="auto"/>
              <w:right w:val="double" w:sz="6" w:space="0" w:color="auto"/>
            </w:tcBorders>
            <w:shd w:val="clear" w:color="auto" w:fill="auto"/>
            <w:noWrap/>
            <w:vAlign w:val="bottom"/>
            <w:hideMark/>
          </w:tcPr>
          <w:p w14:paraId="4748FFFD"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4,77</w:t>
            </w:r>
          </w:p>
        </w:tc>
        <w:tc>
          <w:tcPr>
            <w:tcW w:w="966" w:type="dxa"/>
            <w:tcBorders>
              <w:top w:val="nil"/>
              <w:left w:val="nil"/>
              <w:bottom w:val="double" w:sz="6" w:space="0" w:color="auto"/>
              <w:right w:val="double" w:sz="6" w:space="0" w:color="auto"/>
            </w:tcBorders>
            <w:shd w:val="clear" w:color="auto" w:fill="auto"/>
            <w:noWrap/>
            <w:vAlign w:val="bottom"/>
            <w:hideMark/>
          </w:tcPr>
          <w:p w14:paraId="56915597"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1 291,07</w:t>
            </w:r>
          </w:p>
        </w:tc>
        <w:tc>
          <w:tcPr>
            <w:tcW w:w="924" w:type="dxa"/>
            <w:tcBorders>
              <w:top w:val="nil"/>
              <w:left w:val="nil"/>
              <w:bottom w:val="double" w:sz="6" w:space="0" w:color="auto"/>
              <w:right w:val="double" w:sz="6" w:space="0" w:color="auto"/>
            </w:tcBorders>
            <w:shd w:val="clear" w:color="auto" w:fill="auto"/>
            <w:noWrap/>
            <w:vAlign w:val="bottom"/>
            <w:hideMark/>
          </w:tcPr>
          <w:p w14:paraId="208D630A"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14,97</w:t>
            </w:r>
          </w:p>
        </w:tc>
      </w:tr>
      <w:tr w:rsidR="00C3264D" w14:paraId="6500FF33"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5C467EEA" w14:textId="77777777" w:rsidR="00C3264D" w:rsidRDefault="001379D6">
            <w:pPr>
              <w:spacing w:after="0" w:line="240" w:lineRule="auto"/>
              <w:rPr>
                <w:rFonts w:ascii="Times New Roman" w:eastAsia="Times New Roman" w:hAnsi="Times New Roman"/>
                <w:b/>
                <w:bCs/>
                <w:color w:val="000000"/>
                <w:sz w:val="20"/>
                <w:szCs w:val="20"/>
              </w:rPr>
            </w:pPr>
            <w:r>
              <w:rPr>
                <w:rFonts w:ascii="Times New Roman" w:hAnsi="Times New Roman"/>
                <w:b/>
                <w:bCs/>
                <w:sz w:val="20"/>
                <w:szCs w:val="20"/>
              </w:rPr>
              <w:t>Финландия</w:t>
            </w:r>
          </w:p>
        </w:tc>
        <w:tc>
          <w:tcPr>
            <w:tcW w:w="1093" w:type="dxa"/>
            <w:tcBorders>
              <w:top w:val="nil"/>
              <w:left w:val="nil"/>
              <w:bottom w:val="double" w:sz="6" w:space="0" w:color="auto"/>
              <w:right w:val="double" w:sz="6" w:space="0" w:color="auto"/>
            </w:tcBorders>
            <w:shd w:val="clear" w:color="auto" w:fill="auto"/>
            <w:noWrap/>
            <w:vAlign w:val="bottom"/>
            <w:hideMark/>
          </w:tcPr>
          <w:p w14:paraId="177FCA07"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13,28</w:t>
            </w:r>
          </w:p>
        </w:tc>
        <w:tc>
          <w:tcPr>
            <w:tcW w:w="1036" w:type="dxa"/>
            <w:tcBorders>
              <w:top w:val="nil"/>
              <w:left w:val="nil"/>
              <w:bottom w:val="double" w:sz="6" w:space="0" w:color="auto"/>
              <w:right w:val="double" w:sz="6" w:space="0" w:color="auto"/>
            </w:tcBorders>
            <w:shd w:val="clear" w:color="auto" w:fill="auto"/>
            <w:noWrap/>
            <w:vAlign w:val="bottom"/>
            <w:hideMark/>
          </w:tcPr>
          <w:p w14:paraId="1C761B0E"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79F89783"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66,97</w:t>
            </w:r>
          </w:p>
        </w:tc>
        <w:tc>
          <w:tcPr>
            <w:tcW w:w="925" w:type="dxa"/>
            <w:tcBorders>
              <w:top w:val="nil"/>
              <w:left w:val="nil"/>
              <w:bottom w:val="double" w:sz="6" w:space="0" w:color="auto"/>
              <w:right w:val="double" w:sz="6" w:space="0" w:color="auto"/>
            </w:tcBorders>
            <w:shd w:val="clear" w:color="auto" w:fill="auto"/>
            <w:noWrap/>
            <w:vAlign w:val="bottom"/>
            <w:hideMark/>
          </w:tcPr>
          <w:p w14:paraId="50D97BF8"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4275AAD7"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62,68</w:t>
            </w:r>
          </w:p>
        </w:tc>
        <w:tc>
          <w:tcPr>
            <w:tcW w:w="925" w:type="dxa"/>
            <w:tcBorders>
              <w:top w:val="nil"/>
              <w:left w:val="nil"/>
              <w:bottom w:val="double" w:sz="6" w:space="0" w:color="auto"/>
              <w:right w:val="double" w:sz="6" w:space="0" w:color="auto"/>
            </w:tcBorders>
            <w:shd w:val="clear" w:color="auto" w:fill="auto"/>
            <w:noWrap/>
            <w:vAlign w:val="bottom"/>
            <w:hideMark/>
          </w:tcPr>
          <w:p w14:paraId="3727DA77"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0,81</w:t>
            </w:r>
          </w:p>
        </w:tc>
        <w:tc>
          <w:tcPr>
            <w:tcW w:w="910" w:type="dxa"/>
            <w:tcBorders>
              <w:top w:val="nil"/>
              <w:left w:val="nil"/>
              <w:bottom w:val="double" w:sz="6" w:space="0" w:color="auto"/>
              <w:right w:val="double" w:sz="6" w:space="0" w:color="auto"/>
            </w:tcBorders>
            <w:shd w:val="clear" w:color="auto" w:fill="auto"/>
            <w:noWrap/>
            <w:vAlign w:val="bottom"/>
            <w:hideMark/>
          </w:tcPr>
          <w:p w14:paraId="0EF4D156"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91,64</w:t>
            </w:r>
          </w:p>
        </w:tc>
        <w:tc>
          <w:tcPr>
            <w:tcW w:w="924" w:type="dxa"/>
            <w:tcBorders>
              <w:top w:val="nil"/>
              <w:left w:val="nil"/>
              <w:bottom w:val="double" w:sz="6" w:space="0" w:color="auto"/>
              <w:right w:val="double" w:sz="6" w:space="0" w:color="auto"/>
            </w:tcBorders>
            <w:shd w:val="clear" w:color="auto" w:fill="auto"/>
            <w:noWrap/>
            <w:vAlign w:val="bottom"/>
            <w:hideMark/>
          </w:tcPr>
          <w:p w14:paraId="610F9C5E"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2,13</w:t>
            </w:r>
          </w:p>
        </w:tc>
        <w:tc>
          <w:tcPr>
            <w:tcW w:w="892" w:type="dxa"/>
            <w:tcBorders>
              <w:top w:val="nil"/>
              <w:left w:val="nil"/>
              <w:bottom w:val="double" w:sz="6" w:space="0" w:color="auto"/>
              <w:right w:val="double" w:sz="6" w:space="0" w:color="auto"/>
            </w:tcBorders>
            <w:shd w:val="clear" w:color="auto" w:fill="auto"/>
            <w:noWrap/>
            <w:vAlign w:val="bottom"/>
            <w:hideMark/>
          </w:tcPr>
          <w:p w14:paraId="2EEEB0F8"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70,63</w:t>
            </w:r>
          </w:p>
        </w:tc>
        <w:tc>
          <w:tcPr>
            <w:tcW w:w="925" w:type="dxa"/>
            <w:tcBorders>
              <w:top w:val="nil"/>
              <w:left w:val="nil"/>
              <w:bottom w:val="double" w:sz="6" w:space="0" w:color="auto"/>
              <w:right w:val="double" w:sz="6" w:space="0" w:color="auto"/>
            </w:tcBorders>
            <w:shd w:val="clear" w:color="auto" w:fill="auto"/>
            <w:noWrap/>
            <w:vAlign w:val="bottom"/>
            <w:hideMark/>
          </w:tcPr>
          <w:p w14:paraId="1607E660"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0,58</w:t>
            </w:r>
          </w:p>
        </w:tc>
        <w:tc>
          <w:tcPr>
            <w:tcW w:w="910" w:type="dxa"/>
            <w:tcBorders>
              <w:top w:val="nil"/>
              <w:left w:val="nil"/>
              <w:bottom w:val="double" w:sz="6" w:space="0" w:color="auto"/>
              <w:right w:val="double" w:sz="6" w:space="0" w:color="auto"/>
            </w:tcBorders>
            <w:shd w:val="clear" w:color="auto" w:fill="auto"/>
            <w:noWrap/>
            <w:vAlign w:val="bottom"/>
            <w:hideMark/>
          </w:tcPr>
          <w:p w14:paraId="481DA0E7"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94,64</w:t>
            </w:r>
          </w:p>
        </w:tc>
        <w:tc>
          <w:tcPr>
            <w:tcW w:w="924" w:type="dxa"/>
            <w:tcBorders>
              <w:top w:val="nil"/>
              <w:left w:val="nil"/>
              <w:bottom w:val="double" w:sz="6" w:space="0" w:color="auto"/>
              <w:right w:val="double" w:sz="6" w:space="0" w:color="auto"/>
            </w:tcBorders>
            <w:shd w:val="clear" w:color="auto" w:fill="auto"/>
            <w:noWrap/>
            <w:vAlign w:val="bottom"/>
            <w:hideMark/>
          </w:tcPr>
          <w:p w14:paraId="33B2A851"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0,62</w:t>
            </w:r>
          </w:p>
        </w:tc>
        <w:tc>
          <w:tcPr>
            <w:tcW w:w="966" w:type="dxa"/>
            <w:tcBorders>
              <w:top w:val="nil"/>
              <w:left w:val="nil"/>
              <w:bottom w:val="double" w:sz="6" w:space="0" w:color="auto"/>
              <w:right w:val="double" w:sz="6" w:space="0" w:color="auto"/>
            </w:tcBorders>
            <w:shd w:val="clear" w:color="auto" w:fill="auto"/>
            <w:noWrap/>
            <w:vAlign w:val="bottom"/>
            <w:hideMark/>
          </w:tcPr>
          <w:p w14:paraId="67F00291"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249,84</w:t>
            </w:r>
          </w:p>
        </w:tc>
        <w:tc>
          <w:tcPr>
            <w:tcW w:w="924" w:type="dxa"/>
            <w:tcBorders>
              <w:top w:val="nil"/>
              <w:left w:val="nil"/>
              <w:bottom w:val="double" w:sz="6" w:space="0" w:color="auto"/>
              <w:right w:val="double" w:sz="6" w:space="0" w:color="auto"/>
            </w:tcBorders>
            <w:shd w:val="clear" w:color="auto" w:fill="auto"/>
            <w:noWrap/>
            <w:vAlign w:val="bottom"/>
            <w:hideMark/>
          </w:tcPr>
          <w:p w14:paraId="7D9F5807"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1,96</w:t>
            </w:r>
          </w:p>
        </w:tc>
      </w:tr>
      <w:tr w:rsidR="00C3264D" w14:paraId="59C1EB8E"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724B2EB3" w14:textId="77777777" w:rsidR="00C3264D" w:rsidRDefault="001379D6">
            <w:pPr>
              <w:spacing w:after="0" w:line="240" w:lineRule="auto"/>
              <w:rPr>
                <w:rFonts w:ascii="Times New Roman" w:eastAsia="Times New Roman" w:hAnsi="Times New Roman"/>
                <w:b/>
                <w:bCs/>
                <w:color w:val="000000"/>
                <w:sz w:val="20"/>
                <w:szCs w:val="20"/>
              </w:rPr>
            </w:pPr>
            <w:r>
              <w:rPr>
                <w:rFonts w:ascii="Times New Roman" w:hAnsi="Times New Roman"/>
                <w:b/>
                <w:bCs/>
                <w:sz w:val="20"/>
                <w:szCs w:val="20"/>
              </w:rPr>
              <w:t>Франция</w:t>
            </w:r>
          </w:p>
        </w:tc>
        <w:tc>
          <w:tcPr>
            <w:tcW w:w="1093" w:type="dxa"/>
            <w:tcBorders>
              <w:top w:val="nil"/>
              <w:left w:val="nil"/>
              <w:bottom w:val="double" w:sz="6" w:space="0" w:color="auto"/>
              <w:right w:val="double" w:sz="6" w:space="0" w:color="auto"/>
            </w:tcBorders>
            <w:shd w:val="clear" w:color="auto" w:fill="auto"/>
            <w:noWrap/>
            <w:vAlign w:val="bottom"/>
            <w:hideMark/>
          </w:tcPr>
          <w:p w14:paraId="494B8DCD"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43,46</w:t>
            </w:r>
          </w:p>
        </w:tc>
        <w:tc>
          <w:tcPr>
            <w:tcW w:w="1036" w:type="dxa"/>
            <w:tcBorders>
              <w:top w:val="nil"/>
              <w:left w:val="nil"/>
              <w:bottom w:val="double" w:sz="6" w:space="0" w:color="auto"/>
              <w:right w:val="double" w:sz="6" w:space="0" w:color="auto"/>
            </w:tcBorders>
            <w:shd w:val="clear" w:color="auto" w:fill="auto"/>
            <w:noWrap/>
            <w:vAlign w:val="bottom"/>
            <w:hideMark/>
          </w:tcPr>
          <w:p w14:paraId="728BC637"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77401687"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219,25</w:t>
            </w:r>
          </w:p>
        </w:tc>
        <w:tc>
          <w:tcPr>
            <w:tcW w:w="925" w:type="dxa"/>
            <w:tcBorders>
              <w:top w:val="nil"/>
              <w:left w:val="nil"/>
              <w:bottom w:val="double" w:sz="6" w:space="0" w:color="auto"/>
              <w:right w:val="double" w:sz="6" w:space="0" w:color="auto"/>
            </w:tcBorders>
            <w:shd w:val="clear" w:color="auto" w:fill="auto"/>
            <w:noWrap/>
            <w:vAlign w:val="bottom"/>
            <w:hideMark/>
          </w:tcPr>
          <w:p w14:paraId="70AD1E45"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3C6F2631"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205,29</w:t>
            </w:r>
          </w:p>
        </w:tc>
        <w:tc>
          <w:tcPr>
            <w:tcW w:w="925" w:type="dxa"/>
            <w:tcBorders>
              <w:top w:val="nil"/>
              <w:left w:val="nil"/>
              <w:bottom w:val="double" w:sz="6" w:space="0" w:color="auto"/>
              <w:right w:val="double" w:sz="6" w:space="0" w:color="auto"/>
            </w:tcBorders>
            <w:shd w:val="clear" w:color="auto" w:fill="auto"/>
            <w:noWrap/>
            <w:vAlign w:val="bottom"/>
            <w:hideMark/>
          </w:tcPr>
          <w:p w14:paraId="0F18F9A6"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10,05</w:t>
            </w:r>
          </w:p>
        </w:tc>
        <w:tc>
          <w:tcPr>
            <w:tcW w:w="910" w:type="dxa"/>
            <w:tcBorders>
              <w:top w:val="nil"/>
              <w:left w:val="nil"/>
              <w:bottom w:val="double" w:sz="6" w:space="0" w:color="auto"/>
              <w:right w:val="double" w:sz="6" w:space="0" w:color="auto"/>
            </w:tcBorders>
            <w:shd w:val="clear" w:color="auto" w:fill="auto"/>
            <w:noWrap/>
            <w:vAlign w:val="bottom"/>
            <w:hideMark/>
          </w:tcPr>
          <w:p w14:paraId="4C2E1298"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299,94</w:t>
            </w:r>
          </w:p>
        </w:tc>
        <w:tc>
          <w:tcPr>
            <w:tcW w:w="924" w:type="dxa"/>
            <w:tcBorders>
              <w:top w:val="nil"/>
              <w:left w:val="nil"/>
              <w:bottom w:val="double" w:sz="6" w:space="0" w:color="auto"/>
              <w:right w:val="double" w:sz="6" w:space="0" w:color="auto"/>
            </w:tcBorders>
            <w:shd w:val="clear" w:color="auto" w:fill="auto"/>
            <w:noWrap/>
            <w:vAlign w:val="bottom"/>
            <w:hideMark/>
          </w:tcPr>
          <w:p w14:paraId="1E8C4164"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12,18</w:t>
            </w:r>
          </w:p>
        </w:tc>
        <w:tc>
          <w:tcPr>
            <w:tcW w:w="892" w:type="dxa"/>
            <w:tcBorders>
              <w:top w:val="nil"/>
              <w:left w:val="nil"/>
              <w:bottom w:val="double" w:sz="6" w:space="0" w:color="auto"/>
              <w:right w:val="double" w:sz="6" w:space="0" w:color="auto"/>
            </w:tcBorders>
            <w:shd w:val="clear" w:color="auto" w:fill="auto"/>
            <w:noWrap/>
            <w:vAlign w:val="bottom"/>
            <w:hideMark/>
          </w:tcPr>
          <w:p w14:paraId="05B54996"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231,34</w:t>
            </w:r>
          </w:p>
        </w:tc>
        <w:tc>
          <w:tcPr>
            <w:tcW w:w="925" w:type="dxa"/>
            <w:tcBorders>
              <w:top w:val="nil"/>
              <w:left w:val="nil"/>
              <w:bottom w:val="double" w:sz="6" w:space="0" w:color="auto"/>
              <w:right w:val="double" w:sz="6" w:space="0" w:color="auto"/>
            </w:tcBorders>
            <w:shd w:val="clear" w:color="auto" w:fill="auto"/>
            <w:noWrap/>
            <w:vAlign w:val="bottom"/>
            <w:hideMark/>
          </w:tcPr>
          <w:p w14:paraId="16D4B212"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3,35</w:t>
            </w:r>
          </w:p>
        </w:tc>
        <w:tc>
          <w:tcPr>
            <w:tcW w:w="910" w:type="dxa"/>
            <w:tcBorders>
              <w:top w:val="nil"/>
              <w:left w:val="nil"/>
              <w:bottom w:val="double" w:sz="6" w:space="0" w:color="auto"/>
              <w:right w:val="double" w:sz="6" w:space="0" w:color="auto"/>
            </w:tcBorders>
            <w:shd w:val="clear" w:color="auto" w:fill="auto"/>
            <w:noWrap/>
            <w:vAlign w:val="bottom"/>
            <w:hideMark/>
          </w:tcPr>
          <w:p w14:paraId="78C02750"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309,85</w:t>
            </w:r>
          </w:p>
        </w:tc>
        <w:tc>
          <w:tcPr>
            <w:tcW w:w="924" w:type="dxa"/>
            <w:tcBorders>
              <w:top w:val="nil"/>
              <w:left w:val="nil"/>
              <w:bottom w:val="double" w:sz="6" w:space="0" w:color="auto"/>
              <w:right w:val="double" w:sz="6" w:space="0" w:color="auto"/>
            </w:tcBorders>
            <w:shd w:val="clear" w:color="auto" w:fill="auto"/>
            <w:noWrap/>
            <w:vAlign w:val="bottom"/>
            <w:hideMark/>
          </w:tcPr>
          <w:p w14:paraId="7EB132E7"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3,55</w:t>
            </w:r>
          </w:p>
        </w:tc>
        <w:tc>
          <w:tcPr>
            <w:tcW w:w="966" w:type="dxa"/>
            <w:tcBorders>
              <w:top w:val="nil"/>
              <w:left w:val="nil"/>
              <w:bottom w:val="double" w:sz="6" w:space="0" w:color="auto"/>
              <w:right w:val="double" w:sz="6" w:space="0" w:color="auto"/>
            </w:tcBorders>
            <w:shd w:val="clear" w:color="auto" w:fill="auto"/>
            <w:noWrap/>
            <w:vAlign w:val="bottom"/>
            <w:hideMark/>
          </w:tcPr>
          <w:p w14:paraId="6EFAB815"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818,40</w:t>
            </w:r>
          </w:p>
        </w:tc>
        <w:tc>
          <w:tcPr>
            <w:tcW w:w="924" w:type="dxa"/>
            <w:tcBorders>
              <w:top w:val="nil"/>
              <w:left w:val="nil"/>
              <w:bottom w:val="double" w:sz="6" w:space="0" w:color="auto"/>
              <w:right w:val="double" w:sz="6" w:space="0" w:color="auto"/>
            </w:tcBorders>
            <w:shd w:val="clear" w:color="auto" w:fill="auto"/>
            <w:noWrap/>
            <w:vAlign w:val="bottom"/>
            <w:hideMark/>
          </w:tcPr>
          <w:p w14:paraId="2374FAB0"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11,16</w:t>
            </w:r>
          </w:p>
        </w:tc>
      </w:tr>
      <w:tr w:rsidR="00C3264D" w14:paraId="3E711CCB"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7F769A92" w14:textId="77777777" w:rsidR="00C3264D" w:rsidRDefault="001379D6">
            <w:pPr>
              <w:spacing w:after="0" w:line="240" w:lineRule="auto"/>
              <w:rPr>
                <w:rFonts w:ascii="Times New Roman" w:eastAsia="Times New Roman" w:hAnsi="Times New Roman"/>
                <w:b/>
                <w:bCs/>
                <w:color w:val="000000"/>
                <w:sz w:val="20"/>
                <w:szCs w:val="20"/>
              </w:rPr>
            </w:pPr>
            <w:r>
              <w:rPr>
                <w:rFonts w:ascii="Times New Roman" w:hAnsi="Times New Roman"/>
                <w:b/>
                <w:bCs/>
                <w:sz w:val="20"/>
                <w:szCs w:val="20"/>
              </w:rPr>
              <w:t>Унгария</w:t>
            </w:r>
          </w:p>
        </w:tc>
        <w:tc>
          <w:tcPr>
            <w:tcW w:w="1093" w:type="dxa"/>
            <w:tcBorders>
              <w:top w:val="nil"/>
              <w:left w:val="nil"/>
              <w:bottom w:val="double" w:sz="6" w:space="0" w:color="auto"/>
              <w:right w:val="double" w:sz="6" w:space="0" w:color="auto"/>
            </w:tcBorders>
            <w:shd w:val="clear" w:color="auto" w:fill="auto"/>
            <w:noWrap/>
            <w:vAlign w:val="bottom"/>
            <w:hideMark/>
          </w:tcPr>
          <w:p w14:paraId="0414DA24"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3,99</w:t>
            </w:r>
          </w:p>
        </w:tc>
        <w:tc>
          <w:tcPr>
            <w:tcW w:w="1036" w:type="dxa"/>
            <w:tcBorders>
              <w:top w:val="nil"/>
              <w:left w:val="nil"/>
              <w:bottom w:val="double" w:sz="6" w:space="0" w:color="auto"/>
              <w:right w:val="double" w:sz="6" w:space="0" w:color="auto"/>
            </w:tcBorders>
            <w:shd w:val="clear" w:color="auto" w:fill="auto"/>
            <w:noWrap/>
            <w:vAlign w:val="bottom"/>
            <w:hideMark/>
          </w:tcPr>
          <w:p w14:paraId="2F013760"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5CB61C5D"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34,59</w:t>
            </w:r>
          </w:p>
        </w:tc>
        <w:tc>
          <w:tcPr>
            <w:tcW w:w="925" w:type="dxa"/>
            <w:tcBorders>
              <w:top w:val="nil"/>
              <w:left w:val="nil"/>
              <w:bottom w:val="double" w:sz="6" w:space="0" w:color="auto"/>
              <w:right w:val="double" w:sz="6" w:space="0" w:color="auto"/>
            </w:tcBorders>
            <w:shd w:val="clear" w:color="auto" w:fill="auto"/>
            <w:noWrap/>
            <w:vAlign w:val="bottom"/>
            <w:hideMark/>
          </w:tcPr>
          <w:p w14:paraId="516B085B"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122C6C78"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56,21</w:t>
            </w:r>
          </w:p>
        </w:tc>
        <w:tc>
          <w:tcPr>
            <w:tcW w:w="925" w:type="dxa"/>
            <w:tcBorders>
              <w:top w:val="nil"/>
              <w:left w:val="nil"/>
              <w:bottom w:val="double" w:sz="6" w:space="0" w:color="auto"/>
              <w:right w:val="double" w:sz="6" w:space="0" w:color="auto"/>
            </w:tcBorders>
            <w:shd w:val="clear" w:color="auto" w:fill="auto"/>
            <w:noWrap/>
            <w:vAlign w:val="bottom"/>
            <w:hideMark/>
          </w:tcPr>
          <w:p w14:paraId="4D49F02A"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0,29</w:t>
            </w:r>
          </w:p>
        </w:tc>
        <w:tc>
          <w:tcPr>
            <w:tcW w:w="910" w:type="dxa"/>
            <w:tcBorders>
              <w:top w:val="nil"/>
              <w:left w:val="nil"/>
              <w:bottom w:val="double" w:sz="6" w:space="0" w:color="auto"/>
              <w:right w:val="double" w:sz="6" w:space="0" w:color="auto"/>
            </w:tcBorders>
            <w:shd w:val="clear" w:color="auto" w:fill="auto"/>
            <w:noWrap/>
            <w:vAlign w:val="bottom"/>
            <w:hideMark/>
          </w:tcPr>
          <w:p w14:paraId="288F5A6B"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82,28</w:t>
            </w:r>
          </w:p>
        </w:tc>
        <w:tc>
          <w:tcPr>
            <w:tcW w:w="924" w:type="dxa"/>
            <w:tcBorders>
              <w:top w:val="nil"/>
              <w:left w:val="nil"/>
              <w:bottom w:val="double" w:sz="6" w:space="0" w:color="auto"/>
              <w:right w:val="double" w:sz="6" w:space="0" w:color="auto"/>
            </w:tcBorders>
            <w:shd w:val="clear" w:color="auto" w:fill="auto"/>
            <w:noWrap/>
            <w:vAlign w:val="bottom"/>
            <w:hideMark/>
          </w:tcPr>
          <w:p w14:paraId="1E8C8893"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0,99</w:t>
            </w:r>
          </w:p>
        </w:tc>
        <w:tc>
          <w:tcPr>
            <w:tcW w:w="892" w:type="dxa"/>
            <w:tcBorders>
              <w:top w:val="nil"/>
              <w:left w:val="nil"/>
              <w:bottom w:val="double" w:sz="6" w:space="0" w:color="auto"/>
              <w:right w:val="double" w:sz="6" w:space="0" w:color="auto"/>
            </w:tcBorders>
            <w:shd w:val="clear" w:color="auto" w:fill="auto"/>
            <w:noWrap/>
            <w:vAlign w:val="bottom"/>
            <w:hideMark/>
          </w:tcPr>
          <w:p w14:paraId="106030BE"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63,43</w:t>
            </w:r>
          </w:p>
        </w:tc>
        <w:tc>
          <w:tcPr>
            <w:tcW w:w="925" w:type="dxa"/>
            <w:tcBorders>
              <w:top w:val="nil"/>
              <w:left w:val="nil"/>
              <w:bottom w:val="double" w:sz="6" w:space="0" w:color="auto"/>
              <w:right w:val="double" w:sz="6" w:space="0" w:color="auto"/>
            </w:tcBorders>
            <w:shd w:val="clear" w:color="auto" w:fill="auto"/>
            <w:noWrap/>
            <w:vAlign w:val="bottom"/>
            <w:hideMark/>
          </w:tcPr>
          <w:p w14:paraId="553AAB7C"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0,27</w:t>
            </w:r>
          </w:p>
        </w:tc>
        <w:tc>
          <w:tcPr>
            <w:tcW w:w="910" w:type="dxa"/>
            <w:tcBorders>
              <w:top w:val="nil"/>
              <w:left w:val="nil"/>
              <w:bottom w:val="double" w:sz="6" w:space="0" w:color="auto"/>
              <w:right w:val="double" w:sz="6" w:space="0" w:color="auto"/>
            </w:tcBorders>
            <w:shd w:val="clear" w:color="auto" w:fill="auto"/>
            <w:noWrap/>
            <w:vAlign w:val="bottom"/>
            <w:hideMark/>
          </w:tcPr>
          <w:p w14:paraId="46D1924E"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84,94</w:t>
            </w:r>
          </w:p>
        </w:tc>
        <w:tc>
          <w:tcPr>
            <w:tcW w:w="924" w:type="dxa"/>
            <w:tcBorders>
              <w:top w:val="nil"/>
              <w:left w:val="nil"/>
              <w:bottom w:val="double" w:sz="6" w:space="0" w:color="auto"/>
              <w:right w:val="double" w:sz="6" w:space="0" w:color="auto"/>
            </w:tcBorders>
            <w:shd w:val="clear" w:color="auto" w:fill="auto"/>
            <w:noWrap/>
            <w:vAlign w:val="bottom"/>
            <w:hideMark/>
          </w:tcPr>
          <w:p w14:paraId="70E6A781"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0,29</w:t>
            </w:r>
          </w:p>
        </w:tc>
        <w:tc>
          <w:tcPr>
            <w:tcW w:w="966" w:type="dxa"/>
            <w:tcBorders>
              <w:top w:val="nil"/>
              <w:left w:val="nil"/>
              <w:bottom w:val="double" w:sz="6" w:space="0" w:color="auto"/>
              <w:right w:val="double" w:sz="6" w:space="0" w:color="auto"/>
            </w:tcBorders>
            <w:shd w:val="clear" w:color="auto" w:fill="auto"/>
            <w:noWrap/>
            <w:vAlign w:val="bottom"/>
            <w:hideMark/>
          </w:tcPr>
          <w:p w14:paraId="5BB4F2A7"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224,48</w:t>
            </w:r>
          </w:p>
        </w:tc>
        <w:tc>
          <w:tcPr>
            <w:tcW w:w="924" w:type="dxa"/>
            <w:tcBorders>
              <w:top w:val="nil"/>
              <w:left w:val="nil"/>
              <w:bottom w:val="double" w:sz="6" w:space="0" w:color="auto"/>
              <w:right w:val="double" w:sz="6" w:space="0" w:color="auto"/>
            </w:tcBorders>
            <w:shd w:val="clear" w:color="auto" w:fill="auto"/>
            <w:noWrap/>
            <w:vAlign w:val="bottom"/>
            <w:hideMark/>
          </w:tcPr>
          <w:p w14:paraId="47CDD4FF"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0,91</w:t>
            </w:r>
          </w:p>
        </w:tc>
      </w:tr>
      <w:tr w:rsidR="00C3264D" w14:paraId="29D353EB"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146A6FA4" w14:textId="77777777" w:rsidR="00C3264D" w:rsidRDefault="001379D6">
            <w:pPr>
              <w:spacing w:after="0" w:line="240" w:lineRule="auto"/>
              <w:rPr>
                <w:rFonts w:ascii="Times New Roman" w:eastAsia="Times New Roman" w:hAnsi="Times New Roman"/>
                <w:b/>
                <w:bCs/>
                <w:color w:val="000000"/>
                <w:sz w:val="20"/>
                <w:szCs w:val="20"/>
              </w:rPr>
            </w:pPr>
            <w:r>
              <w:rPr>
                <w:rFonts w:ascii="Times New Roman" w:hAnsi="Times New Roman"/>
                <w:b/>
                <w:bCs/>
                <w:sz w:val="20"/>
                <w:szCs w:val="20"/>
              </w:rPr>
              <w:t>Ирландия</w:t>
            </w:r>
          </w:p>
        </w:tc>
        <w:tc>
          <w:tcPr>
            <w:tcW w:w="1093" w:type="dxa"/>
            <w:tcBorders>
              <w:top w:val="nil"/>
              <w:left w:val="nil"/>
              <w:bottom w:val="double" w:sz="6" w:space="0" w:color="auto"/>
              <w:right w:val="double" w:sz="6" w:space="0" w:color="auto"/>
            </w:tcBorders>
            <w:shd w:val="clear" w:color="auto" w:fill="auto"/>
            <w:noWrap/>
            <w:vAlign w:val="bottom"/>
            <w:hideMark/>
          </w:tcPr>
          <w:p w14:paraId="52499C87"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1036" w:type="dxa"/>
            <w:tcBorders>
              <w:top w:val="nil"/>
              <w:left w:val="nil"/>
              <w:bottom w:val="double" w:sz="6" w:space="0" w:color="auto"/>
              <w:right w:val="double" w:sz="6" w:space="0" w:color="auto"/>
            </w:tcBorders>
            <w:shd w:val="clear" w:color="auto" w:fill="auto"/>
            <w:noWrap/>
            <w:vAlign w:val="bottom"/>
            <w:hideMark/>
          </w:tcPr>
          <w:p w14:paraId="6D06B87D"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35E07E42"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41,68</w:t>
            </w:r>
          </w:p>
        </w:tc>
        <w:tc>
          <w:tcPr>
            <w:tcW w:w="925" w:type="dxa"/>
            <w:tcBorders>
              <w:top w:val="nil"/>
              <w:left w:val="nil"/>
              <w:bottom w:val="double" w:sz="6" w:space="0" w:color="auto"/>
              <w:right w:val="double" w:sz="6" w:space="0" w:color="auto"/>
            </w:tcBorders>
            <w:shd w:val="clear" w:color="auto" w:fill="auto"/>
            <w:noWrap/>
            <w:vAlign w:val="bottom"/>
            <w:hideMark/>
          </w:tcPr>
          <w:p w14:paraId="005884B8"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5EE8390B"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35,11</w:t>
            </w:r>
          </w:p>
        </w:tc>
        <w:tc>
          <w:tcPr>
            <w:tcW w:w="925" w:type="dxa"/>
            <w:tcBorders>
              <w:top w:val="nil"/>
              <w:left w:val="nil"/>
              <w:bottom w:val="double" w:sz="6" w:space="0" w:color="auto"/>
              <w:right w:val="double" w:sz="6" w:space="0" w:color="auto"/>
            </w:tcBorders>
            <w:shd w:val="clear" w:color="auto" w:fill="auto"/>
            <w:noWrap/>
            <w:vAlign w:val="bottom"/>
            <w:hideMark/>
          </w:tcPr>
          <w:p w14:paraId="0DE14FAA"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0,87</w:t>
            </w:r>
          </w:p>
        </w:tc>
        <w:tc>
          <w:tcPr>
            <w:tcW w:w="910" w:type="dxa"/>
            <w:tcBorders>
              <w:top w:val="nil"/>
              <w:left w:val="nil"/>
              <w:bottom w:val="double" w:sz="6" w:space="0" w:color="auto"/>
              <w:right w:val="double" w:sz="6" w:space="0" w:color="auto"/>
            </w:tcBorders>
            <w:shd w:val="clear" w:color="auto" w:fill="auto"/>
            <w:noWrap/>
            <w:vAlign w:val="bottom"/>
            <w:hideMark/>
          </w:tcPr>
          <w:p w14:paraId="17B9E781"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51,32</w:t>
            </w:r>
          </w:p>
        </w:tc>
        <w:tc>
          <w:tcPr>
            <w:tcW w:w="924" w:type="dxa"/>
            <w:tcBorders>
              <w:top w:val="nil"/>
              <w:left w:val="nil"/>
              <w:bottom w:val="double" w:sz="6" w:space="0" w:color="auto"/>
              <w:right w:val="double" w:sz="6" w:space="0" w:color="auto"/>
            </w:tcBorders>
            <w:shd w:val="clear" w:color="auto" w:fill="auto"/>
            <w:noWrap/>
            <w:vAlign w:val="bottom"/>
            <w:hideMark/>
          </w:tcPr>
          <w:p w14:paraId="51F302EC"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2,15</w:t>
            </w:r>
          </w:p>
        </w:tc>
        <w:tc>
          <w:tcPr>
            <w:tcW w:w="892" w:type="dxa"/>
            <w:tcBorders>
              <w:top w:val="nil"/>
              <w:left w:val="nil"/>
              <w:bottom w:val="double" w:sz="6" w:space="0" w:color="auto"/>
              <w:right w:val="double" w:sz="6" w:space="0" w:color="auto"/>
            </w:tcBorders>
            <w:shd w:val="clear" w:color="auto" w:fill="auto"/>
            <w:noWrap/>
            <w:vAlign w:val="bottom"/>
            <w:hideMark/>
          </w:tcPr>
          <w:p w14:paraId="72C40760"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39,54</w:t>
            </w:r>
          </w:p>
        </w:tc>
        <w:tc>
          <w:tcPr>
            <w:tcW w:w="925" w:type="dxa"/>
            <w:tcBorders>
              <w:top w:val="nil"/>
              <w:left w:val="nil"/>
              <w:bottom w:val="double" w:sz="6" w:space="0" w:color="auto"/>
              <w:right w:val="double" w:sz="6" w:space="0" w:color="auto"/>
            </w:tcBorders>
            <w:shd w:val="clear" w:color="auto" w:fill="auto"/>
            <w:noWrap/>
            <w:vAlign w:val="bottom"/>
            <w:hideMark/>
          </w:tcPr>
          <w:p w14:paraId="655BE070"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0,59</w:t>
            </w:r>
          </w:p>
        </w:tc>
        <w:tc>
          <w:tcPr>
            <w:tcW w:w="910" w:type="dxa"/>
            <w:tcBorders>
              <w:top w:val="nil"/>
              <w:left w:val="nil"/>
              <w:bottom w:val="double" w:sz="6" w:space="0" w:color="auto"/>
              <w:right w:val="double" w:sz="6" w:space="0" w:color="auto"/>
            </w:tcBorders>
            <w:shd w:val="clear" w:color="auto" w:fill="auto"/>
            <w:noWrap/>
            <w:vAlign w:val="bottom"/>
            <w:hideMark/>
          </w:tcPr>
          <w:p w14:paraId="10BE1E8E"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52,93</w:t>
            </w:r>
          </w:p>
        </w:tc>
        <w:tc>
          <w:tcPr>
            <w:tcW w:w="924" w:type="dxa"/>
            <w:tcBorders>
              <w:top w:val="nil"/>
              <w:left w:val="nil"/>
              <w:bottom w:val="double" w:sz="6" w:space="0" w:color="auto"/>
              <w:right w:val="double" w:sz="6" w:space="0" w:color="auto"/>
            </w:tcBorders>
            <w:shd w:val="clear" w:color="auto" w:fill="auto"/>
            <w:noWrap/>
            <w:vAlign w:val="bottom"/>
            <w:hideMark/>
          </w:tcPr>
          <w:p w14:paraId="68A6D658"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0,63</w:t>
            </w:r>
          </w:p>
        </w:tc>
        <w:tc>
          <w:tcPr>
            <w:tcW w:w="966" w:type="dxa"/>
            <w:tcBorders>
              <w:top w:val="nil"/>
              <w:left w:val="nil"/>
              <w:bottom w:val="double" w:sz="6" w:space="0" w:color="auto"/>
              <w:right w:val="double" w:sz="6" w:space="0" w:color="auto"/>
            </w:tcBorders>
            <w:shd w:val="clear" w:color="auto" w:fill="auto"/>
            <w:noWrap/>
            <w:vAlign w:val="bottom"/>
            <w:hideMark/>
          </w:tcPr>
          <w:p w14:paraId="6379E6FA"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140,10</w:t>
            </w:r>
          </w:p>
        </w:tc>
        <w:tc>
          <w:tcPr>
            <w:tcW w:w="924" w:type="dxa"/>
            <w:tcBorders>
              <w:top w:val="nil"/>
              <w:left w:val="nil"/>
              <w:bottom w:val="double" w:sz="6" w:space="0" w:color="auto"/>
              <w:right w:val="double" w:sz="6" w:space="0" w:color="auto"/>
            </w:tcBorders>
            <w:shd w:val="clear" w:color="auto" w:fill="auto"/>
            <w:noWrap/>
            <w:vAlign w:val="bottom"/>
            <w:hideMark/>
          </w:tcPr>
          <w:p w14:paraId="569EEC12"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1,97</w:t>
            </w:r>
          </w:p>
        </w:tc>
      </w:tr>
      <w:tr w:rsidR="00C3264D" w14:paraId="641B4991"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2B472EFF" w14:textId="77777777" w:rsidR="00C3264D" w:rsidRDefault="001379D6">
            <w:pPr>
              <w:spacing w:after="0" w:line="240" w:lineRule="auto"/>
              <w:rPr>
                <w:rFonts w:ascii="Times New Roman" w:eastAsia="Times New Roman" w:hAnsi="Times New Roman"/>
                <w:b/>
                <w:bCs/>
                <w:color w:val="000000"/>
                <w:sz w:val="20"/>
                <w:szCs w:val="20"/>
              </w:rPr>
            </w:pPr>
            <w:r>
              <w:rPr>
                <w:rFonts w:ascii="Times New Roman" w:hAnsi="Times New Roman"/>
                <w:b/>
                <w:bCs/>
                <w:sz w:val="20"/>
                <w:szCs w:val="20"/>
              </w:rPr>
              <w:t>Италия</w:t>
            </w:r>
          </w:p>
        </w:tc>
        <w:tc>
          <w:tcPr>
            <w:tcW w:w="1093" w:type="dxa"/>
            <w:tcBorders>
              <w:top w:val="nil"/>
              <w:left w:val="nil"/>
              <w:bottom w:val="double" w:sz="6" w:space="0" w:color="auto"/>
              <w:right w:val="double" w:sz="6" w:space="0" w:color="auto"/>
            </w:tcBorders>
            <w:shd w:val="clear" w:color="auto" w:fill="auto"/>
            <w:noWrap/>
            <w:vAlign w:val="bottom"/>
            <w:hideMark/>
          </w:tcPr>
          <w:p w14:paraId="64E2B132"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76,50</w:t>
            </w:r>
          </w:p>
        </w:tc>
        <w:tc>
          <w:tcPr>
            <w:tcW w:w="1036" w:type="dxa"/>
            <w:tcBorders>
              <w:top w:val="nil"/>
              <w:left w:val="nil"/>
              <w:bottom w:val="double" w:sz="6" w:space="0" w:color="auto"/>
              <w:right w:val="double" w:sz="6" w:space="0" w:color="auto"/>
            </w:tcBorders>
            <w:shd w:val="clear" w:color="auto" w:fill="auto"/>
            <w:noWrap/>
            <w:vAlign w:val="bottom"/>
            <w:hideMark/>
          </w:tcPr>
          <w:p w14:paraId="67B4ACB8"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1952FBB8"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385,98</w:t>
            </w:r>
          </w:p>
        </w:tc>
        <w:tc>
          <w:tcPr>
            <w:tcW w:w="925" w:type="dxa"/>
            <w:tcBorders>
              <w:top w:val="nil"/>
              <w:left w:val="nil"/>
              <w:bottom w:val="double" w:sz="6" w:space="0" w:color="auto"/>
              <w:right w:val="double" w:sz="6" w:space="0" w:color="auto"/>
            </w:tcBorders>
            <w:shd w:val="clear" w:color="auto" w:fill="auto"/>
            <w:noWrap/>
            <w:vAlign w:val="bottom"/>
            <w:hideMark/>
          </w:tcPr>
          <w:p w14:paraId="1F8F7266"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5D248181"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361,25</w:t>
            </w:r>
          </w:p>
        </w:tc>
        <w:tc>
          <w:tcPr>
            <w:tcW w:w="925" w:type="dxa"/>
            <w:tcBorders>
              <w:top w:val="nil"/>
              <w:left w:val="nil"/>
              <w:bottom w:val="double" w:sz="6" w:space="0" w:color="auto"/>
              <w:right w:val="double" w:sz="6" w:space="0" w:color="auto"/>
            </w:tcBorders>
            <w:shd w:val="clear" w:color="auto" w:fill="auto"/>
            <w:noWrap/>
            <w:vAlign w:val="bottom"/>
            <w:hideMark/>
          </w:tcPr>
          <w:p w14:paraId="5C891285"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5,24</w:t>
            </w:r>
          </w:p>
        </w:tc>
        <w:tc>
          <w:tcPr>
            <w:tcW w:w="910" w:type="dxa"/>
            <w:tcBorders>
              <w:top w:val="nil"/>
              <w:left w:val="nil"/>
              <w:bottom w:val="double" w:sz="6" w:space="0" w:color="auto"/>
              <w:right w:val="double" w:sz="6" w:space="0" w:color="auto"/>
            </w:tcBorders>
            <w:shd w:val="clear" w:color="auto" w:fill="auto"/>
            <w:noWrap/>
            <w:vAlign w:val="bottom"/>
            <w:hideMark/>
          </w:tcPr>
          <w:p w14:paraId="11985E4C"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528,00</w:t>
            </w:r>
          </w:p>
        </w:tc>
        <w:tc>
          <w:tcPr>
            <w:tcW w:w="924" w:type="dxa"/>
            <w:tcBorders>
              <w:top w:val="nil"/>
              <w:left w:val="nil"/>
              <w:bottom w:val="double" w:sz="6" w:space="0" w:color="auto"/>
              <w:right w:val="double" w:sz="6" w:space="0" w:color="auto"/>
            </w:tcBorders>
            <w:shd w:val="clear" w:color="auto" w:fill="auto"/>
            <w:noWrap/>
            <w:vAlign w:val="bottom"/>
            <w:hideMark/>
          </w:tcPr>
          <w:p w14:paraId="1D664541"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14,41</w:t>
            </w:r>
          </w:p>
        </w:tc>
        <w:tc>
          <w:tcPr>
            <w:tcW w:w="892" w:type="dxa"/>
            <w:tcBorders>
              <w:top w:val="nil"/>
              <w:left w:val="nil"/>
              <w:bottom w:val="double" w:sz="6" w:space="0" w:color="auto"/>
              <w:right w:val="double" w:sz="6" w:space="0" w:color="auto"/>
            </w:tcBorders>
            <w:shd w:val="clear" w:color="auto" w:fill="auto"/>
            <w:noWrap/>
            <w:vAlign w:val="bottom"/>
            <w:hideMark/>
          </w:tcPr>
          <w:p w14:paraId="777B9890"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407,23</w:t>
            </w:r>
          </w:p>
        </w:tc>
        <w:tc>
          <w:tcPr>
            <w:tcW w:w="925" w:type="dxa"/>
            <w:tcBorders>
              <w:top w:val="nil"/>
              <w:left w:val="nil"/>
              <w:bottom w:val="double" w:sz="6" w:space="0" w:color="auto"/>
              <w:right w:val="double" w:sz="6" w:space="0" w:color="auto"/>
            </w:tcBorders>
            <w:shd w:val="clear" w:color="auto" w:fill="auto"/>
            <w:noWrap/>
            <w:vAlign w:val="bottom"/>
            <w:hideMark/>
          </w:tcPr>
          <w:p w14:paraId="5B98D73A"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3,96</w:t>
            </w:r>
          </w:p>
        </w:tc>
        <w:tc>
          <w:tcPr>
            <w:tcW w:w="910" w:type="dxa"/>
            <w:tcBorders>
              <w:top w:val="nil"/>
              <w:left w:val="nil"/>
              <w:bottom w:val="double" w:sz="6" w:space="0" w:color="auto"/>
              <w:right w:val="double" w:sz="6" w:space="0" w:color="auto"/>
            </w:tcBorders>
            <w:shd w:val="clear" w:color="auto" w:fill="auto"/>
            <w:noWrap/>
            <w:vAlign w:val="bottom"/>
            <w:hideMark/>
          </w:tcPr>
          <w:p w14:paraId="1185C349"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545,44</w:t>
            </w:r>
          </w:p>
        </w:tc>
        <w:tc>
          <w:tcPr>
            <w:tcW w:w="924" w:type="dxa"/>
            <w:tcBorders>
              <w:top w:val="nil"/>
              <w:left w:val="nil"/>
              <w:bottom w:val="double" w:sz="6" w:space="0" w:color="auto"/>
              <w:right w:val="double" w:sz="6" w:space="0" w:color="auto"/>
            </w:tcBorders>
            <w:shd w:val="clear" w:color="auto" w:fill="auto"/>
            <w:noWrap/>
            <w:vAlign w:val="bottom"/>
            <w:hideMark/>
          </w:tcPr>
          <w:p w14:paraId="53A17A9F"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4,21</w:t>
            </w:r>
          </w:p>
        </w:tc>
        <w:tc>
          <w:tcPr>
            <w:tcW w:w="966" w:type="dxa"/>
            <w:tcBorders>
              <w:top w:val="nil"/>
              <w:left w:val="nil"/>
              <w:bottom w:val="double" w:sz="6" w:space="0" w:color="auto"/>
              <w:right w:val="double" w:sz="6" w:space="0" w:color="auto"/>
            </w:tcBorders>
            <w:shd w:val="clear" w:color="auto" w:fill="auto"/>
            <w:noWrap/>
            <w:vAlign w:val="bottom"/>
            <w:hideMark/>
          </w:tcPr>
          <w:p w14:paraId="74E9FAF4"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1 440,10</w:t>
            </w:r>
          </w:p>
        </w:tc>
        <w:tc>
          <w:tcPr>
            <w:tcW w:w="924" w:type="dxa"/>
            <w:tcBorders>
              <w:top w:val="nil"/>
              <w:left w:val="nil"/>
              <w:bottom w:val="double" w:sz="6" w:space="0" w:color="auto"/>
              <w:right w:val="double" w:sz="6" w:space="0" w:color="auto"/>
            </w:tcBorders>
            <w:shd w:val="clear" w:color="auto" w:fill="auto"/>
            <w:noWrap/>
            <w:vAlign w:val="bottom"/>
            <w:hideMark/>
          </w:tcPr>
          <w:p w14:paraId="4F4D50A2"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13,22</w:t>
            </w:r>
          </w:p>
        </w:tc>
      </w:tr>
      <w:tr w:rsidR="00C3264D" w14:paraId="3248BBD1"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05E21D0A" w14:textId="77777777" w:rsidR="00C3264D" w:rsidRDefault="001379D6">
            <w:pPr>
              <w:spacing w:after="0" w:line="240" w:lineRule="auto"/>
              <w:rPr>
                <w:rFonts w:ascii="Times New Roman" w:eastAsia="Times New Roman" w:hAnsi="Times New Roman"/>
                <w:b/>
                <w:bCs/>
                <w:color w:val="000000"/>
                <w:sz w:val="20"/>
                <w:szCs w:val="20"/>
              </w:rPr>
            </w:pPr>
            <w:r>
              <w:rPr>
                <w:rFonts w:ascii="Times New Roman" w:hAnsi="Times New Roman"/>
                <w:b/>
                <w:bCs/>
                <w:sz w:val="20"/>
                <w:szCs w:val="20"/>
              </w:rPr>
              <w:t>Литва</w:t>
            </w:r>
          </w:p>
        </w:tc>
        <w:tc>
          <w:tcPr>
            <w:tcW w:w="1093" w:type="dxa"/>
            <w:tcBorders>
              <w:top w:val="nil"/>
              <w:left w:val="nil"/>
              <w:bottom w:val="double" w:sz="6" w:space="0" w:color="auto"/>
              <w:right w:val="double" w:sz="6" w:space="0" w:color="auto"/>
            </w:tcBorders>
            <w:shd w:val="clear" w:color="auto" w:fill="auto"/>
            <w:noWrap/>
            <w:vAlign w:val="bottom"/>
            <w:hideMark/>
          </w:tcPr>
          <w:p w14:paraId="4E80C88C"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3,29</w:t>
            </w:r>
          </w:p>
        </w:tc>
        <w:tc>
          <w:tcPr>
            <w:tcW w:w="1036" w:type="dxa"/>
            <w:tcBorders>
              <w:top w:val="nil"/>
              <w:left w:val="nil"/>
              <w:bottom w:val="double" w:sz="6" w:space="0" w:color="auto"/>
              <w:right w:val="double" w:sz="6" w:space="0" w:color="auto"/>
            </w:tcBorders>
            <w:shd w:val="clear" w:color="auto" w:fill="auto"/>
            <w:noWrap/>
            <w:vAlign w:val="bottom"/>
            <w:hideMark/>
          </w:tcPr>
          <w:p w14:paraId="3D9A7A60"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6A5594B5"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19,98</w:t>
            </w:r>
          </w:p>
        </w:tc>
        <w:tc>
          <w:tcPr>
            <w:tcW w:w="925" w:type="dxa"/>
            <w:tcBorders>
              <w:top w:val="nil"/>
              <w:left w:val="nil"/>
              <w:bottom w:val="double" w:sz="6" w:space="0" w:color="auto"/>
              <w:right w:val="double" w:sz="6" w:space="0" w:color="auto"/>
            </w:tcBorders>
            <w:shd w:val="clear" w:color="auto" w:fill="auto"/>
            <w:noWrap/>
            <w:vAlign w:val="bottom"/>
            <w:hideMark/>
          </w:tcPr>
          <w:p w14:paraId="7036C9CE"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00E8CCD1"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17,28</w:t>
            </w:r>
          </w:p>
        </w:tc>
        <w:tc>
          <w:tcPr>
            <w:tcW w:w="925" w:type="dxa"/>
            <w:tcBorders>
              <w:top w:val="nil"/>
              <w:left w:val="nil"/>
              <w:bottom w:val="double" w:sz="6" w:space="0" w:color="auto"/>
              <w:right w:val="double" w:sz="6" w:space="0" w:color="auto"/>
            </w:tcBorders>
            <w:shd w:val="clear" w:color="auto" w:fill="auto"/>
            <w:noWrap/>
            <w:vAlign w:val="bottom"/>
            <w:hideMark/>
          </w:tcPr>
          <w:p w14:paraId="7E060D78"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0,06</w:t>
            </w:r>
          </w:p>
        </w:tc>
        <w:tc>
          <w:tcPr>
            <w:tcW w:w="910" w:type="dxa"/>
            <w:tcBorders>
              <w:top w:val="nil"/>
              <w:left w:val="nil"/>
              <w:bottom w:val="double" w:sz="6" w:space="0" w:color="auto"/>
              <w:right w:val="double" w:sz="6" w:space="0" w:color="auto"/>
            </w:tcBorders>
            <w:shd w:val="clear" w:color="auto" w:fill="auto"/>
            <w:noWrap/>
            <w:vAlign w:val="bottom"/>
            <w:hideMark/>
          </w:tcPr>
          <w:p w14:paraId="493FA07E"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28,13</w:t>
            </w:r>
          </w:p>
        </w:tc>
        <w:tc>
          <w:tcPr>
            <w:tcW w:w="924" w:type="dxa"/>
            <w:tcBorders>
              <w:top w:val="nil"/>
              <w:left w:val="nil"/>
              <w:bottom w:val="double" w:sz="6" w:space="0" w:color="auto"/>
              <w:right w:val="double" w:sz="6" w:space="0" w:color="auto"/>
            </w:tcBorders>
            <w:shd w:val="clear" w:color="auto" w:fill="auto"/>
            <w:noWrap/>
            <w:vAlign w:val="bottom"/>
            <w:hideMark/>
          </w:tcPr>
          <w:p w14:paraId="28FCD65F"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0,29</w:t>
            </w:r>
          </w:p>
        </w:tc>
        <w:tc>
          <w:tcPr>
            <w:tcW w:w="892" w:type="dxa"/>
            <w:tcBorders>
              <w:top w:val="nil"/>
              <w:left w:val="nil"/>
              <w:bottom w:val="double" w:sz="6" w:space="0" w:color="auto"/>
              <w:right w:val="double" w:sz="6" w:space="0" w:color="auto"/>
            </w:tcBorders>
            <w:shd w:val="clear" w:color="auto" w:fill="auto"/>
            <w:noWrap/>
            <w:vAlign w:val="bottom"/>
            <w:hideMark/>
          </w:tcPr>
          <w:p w14:paraId="06B8B0C3"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20,76</w:t>
            </w:r>
          </w:p>
        </w:tc>
        <w:tc>
          <w:tcPr>
            <w:tcW w:w="925" w:type="dxa"/>
            <w:tcBorders>
              <w:top w:val="nil"/>
              <w:left w:val="nil"/>
              <w:bottom w:val="double" w:sz="6" w:space="0" w:color="auto"/>
              <w:right w:val="double" w:sz="6" w:space="0" w:color="auto"/>
            </w:tcBorders>
            <w:shd w:val="clear" w:color="auto" w:fill="auto"/>
            <w:noWrap/>
            <w:vAlign w:val="bottom"/>
            <w:hideMark/>
          </w:tcPr>
          <w:p w14:paraId="7661EFCB"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0,08</w:t>
            </w:r>
          </w:p>
        </w:tc>
        <w:tc>
          <w:tcPr>
            <w:tcW w:w="910" w:type="dxa"/>
            <w:tcBorders>
              <w:top w:val="nil"/>
              <w:left w:val="nil"/>
              <w:bottom w:val="double" w:sz="6" w:space="0" w:color="auto"/>
              <w:right w:val="double" w:sz="6" w:space="0" w:color="auto"/>
            </w:tcBorders>
            <w:shd w:val="clear" w:color="auto" w:fill="auto"/>
            <w:noWrap/>
            <w:vAlign w:val="bottom"/>
            <w:hideMark/>
          </w:tcPr>
          <w:p w14:paraId="26393F7A"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31,43</w:t>
            </w:r>
          </w:p>
        </w:tc>
        <w:tc>
          <w:tcPr>
            <w:tcW w:w="924" w:type="dxa"/>
            <w:tcBorders>
              <w:top w:val="nil"/>
              <w:left w:val="nil"/>
              <w:bottom w:val="double" w:sz="6" w:space="0" w:color="auto"/>
              <w:right w:val="double" w:sz="6" w:space="0" w:color="auto"/>
            </w:tcBorders>
            <w:shd w:val="clear" w:color="auto" w:fill="auto"/>
            <w:noWrap/>
            <w:vAlign w:val="bottom"/>
            <w:hideMark/>
          </w:tcPr>
          <w:p w14:paraId="7D44E131"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0,09</w:t>
            </w:r>
          </w:p>
        </w:tc>
        <w:tc>
          <w:tcPr>
            <w:tcW w:w="966" w:type="dxa"/>
            <w:tcBorders>
              <w:top w:val="nil"/>
              <w:left w:val="nil"/>
              <w:bottom w:val="double" w:sz="6" w:space="0" w:color="auto"/>
              <w:right w:val="double" w:sz="6" w:space="0" w:color="auto"/>
            </w:tcBorders>
            <w:shd w:val="clear" w:color="auto" w:fill="auto"/>
            <w:noWrap/>
            <w:vAlign w:val="bottom"/>
            <w:hideMark/>
          </w:tcPr>
          <w:p w14:paraId="568005A4"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80,11</w:t>
            </w:r>
          </w:p>
        </w:tc>
        <w:tc>
          <w:tcPr>
            <w:tcW w:w="924" w:type="dxa"/>
            <w:tcBorders>
              <w:top w:val="nil"/>
              <w:left w:val="nil"/>
              <w:bottom w:val="double" w:sz="6" w:space="0" w:color="auto"/>
              <w:right w:val="double" w:sz="6" w:space="0" w:color="auto"/>
            </w:tcBorders>
            <w:shd w:val="clear" w:color="auto" w:fill="auto"/>
            <w:noWrap/>
            <w:vAlign w:val="bottom"/>
            <w:hideMark/>
          </w:tcPr>
          <w:p w14:paraId="086553B3"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0,25</w:t>
            </w:r>
          </w:p>
        </w:tc>
      </w:tr>
      <w:tr w:rsidR="00C3264D" w14:paraId="26D979D1"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2B5A06D6" w14:textId="77777777" w:rsidR="00C3264D" w:rsidRDefault="001379D6">
            <w:pPr>
              <w:spacing w:after="0" w:line="240" w:lineRule="auto"/>
              <w:rPr>
                <w:rFonts w:ascii="Times New Roman" w:eastAsia="Times New Roman" w:hAnsi="Times New Roman"/>
                <w:b/>
                <w:bCs/>
                <w:color w:val="000000"/>
                <w:sz w:val="20"/>
                <w:szCs w:val="20"/>
              </w:rPr>
            </w:pPr>
            <w:r>
              <w:rPr>
                <w:rFonts w:ascii="Times New Roman" w:hAnsi="Times New Roman"/>
                <w:b/>
                <w:bCs/>
                <w:sz w:val="20"/>
                <w:szCs w:val="20"/>
              </w:rPr>
              <w:t>Люксембург</w:t>
            </w:r>
          </w:p>
        </w:tc>
        <w:tc>
          <w:tcPr>
            <w:tcW w:w="1093" w:type="dxa"/>
            <w:tcBorders>
              <w:top w:val="nil"/>
              <w:left w:val="nil"/>
              <w:bottom w:val="double" w:sz="6" w:space="0" w:color="auto"/>
              <w:right w:val="double" w:sz="6" w:space="0" w:color="auto"/>
            </w:tcBorders>
            <w:shd w:val="clear" w:color="auto" w:fill="auto"/>
            <w:noWrap/>
            <w:vAlign w:val="bottom"/>
            <w:hideMark/>
          </w:tcPr>
          <w:p w14:paraId="37C50547"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0,74</w:t>
            </w:r>
          </w:p>
        </w:tc>
        <w:tc>
          <w:tcPr>
            <w:tcW w:w="1036" w:type="dxa"/>
            <w:tcBorders>
              <w:top w:val="nil"/>
              <w:left w:val="nil"/>
              <w:bottom w:val="double" w:sz="6" w:space="0" w:color="auto"/>
              <w:right w:val="double" w:sz="6" w:space="0" w:color="auto"/>
            </w:tcBorders>
            <w:shd w:val="clear" w:color="auto" w:fill="auto"/>
            <w:noWrap/>
            <w:vAlign w:val="bottom"/>
            <w:hideMark/>
          </w:tcPr>
          <w:p w14:paraId="1C683DDA"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66198B7E"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4,97</w:t>
            </w:r>
          </w:p>
        </w:tc>
        <w:tc>
          <w:tcPr>
            <w:tcW w:w="925" w:type="dxa"/>
            <w:tcBorders>
              <w:top w:val="nil"/>
              <w:left w:val="nil"/>
              <w:bottom w:val="double" w:sz="6" w:space="0" w:color="auto"/>
              <w:right w:val="double" w:sz="6" w:space="0" w:color="auto"/>
            </w:tcBorders>
            <w:shd w:val="clear" w:color="auto" w:fill="auto"/>
            <w:noWrap/>
            <w:vAlign w:val="bottom"/>
            <w:hideMark/>
          </w:tcPr>
          <w:p w14:paraId="7D093C8F"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66652758"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4,52</w:t>
            </w:r>
          </w:p>
        </w:tc>
        <w:tc>
          <w:tcPr>
            <w:tcW w:w="925" w:type="dxa"/>
            <w:tcBorders>
              <w:top w:val="nil"/>
              <w:left w:val="nil"/>
              <w:bottom w:val="double" w:sz="6" w:space="0" w:color="auto"/>
              <w:right w:val="double" w:sz="6" w:space="0" w:color="auto"/>
            </w:tcBorders>
            <w:shd w:val="clear" w:color="auto" w:fill="auto"/>
            <w:noWrap/>
            <w:vAlign w:val="bottom"/>
            <w:hideMark/>
          </w:tcPr>
          <w:p w14:paraId="51A33C4D"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0,63</w:t>
            </w:r>
          </w:p>
        </w:tc>
        <w:tc>
          <w:tcPr>
            <w:tcW w:w="910" w:type="dxa"/>
            <w:tcBorders>
              <w:top w:val="nil"/>
              <w:left w:val="nil"/>
              <w:bottom w:val="double" w:sz="6" w:space="0" w:color="auto"/>
              <w:right w:val="double" w:sz="6" w:space="0" w:color="auto"/>
            </w:tcBorders>
            <w:shd w:val="clear" w:color="auto" w:fill="auto"/>
            <w:noWrap/>
            <w:vAlign w:val="bottom"/>
            <w:hideMark/>
          </w:tcPr>
          <w:p w14:paraId="7E4D2DEF"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6,62</w:t>
            </w:r>
          </w:p>
        </w:tc>
        <w:tc>
          <w:tcPr>
            <w:tcW w:w="924" w:type="dxa"/>
            <w:tcBorders>
              <w:top w:val="nil"/>
              <w:left w:val="nil"/>
              <w:bottom w:val="double" w:sz="6" w:space="0" w:color="auto"/>
              <w:right w:val="double" w:sz="6" w:space="0" w:color="auto"/>
            </w:tcBorders>
            <w:shd w:val="clear" w:color="auto" w:fill="auto"/>
            <w:noWrap/>
            <w:vAlign w:val="bottom"/>
            <w:hideMark/>
          </w:tcPr>
          <w:p w14:paraId="71E83377"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0,22</w:t>
            </w:r>
          </w:p>
        </w:tc>
        <w:tc>
          <w:tcPr>
            <w:tcW w:w="892" w:type="dxa"/>
            <w:tcBorders>
              <w:top w:val="nil"/>
              <w:left w:val="nil"/>
              <w:bottom w:val="double" w:sz="6" w:space="0" w:color="auto"/>
              <w:right w:val="double" w:sz="6" w:space="0" w:color="auto"/>
            </w:tcBorders>
            <w:shd w:val="clear" w:color="auto" w:fill="auto"/>
            <w:noWrap/>
            <w:vAlign w:val="bottom"/>
            <w:hideMark/>
          </w:tcPr>
          <w:p w14:paraId="740B4FFE"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5,08</w:t>
            </w:r>
          </w:p>
        </w:tc>
        <w:tc>
          <w:tcPr>
            <w:tcW w:w="925" w:type="dxa"/>
            <w:tcBorders>
              <w:top w:val="nil"/>
              <w:left w:val="nil"/>
              <w:bottom w:val="double" w:sz="6" w:space="0" w:color="auto"/>
              <w:right w:val="double" w:sz="6" w:space="0" w:color="auto"/>
            </w:tcBorders>
            <w:shd w:val="clear" w:color="auto" w:fill="auto"/>
            <w:noWrap/>
            <w:vAlign w:val="bottom"/>
            <w:hideMark/>
          </w:tcPr>
          <w:p w14:paraId="7108B589"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0,06</w:t>
            </w:r>
          </w:p>
        </w:tc>
        <w:tc>
          <w:tcPr>
            <w:tcW w:w="910" w:type="dxa"/>
            <w:tcBorders>
              <w:top w:val="nil"/>
              <w:left w:val="nil"/>
              <w:bottom w:val="double" w:sz="6" w:space="0" w:color="auto"/>
              <w:right w:val="double" w:sz="6" w:space="0" w:color="auto"/>
            </w:tcBorders>
            <w:shd w:val="clear" w:color="auto" w:fill="auto"/>
            <w:noWrap/>
            <w:vAlign w:val="bottom"/>
            <w:hideMark/>
          </w:tcPr>
          <w:p w14:paraId="7629491E"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6,81</w:t>
            </w:r>
          </w:p>
        </w:tc>
        <w:tc>
          <w:tcPr>
            <w:tcW w:w="924" w:type="dxa"/>
            <w:tcBorders>
              <w:top w:val="nil"/>
              <w:left w:val="nil"/>
              <w:bottom w:val="double" w:sz="6" w:space="0" w:color="auto"/>
              <w:right w:val="double" w:sz="6" w:space="0" w:color="auto"/>
            </w:tcBorders>
            <w:shd w:val="clear" w:color="auto" w:fill="auto"/>
            <w:noWrap/>
            <w:vAlign w:val="bottom"/>
            <w:hideMark/>
          </w:tcPr>
          <w:p w14:paraId="28E709F2"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0,07</w:t>
            </w:r>
          </w:p>
        </w:tc>
        <w:tc>
          <w:tcPr>
            <w:tcW w:w="966" w:type="dxa"/>
            <w:tcBorders>
              <w:top w:val="nil"/>
              <w:left w:val="nil"/>
              <w:bottom w:val="double" w:sz="6" w:space="0" w:color="auto"/>
              <w:right w:val="double" w:sz="6" w:space="0" w:color="auto"/>
            </w:tcBorders>
            <w:shd w:val="clear" w:color="auto" w:fill="auto"/>
            <w:noWrap/>
            <w:vAlign w:val="bottom"/>
            <w:hideMark/>
          </w:tcPr>
          <w:p w14:paraId="4275611B"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18,09</w:t>
            </w:r>
          </w:p>
        </w:tc>
        <w:tc>
          <w:tcPr>
            <w:tcW w:w="924" w:type="dxa"/>
            <w:tcBorders>
              <w:top w:val="nil"/>
              <w:left w:val="nil"/>
              <w:bottom w:val="double" w:sz="6" w:space="0" w:color="auto"/>
              <w:right w:val="double" w:sz="6" w:space="0" w:color="auto"/>
            </w:tcBorders>
            <w:shd w:val="clear" w:color="auto" w:fill="auto"/>
            <w:noWrap/>
            <w:vAlign w:val="bottom"/>
            <w:hideMark/>
          </w:tcPr>
          <w:p w14:paraId="2C1B1AA2" w14:textId="77777777" w:rsidR="00C3264D" w:rsidRDefault="001379D6">
            <w:pPr>
              <w:spacing w:after="0" w:line="240" w:lineRule="auto"/>
              <w:jc w:val="right"/>
              <w:rPr>
                <w:rFonts w:ascii="Times New Roman" w:eastAsia="Times New Roman" w:hAnsi="Times New Roman"/>
                <w:b/>
                <w:bCs/>
                <w:color w:val="000000"/>
                <w:sz w:val="20"/>
                <w:szCs w:val="20"/>
              </w:rPr>
            </w:pPr>
            <w:r>
              <w:rPr>
                <w:rFonts w:ascii="Times New Roman" w:hAnsi="Times New Roman"/>
                <w:b/>
                <w:bCs/>
                <w:sz w:val="20"/>
                <w:szCs w:val="20"/>
              </w:rPr>
              <w:t>0,20</w:t>
            </w:r>
          </w:p>
        </w:tc>
      </w:tr>
      <w:tr w:rsidR="00C3264D" w14:paraId="1DEC010C"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00230CEA" w14:textId="77777777" w:rsidR="00C3264D" w:rsidRDefault="001379D6">
            <w:pPr>
              <w:spacing w:after="0" w:line="240" w:lineRule="auto"/>
              <w:rPr>
                <w:rFonts w:ascii="Times New Roman" w:eastAsia="Times New Roman" w:hAnsi="Times New Roman"/>
                <w:b/>
                <w:bCs/>
                <w:color w:val="000000"/>
                <w:sz w:val="20"/>
                <w:szCs w:val="20"/>
              </w:rPr>
            </w:pPr>
            <w:r>
              <w:rPr>
                <w:rFonts w:ascii="Times New Roman" w:hAnsi="Times New Roman"/>
                <w:b/>
                <w:bCs/>
                <w:sz w:val="20"/>
                <w:szCs w:val="20"/>
              </w:rPr>
              <w:t>Латвия</w:t>
            </w:r>
          </w:p>
        </w:tc>
        <w:tc>
          <w:tcPr>
            <w:tcW w:w="1093" w:type="dxa"/>
            <w:tcBorders>
              <w:top w:val="nil"/>
              <w:left w:val="nil"/>
              <w:bottom w:val="double" w:sz="6" w:space="0" w:color="auto"/>
              <w:right w:val="double" w:sz="6" w:space="0" w:color="auto"/>
            </w:tcBorders>
            <w:shd w:val="clear" w:color="auto" w:fill="auto"/>
            <w:noWrap/>
            <w:vAlign w:val="bottom"/>
            <w:hideMark/>
          </w:tcPr>
          <w:p w14:paraId="5BB31325"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2,13</w:t>
            </w:r>
          </w:p>
        </w:tc>
        <w:tc>
          <w:tcPr>
            <w:tcW w:w="1036" w:type="dxa"/>
            <w:tcBorders>
              <w:top w:val="nil"/>
              <w:left w:val="nil"/>
              <w:bottom w:val="double" w:sz="6" w:space="0" w:color="auto"/>
              <w:right w:val="double" w:sz="6" w:space="0" w:color="auto"/>
            </w:tcBorders>
            <w:shd w:val="clear" w:color="auto" w:fill="auto"/>
            <w:noWrap/>
            <w:vAlign w:val="bottom"/>
            <w:hideMark/>
          </w:tcPr>
          <w:p w14:paraId="7FF25DBD"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10030816"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10,79</w:t>
            </w:r>
          </w:p>
        </w:tc>
        <w:tc>
          <w:tcPr>
            <w:tcW w:w="925" w:type="dxa"/>
            <w:tcBorders>
              <w:top w:val="nil"/>
              <w:left w:val="nil"/>
              <w:bottom w:val="double" w:sz="6" w:space="0" w:color="auto"/>
              <w:right w:val="double" w:sz="6" w:space="0" w:color="auto"/>
            </w:tcBorders>
            <w:shd w:val="clear" w:color="auto" w:fill="auto"/>
            <w:noWrap/>
            <w:vAlign w:val="bottom"/>
            <w:hideMark/>
          </w:tcPr>
          <w:p w14:paraId="5F59E12C"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16204322"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10,08</w:t>
            </w:r>
          </w:p>
        </w:tc>
        <w:tc>
          <w:tcPr>
            <w:tcW w:w="925" w:type="dxa"/>
            <w:tcBorders>
              <w:top w:val="nil"/>
              <w:left w:val="nil"/>
              <w:bottom w:val="double" w:sz="6" w:space="0" w:color="auto"/>
              <w:right w:val="double" w:sz="6" w:space="0" w:color="auto"/>
            </w:tcBorders>
            <w:shd w:val="clear" w:color="auto" w:fill="auto"/>
            <w:noWrap/>
            <w:vAlign w:val="bottom"/>
            <w:hideMark/>
          </w:tcPr>
          <w:p w14:paraId="6EBC2346"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0,14</w:t>
            </w:r>
          </w:p>
        </w:tc>
        <w:tc>
          <w:tcPr>
            <w:tcW w:w="910" w:type="dxa"/>
            <w:tcBorders>
              <w:top w:val="nil"/>
              <w:left w:val="nil"/>
              <w:bottom w:val="double" w:sz="6" w:space="0" w:color="auto"/>
              <w:right w:val="double" w:sz="6" w:space="0" w:color="auto"/>
            </w:tcBorders>
            <w:shd w:val="clear" w:color="auto" w:fill="auto"/>
            <w:noWrap/>
            <w:vAlign w:val="bottom"/>
            <w:hideMark/>
          </w:tcPr>
          <w:p w14:paraId="42A22FE9"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14,76</w:t>
            </w:r>
          </w:p>
        </w:tc>
        <w:tc>
          <w:tcPr>
            <w:tcW w:w="924" w:type="dxa"/>
            <w:tcBorders>
              <w:top w:val="nil"/>
              <w:left w:val="nil"/>
              <w:bottom w:val="double" w:sz="6" w:space="0" w:color="auto"/>
              <w:right w:val="double" w:sz="6" w:space="0" w:color="auto"/>
            </w:tcBorders>
            <w:shd w:val="clear" w:color="auto" w:fill="auto"/>
            <w:noWrap/>
            <w:vAlign w:val="bottom"/>
            <w:hideMark/>
          </w:tcPr>
          <w:p w14:paraId="6314E4AB"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0,53</w:t>
            </w:r>
          </w:p>
        </w:tc>
        <w:tc>
          <w:tcPr>
            <w:tcW w:w="892" w:type="dxa"/>
            <w:tcBorders>
              <w:top w:val="nil"/>
              <w:left w:val="nil"/>
              <w:bottom w:val="double" w:sz="6" w:space="0" w:color="auto"/>
              <w:right w:val="double" w:sz="6" w:space="0" w:color="auto"/>
            </w:tcBorders>
            <w:shd w:val="clear" w:color="auto" w:fill="auto"/>
            <w:noWrap/>
            <w:vAlign w:val="bottom"/>
            <w:hideMark/>
          </w:tcPr>
          <w:p w14:paraId="33956AF5"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11,36</w:t>
            </w:r>
          </w:p>
        </w:tc>
        <w:tc>
          <w:tcPr>
            <w:tcW w:w="925" w:type="dxa"/>
            <w:tcBorders>
              <w:top w:val="nil"/>
              <w:left w:val="nil"/>
              <w:bottom w:val="double" w:sz="6" w:space="0" w:color="auto"/>
              <w:right w:val="double" w:sz="6" w:space="0" w:color="auto"/>
            </w:tcBorders>
            <w:shd w:val="clear" w:color="auto" w:fill="auto"/>
            <w:noWrap/>
            <w:vAlign w:val="bottom"/>
            <w:hideMark/>
          </w:tcPr>
          <w:p w14:paraId="063515FE"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0,15</w:t>
            </w:r>
          </w:p>
        </w:tc>
        <w:tc>
          <w:tcPr>
            <w:tcW w:w="910" w:type="dxa"/>
            <w:tcBorders>
              <w:top w:val="nil"/>
              <w:left w:val="nil"/>
              <w:bottom w:val="double" w:sz="6" w:space="0" w:color="auto"/>
              <w:right w:val="double" w:sz="6" w:space="0" w:color="auto"/>
            </w:tcBorders>
            <w:shd w:val="clear" w:color="auto" w:fill="auto"/>
            <w:noWrap/>
            <w:vAlign w:val="bottom"/>
            <w:hideMark/>
          </w:tcPr>
          <w:p w14:paraId="3D9974B6"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15,24</w:t>
            </w:r>
          </w:p>
        </w:tc>
        <w:tc>
          <w:tcPr>
            <w:tcW w:w="924" w:type="dxa"/>
            <w:tcBorders>
              <w:top w:val="nil"/>
              <w:left w:val="nil"/>
              <w:bottom w:val="double" w:sz="6" w:space="0" w:color="auto"/>
              <w:right w:val="double" w:sz="6" w:space="0" w:color="auto"/>
            </w:tcBorders>
            <w:shd w:val="clear" w:color="auto" w:fill="auto"/>
            <w:noWrap/>
            <w:vAlign w:val="bottom"/>
            <w:hideMark/>
          </w:tcPr>
          <w:p w14:paraId="431F2FE0"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0,15</w:t>
            </w:r>
          </w:p>
        </w:tc>
        <w:tc>
          <w:tcPr>
            <w:tcW w:w="966" w:type="dxa"/>
            <w:tcBorders>
              <w:top w:val="nil"/>
              <w:left w:val="nil"/>
              <w:bottom w:val="double" w:sz="6" w:space="0" w:color="auto"/>
              <w:right w:val="double" w:sz="6" w:space="0" w:color="auto"/>
            </w:tcBorders>
            <w:shd w:val="clear" w:color="auto" w:fill="auto"/>
            <w:noWrap/>
            <w:vAlign w:val="bottom"/>
            <w:hideMark/>
          </w:tcPr>
          <w:p w14:paraId="1E7C8256"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40,20</w:t>
            </w:r>
          </w:p>
        </w:tc>
        <w:tc>
          <w:tcPr>
            <w:tcW w:w="924" w:type="dxa"/>
            <w:tcBorders>
              <w:top w:val="nil"/>
              <w:left w:val="nil"/>
              <w:bottom w:val="double" w:sz="6" w:space="0" w:color="auto"/>
              <w:right w:val="double" w:sz="6" w:space="0" w:color="auto"/>
            </w:tcBorders>
            <w:shd w:val="clear" w:color="auto" w:fill="auto"/>
            <w:noWrap/>
            <w:vAlign w:val="bottom"/>
            <w:hideMark/>
          </w:tcPr>
          <w:p w14:paraId="29A0EE8B"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0,49</w:t>
            </w:r>
          </w:p>
        </w:tc>
      </w:tr>
      <w:tr w:rsidR="00C3264D" w14:paraId="2898D405"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01F0E5D5" w14:textId="77777777" w:rsidR="00C3264D" w:rsidRDefault="001379D6">
            <w:pPr>
              <w:spacing w:after="0" w:line="240" w:lineRule="auto"/>
              <w:rPr>
                <w:rFonts w:ascii="Times New Roman" w:eastAsia="Times New Roman" w:hAnsi="Times New Roman"/>
                <w:b/>
                <w:bCs/>
                <w:color w:val="000000"/>
                <w:sz w:val="20"/>
                <w:szCs w:val="20"/>
              </w:rPr>
            </w:pPr>
            <w:r>
              <w:rPr>
                <w:rFonts w:ascii="Times New Roman" w:hAnsi="Times New Roman"/>
                <w:b/>
                <w:bCs/>
                <w:sz w:val="20"/>
                <w:szCs w:val="20"/>
              </w:rPr>
              <w:t>Малта</w:t>
            </w:r>
          </w:p>
        </w:tc>
        <w:tc>
          <w:tcPr>
            <w:tcW w:w="1093" w:type="dxa"/>
            <w:tcBorders>
              <w:top w:val="nil"/>
              <w:left w:val="nil"/>
              <w:bottom w:val="double" w:sz="6" w:space="0" w:color="auto"/>
              <w:right w:val="double" w:sz="6" w:space="0" w:color="auto"/>
            </w:tcBorders>
            <w:shd w:val="clear" w:color="auto" w:fill="auto"/>
            <w:noWrap/>
            <w:vAlign w:val="bottom"/>
            <w:hideMark/>
          </w:tcPr>
          <w:p w14:paraId="11ADBFE6"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0,27</w:t>
            </w:r>
          </w:p>
        </w:tc>
        <w:tc>
          <w:tcPr>
            <w:tcW w:w="1036" w:type="dxa"/>
            <w:tcBorders>
              <w:top w:val="nil"/>
              <w:left w:val="nil"/>
              <w:bottom w:val="double" w:sz="6" w:space="0" w:color="auto"/>
              <w:right w:val="double" w:sz="6" w:space="0" w:color="auto"/>
            </w:tcBorders>
            <w:shd w:val="clear" w:color="auto" w:fill="auto"/>
            <w:noWrap/>
            <w:vAlign w:val="bottom"/>
            <w:hideMark/>
          </w:tcPr>
          <w:p w14:paraId="51A791C7"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24906B1E"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4,47</w:t>
            </w:r>
          </w:p>
        </w:tc>
        <w:tc>
          <w:tcPr>
            <w:tcW w:w="925" w:type="dxa"/>
            <w:tcBorders>
              <w:top w:val="nil"/>
              <w:left w:val="nil"/>
              <w:bottom w:val="double" w:sz="6" w:space="0" w:color="auto"/>
              <w:right w:val="double" w:sz="6" w:space="0" w:color="auto"/>
            </w:tcBorders>
            <w:shd w:val="clear" w:color="auto" w:fill="auto"/>
            <w:noWrap/>
            <w:vAlign w:val="bottom"/>
            <w:hideMark/>
          </w:tcPr>
          <w:p w14:paraId="536A1FFC"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2959E854"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3,81</w:t>
            </w:r>
          </w:p>
        </w:tc>
        <w:tc>
          <w:tcPr>
            <w:tcW w:w="925" w:type="dxa"/>
            <w:tcBorders>
              <w:top w:val="nil"/>
              <w:left w:val="nil"/>
              <w:bottom w:val="double" w:sz="6" w:space="0" w:color="auto"/>
              <w:right w:val="double" w:sz="6" w:space="0" w:color="auto"/>
            </w:tcBorders>
            <w:shd w:val="clear" w:color="auto" w:fill="auto"/>
            <w:noWrap/>
            <w:vAlign w:val="bottom"/>
            <w:hideMark/>
          </w:tcPr>
          <w:p w14:paraId="7932B9ED"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0,10</w:t>
            </w:r>
          </w:p>
        </w:tc>
        <w:tc>
          <w:tcPr>
            <w:tcW w:w="910" w:type="dxa"/>
            <w:tcBorders>
              <w:top w:val="nil"/>
              <w:left w:val="nil"/>
              <w:bottom w:val="double" w:sz="6" w:space="0" w:color="auto"/>
              <w:right w:val="double" w:sz="6" w:space="0" w:color="auto"/>
            </w:tcBorders>
            <w:shd w:val="clear" w:color="auto" w:fill="auto"/>
            <w:noWrap/>
            <w:vAlign w:val="bottom"/>
            <w:hideMark/>
          </w:tcPr>
          <w:p w14:paraId="2A13AA04"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5,62</w:t>
            </w:r>
          </w:p>
        </w:tc>
        <w:tc>
          <w:tcPr>
            <w:tcW w:w="924" w:type="dxa"/>
            <w:tcBorders>
              <w:top w:val="nil"/>
              <w:left w:val="nil"/>
              <w:bottom w:val="double" w:sz="6" w:space="0" w:color="auto"/>
              <w:right w:val="double" w:sz="6" w:space="0" w:color="auto"/>
            </w:tcBorders>
            <w:shd w:val="clear" w:color="auto" w:fill="auto"/>
            <w:noWrap/>
            <w:vAlign w:val="bottom"/>
            <w:hideMark/>
          </w:tcPr>
          <w:p w14:paraId="4F6E2B1A"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0,57</w:t>
            </w:r>
          </w:p>
        </w:tc>
        <w:tc>
          <w:tcPr>
            <w:tcW w:w="892" w:type="dxa"/>
            <w:tcBorders>
              <w:top w:val="nil"/>
              <w:left w:val="nil"/>
              <w:bottom w:val="double" w:sz="6" w:space="0" w:color="auto"/>
              <w:right w:val="double" w:sz="6" w:space="0" w:color="auto"/>
            </w:tcBorders>
            <w:shd w:val="clear" w:color="auto" w:fill="auto"/>
            <w:noWrap/>
            <w:vAlign w:val="bottom"/>
            <w:hideMark/>
          </w:tcPr>
          <w:p w14:paraId="50786181"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4,30</w:t>
            </w:r>
          </w:p>
        </w:tc>
        <w:tc>
          <w:tcPr>
            <w:tcW w:w="925" w:type="dxa"/>
            <w:tcBorders>
              <w:top w:val="nil"/>
              <w:left w:val="nil"/>
              <w:bottom w:val="double" w:sz="6" w:space="0" w:color="auto"/>
              <w:right w:val="double" w:sz="6" w:space="0" w:color="auto"/>
            </w:tcBorders>
            <w:shd w:val="clear" w:color="auto" w:fill="auto"/>
            <w:noWrap/>
            <w:vAlign w:val="bottom"/>
            <w:hideMark/>
          </w:tcPr>
          <w:p w14:paraId="354182A2"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0,16</w:t>
            </w:r>
          </w:p>
        </w:tc>
        <w:tc>
          <w:tcPr>
            <w:tcW w:w="910" w:type="dxa"/>
            <w:tcBorders>
              <w:top w:val="nil"/>
              <w:left w:val="nil"/>
              <w:bottom w:val="double" w:sz="6" w:space="0" w:color="auto"/>
              <w:right w:val="double" w:sz="6" w:space="0" w:color="auto"/>
            </w:tcBorders>
            <w:shd w:val="clear" w:color="auto" w:fill="auto"/>
            <w:noWrap/>
            <w:vAlign w:val="bottom"/>
            <w:hideMark/>
          </w:tcPr>
          <w:p w14:paraId="2D3D427D"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5,78</w:t>
            </w:r>
          </w:p>
        </w:tc>
        <w:tc>
          <w:tcPr>
            <w:tcW w:w="924" w:type="dxa"/>
            <w:tcBorders>
              <w:top w:val="nil"/>
              <w:left w:val="nil"/>
              <w:bottom w:val="double" w:sz="6" w:space="0" w:color="auto"/>
              <w:right w:val="double" w:sz="6" w:space="0" w:color="auto"/>
            </w:tcBorders>
            <w:shd w:val="clear" w:color="auto" w:fill="auto"/>
            <w:noWrap/>
            <w:vAlign w:val="bottom"/>
            <w:hideMark/>
          </w:tcPr>
          <w:p w14:paraId="222C93BF"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0,17</w:t>
            </w:r>
          </w:p>
        </w:tc>
        <w:tc>
          <w:tcPr>
            <w:tcW w:w="966" w:type="dxa"/>
            <w:tcBorders>
              <w:top w:val="nil"/>
              <w:left w:val="nil"/>
              <w:bottom w:val="double" w:sz="6" w:space="0" w:color="auto"/>
              <w:right w:val="double" w:sz="6" w:space="0" w:color="auto"/>
            </w:tcBorders>
            <w:shd w:val="clear" w:color="auto" w:fill="auto"/>
            <w:noWrap/>
            <w:vAlign w:val="bottom"/>
            <w:hideMark/>
          </w:tcPr>
          <w:p w14:paraId="232CD42A"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15,19</w:t>
            </w:r>
          </w:p>
        </w:tc>
        <w:tc>
          <w:tcPr>
            <w:tcW w:w="924" w:type="dxa"/>
            <w:tcBorders>
              <w:top w:val="nil"/>
              <w:left w:val="nil"/>
              <w:bottom w:val="double" w:sz="6" w:space="0" w:color="auto"/>
              <w:right w:val="double" w:sz="6" w:space="0" w:color="auto"/>
            </w:tcBorders>
            <w:shd w:val="clear" w:color="auto" w:fill="auto"/>
            <w:noWrap/>
            <w:vAlign w:val="bottom"/>
            <w:hideMark/>
          </w:tcPr>
          <w:p w14:paraId="09D41791"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0,52</w:t>
            </w:r>
          </w:p>
        </w:tc>
      </w:tr>
      <w:tr w:rsidR="00C3264D" w14:paraId="2196D0F1"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0A0A7C17" w14:textId="77777777" w:rsidR="00C3264D" w:rsidRDefault="001379D6">
            <w:pPr>
              <w:spacing w:after="0" w:line="240" w:lineRule="auto"/>
              <w:rPr>
                <w:rFonts w:ascii="Times New Roman" w:eastAsia="Times New Roman" w:hAnsi="Times New Roman"/>
                <w:b/>
                <w:bCs/>
                <w:color w:val="000000"/>
                <w:sz w:val="20"/>
                <w:szCs w:val="20"/>
              </w:rPr>
            </w:pPr>
            <w:r>
              <w:rPr>
                <w:rFonts w:ascii="Times New Roman" w:hAnsi="Times New Roman"/>
                <w:b/>
                <w:bCs/>
                <w:sz w:val="20"/>
                <w:szCs w:val="20"/>
              </w:rPr>
              <w:t>Нидерландия</w:t>
            </w:r>
          </w:p>
        </w:tc>
        <w:tc>
          <w:tcPr>
            <w:tcW w:w="1093" w:type="dxa"/>
            <w:tcBorders>
              <w:top w:val="nil"/>
              <w:left w:val="nil"/>
              <w:bottom w:val="double" w:sz="6" w:space="0" w:color="auto"/>
              <w:right w:val="double" w:sz="6" w:space="0" w:color="auto"/>
            </w:tcBorders>
            <w:shd w:val="clear" w:color="auto" w:fill="auto"/>
            <w:noWrap/>
            <w:vAlign w:val="bottom"/>
            <w:hideMark/>
          </w:tcPr>
          <w:p w14:paraId="4F4741A4"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25,61</w:t>
            </w:r>
          </w:p>
        </w:tc>
        <w:tc>
          <w:tcPr>
            <w:tcW w:w="1036" w:type="dxa"/>
            <w:tcBorders>
              <w:top w:val="nil"/>
              <w:left w:val="nil"/>
              <w:bottom w:val="double" w:sz="6" w:space="0" w:color="auto"/>
              <w:right w:val="double" w:sz="6" w:space="0" w:color="auto"/>
            </w:tcBorders>
            <w:shd w:val="clear" w:color="auto" w:fill="auto"/>
            <w:noWrap/>
            <w:vAlign w:val="bottom"/>
            <w:hideMark/>
          </w:tcPr>
          <w:p w14:paraId="7BAE0EC2"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5F79350A"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134,24</w:t>
            </w:r>
          </w:p>
        </w:tc>
        <w:tc>
          <w:tcPr>
            <w:tcW w:w="925" w:type="dxa"/>
            <w:tcBorders>
              <w:top w:val="nil"/>
              <w:left w:val="nil"/>
              <w:bottom w:val="double" w:sz="6" w:space="0" w:color="auto"/>
              <w:right w:val="double" w:sz="6" w:space="0" w:color="auto"/>
            </w:tcBorders>
            <w:shd w:val="clear" w:color="auto" w:fill="auto"/>
            <w:noWrap/>
            <w:vAlign w:val="bottom"/>
            <w:hideMark/>
          </w:tcPr>
          <w:p w14:paraId="47F4B78B"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12323374"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125,63</w:t>
            </w:r>
          </w:p>
        </w:tc>
        <w:tc>
          <w:tcPr>
            <w:tcW w:w="925" w:type="dxa"/>
            <w:tcBorders>
              <w:top w:val="nil"/>
              <w:left w:val="nil"/>
              <w:bottom w:val="double" w:sz="6" w:space="0" w:color="auto"/>
              <w:right w:val="double" w:sz="6" w:space="0" w:color="auto"/>
            </w:tcBorders>
            <w:shd w:val="clear" w:color="auto" w:fill="auto"/>
            <w:noWrap/>
            <w:vAlign w:val="bottom"/>
            <w:hideMark/>
          </w:tcPr>
          <w:p w14:paraId="2AECA875"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5,47</w:t>
            </w:r>
          </w:p>
        </w:tc>
        <w:tc>
          <w:tcPr>
            <w:tcW w:w="910" w:type="dxa"/>
            <w:tcBorders>
              <w:top w:val="nil"/>
              <w:left w:val="nil"/>
              <w:bottom w:val="double" w:sz="6" w:space="0" w:color="auto"/>
              <w:right w:val="double" w:sz="6" w:space="0" w:color="auto"/>
            </w:tcBorders>
            <w:shd w:val="clear" w:color="auto" w:fill="auto"/>
            <w:noWrap/>
            <w:vAlign w:val="bottom"/>
            <w:hideMark/>
          </w:tcPr>
          <w:p w14:paraId="540756A3"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183,57</w:t>
            </w:r>
          </w:p>
        </w:tc>
        <w:tc>
          <w:tcPr>
            <w:tcW w:w="924" w:type="dxa"/>
            <w:tcBorders>
              <w:top w:val="nil"/>
              <w:left w:val="nil"/>
              <w:bottom w:val="double" w:sz="6" w:space="0" w:color="auto"/>
              <w:right w:val="double" w:sz="6" w:space="0" w:color="auto"/>
            </w:tcBorders>
            <w:shd w:val="clear" w:color="auto" w:fill="auto"/>
            <w:noWrap/>
            <w:vAlign w:val="bottom"/>
            <w:hideMark/>
          </w:tcPr>
          <w:p w14:paraId="389385A7"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3,68</w:t>
            </w:r>
          </w:p>
        </w:tc>
        <w:tc>
          <w:tcPr>
            <w:tcW w:w="892" w:type="dxa"/>
            <w:tcBorders>
              <w:top w:val="nil"/>
              <w:left w:val="nil"/>
              <w:bottom w:val="double" w:sz="6" w:space="0" w:color="auto"/>
              <w:right w:val="double" w:sz="6" w:space="0" w:color="auto"/>
            </w:tcBorders>
            <w:shd w:val="clear" w:color="auto" w:fill="auto"/>
            <w:noWrap/>
            <w:vAlign w:val="bottom"/>
            <w:hideMark/>
          </w:tcPr>
          <w:p w14:paraId="0E7B3ABA"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141,59</w:t>
            </w:r>
          </w:p>
        </w:tc>
        <w:tc>
          <w:tcPr>
            <w:tcW w:w="925" w:type="dxa"/>
            <w:tcBorders>
              <w:top w:val="nil"/>
              <w:left w:val="nil"/>
              <w:bottom w:val="double" w:sz="6" w:space="0" w:color="auto"/>
              <w:right w:val="double" w:sz="6" w:space="0" w:color="auto"/>
            </w:tcBorders>
            <w:shd w:val="clear" w:color="auto" w:fill="auto"/>
            <w:noWrap/>
            <w:vAlign w:val="bottom"/>
            <w:hideMark/>
          </w:tcPr>
          <w:p w14:paraId="2888A9FE"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1,01</w:t>
            </w:r>
          </w:p>
        </w:tc>
        <w:tc>
          <w:tcPr>
            <w:tcW w:w="910" w:type="dxa"/>
            <w:tcBorders>
              <w:top w:val="nil"/>
              <w:left w:val="nil"/>
              <w:bottom w:val="double" w:sz="6" w:space="0" w:color="auto"/>
              <w:right w:val="double" w:sz="6" w:space="0" w:color="auto"/>
            </w:tcBorders>
            <w:shd w:val="clear" w:color="auto" w:fill="auto"/>
            <w:noWrap/>
            <w:vAlign w:val="bottom"/>
            <w:hideMark/>
          </w:tcPr>
          <w:p w14:paraId="1DEE4680"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189,63</w:t>
            </w:r>
          </w:p>
        </w:tc>
        <w:tc>
          <w:tcPr>
            <w:tcW w:w="924" w:type="dxa"/>
            <w:tcBorders>
              <w:top w:val="nil"/>
              <w:left w:val="nil"/>
              <w:bottom w:val="double" w:sz="6" w:space="0" w:color="auto"/>
              <w:right w:val="double" w:sz="6" w:space="0" w:color="auto"/>
            </w:tcBorders>
            <w:shd w:val="clear" w:color="auto" w:fill="auto"/>
            <w:noWrap/>
            <w:vAlign w:val="bottom"/>
            <w:hideMark/>
          </w:tcPr>
          <w:p w14:paraId="59134C14"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1,07</w:t>
            </w:r>
          </w:p>
        </w:tc>
        <w:tc>
          <w:tcPr>
            <w:tcW w:w="966" w:type="dxa"/>
            <w:tcBorders>
              <w:top w:val="nil"/>
              <w:left w:val="nil"/>
              <w:bottom w:val="double" w:sz="6" w:space="0" w:color="auto"/>
              <w:right w:val="double" w:sz="6" w:space="0" w:color="auto"/>
            </w:tcBorders>
            <w:shd w:val="clear" w:color="auto" w:fill="auto"/>
            <w:noWrap/>
            <w:vAlign w:val="bottom"/>
            <w:hideMark/>
          </w:tcPr>
          <w:p w14:paraId="545A8237"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500,84</w:t>
            </w:r>
          </w:p>
        </w:tc>
        <w:tc>
          <w:tcPr>
            <w:tcW w:w="924" w:type="dxa"/>
            <w:tcBorders>
              <w:top w:val="nil"/>
              <w:left w:val="nil"/>
              <w:bottom w:val="double" w:sz="6" w:space="0" w:color="auto"/>
              <w:right w:val="double" w:sz="6" w:space="0" w:color="auto"/>
            </w:tcBorders>
            <w:shd w:val="clear" w:color="auto" w:fill="auto"/>
            <w:noWrap/>
            <w:vAlign w:val="bottom"/>
            <w:hideMark/>
          </w:tcPr>
          <w:p w14:paraId="2F4267DA"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3,37</w:t>
            </w:r>
          </w:p>
        </w:tc>
      </w:tr>
      <w:tr w:rsidR="00C3264D" w14:paraId="7BDEB409"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31DA709D" w14:textId="77777777" w:rsidR="00C3264D" w:rsidRDefault="001379D6">
            <w:pPr>
              <w:spacing w:after="0" w:line="240" w:lineRule="auto"/>
              <w:rPr>
                <w:rFonts w:ascii="Times New Roman" w:eastAsia="Times New Roman" w:hAnsi="Times New Roman"/>
                <w:b/>
                <w:bCs/>
                <w:color w:val="000000"/>
                <w:sz w:val="20"/>
                <w:szCs w:val="20"/>
              </w:rPr>
            </w:pPr>
            <w:r>
              <w:rPr>
                <w:rFonts w:ascii="Times New Roman" w:hAnsi="Times New Roman"/>
                <w:b/>
                <w:bCs/>
                <w:sz w:val="20"/>
                <w:szCs w:val="20"/>
              </w:rPr>
              <w:t>Полша</w:t>
            </w:r>
          </w:p>
        </w:tc>
        <w:tc>
          <w:tcPr>
            <w:tcW w:w="1093" w:type="dxa"/>
            <w:tcBorders>
              <w:top w:val="nil"/>
              <w:left w:val="nil"/>
              <w:bottom w:val="double" w:sz="6" w:space="0" w:color="auto"/>
              <w:right w:val="double" w:sz="6" w:space="0" w:color="auto"/>
            </w:tcBorders>
            <w:shd w:val="clear" w:color="auto" w:fill="auto"/>
            <w:noWrap/>
            <w:vAlign w:val="bottom"/>
            <w:hideMark/>
          </w:tcPr>
          <w:p w14:paraId="241F0051"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1036" w:type="dxa"/>
            <w:tcBorders>
              <w:top w:val="nil"/>
              <w:left w:val="nil"/>
              <w:bottom w:val="double" w:sz="6" w:space="0" w:color="auto"/>
              <w:right w:val="double" w:sz="6" w:space="0" w:color="auto"/>
            </w:tcBorders>
            <w:shd w:val="clear" w:color="auto" w:fill="auto"/>
            <w:noWrap/>
            <w:vAlign w:val="bottom"/>
            <w:hideMark/>
          </w:tcPr>
          <w:p w14:paraId="545BEFA0"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6604C2E9"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244,02</w:t>
            </w:r>
          </w:p>
        </w:tc>
        <w:tc>
          <w:tcPr>
            <w:tcW w:w="925" w:type="dxa"/>
            <w:tcBorders>
              <w:top w:val="nil"/>
              <w:left w:val="nil"/>
              <w:bottom w:val="double" w:sz="6" w:space="0" w:color="auto"/>
              <w:right w:val="double" w:sz="6" w:space="0" w:color="auto"/>
            </w:tcBorders>
            <w:shd w:val="clear" w:color="auto" w:fill="auto"/>
            <w:noWrap/>
            <w:vAlign w:val="bottom"/>
            <w:hideMark/>
          </w:tcPr>
          <w:p w14:paraId="5FB6532A"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70A14906"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78,01</w:t>
            </w:r>
          </w:p>
        </w:tc>
        <w:tc>
          <w:tcPr>
            <w:tcW w:w="925" w:type="dxa"/>
            <w:tcBorders>
              <w:top w:val="nil"/>
              <w:left w:val="nil"/>
              <w:bottom w:val="double" w:sz="6" w:space="0" w:color="auto"/>
              <w:right w:val="double" w:sz="6" w:space="0" w:color="auto"/>
            </w:tcBorders>
            <w:shd w:val="clear" w:color="auto" w:fill="auto"/>
            <w:noWrap/>
            <w:vAlign w:val="bottom"/>
            <w:hideMark/>
          </w:tcPr>
          <w:p w14:paraId="767B520E"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910" w:type="dxa"/>
            <w:tcBorders>
              <w:top w:val="nil"/>
              <w:left w:val="nil"/>
              <w:bottom w:val="double" w:sz="6" w:space="0" w:color="auto"/>
              <w:right w:val="double" w:sz="6" w:space="0" w:color="auto"/>
            </w:tcBorders>
            <w:shd w:val="clear" w:color="auto" w:fill="auto"/>
            <w:noWrap/>
            <w:vAlign w:val="bottom"/>
            <w:hideMark/>
          </w:tcPr>
          <w:p w14:paraId="7407CC0F"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129,84</w:t>
            </w:r>
          </w:p>
        </w:tc>
        <w:tc>
          <w:tcPr>
            <w:tcW w:w="924" w:type="dxa"/>
            <w:tcBorders>
              <w:top w:val="nil"/>
              <w:left w:val="nil"/>
              <w:bottom w:val="double" w:sz="6" w:space="0" w:color="auto"/>
              <w:right w:val="double" w:sz="6" w:space="0" w:color="auto"/>
            </w:tcBorders>
            <w:shd w:val="clear" w:color="auto" w:fill="auto"/>
            <w:noWrap/>
            <w:vAlign w:val="bottom"/>
            <w:hideMark/>
          </w:tcPr>
          <w:p w14:paraId="6A2C47B8"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2,98</w:t>
            </w:r>
          </w:p>
        </w:tc>
        <w:tc>
          <w:tcPr>
            <w:tcW w:w="892" w:type="dxa"/>
            <w:tcBorders>
              <w:top w:val="nil"/>
              <w:left w:val="nil"/>
              <w:bottom w:val="double" w:sz="6" w:space="0" w:color="auto"/>
              <w:right w:val="double" w:sz="6" w:space="0" w:color="auto"/>
            </w:tcBorders>
            <w:shd w:val="clear" w:color="auto" w:fill="auto"/>
            <w:noWrap/>
            <w:vAlign w:val="bottom"/>
            <w:hideMark/>
          </w:tcPr>
          <w:p w14:paraId="3FC849D1"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135,57</w:t>
            </w:r>
          </w:p>
        </w:tc>
        <w:tc>
          <w:tcPr>
            <w:tcW w:w="925" w:type="dxa"/>
            <w:tcBorders>
              <w:top w:val="nil"/>
              <w:left w:val="nil"/>
              <w:bottom w:val="double" w:sz="6" w:space="0" w:color="auto"/>
              <w:right w:val="double" w:sz="6" w:space="0" w:color="auto"/>
            </w:tcBorders>
            <w:shd w:val="clear" w:color="auto" w:fill="auto"/>
            <w:noWrap/>
            <w:vAlign w:val="bottom"/>
            <w:hideMark/>
          </w:tcPr>
          <w:p w14:paraId="01C4A6F4"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0,58</w:t>
            </w:r>
          </w:p>
        </w:tc>
        <w:tc>
          <w:tcPr>
            <w:tcW w:w="910" w:type="dxa"/>
            <w:tcBorders>
              <w:top w:val="nil"/>
              <w:left w:val="nil"/>
              <w:bottom w:val="double" w:sz="6" w:space="0" w:color="auto"/>
              <w:right w:val="double" w:sz="6" w:space="0" w:color="auto"/>
            </w:tcBorders>
            <w:shd w:val="clear" w:color="auto" w:fill="auto"/>
            <w:noWrap/>
            <w:vAlign w:val="bottom"/>
            <w:hideMark/>
          </w:tcPr>
          <w:p w14:paraId="704591D0"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505,31</w:t>
            </w:r>
          </w:p>
        </w:tc>
        <w:tc>
          <w:tcPr>
            <w:tcW w:w="924" w:type="dxa"/>
            <w:tcBorders>
              <w:top w:val="nil"/>
              <w:left w:val="nil"/>
              <w:bottom w:val="double" w:sz="6" w:space="0" w:color="auto"/>
              <w:right w:val="double" w:sz="6" w:space="0" w:color="auto"/>
            </w:tcBorders>
            <w:shd w:val="clear" w:color="auto" w:fill="auto"/>
            <w:noWrap/>
            <w:vAlign w:val="bottom"/>
            <w:hideMark/>
          </w:tcPr>
          <w:p w14:paraId="37F7DB17"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0,69</w:t>
            </w:r>
          </w:p>
        </w:tc>
        <w:tc>
          <w:tcPr>
            <w:tcW w:w="966" w:type="dxa"/>
            <w:tcBorders>
              <w:top w:val="nil"/>
              <w:left w:val="nil"/>
              <w:bottom w:val="double" w:sz="6" w:space="0" w:color="auto"/>
              <w:right w:val="double" w:sz="6" w:space="0" w:color="auto"/>
            </w:tcBorders>
            <w:shd w:val="clear" w:color="auto" w:fill="auto"/>
            <w:noWrap/>
            <w:vAlign w:val="bottom"/>
            <w:hideMark/>
          </w:tcPr>
          <w:p w14:paraId="3A9CDBF2"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1 209,98</w:t>
            </w:r>
          </w:p>
        </w:tc>
        <w:tc>
          <w:tcPr>
            <w:tcW w:w="924" w:type="dxa"/>
            <w:tcBorders>
              <w:top w:val="nil"/>
              <w:left w:val="nil"/>
              <w:bottom w:val="double" w:sz="6" w:space="0" w:color="auto"/>
              <w:right w:val="double" w:sz="6" w:space="0" w:color="auto"/>
            </w:tcBorders>
            <w:shd w:val="clear" w:color="auto" w:fill="auto"/>
            <w:noWrap/>
            <w:vAlign w:val="bottom"/>
            <w:hideMark/>
          </w:tcPr>
          <w:p w14:paraId="2EAE9D8B"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1,59</w:t>
            </w:r>
          </w:p>
        </w:tc>
      </w:tr>
      <w:tr w:rsidR="00C3264D" w14:paraId="050298E8"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29ADB59B" w14:textId="77777777" w:rsidR="00C3264D" w:rsidRDefault="001379D6">
            <w:pPr>
              <w:spacing w:after="0" w:line="240" w:lineRule="auto"/>
              <w:rPr>
                <w:rFonts w:ascii="Times New Roman" w:eastAsia="Times New Roman" w:hAnsi="Times New Roman"/>
                <w:b/>
                <w:bCs/>
                <w:color w:val="000000"/>
                <w:sz w:val="20"/>
                <w:szCs w:val="20"/>
              </w:rPr>
            </w:pPr>
            <w:r>
              <w:rPr>
                <w:rFonts w:ascii="Times New Roman" w:hAnsi="Times New Roman"/>
                <w:b/>
                <w:bCs/>
                <w:sz w:val="20"/>
                <w:szCs w:val="20"/>
              </w:rPr>
              <w:t>Португалия</w:t>
            </w:r>
          </w:p>
        </w:tc>
        <w:tc>
          <w:tcPr>
            <w:tcW w:w="1093" w:type="dxa"/>
            <w:tcBorders>
              <w:top w:val="nil"/>
              <w:left w:val="nil"/>
              <w:bottom w:val="double" w:sz="6" w:space="0" w:color="auto"/>
              <w:right w:val="double" w:sz="6" w:space="0" w:color="auto"/>
            </w:tcBorders>
            <w:shd w:val="clear" w:color="auto" w:fill="auto"/>
            <w:noWrap/>
            <w:vAlign w:val="bottom"/>
            <w:hideMark/>
          </w:tcPr>
          <w:p w14:paraId="081CCA5D"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10,65</w:t>
            </w:r>
          </w:p>
        </w:tc>
        <w:tc>
          <w:tcPr>
            <w:tcW w:w="1036" w:type="dxa"/>
            <w:tcBorders>
              <w:top w:val="nil"/>
              <w:left w:val="nil"/>
              <w:bottom w:val="double" w:sz="6" w:space="0" w:color="auto"/>
              <w:right w:val="double" w:sz="6" w:space="0" w:color="auto"/>
            </w:tcBorders>
            <w:shd w:val="clear" w:color="auto" w:fill="auto"/>
            <w:noWrap/>
            <w:vAlign w:val="bottom"/>
            <w:hideMark/>
          </w:tcPr>
          <w:p w14:paraId="538BF719"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3B936574"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72,78</w:t>
            </w:r>
          </w:p>
        </w:tc>
        <w:tc>
          <w:tcPr>
            <w:tcW w:w="925" w:type="dxa"/>
            <w:tcBorders>
              <w:top w:val="nil"/>
              <w:left w:val="nil"/>
              <w:bottom w:val="double" w:sz="6" w:space="0" w:color="auto"/>
              <w:right w:val="double" w:sz="6" w:space="0" w:color="auto"/>
            </w:tcBorders>
            <w:shd w:val="clear" w:color="auto" w:fill="auto"/>
            <w:noWrap/>
            <w:vAlign w:val="bottom"/>
            <w:hideMark/>
          </w:tcPr>
          <w:p w14:paraId="20A7F825"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66E77795"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65,82</w:t>
            </w:r>
          </w:p>
        </w:tc>
        <w:tc>
          <w:tcPr>
            <w:tcW w:w="925" w:type="dxa"/>
            <w:tcBorders>
              <w:top w:val="nil"/>
              <w:left w:val="nil"/>
              <w:bottom w:val="double" w:sz="6" w:space="0" w:color="auto"/>
              <w:right w:val="double" w:sz="6" w:space="0" w:color="auto"/>
            </w:tcBorders>
            <w:shd w:val="clear" w:color="auto" w:fill="auto"/>
            <w:noWrap/>
            <w:vAlign w:val="bottom"/>
            <w:hideMark/>
          </w:tcPr>
          <w:p w14:paraId="58E38EA8"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1,27</w:t>
            </w:r>
          </w:p>
        </w:tc>
        <w:tc>
          <w:tcPr>
            <w:tcW w:w="910" w:type="dxa"/>
            <w:tcBorders>
              <w:top w:val="nil"/>
              <w:left w:val="nil"/>
              <w:bottom w:val="double" w:sz="6" w:space="0" w:color="auto"/>
              <w:right w:val="double" w:sz="6" w:space="0" w:color="auto"/>
            </w:tcBorders>
            <w:shd w:val="clear" w:color="auto" w:fill="auto"/>
            <w:noWrap/>
            <w:vAlign w:val="bottom"/>
            <w:hideMark/>
          </w:tcPr>
          <w:p w14:paraId="2CE4A2B7"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96,32</w:t>
            </w:r>
          </w:p>
        </w:tc>
        <w:tc>
          <w:tcPr>
            <w:tcW w:w="924" w:type="dxa"/>
            <w:tcBorders>
              <w:top w:val="nil"/>
              <w:left w:val="nil"/>
              <w:bottom w:val="double" w:sz="6" w:space="0" w:color="auto"/>
              <w:right w:val="double" w:sz="6" w:space="0" w:color="auto"/>
            </w:tcBorders>
            <w:shd w:val="clear" w:color="auto" w:fill="auto"/>
            <w:noWrap/>
            <w:vAlign w:val="bottom"/>
            <w:hideMark/>
          </w:tcPr>
          <w:p w14:paraId="5A431E98"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2,89</w:t>
            </w:r>
          </w:p>
        </w:tc>
        <w:tc>
          <w:tcPr>
            <w:tcW w:w="892" w:type="dxa"/>
            <w:tcBorders>
              <w:top w:val="nil"/>
              <w:left w:val="nil"/>
              <w:bottom w:val="double" w:sz="6" w:space="0" w:color="auto"/>
              <w:right w:val="double" w:sz="6" w:space="0" w:color="auto"/>
            </w:tcBorders>
            <w:shd w:val="clear" w:color="auto" w:fill="auto"/>
            <w:noWrap/>
            <w:vAlign w:val="bottom"/>
            <w:hideMark/>
          </w:tcPr>
          <w:p w14:paraId="5BF99E6F"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74,29</w:t>
            </w:r>
          </w:p>
        </w:tc>
        <w:tc>
          <w:tcPr>
            <w:tcW w:w="925" w:type="dxa"/>
            <w:tcBorders>
              <w:top w:val="nil"/>
              <w:left w:val="nil"/>
              <w:bottom w:val="double" w:sz="6" w:space="0" w:color="auto"/>
              <w:right w:val="double" w:sz="6" w:space="0" w:color="auto"/>
            </w:tcBorders>
            <w:shd w:val="clear" w:color="auto" w:fill="auto"/>
            <w:noWrap/>
            <w:vAlign w:val="bottom"/>
            <w:hideMark/>
          </w:tcPr>
          <w:p w14:paraId="123FF3C6"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0,79</w:t>
            </w:r>
          </w:p>
        </w:tc>
        <w:tc>
          <w:tcPr>
            <w:tcW w:w="910" w:type="dxa"/>
            <w:tcBorders>
              <w:top w:val="nil"/>
              <w:left w:val="nil"/>
              <w:bottom w:val="double" w:sz="6" w:space="0" w:color="auto"/>
              <w:right w:val="double" w:sz="6" w:space="0" w:color="auto"/>
            </w:tcBorders>
            <w:shd w:val="clear" w:color="auto" w:fill="auto"/>
            <w:noWrap/>
            <w:vAlign w:val="bottom"/>
            <w:hideMark/>
          </w:tcPr>
          <w:p w14:paraId="3A77B88A"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99,50</w:t>
            </w:r>
          </w:p>
        </w:tc>
        <w:tc>
          <w:tcPr>
            <w:tcW w:w="924" w:type="dxa"/>
            <w:tcBorders>
              <w:top w:val="nil"/>
              <w:left w:val="nil"/>
              <w:bottom w:val="double" w:sz="6" w:space="0" w:color="auto"/>
              <w:right w:val="double" w:sz="6" w:space="0" w:color="auto"/>
            </w:tcBorders>
            <w:shd w:val="clear" w:color="auto" w:fill="auto"/>
            <w:noWrap/>
            <w:vAlign w:val="bottom"/>
            <w:hideMark/>
          </w:tcPr>
          <w:p w14:paraId="1DEF5629"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0,85</w:t>
            </w:r>
          </w:p>
        </w:tc>
        <w:tc>
          <w:tcPr>
            <w:tcW w:w="966" w:type="dxa"/>
            <w:tcBorders>
              <w:top w:val="nil"/>
              <w:left w:val="nil"/>
              <w:bottom w:val="double" w:sz="6" w:space="0" w:color="auto"/>
              <w:right w:val="double" w:sz="6" w:space="0" w:color="auto"/>
            </w:tcBorders>
            <w:shd w:val="clear" w:color="auto" w:fill="auto"/>
            <w:noWrap/>
            <w:vAlign w:val="bottom"/>
            <w:hideMark/>
          </w:tcPr>
          <w:p w14:paraId="01C91613"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262,96</w:t>
            </w:r>
          </w:p>
        </w:tc>
        <w:tc>
          <w:tcPr>
            <w:tcW w:w="924" w:type="dxa"/>
            <w:tcBorders>
              <w:top w:val="nil"/>
              <w:left w:val="nil"/>
              <w:bottom w:val="double" w:sz="6" w:space="0" w:color="auto"/>
              <w:right w:val="double" w:sz="6" w:space="0" w:color="auto"/>
            </w:tcBorders>
            <w:shd w:val="clear" w:color="auto" w:fill="auto"/>
            <w:noWrap/>
            <w:vAlign w:val="bottom"/>
            <w:hideMark/>
          </w:tcPr>
          <w:p w14:paraId="1A608CB4"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2,65</w:t>
            </w:r>
          </w:p>
        </w:tc>
      </w:tr>
      <w:tr w:rsidR="00C3264D" w14:paraId="2A9CA838"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4FB0B9A6" w14:textId="77777777" w:rsidR="00C3264D" w:rsidRDefault="001379D6">
            <w:pPr>
              <w:spacing w:after="0" w:line="240" w:lineRule="auto"/>
              <w:rPr>
                <w:rFonts w:ascii="Times New Roman" w:eastAsia="Times New Roman" w:hAnsi="Times New Roman"/>
                <w:b/>
                <w:bCs/>
                <w:color w:val="000000"/>
                <w:sz w:val="20"/>
                <w:szCs w:val="20"/>
              </w:rPr>
            </w:pPr>
            <w:r>
              <w:rPr>
                <w:rFonts w:ascii="Times New Roman" w:hAnsi="Times New Roman"/>
                <w:b/>
                <w:bCs/>
                <w:sz w:val="20"/>
                <w:szCs w:val="20"/>
              </w:rPr>
              <w:t>Румъния</w:t>
            </w:r>
          </w:p>
        </w:tc>
        <w:tc>
          <w:tcPr>
            <w:tcW w:w="1093" w:type="dxa"/>
            <w:tcBorders>
              <w:top w:val="nil"/>
              <w:left w:val="nil"/>
              <w:bottom w:val="double" w:sz="6" w:space="0" w:color="auto"/>
              <w:right w:val="double" w:sz="6" w:space="0" w:color="auto"/>
            </w:tcBorders>
            <w:shd w:val="clear" w:color="auto" w:fill="auto"/>
            <w:noWrap/>
            <w:vAlign w:val="bottom"/>
            <w:hideMark/>
          </w:tcPr>
          <w:p w14:paraId="49CEE614"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39,71</w:t>
            </w:r>
          </w:p>
        </w:tc>
        <w:tc>
          <w:tcPr>
            <w:tcW w:w="1036" w:type="dxa"/>
            <w:tcBorders>
              <w:top w:val="nil"/>
              <w:left w:val="nil"/>
              <w:bottom w:val="double" w:sz="6" w:space="0" w:color="auto"/>
              <w:right w:val="double" w:sz="6" w:space="0" w:color="auto"/>
            </w:tcBorders>
            <w:shd w:val="clear" w:color="auto" w:fill="auto"/>
            <w:noWrap/>
            <w:vAlign w:val="bottom"/>
            <w:hideMark/>
          </w:tcPr>
          <w:p w14:paraId="215D5FC4"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162F9528"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122,74</w:t>
            </w:r>
          </w:p>
        </w:tc>
        <w:tc>
          <w:tcPr>
            <w:tcW w:w="925" w:type="dxa"/>
            <w:tcBorders>
              <w:top w:val="nil"/>
              <w:left w:val="nil"/>
              <w:bottom w:val="double" w:sz="6" w:space="0" w:color="auto"/>
              <w:right w:val="double" w:sz="6" w:space="0" w:color="auto"/>
            </w:tcBorders>
            <w:shd w:val="clear" w:color="auto" w:fill="auto"/>
            <w:noWrap/>
            <w:vAlign w:val="bottom"/>
            <w:hideMark/>
          </w:tcPr>
          <w:p w14:paraId="3A79E6CA"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7197A341"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97,57</w:t>
            </w:r>
          </w:p>
        </w:tc>
        <w:tc>
          <w:tcPr>
            <w:tcW w:w="925" w:type="dxa"/>
            <w:tcBorders>
              <w:top w:val="nil"/>
              <w:left w:val="nil"/>
              <w:bottom w:val="double" w:sz="6" w:space="0" w:color="auto"/>
              <w:right w:val="double" w:sz="6" w:space="0" w:color="auto"/>
            </w:tcBorders>
            <w:shd w:val="clear" w:color="auto" w:fill="auto"/>
            <w:noWrap/>
            <w:vAlign w:val="bottom"/>
            <w:hideMark/>
          </w:tcPr>
          <w:p w14:paraId="615EE694"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0,32</w:t>
            </w:r>
          </w:p>
        </w:tc>
        <w:tc>
          <w:tcPr>
            <w:tcW w:w="910" w:type="dxa"/>
            <w:tcBorders>
              <w:top w:val="nil"/>
              <w:left w:val="nil"/>
              <w:bottom w:val="double" w:sz="6" w:space="0" w:color="auto"/>
              <w:right w:val="double" w:sz="6" w:space="0" w:color="auto"/>
            </w:tcBorders>
            <w:shd w:val="clear" w:color="auto" w:fill="auto"/>
            <w:noWrap/>
            <w:vAlign w:val="bottom"/>
            <w:hideMark/>
          </w:tcPr>
          <w:p w14:paraId="10C0A03F"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193,62</w:t>
            </w:r>
          </w:p>
        </w:tc>
        <w:tc>
          <w:tcPr>
            <w:tcW w:w="924" w:type="dxa"/>
            <w:tcBorders>
              <w:top w:val="nil"/>
              <w:left w:val="nil"/>
              <w:bottom w:val="double" w:sz="6" w:space="0" w:color="auto"/>
              <w:right w:val="double" w:sz="6" w:space="0" w:color="auto"/>
            </w:tcBorders>
            <w:shd w:val="clear" w:color="auto" w:fill="auto"/>
            <w:noWrap/>
            <w:vAlign w:val="bottom"/>
            <w:hideMark/>
          </w:tcPr>
          <w:p w14:paraId="48D05A9E"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1,60</w:t>
            </w:r>
          </w:p>
        </w:tc>
        <w:tc>
          <w:tcPr>
            <w:tcW w:w="892" w:type="dxa"/>
            <w:tcBorders>
              <w:top w:val="nil"/>
              <w:left w:val="nil"/>
              <w:bottom w:val="double" w:sz="6" w:space="0" w:color="auto"/>
              <w:right w:val="double" w:sz="6" w:space="0" w:color="auto"/>
            </w:tcBorders>
            <w:shd w:val="clear" w:color="auto" w:fill="auto"/>
            <w:noWrap/>
            <w:vAlign w:val="bottom"/>
            <w:hideMark/>
          </w:tcPr>
          <w:p w14:paraId="7C312F0B"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193,56</w:t>
            </w:r>
          </w:p>
        </w:tc>
        <w:tc>
          <w:tcPr>
            <w:tcW w:w="925" w:type="dxa"/>
            <w:tcBorders>
              <w:top w:val="nil"/>
              <w:left w:val="nil"/>
              <w:bottom w:val="double" w:sz="6" w:space="0" w:color="auto"/>
              <w:right w:val="double" w:sz="6" w:space="0" w:color="auto"/>
            </w:tcBorders>
            <w:shd w:val="clear" w:color="auto" w:fill="auto"/>
            <w:noWrap/>
            <w:vAlign w:val="bottom"/>
            <w:hideMark/>
          </w:tcPr>
          <w:p w14:paraId="05E6BC6D"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0,44</w:t>
            </w:r>
          </w:p>
        </w:tc>
        <w:tc>
          <w:tcPr>
            <w:tcW w:w="910" w:type="dxa"/>
            <w:tcBorders>
              <w:top w:val="nil"/>
              <w:left w:val="nil"/>
              <w:bottom w:val="double" w:sz="6" w:space="0" w:color="auto"/>
              <w:right w:val="double" w:sz="6" w:space="0" w:color="auto"/>
            </w:tcBorders>
            <w:shd w:val="clear" w:color="auto" w:fill="auto"/>
            <w:noWrap/>
            <w:vAlign w:val="bottom"/>
            <w:hideMark/>
          </w:tcPr>
          <w:p w14:paraId="7FD745C9"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260,29</w:t>
            </w:r>
          </w:p>
        </w:tc>
        <w:tc>
          <w:tcPr>
            <w:tcW w:w="924" w:type="dxa"/>
            <w:tcBorders>
              <w:top w:val="nil"/>
              <w:left w:val="nil"/>
              <w:bottom w:val="double" w:sz="6" w:space="0" w:color="auto"/>
              <w:right w:val="double" w:sz="6" w:space="0" w:color="auto"/>
            </w:tcBorders>
            <w:shd w:val="clear" w:color="auto" w:fill="auto"/>
            <w:noWrap/>
            <w:vAlign w:val="bottom"/>
            <w:hideMark/>
          </w:tcPr>
          <w:p w14:paraId="009D25F6"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0,47</w:t>
            </w:r>
          </w:p>
        </w:tc>
        <w:tc>
          <w:tcPr>
            <w:tcW w:w="966" w:type="dxa"/>
            <w:tcBorders>
              <w:top w:val="nil"/>
              <w:left w:val="nil"/>
              <w:bottom w:val="double" w:sz="6" w:space="0" w:color="auto"/>
              <w:right w:val="double" w:sz="6" w:space="0" w:color="auto"/>
            </w:tcBorders>
            <w:shd w:val="clear" w:color="auto" w:fill="auto"/>
            <w:noWrap/>
            <w:vAlign w:val="bottom"/>
            <w:hideMark/>
          </w:tcPr>
          <w:p w14:paraId="27C5FE40"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717,64</w:t>
            </w:r>
          </w:p>
        </w:tc>
        <w:tc>
          <w:tcPr>
            <w:tcW w:w="924" w:type="dxa"/>
            <w:tcBorders>
              <w:top w:val="nil"/>
              <w:left w:val="nil"/>
              <w:bottom w:val="double" w:sz="6" w:space="0" w:color="auto"/>
              <w:right w:val="double" w:sz="6" w:space="0" w:color="auto"/>
            </w:tcBorders>
            <w:shd w:val="clear" w:color="auto" w:fill="auto"/>
            <w:noWrap/>
            <w:vAlign w:val="bottom"/>
            <w:hideMark/>
          </w:tcPr>
          <w:p w14:paraId="71B79359"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1,45</w:t>
            </w:r>
          </w:p>
        </w:tc>
      </w:tr>
      <w:tr w:rsidR="00C3264D" w14:paraId="62DE47F9"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56EE3759" w14:textId="77777777" w:rsidR="00C3264D" w:rsidRDefault="001379D6">
            <w:pPr>
              <w:spacing w:after="0" w:line="240" w:lineRule="auto"/>
              <w:rPr>
                <w:rFonts w:ascii="Times New Roman" w:eastAsia="Times New Roman" w:hAnsi="Times New Roman"/>
                <w:b/>
                <w:bCs/>
                <w:color w:val="000000"/>
                <w:sz w:val="20"/>
                <w:szCs w:val="20"/>
              </w:rPr>
            </w:pPr>
            <w:r>
              <w:rPr>
                <w:rFonts w:ascii="Times New Roman" w:hAnsi="Times New Roman"/>
                <w:b/>
                <w:bCs/>
                <w:sz w:val="20"/>
                <w:szCs w:val="20"/>
              </w:rPr>
              <w:t>Швеция</w:t>
            </w:r>
          </w:p>
        </w:tc>
        <w:tc>
          <w:tcPr>
            <w:tcW w:w="1093" w:type="dxa"/>
            <w:tcBorders>
              <w:top w:val="nil"/>
              <w:left w:val="nil"/>
              <w:bottom w:val="double" w:sz="6" w:space="0" w:color="auto"/>
              <w:right w:val="double" w:sz="6" w:space="0" w:color="auto"/>
            </w:tcBorders>
            <w:shd w:val="clear" w:color="auto" w:fill="auto"/>
            <w:noWrap/>
            <w:vAlign w:val="bottom"/>
            <w:hideMark/>
          </w:tcPr>
          <w:p w14:paraId="0BCE245B"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7,07</w:t>
            </w:r>
          </w:p>
        </w:tc>
        <w:tc>
          <w:tcPr>
            <w:tcW w:w="1036" w:type="dxa"/>
            <w:tcBorders>
              <w:top w:val="nil"/>
              <w:left w:val="nil"/>
              <w:bottom w:val="double" w:sz="6" w:space="0" w:color="auto"/>
              <w:right w:val="double" w:sz="6" w:space="0" w:color="auto"/>
            </w:tcBorders>
            <w:shd w:val="clear" w:color="auto" w:fill="auto"/>
            <w:noWrap/>
            <w:vAlign w:val="bottom"/>
            <w:hideMark/>
          </w:tcPr>
          <w:p w14:paraId="7E55746C"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2F604A5F"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35,67</w:t>
            </w:r>
          </w:p>
        </w:tc>
        <w:tc>
          <w:tcPr>
            <w:tcW w:w="925" w:type="dxa"/>
            <w:tcBorders>
              <w:top w:val="nil"/>
              <w:left w:val="nil"/>
              <w:bottom w:val="double" w:sz="6" w:space="0" w:color="auto"/>
              <w:right w:val="double" w:sz="6" w:space="0" w:color="auto"/>
            </w:tcBorders>
            <w:shd w:val="clear" w:color="auto" w:fill="auto"/>
            <w:noWrap/>
            <w:vAlign w:val="bottom"/>
            <w:hideMark/>
          </w:tcPr>
          <w:p w14:paraId="1C11F129"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775D72C8"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33,34</w:t>
            </w:r>
          </w:p>
        </w:tc>
        <w:tc>
          <w:tcPr>
            <w:tcW w:w="925" w:type="dxa"/>
            <w:tcBorders>
              <w:top w:val="nil"/>
              <w:left w:val="nil"/>
              <w:bottom w:val="double" w:sz="6" w:space="0" w:color="auto"/>
              <w:right w:val="double" w:sz="6" w:space="0" w:color="auto"/>
            </w:tcBorders>
            <w:shd w:val="clear" w:color="auto" w:fill="auto"/>
            <w:noWrap/>
            <w:vAlign w:val="bottom"/>
            <w:hideMark/>
          </w:tcPr>
          <w:p w14:paraId="57094808"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1,02</w:t>
            </w:r>
          </w:p>
        </w:tc>
        <w:tc>
          <w:tcPr>
            <w:tcW w:w="910" w:type="dxa"/>
            <w:tcBorders>
              <w:top w:val="nil"/>
              <w:left w:val="nil"/>
              <w:bottom w:val="double" w:sz="6" w:space="0" w:color="auto"/>
              <w:right w:val="double" w:sz="6" w:space="0" w:color="auto"/>
            </w:tcBorders>
            <w:shd w:val="clear" w:color="auto" w:fill="auto"/>
            <w:noWrap/>
            <w:vAlign w:val="bottom"/>
            <w:hideMark/>
          </w:tcPr>
          <w:p w14:paraId="1A1D51F8"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48,79</w:t>
            </w:r>
          </w:p>
        </w:tc>
        <w:tc>
          <w:tcPr>
            <w:tcW w:w="924" w:type="dxa"/>
            <w:tcBorders>
              <w:top w:val="nil"/>
              <w:left w:val="nil"/>
              <w:bottom w:val="double" w:sz="6" w:space="0" w:color="auto"/>
              <w:right w:val="double" w:sz="6" w:space="0" w:color="auto"/>
            </w:tcBorders>
            <w:shd w:val="clear" w:color="auto" w:fill="auto"/>
            <w:noWrap/>
            <w:vAlign w:val="bottom"/>
            <w:hideMark/>
          </w:tcPr>
          <w:p w14:paraId="71DE629E"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3,63</w:t>
            </w:r>
          </w:p>
        </w:tc>
        <w:tc>
          <w:tcPr>
            <w:tcW w:w="892" w:type="dxa"/>
            <w:tcBorders>
              <w:top w:val="nil"/>
              <w:left w:val="nil"/>
              <w:bottom w:val="double" w:sz="6" w:space="0" w:color="auto"/>
              <w:right w:val="double" w:sz="6" w:space="0" w:color="auto"/>
            </w:tcBorders>
            <w:shd w:val="clear" w:color="auto" w:fill="auto"/>
            <w:noWrap/>
            <w:vAlign w:val="bottom"/>
            <w:hideMark/>
          </w:tcPr>
          <w:p w14:paraId="7B7A4B32"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37,61</w:t>
            </w:r>
          </w:p>
        </w:tc>
        <w:tc>
          <w:tcPr>
            <w:tcW w:w="925" w:type="dxa"/>
            <w:tcBorders>
              <w:top w:val="nil"/>
              <w:left w:val="nil"/>
              <w:bottom w:val="double" w:sz="6" w:space="0" w:color="auto"/>
              <w:right w:val="double" w:sz="6" w:space="0" w:color="auto"/>
            </w:tcBorders>
            <w:shd w:val="clear" w:color="auto" w:fill="auto"/>
            <w:noWrap/>
            <w:vAlign w:val="bottom"/>
            <w:hideMark/>
          </w:tcPr>
          <w:p w14:paraId="1DA3AA7D"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1,00</w:t>
            </w:r>
          </w:p>
        </w:tc>
        <w:tc>
          <w:tcPr>
            <w:tcW w:w="910" w:type="dxa"/>
            <w:tcBorders>
              <w:top w:val="nil"/>
              <w:left w:val="nil"/>
              <w:bottom w:val="double" w:sz="6" w:space="0" w:color="auto"/>
              <w:right w:val="double" w:sz="6" w:space="0" w:color="auto"/>
            </w:tcBorders>
            <w:shd w:val="clear" w:color="auto" w:fill="auto"/>
            <w:noWrap/>
            <w:vAlign w:val="bottom"/>
            <w:hideMark/>
          </w:tcPr>
          <w:p w14:paraId="2AD0317D"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50,45</w:t>
            </w:r>
          </w:p>
        </w:tc>
        <w:tc>
          <w:tcPr>
            <w:tcW w:w="924" w:type="dxa"/>
            <w:tcBorders>
              <w:top w:val="nil"/>
              <w:left w:val="nil"/>
              <w:bottom w:val="double" w:sz="6" w:space="0" w:color="auto"/>
              <w:right w:val="double" w:sz="6" w:space="0" w:color="auto"/>
            </w:tcBorders>
            <w:shd w:val="clear" w:color="auto" w:fill="auto"/>
            <w:noWrap/>
            <w:vAlign w:val="bottom"/>
            <w:hideMark/>
          </w:tcPr>
          <w:p w14:paraId="1007451B"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1,06</w:t>
            </w:r>
          </w:p>
        </w:tc>
        <w:tc>
          <w:tcPr>
            <w:tcW w:w="966" w:type="dxa"/>
            <w:tcBorders>
              <w:top w:val="nil"/>
              <w:left w:val="nil"/>
              <w:bottom w:val="double" w:sz="6" w:space="0" w:color="auto"/>
              <w:right w:val="double" w:sz="6" w:space="0" w:color="auto"/>
            </w:tcBorders>
            <w:shd w:val="clear" w:color="auto" w:fill="auto"/>
            <w:noWrap/>
            <w:vAlign w:val="bottom"/>
            <w:hideMark/>
          </w:tcPr>
          <w:p w14:paraId="01F2D53C"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132,98</w:t>
            </w:r>
          </w:p>
        </w:tc>
        <w:tc>
          <w:tcPr>
            <w:tcW w:w="924" w:type="dxa"/>
            <w:tcBorders>
              <w:top w:val="nil"/>
              <w:left w:val="nil"/>
              <w:bottom w:val="double" w:sz="6" w:space="0" w:color="auto"/>
              <w:right w:val="double" w:sz="6" w:space="0" w:color="auto"/>
            </w:tcBorders>
            <w:shd w:val="clear" w:color="auto" w:fill="auto"/>
            <w:noWrap/>
            <w:vAlign w:val="bottom"/>
            <w:hideMark/>
          </w:tcPr>
          <w:p w14:paraId="5BEB09A8"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3,34</w:t>
            </w:r>
          </w:p>
        </w:tc>
      </w:tr>
      <w:tr w:rsidR="00C3264D" w14:paraId="7EDD487F"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047C196A" w14:textId="77777777" w:rsidR="00C3264D" w:rsidRDefault="001379D6">
            <w:pPr>
              <w:spacing w:after="0" w:line="240" w:lineRule="auto"/>
              <w:rPr>
                <w:rFonts w:ascii="Times New Roman" w:eastAsia="Times New Roman" w:hAnsi="Times New Roman"/>
                <w:b/>
                <w:bCs/>
                <w:color w:val="000000"/>
                <w:sz w:val="20"/>
                <w:szCs w:val="20"/>
              </w:rPr>
            </w:pPr>
            <w:r>
              <w:rPr>
                <w:rFonts w:ascii="Times New Roman" w:hAnsi="Times New Roman"/>
                <w:b/>
                <w:bCs/>
                <w:sz w:val="20"/>
                <w:szCs w:val="20"/>
              </w:rPr>
              <w:t>Словения</w:t>
            </w:r>
          </w:p>
        </w:tc>
        <w:tc>
          <w:tcPr>
            <w:tcW w:w="1093" w:type="dxa"/>
            <w:tcBorders>
              <w:top w:val="nil"/>
              <w:left w:val="nil"/>
              <w:bottom w:val="double" w:sz="6" w:space="0" w:color="auto"/>
              <w:right w:val="double" w:sz="6" w:space="0" w:color="auto"/>
            </w:tcBorders>
            <w:shd w:val="clear" w:color="auto" w:fill="auto"/>
            <w:noWrap/>
            <w:vAlign w:val="bottom"/>
            <w:hideMark/>
          </w:tcPr>
          <w:p w14:paraId="27E7B7F3"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3,51</w:t>
            </w:r>
          </w:p>
        </w:tc>
        <w:tc>
          <w:tcPr>
            <w:tcW w:w="1036" w:type="dxa"/>
            <w:tcBorders>
              <w:top w:val="nil"/>
              <w:left w:val="nil"/>
              <w:bottom w:val="double" w:sz="6" w:space="0" w:color="auto"/>
              <w:right w:val="double" w:sz="6" w:space="0" w:color="auto"/>
            </w:tcBorders>
            <w:shd w:val="clear" w:color="auto" w:fill="auto"/>
            <w:noWrap/>
            <w:vAlign w:val="bottom"/>
            <w:hideMark/>
          </w:tcPr>
          <w:p w14:paraId="7F88A0D7"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378F67D2"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17,74</w:t>
            </w:r>
          </w:p>
        </w:tc>
        <w:tc>
          <w:tcPr>
            <w:tcW w:w="925" w:type="dxa"/>
            <w:tcBorders>
              <w:top w:val="nil"/>
              <w:left w:val="nil"/>
              <w:bottom w:val="double" w:sz="6" w:space="0" w:color="auto"/>
              <w:right w:val="double" w:sz="6" w:space="0" w:color="auto"/>
            </w:tcBorders>
            <w:shd w:val="clear" w:color="auto" w:fill="auto"/>
            <w:noWrap/>
            <w:vAlign w:val="bottom"/>
            <w:hideMark/>
          </w:tcPr>
          <w:p w14:paraId="138EA5C1"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62799502"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16,59</w:t>
            </w:r>
          </w:p>
        </w:tc>
        <w:tc>
          <w:tcPr>
            <w:tcW w:w="925" w:type="dxa"/>
            <w:tcBorders>
              <w:top w:val="nil"/>
              <w:left w:val="nil"/>
              <w:bottom w:val="double" w:sz="6" w:space="0" w:color="auto"/>
              <w:right w:val="double" w:sz="6" w:space="0" w:color="auto"/>
            </w:tcBorders>
            <w:shd w:val="clear" w:color="auto" w:fill="auto"/>
            <w:noWrap/>
            <w:vAlign w:val="bottom"/>
            <w:hideMark/>
          </w:tcPr>
          <w:p w14:paraId="6D565AE5"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0,05</w:t>
            </w:r>
          </w:p>
        </w:tc>
        <w:tc>
          <w:tcPr>
            <w:tcW w:w="910" w:type="dxa"/>
            <w:tcBorders>
              <w:top w:val="nil"/>
              <w:left w:val="nil"/>
              <w:bottom w:val="double" w:sz="6" w:space="0" w:color="auto"/>
              <w:right w:val="double" w:sz="6" w:space="0" w:color="auto"/>
            </w:tcBorders>
            <w:shd w:val="clear" w:color="auto" w:fill="auto"/>
            <w:noWrap/>
            <w:vAlign w:val="bottom"/>
            <w:hideMark/>
          </w:tcPr>
          <w:p w14:paraId="24E9F5FC"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24,28</w:t>
            </w:r>
          </w:p>
        </w:tc>
        <w:tc>
          <w:tcPr>
            <w:tcW w:w="924" w:type="dxa"/>
            <w:tcBorders>
              <w:top w:val="nil"/>
              <w:left w:val="nil"/>
              <w:bottom w:val="double" w:sz="6" w:space="0" w:color="auto"/>
              <w:right w:val="double" w:sz="6" w:space="0" w:color="auto"/>
            </w:tcBorders>
            <w:shd w:val="clear" w:color="auto" w:fill="auto"/>
            <w:noWrap/>
            <w:vAlign w:val="bottom"/>
            <w:hideMark/>
          </w:tcPr>
          <w:p w14:paraId="3E8E8283"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0,14</w:t>
            </w:r>
          </w:p>
        </w:tc>
        <w:tc>
          <w:tcPr>
            <w:tcW w:w="892" w:type="dxa"/>
            <w:tcBorders>
              <w:top w:val="nil"/>
              <w:left w:val="nil"/>
              <w:bottom w:val="double" w:sz="6" w:space="0" w:color="auto"/>
              <w:right w:val="double" w:sz="6" w:space="0" w:color="auto"/>
            </w:tcBorders>
            <w:shd w:val="clear" w:color="auto" w:fill="auto"/>
            <w:noWrap/>
            <w:vAlign w:val="bottom"/>
            <w:hideMark/>
          </w:tcPr>
          <w:p w14:paraId="7C31BDBE"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18,70</w:t>
            </w:r>
          </w:p>
        </w:tc>
        <w:tc>
          <w:tcPr>
            <w:tcW w:w="925" w:type="dxa"/>
            <w:tcBorders>
              <w:top w:val="nil"/>
              <w:left w:val="nil"/>
              <w:bottom w:val="double" w:sz="6" w:space="0" w:color="auto"/>
              <w:right w:val="double" w:sz="6" w:space="0" w:color="auto"/>
            </w:tcBorders>
            <w:shd w:val="clear" w:color="auto" w:fill="auto"/>
            <w:noWrap/>
            <w:vAlign w:val="bottom"/>
            <w:hideMark/>
          </w:tcPr>
          <w:p w14:paraId="1B492048"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0,04</w:t>
            </w:r>
          </w:p>
        </w:tc>
        <w:tc>
          <w:tcPr>
            <w:tcW w:w="910" w:type="dxa"/>
            <w:tcBorders>
              <w:top w:val="nil"/>
              <w:left w:val="nil"/>
              <w:bottom w:val="double" w:sz="6" w:space="0" w:color="auto"/>
              <w:right w:val="double" w:sz="6" w:space="0" w:color="auto"/>
            </w:tcBorders>
            <w:shd w:val="clear" w:color="auto" w:fill="auto"/>
            <w:noWrap/>
            <w:vAlign w:val="bottom"/>
            <w:hideMark/>
          </w:tcPr>
          <w:p w14:paraId="5F68202E"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25,05</w:t>
            </w:r>
          </w:p>
        </w:tc>
        <w:tc>
          <w:tcPr>
            <w:tcW w:w="924" w:type="dxa"/>
            <w:tcBorders>
              <w:top w:val="nil"/>
              <w:left w:val="nil"/>
              <w:bottom w:val="double" w:sz="6" w:space="0" w:color="auto"/>
              <w:right w:val="double" w:sz="6" w:space="0" w:color="auto"/>
            </w:tcBorders>
            <w:shd w:val="clear" w:color="auto" w:fill="auto"/>
            <w:noWrap/>
            <w:vAlign w:val="bottom"/>
            <w:hideMark/>
          </w:tcPr>
          <w:p w14:paraId="38A75D21"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0,04</w:t>
            </w:r>
          </w:p>
        </w:tc>
        <w:tc>
          <w:tcPr>
            <w:tcW w:w="966" w:type="dxa"/>
            <w:tcBorders>
              <w:top w:val="nil"/>
              <w:left w:val="nil"/>
              <w:bottom w:val="double" w:sz="6" w:space="0" w:color="auto"/>
              <w:right w:val="double" w:sz="6" w:space="0" w:color="auto"/>
            </w:tcBorders>
            <w:shd w:val="clear" w:color="auto" w:fill="auto"/>
            <w:noWrap/>
            <w:vAlign w:val="bottom"/>
            <w:hideMark/>
          </w:tcPr>
          <w:p w14:paraId="07AC7B5B"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66,19</w:t>
            </w:r>
          </w:p>
        </w:tc>
        <w:tc>
          <w:tcPr>
            <w:tcW w:w="924" w:type="dxa"/>
            <w:tcBorders>
              <w:top w:val="nil"/>
              <w:left w:val="nil"/>
              <w:bottom w:val="double" w:sz="6" w:space="0" w:color="auto"/>
              <w:right w:val="double" w:sz="6" w:space="0" w:color="auto"/>
            </w:tcBorders>
            <w:shd w:val="clear" w:color="auto" w:fill="auto"/>
            <w:noWrap/>
            <w:vAlign w:val="bottom"/>
            <w:hideMark/>
          </w:tcPr>
          <w:p w14:paraId="7F0506A8"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0,12</w:t>
            </w:r>
          </w:p>
        </w:tc>
      </w:tr>
      <w:tr w:rsidR="00C3264D" w14:paraId="23811E79"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0A333EE1" w14:textId="77777777" w:rsidR="00C3264D" w:rsidRDefault="001379D6">
            <w:pPr>
              <w:spacing w:after="0" w:line="240" w:lineRule="auto"/>
              <w:rPr>
                <w:rFonts w:ascii="Times New Roman" w:eastAsia="Times New Roman" w:hAnsi="Times New Roman"/>
                <w:b/>
                <w:bCs/>
                <w:color w:val="000000"/>
                <w:sz w:val="20"/>
                <w:szCs w:val="20"/>
              </w:rPr>
            </w:pPr>
            <w:r>
              <w:rPr>
                <w:rFonts w:ascii="Times New Roman" w:hAnsi="Times New Roman"/>
                <w:b/>
                <w:bCs/>
                <w:sz w:val="20"/>
                <w:szCs w:val="20"/>
              </w:rPr>
              <w:t>Словакия</w:t>
            </w:r>
          </w:p>
        </w:tc>
        <w:tc>
          <w:tcPr>
            <w:tcW w:w="1093" w:type="dxa"/>
            <w:tcBorders>
              <w:top w:val="nil"/>
              <w:left w:val="nil"/>
              <w:bottom w:val="double" w:sz="6" w:space="0" w:color="auto"/>
              <w:right w:val="double" w:sz="6" w:space="0" w:color="auto"/>
            </w:tcBorders>
            <w:shd w:val="clear" w:color="auto" w:fill="auto"/>
            <w:noWrap/>
            <w:vAlign w:val="bottom"/>
            <w:hideMark/>
          </w:tcPr>
          <w:p w14:paraId="6AFFF243"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12,19</w:t>
            </w:r>
          </w:p>
        </w:tc>
        <w:tc>
          <w:tcPr>
            <w:tcW w:w="1036" w:type="dxa"/>
            <w:tcBorders>
              <w:top w:val="nil"/>
              <w:left w:val="nil"/>
              <w:bottom w:val="double" w:sz="6" w:space="0" w:color="auto"/>
              <w:right w:val="double" w:sz="6" w:space="0" w:color="auto"/>
            </w:tcBorders>
            <w:shd w:val="clear" w:color="auto" w:fill="auto"/>
            <w:noWrap/>
            <w:vAlign w:val="bottom"/>
            <w:hideMark/>
          </w:tcPr>
          <w:p w14:paraId="77FDDAD7"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60C15686"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61,70</w:t>
            </w:r>
          </w:p>
        </w:tc>
        <w:tc>
          <w:tcPr>
            <w:tcW w:w="925" w:type="dxa"/>
            <w:tcBorders>
              <w:top w:val="nil"/>
              <w:left w:val="nil"/>
              <w:bottom w:val="double" w:sz="6" w:space="0" w:color="auto"/>
              <w:right w:val="double" w:sz="6" w:space="0" w:color="auto"/>
            </w:tcBorders>
            <w:shd w:val="clear" w:color="auto" w:fill="auto"/>
            <w:noWrap/>
            <w:vAlign w:val="bottom"/>
            <w:hideMark/>
          </w:tcPr>
          <w:p w14:paraId="74214C96"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3C8404A3"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57,59</w:t>
            </w:r>
          </w:p>
        </w:tc>
        <w:tc>
          <w:tcPr>
            <w:tcW w:w="925" w:type="dxa"/>
            <w:tcBorders>
              <w:top w:val="nil"/>
              <w:left w:val="nil"/>
              <w:bottom w:val="double" w:sz="6" w:space="0" w:color="auto"/>
              <w:right w:val="double" w:sz="6" w:space="0" w:color="auto"/>
            </w:tcBorders>
            <w:shd w:val="clear" w:color="auto" w:fill="auto"/>
            <w:noWrap/>
            <w:vAlign w:val="bottom"/>
            <w:hideMark/>
          </w:tcPr>
          <w:p w14:paraId="2FB2BBA8"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0,04</w:t>
            </w:r>
          </w:p>
        </w:tc>
        <w:tc>
          <w:tcPr>
            <w:tcW w:w="910" w:type="dxa"/>
            <w:tcBorders>
              <w:top w:val="nil"/>
              <w:left w:val="nil"/>
              <w:bottom w:val="double" w:sz="6" w:space="0" w:color="auto"/>
              <w:right w:val="double" w:sz="6" w:space="0" w:color="auto"/>
            </w:tcBorders>
            <w:shd w:val="clear" w:color="auto" w:fill="auto"/>
            <w:noWrap/>
            <w:vAlign w:val="bottom"/>
            <w:hideMark/>
          </w:tcPr>
          <w:p w14:paraId="76D5D8B8"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84,31</w:t>
            </w:r>
          </w:p>
        </w:tc>
        <w:tc>
          <w:tcPr>
            <w:tcW w:w="924" w:type="dxa"/>
            <w:tcBorders>
              <w:top w:val="nil"/>
              <w:left w:val="nil"/>
              <w:bottom w:val="double" w:sz="6" w:space="0" w:color="auto"/>
              <w:right w:val="double" w:sz="6" w:space="0" w:color="auto"/>
            </w:tcBorders>
            <w:shd w:val="clear" w:color="auto" w:fill="auto"/>
            <w:noWrap/>
            <w:vAlign w:val="bottom"/>
            <w:hideMark/>
          </w:tcPr>
          <w:p w14:paraId="04E80FFF"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0,20</w:t>
            </w:r>
          </w:p>
        </w:tc>
        <w:tc>
          <w:tcPr>
            <w:tcW w:w="892" w:type="dxa"/>
            <w:tcBorders>
              <w:top w:val="nil"/>
              <w:left w:val="nil"/>
              <w:bottom w:val="double" w:sz="6" w:space="0" w:color="auto"/>
              <w:right w:val="double" w:sz="6" w:space="0" w:color="auto"/>
            </w:tcBorders>
            <w:shd w:val="clear" w:color="auto" w:fill="auto"/>
            <w:noWrap/>
            <w:vAlign w:val="bottom"/>
            <w:hideMark/>
          </w:tcPr>
          <w:p w14:paraId="55BA5492"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64,99</w:t>
            </w:r>
          </w:p>
        </w:tc>
        <w:tc>
          <w:tcPr>
            <w:tcW w:w="925" w:type="dxa"/>
            <w:tcBorders>
              <w:top w:val="nil"/>
              <w:left w:val="nil"/>
              <w:bottom w:val="double" w:sz="6" w:space="0" w:color="auto"/>
              <w:right w:val="double" w:sz="6" w:space="0" w:color="auto"/>
            </w:tcBorders>
            <w:shd w:val="clear" w:color="auto" w:fill="auto"/>
            <w:noWrap/>
            <w:vAlign w:val="bottom"/>
            <w:hideMark/>
          </w:tcPr>
          <w:p w14:paraId="684B41F3"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0,06</w:t>
            </w:r>
          </w:p>
        </w:tc>
        <w:tc>
          <w:tcPr>
            <w:tcW w:w="910" w:type="dxa"/>
            <w:tcBorders>
              <w:top w:val="nil"/>
              <w:left w:val="nil"/>
              <w:bottom w:val="double" w:sz="6" w:space="0" w:color="auto"/>
              <w:right w:val="double" w:sz="6" w:space="0" w:color="auto"/>
            </w:tcBorders>
            <w:shd w:val="clear" w:color="auto" w:fill="auto"/>
            <w:noWrap/>
            <w:vAlign w:val="bottom"/>
            <w:hideMark/>
          </w:tcPr>
          <w:p w14:paraId="2A2DEA1C"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87,01</w:t>
            </w:r>
          </w:p>
        </w:tc>
        <w:tc>
          <w:tcPr>
            <w:tcW w:w="924" w:type="dxa"/>
            <w:tcBorders>
              <w:top w:val="nil"/>
              <w:left w:val="nil"/>
              <w:bottom w:val="double" w:sz="6" w:space="0" w:color="auto"/>
              <w:right w:val="double" w:sz="6" w:space="0" w:color="auto"/>
            </w:tcBorders>
            <w:shd w:val="clear" w:color="auto" w:fill="auto"/>
            <w:noWrap/>
            <w:vAlign w:val="bottom"/>
            <w:hideMark/>
          </w:tcPr>
          <w:p w14:paraId="3E7AFE0D"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0,06</w:t>
            </w:r>
          </w:p>
        </w:tc>
        <w:tc>
          <w:tcPr>
            <w:tcW w:w="966" w:type="dxa"/>
            <w:tcBorders>
              <w:top w:val="nil"/>
              <w:left w:val="nil"/>
              <w:bottom w:val="double" w:sz="6" w:space="0" w:color="auto"/>
              <w:right w:val="double" w:sz="6" w:space="0" w:color="auto"/>
            </w:tcBorders>
            <w:shd w:val="clear" w:color="auto" w:fill="auto"/>
            <w:noWrap/>
            <w:vAlign w:val="bottom"/>
            <w:hideMark/>
          </w:tcPr>
          <w:p w14:paraId="0F711650"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229,74</w:t>
            </w:r>
          </w:p>
        </w:tc>
        <w:tc>
          <w:tcPr>
            <w:tcW w:w="924" w:type="dxa"/>
            <w:tcBorders>
              <w:top w:val="nil"/>
              <w:left w:val="nil"/>
              <w:bottom w:val="double" w:sz="6" w:space="0" w:color="auto"/>
              <w:right w:val="double" w:sz="6" w:space="0" w:color="auto"/>
            </w:tcBorders>
            <w:shd w:val="clear" w:color="auto" w:fill="auto"/>
            <w:noWrap/>
            <w:vAlign w:val="bottom"/>
            <w:hideMark/>
          </w:tcPr>
          <w:p w14:paraId="0071A986"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0,18</w:t>
            </w:r>
          </w:p>
        </w:tc>
      </w:tr>
      <w:tr w:rsidR="00C3264D" w14:paraId="71FB89F9" w14:textId="77777777" w:rsidTr="00516F65">
        <w:trPr>
          <w:trHeight w:val="373"/>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2B7AC28E" w14:textId="77777777" w:rsidR="00C3264D" w:rsidRDefault="001379D6">
            <w:pPr>
              <w:spacing w:after="0" w:line="240" w:lineRule="auto"/>
              <w:rPr>
                <w:rFonts w:ascii="Times New Roman" w:eastAsia="Times New Roman" w:hAnsi="Times New Roman"/>
                <w:b/>
                <w:bCs/>
                <w:color w:val="000000"/>
                <w:sz w:val="20"/>
                <w:szCs w:val="20"/>
              </w:rPr>
            </w:pPr>
            <w:r>
              <w:rPr>
                <w:rFonts w:ascii="Times New Roman" w:hAnsi="Times New Roman"/>
                <w:b/>
                <w:bCs/>
                <w:sz w:val="20"/>
                <w:szCs w:val="20"/>
              </w:rPr>
              <w:t>Обединено кралство</w:t>
            </w:r>
          </w:p>
        </w:tc>
        <w:tc>
          <w:tcPr>
            <w:tcW w:w="1093" w:type="dxa"/>
            <w:tcBorders>
              <w:top w:val="nil"/>
              <w:left w:val="nil"/>
              <w:bottom w:val="double" w:sz="6" w:space="0" w:color="auto"/>
              <w:right w:val="double" w:sz="6" w:space="0" w:color="auto"/>
            </w:tcBorders>
            <w:shd w:val="clear" w:color="auto" w:fill="auto"/>
            <w:noWrap/>
            <w:vAlign w:val="bottom"/>
            <w:hideMark/>
          </w:tcPr>
          <w:p w14:paraId="1F868237"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75,74</w:t>
            </w:r>
          </w:p>
        </w:tc>
        <w:tc>
          <w:tcPr>
            <w:tcW w:w="1036" w:type="dxa"/>
            <w:tcBorders>
              <w:top w:val="nil"/>
              <w:left w:val="nil"/>
              <w:bottom w:val="double" w:sz="6" w:space="0" w:color="auto"/>
              <w:right w:val="double" w:sz="6" w:space="0" w:color="auto"/>
            </w:tcBorders>
            <w:shd w:val="clear" w:color="auto" w:fill="auto"/>
            <w:noWrap/>
            <w:vAlign w:val="bottom"/>
            <w:hideMark/>
          </w:tcPr>
          <w:p w14:paraId="063E31CB"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1B08DE40"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409,63</w:t>
            </w:r>
          </w:p>
        </w:tc>
        <w:tc>
          <w:tcPr>
            <w:tcW w:w="925" w:type="dxa"/>
            <w:tcBorders>
              <w:top w:val="nil"/>
              <w:left w:val="nil"/>
              <w:bottom w:val="double" w:sz="6" w:space="0" w:color="auto"/>
              <w:right w:val="double" w:sz="6" w:space="0" w:color="auto"/>
            </w:tcBorders>
            <w:shd w:val="clear" w:color="auto" w:fill="auto"/>
            <w:noWrap/>
            <w:vAlign w:val="bottom"/>
            <w:hideMark/>
          </w:tcPr>
          <w:p w14:paraId="3E430080"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2B76F605"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387,42</w:t>
            </w:r>
          </w:p>
        </w:tc>
        <w:tc>
          <w:tcPr>
            <w:tcW w:w="925" w:type="dxa"/>
            <w:tcBorders>
              <w:top w:val="nil"/>
              <w:left w:val="nil"/>
              <w:bottom w:val="double" w:sz="6" w:space="0" w:color="auto"/>
              <w:right w:val="double" w:sz="6" w:space="0" w:color="auto"/>
            </w:tcBorders>
            <w:shd w:val="clear" w:color="auto" w:fill="auto"/>
            <w:noWrap/>
            <w:vAlign w:val="bottom"/>
            <w:hideMark/>
          </w:tcPr>
          <w:p w14:paraId="0DC8F2F0"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14,08</w:t>
            </w:r>
          </w:p>
        </w:tc>
        <w:tc>
          <w:tcPr>
            <w:tcW w:w="910" w:type="dxa"/>
            <w:tcBorders>
              <w:top w:val="nil"/>
              <w:left w:val="nil"/>
              <w:bottom w:val="double" w:sz="6" w:space="0" w:color="auto"/>
              <w:right w:val="double" w:sz="6" w:space="0" w:color="auto"/>
            </w:tcBorders>
            <w:shd w:val="clear" w:color="auto" w:fill="auto"/>
            <w:noWrap/>
            <w:vAlign w:val="bottom"/>
            <w:hideMark/>
          </w:tcPr>
          <w:p w14:paraId="711CA1D9"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567,72</w:t>
            </w:r>
          </w:p>
        </w:tc>
        <w:tc>
          <w:tcPr>
            <w:tcW w:w="924" w:type="dxa"/>
            <w:tcBorders>
              <w:top w:val="nil"/>
              <w:left w:val="nil"/>
              <w:bottom w:val="double" w:sz="6" w:space="0" w:color="auto"/>
              <w:right w:val="double" w:sz="6" w:space="0" w:color="auto"/>
            </w:tcBorders>
            <w:shd w:val="clear" w:color="auto" w:fill="auto"/>
            <w:noWrap/>
            <w:vAlign w:val="bottom"/>
            <w:hideMark/>
          </w:tcPr>
          <w:p w14:paraId="7279F8AA"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18,54</w:t>
            </w:r>
          </w:p>
        </w:tc>
        <w:tc>
          <w:tcPr>
            <w:tcW w:w="892" w:type="dxa"/>
            <w:tcBorders>
              <w:top w:val="nil"/>
              <w:left w:val="nil"/>
              <w:bottom w:val="double" w:sz="6" w:space="0" w:color="auto"/>
              <w:right w:val="double" w:sz="6" w:space="0" w:color="auto"/>
            </w:tcBorders>
            <w:shd w:val="clear" w:color="auto" w:fill="auto"/>
            <w:noWrap/>
            <w:vAlign w:val="bottom"/>
            <w:hideMark/>
          </w:tcPr>
          <w:p w14:paraId="4C459542"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418,96</w:t>
            </w:r>
          </w:p>
        </w:tc>
        <w:tc>
          <w:tcPr>
            <w:tcW w:w="925" w:type="dxa"/>
            <w:tcBorders>
              <w:top w:val="nil"/>
              <w:left w:val="nil"/>
              <w:bottom w:val="double" w:sz="6" w:space="0" w:color="auto"/>
              <w:right w:val="double" w:sz="6" w:space="0" w:color="auto"/>
            </w:tcBorders>
            <w:shd w:val="clear" w:color="auto" w:fill="auto"/>
            <w:noWrap/>
            <w:vAlign w:val="bottom"/>
            <w:hideMark/>
          </w:tcPr>
          <w:p w14:paraId="247BD66D"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5,37</w:t>
            </w:r>
          </w:p>
        </w:tc>
        <w:tc>
          <w:tcPr>
            <w:tcW w:w="910" w:type="dxa"/>
            <w:tcBorders>
              <w:top w:val="nil"/>
              <w:left w:val="nil"/>
              <w:bottom w:val="double" w:sz="6" w:space="0" w:color="auto"/>
              <w:right w:val="double" w:sz="6" w:space="0" w:color="auto"/>
            </w:tcBorders>
            <w:shd w:val="clear" w:color="auto" w:fill="auto"/>
            <w:noWrap/>
            <w:vAlign w:val="bottom"/>
            <w:hideMark/>
          </w:tcPr>
          <w:p w14:paraId="3DDDD815"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604,02</w:t>
            </w:r>
          </w:p>
        </w:tc>
        <w:tc>
          <w:tcPr>
            <w:tcW w:w="924" w:type="dxa"/>
            <w:tcBorders>
              <w:top w:val="nil"/>
              <w:left w:val="nil"/>
              <w:bottom w:val="double" w:sz="6" w:space="0" w:color="auto"/>
              <w:right w:val="double" w:sz="6" w:space="0" w:color="auto"/>
            </w:tcBorders>
            <w:shd w:val="clear" w:color="auto" w:fill="auto"/>
            <w:noWrap/>
            <w:vAlign w:val="bottom"/>
            <w:hideMark/>
          </w:tcPr>
          <w:p w14:paraId="02B77839"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5,30</w:t>
            </w:r>
          </w:p>
        </w:tc>
        <w:tc>
          <w:tcPr>
            <w:tcW w:w="966" w:type="dxa"/>
            <w:tcBorders>
              <w:top w:val="nil"/>
              <w:left w:val="nil"/>
              <w:bottom w:val="double" w:sz="6" w:space="0" w:color="auto"/>
              <w:right w:val="double" w:sz="6" w:space="0" w:color="auto"/>
            </w:tcBorders>
            <w:shd w:val="clear" w:color="auto" w:fill="auto"/>
            <w:noWrap/>
            <w:vAlign w:val="bottom"/>
            <w:hideMark/>
          </w:tcPr>
          <w:p w14:paraId="538BC6F9"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1 607,32</w:t>
            </w:r>
          </w:p>
        </w:tc>
        <w:tc>
          <w:tcPr>
            <w:tcW w:w="924" w:type="dxa"/>
            <w:tcBorders>
              <w:top w:val="nil"/>
              <w:left w:val="nil"/>
              <w:bottom w:val="double" w:sz="6" w:space="0" w:color="auto"/>
              <w:right w:val="double" w:sz="6" w:space="0" w:color="auto"/>
            </w:tcBorders>
            <w:shd w:val="clear" w:color="auto" w:fill="auto"/>
            <w:noWrap/>
            <w:vAlign w:val="bottom"/>
            <w:hideMark/>
          </w:tcPr>
          <w:p w14:paraId="345D1501" w14:textId="77777777" w:rsidR="00C3264D"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r>
      <w:tr w:rsidR="00C3264D" w14:paraId="0D3F8AFB" w14:textId="77777777" w:rsidTr="00516F65">
        <w:trPr>
          <w:trHeight w:val="315"/>
        </w:trPr>
        <w:tc>
          <w:tcPr>
            <w:tcW w:w="917" w:type="dxa"/>
            <w:tcBorders>
              <w:top w:val="double" w:sz="4" w:space="0" w:color="auto"/>
              <w:left w:val="double" w:sz="6" w:space="0" w:color="auto"/>
              <w:bottom w:val="double" w:sz="6" w:space="0" w:color="auto"/>
              <w:right w:val="double" w:sz="6" w:space="0" w:color="auto"/>
            </w:tcBorders>
            <w:shd w:val="clear" w:color="auto" w:fill="auto"/>
            <w:noWrap/>
            <w:vAlign w:val="bottom"/>
          </w:tcPr>
          <w:p w14:paraId="59E901A7" w14:textId="77777777" w:rsidR="00C3264D" w:rsidRDefault="00B014E1">
            <w:pPr>
              <w:spacing w:after="0" w:line="240" w:lineRule="auto"/>
              <w:rPr>
                <w:rFonts w:ascii="Times New Roman" w:eastAsia="Times New Roman" w:hAnsi="Times New Roman"/>
                <w:b/>
                <w:bCs/>
                <w:color w:val="000000"/>
                <w:sz w:val="20"/>
                <w:szCs w:val="20"/>
              </w:rPr>
            </w:pPr>
            <w:r>
              <w:rPr>
                <w:rFonts w:ascii="Times New Roman" w:hAnsi="Times New Roman"/>
                <w:b/>
                <w:bCs/>
                <w:sz w:val="20"/>
                <w:szCs w:val="20"/>
              </w:rPr>
              <w:t>ОБЩО</w:t>
            </w:r>
          </w:p>
        </w:tc>
        <w:tc>
          <w:tcPr>
            <w:tcW w:w="1093" w:type="dxa"/>
            <w:tcBorders>
              <w:top w:val="double" w:sz="4" w:space="0" w:color="auto"/>
              <w:left w:val="nil"/>
              <w:bottom w:val="double" w:sz="6" w:space="0" w:color="auto"/>
              <w:right w:val="double" w:sz="6" w:space="0" w:color="auto"/>
            </w:tcBorders>
            <w:shd w:val="clear" w:color="auto" w:fill="auto"/>
            <w:noWrap/>
            <w:vAlign w:val="bottom"/>
          </w:tcPr>
          <w:p w14:paraId="5AF14898" w14:textId="77777777" w:rsidR="00C3264D" w:rsidRDefault="00B014E1">
            <w:pPr>
              <w:spacing w:after="0" w:line="240" w:lineRule="auto"/>
              <w:jc w:val="right"/>
              <w:rPr>
                <w:rFonts w:ascii="Times New Roman" w:eastAsia="Times New Roman" w:hAnsi="Times New Roman"/>
                <w:b/>
                <w:color w:val="000000"/>
                <w:sz w:val="20"/>
                <w:szCs w:val="20"/>
              </w:rPr>
            </w:pPr>
            <w:r>
              <w:rPr>
                <w:rFonts w:ascii="Times New Roman" w:hAnsi="Times New Roman"/>
                <w:b/>
                <w:sz w:val="20"/>
                <w:szCs w:val="20"/>
              </w:rPr>
              <w:t>603,52</w:t>
            </w:r>
          </w:p>
        </w:tc>
        <w:tc>
          <w:tcPr>
            <w:tcW w:w="1036" w:type="dxa"/>
            <w:tcBorders>
              <w:top w:val="double" w:sz="4" w:space="0" w:color="auto"/>
              <w:left w:val="nil"/>
              <w:bottom w:val="double" w:sz="6" w:space="0" w:color="auto"/>
              <w:right w:val="double" w:sz="6" w:space="0" w:color="auto"/>
            </w:tcBorders>
            <w:shd w:val="clear" w:color="auto" w:fill="auto"/>
            <w:noWrap/>
            <w:vAlign w:val="bottom"/>
          </w:tcPr>
          <w:p w14:paraId="757AE2C1" w14:textId="77777777" w:rsidR="00C3264D" w:rsidRDefault="00AA7749">
            <w:pPr>
              <w:spacing w:after="0" w:line="240" w:lineRule="auto"/>
              <w:jc w:val="right"/>
              <w:rPr>
                <w:rFonts w:ascii="Times New Roman" w:eastAsia="Times New Roman" w:hAnsi="Times New Roman"/>
                <w:b/>
                <w:color w:val="000000"/>
                <w:sz w:val="20"/>
                <w:szCs w:val="20"/>
              </w:rPr>
            </w:pPr>
            <w:r>
              <w:rPr>
                <w:rFonts w:ascii="Times New Roman" w:hAnsi="Times New Roman"/>
                <w:b/>
                <w:sz w:val="20"/>
                <w:szCs w:val="20"/>
              </w:rPr>
              <w:t>17,53</w:t>
            </w:r>
          </w:p>
        </w:tc>
        <w:tc>
          <w:tcPr>
            <w:tcW w:w="892" w:type="dxa"/>
            <w:tcBorders>
              <w:top w:val="double" w:sz="4" w:space="0" w:color="auto"/>
              <w:left w:val="nil"/>
              <w:bottom w:val="double" w:sz="6" w:space="0" w:color="auto"/>
              <w:right w:val="double" w:sz="6" w:space="0" w:color="auto"/>
            </w:tcBorders>
            <w:shd w:val="clear" w:color="auto" w:fill="auto"/>
            <w:noWrap/>
            <w:vAlign w:val="bottom"/>
          </w:tcPr>
          <w:p w14:paraId="065A09C4" w14:textId="77777777" w:rsidR="00C3264D" w:rsidRDefault="00B014E1">
            <w:pPr>
              <w:spacing w:after="0" w:line="240" w:lineRule="auto"/>
              <w:jc w:val="right"/>
              <w:rPr>
                <w:rFonts w:ascii="Times New Roman" w:eastAsia="Times New Roman" w:hAnsi="Times New Roman"/>
                <w:b/>
                <w:color w:val="000000"/>
                <w:sz w:val="20"/>
                <w:szCs w:val="20"/>
              </w:rPr>
            </w:pPr>
            <w:r>
              <w:rPr>
                <w:rFonts w:ascii="Times New Roman" w:hAnsi="Times New Roman"/>
                <w:b/>
                <w:sz w:val="20"/>
                <w:szCs w:val="20"/>
              </w:rPr>
              <w:t>3 550,73</w:t>
            </w:r>
          </w:p>
        </w:tc>
        <w:tc>
          <w:tcPr>
            <w:tcW w:w="925" w:type="dxa"/>
            <w:tcBorders>
              <w:top w:val="double" w:sz="4" w:space="0" w:color="auto"/>
              <w:left w:val="nil"/>
              <w:bottom w:val="double" w:sz="6" w:space="0" w:color="auto"/>
              <w:right w:val="double" w:sz="6" w:space="0" w:color="auto"/>
            </w:tcBorders>
            <w:shd w:val="clear" w:color="auto" w:fill="auto"/>
            <w:noWrap/>
            <w:vAlign w:val="bottom"/>
          </w:tcPr>
          <w:p w14:paraId="47355D39" w14:textId="77777777" w:rsidR="00C3264D" w:rsidRDefault="00B2073D">
            <w:pPr>
              <w:spacing w:after="0" w:line="240" w:lineRule="auto"/>
              <w:jc w:val="right"/>
              <w:rPr>
                <w:rFonts w:ascii="Times New Roman" w:eastAsia="Times New Roman" w:hAnsi="Times New Roman"/>
                <w:b/>
                <w:color w:val="000000"/>
                <w:sz w:val="20"/>
                <w:szCs w:val="20"/>
              </w:rPr>
            </w:pPr>
            <w:r>
              <w:rPr>
                <w:rFonts w:ascii="Times New Roman" w:hAnsi="Times New Roman"/>
                <w:b/>
                <w:sz w:val="20"/>
                <w:szCs w:val="20"/>
              </w:rPr>
              <w:t>0,00</w:t>
            </w:r>
          </w:p>
        </w:tc>
        <w:tc>
          <w:tcPr>
            <w:tcW w:w="892" w:type="dxa"/>
            <w:tcBorders>
              <w:top w:val="double" w:sz="4" w:space="0" w:color="auto"/>
              <w:left w:val="nil"/>
              <w:bottom w:val="double" w:sz="6" w:space="0" w:color="auto"/>
              <w:right w:val="double" w:sz="6" w:space="0" w:color="auto"/>
            </w:tcBorders>
            <w:shd w:val="clear" w:color="auto" w:fill="auto"/>
            <w:noWrap/>
            <w:vAlign w:val="bottom"/>
          </w:tcPr>
          <w:p w14:paraId="65463650" w14:textId="77777777" w:rsidR="00C3264D" w:rsidRDefault="00B014E1">
            <w:pPr>
              <w:spacing w:after="0" w:line="240" w:lineRule="auto"/>
              <w:jc w:val="right"/>
              <w:rPr>
                <w:rFonts w:ascii="Times New Roman" w:eastAsia="Times New Roman" w:hAnsi="Times New Roman"/>
                <w:b/>
                <w:color w:val="000000"/>
                <w:sz w:val="20"/>
                <w:szCs w:val="20"/>
              </w:rPr>
            </w:pPr>
            <w:r>
              <w:rPr>
                <w:rFonts w:ascii="Times New Roman" w:hAnsi="Times New Roman"/>
                <w:b/>
                <w:sz w:val="20"/>
                <w:szCs w:val="20"/>
              </w:rPr>
              <w:t>3 115,11</w:t>
            </w:r>
          </w:p>
        </w:tc>
        <w:tc>
          <w:tcPr>
            <w:tcW w:w="925" w:type="dxa"/>
            <w:tcBorders>
              <w:top w:val="double" w:sz="4" w:space="0" w:color="auto"/>
              <w:left w:val="nil"/>
              <w:bottom w:val="double" w:sz="6" w:space="0" w:color="auto"/>
              <w:right w:val="double" w:sz="6" w:space="0" w:color="auto"/>
            </w:tcBorders>
            <w:shd w:val="clear" w:color="auto" w:fill="auto"/>
            <w:noWrap/>
            <w:vAlign w:val="bottom"/>
          </w:tcPr>
          <w:p w14:paraId="519E7666" w14:textId="77777777" w:rsidR="00C3264D" w:rsidRDefault="0008149F">
            <w:pPr>
              <w:spacing w:after="0" w:line="240" w:lineRule="auto"/>
              <w:jc w:val="right"/>
              <w:rPr>
                <w:rFonts w:ascii="Times New Roman" w:eastAsia="Times New Roman" w:hAnsi="Times New Roman"/>
                <w:b/>
                <w:color w:val="000000"/>
                <w:sz w:val="20"/>
                <w:szCs w:val="20"/>
              </w:rPr>
            </w:pPr>
            <w:r>
              <w:rPr>
                <w:rFonts w:ascii="Times New Roman" w:hAnsi="Times New Roman"/>
                <w:b/>
                <w:sz w:val="20"/>
                <w:szCs w:val="20"/>
              </w:rPr>
              <w:t>53,53</w:t>
            </w:r>
          </w:p>
        </w:tc>
        <w:tc>
          <w:tcPr>
            <w:tcW w:w="910" w:type="dxa"/>
            <w:tcBorders>
              <w:top w:val="double" w:sz="4" w:space="0" w:color="auto"/>
              <w:left w:val="nil"/>
              <w:bottom w:val="double" w:sz="6" w:space="0" w:color="auto"/>
              <w:right w:val="double" w:sz="6" w:space="0" w:color="auto"/>
            </w:tcBorders>
            <w:shd w:val="clear" w:color="auto" w:fill="auto"/>
            <w:noWrap/>
            <w:vAlign w:val="bottom"/>
          </w:tcPr>
          <w:p w14:paraId="47311101" w14:textId="77777777" w:rsidR="00C3264D" w:rsidRDefault="00B014E1">
            <w:pPr>
              <w:spacing w:after="0" w:line="240" w:lineRule="auto"/>
              <w:jc w:val="right"/>
              <w:rPr>
                <w:rFonts w:ascii="Times New Roman" w:eastAsia="Times New Roman" w:hAnsi="Times New Roman"/>
                <w:b/>
                <w:color w:val="000000"/>
                <w:sz w:val="20"/>
                <w:szCs w:val="20"/>
              </w:rPr>
            </w:pPr>
            <w:r>
              <w:rPr>
                <w:rFonts w:ascii="Times New Roman" w:hAnsi="Times New Roman"/>
                <w:b/>
                <w:sz w:val="20"/>
                <w:szCs w:val="20"/>
              </w:rPr>
              <w:t>4 815,97</w:t>
            </w:r>
          </w:p>
        </w:tc>
        <w:tc>
          <w:tcPr>
            <w:tcW w:w="924" w:type="dxa"/>
            <w:tcBorders>
              <w:top w:val="double" w:sz="4" w:space="0" w:color="auto"/>
              <w:left w:val="nil"/>
              <w:bottom w:val="double" w:sz="6" w:space="0" w:color="auto"/>
              <w:right w:val="double" w:sz="6" w:space="0" w:color="auto"/>
            </w:tcBorders>
            <w:shd w:val="clear" w:color="auto" w:fill="auto"/>
            <w:noWrap/>
            <w:vAlign w:val="bottom"/>
          </w:tcPr>
          <w:p w14:paraId="4066270F" w14:textId="77777777" w:rsidR="00C3264D" w:rsidRDefault="0008149F">
            <w:pPr>
              <w:spacing w:after="0" w:line="240" w:lineRule="auto"/>
              <w:jc w:val="right"/>
              <w:rPr>
                <w:rFonts w:ascii="Times New Roman" w:eastAsia="Times New Roman" w:hAnsi="Times New Roman"/>
                <w:b/>
                <w:color w:val="000000"/>
                <w:sz w:val="20"/>
                <w:szCs w:val="20"/>
              </w:rPr>
            </w:pPr>
            <w:r>
              <w:rPr>
                <w:rFonts w:ascii="Times New Roman" w:hAnsi="Times New Roman"/>
                <w:b/>
                <w:sz w:val="20"/>
                <w:szCs w:val="20"/>
              </w:rPr>
              <w:t>117,26</w:t>
            </w:r>
          </w:p>
        </w:tc>
        <w:tc>
          <w:tcPr>
            <w:tcW w:w="892" w:type="dxa"/>
            <w:tcBorders>
              <w:top w:val="double" w:sz="4" w:space="0" w:color="auto"/>
              <w:left w:val="nil"/>
              <w:bottom w:val="double" w:sz="6" w:space="0" w:color="auto"/>
              <w:right w:val="double" w:sz="6" w:space="0" w:color="auto"/>
            </w:tcBorders>
            <w:shd w:val="clear" w:color="auto" w:fill="auto"/>
            <w:noWrap/>
            <w:vAlign w:val="bottom"/>
          </w:tcPr>
          <w:p w14:paraId="29F5402B" w14:textId="77777777" w:rsidR="00C3264D" w:rsidRDefault="00B014E1">
            <w:pPr>
              <w:spacing w:after="0" w:line="240" w:lineRule="auto"/>
              <w:jc w:val="right"/>
              <w:rPr>
                <w:rFonts w:ascii="Times New Roman" w:eastAsia="Times New Roman" w:hAnsi="Times New Roman"/>
                <w:b/>
                <w:color w:val="000000"/>
                <w:sz w:val="20"/>
                <w:szCs w:val="20"/>
              </w:rPr>
            </w:pPr>
            <w:r>
              <w:rPr>
                <w:rFonts w:ascii="Times New Roman" w:hAnsi="Times New Roman"/>
                <w:b/>
                <w:sz w:val="20"/>
                <w:szCs w:val="20"/>
              </w:rPr>
              <w:t>3 761,57</w:t>
            </w:r>
          </w:p>
        </w:tc>
        <w:tc>
          <w:tcPr>
            <w:tcW w:w="925" w:type="dxa"/>
            <w:tcBorders>
              <w:top w:val="double" w:sz="4" w:space="0" w:color="auto"/>
              <w:left w:val="nil"/>
              <w:bottom w:val="double" w:sz="6" w:space="0" w:color="auto"/>
              <w:right w:val="double" w:sz="6" w:space="0" w:color="auto"/>
            </w:tcBorders>
            <w:shd w:val="clear" w:color="auto" w:fill="auto"/>
            <w:noWrap/>
            <w:vAlign w:val="bottom"/>
          </w:tcPr>
          <w:p w14:paraId="40AB83AB" w14:textId="77777777" w:rsidR="00C3264D" w:rsidRDefault="00103EEF">
            <w:pPr>
              <w:spacing w:after="0" w:line="240" w:lineRule="auto"/>
              <w:jc w:val="right"/>
              <w:rPr>
                <w:rFonts w:ascii="Times New Roman" w:eastAsia="Times New Roman" w:hAnsi="Times New Roman"/>
                <w:b/>
                <w:color w:val="000000"/>
                <w:sz w:val="20"/>
                <w:szCs w:val="20"/>
              </w:rPr>
            </w:pPr>
            <w:r>
              <w:rPr>
                <w:rFonts w:ascii="Times New Roman" w:hAnsi="Times New Roman"/>
                <w:b/>
                <w:sz w:val="20"/>
                <w:szCs w:val="20"/>
              </w:rPr>
              <w:t>32,28</w:t>
            </w:r>
          </w:p>
        </w:tc>
        <w:tc>
          <w:tcPr>
            <w:tcW w:w="910" w:type="dxa"/>
            <w:tcBorders>
              <w:top w:val="double" w:sz="4" w:space="0" w:color="auto"/>
              <w:left w:val="nil"/>
              <w:bottom w:val="double" w:sz="6" w:space="0" w:color="auto"/>
              <w:right w:val="double" w:sz="6" w:space="0" w:color="auto"/>
            </w:tcBorders>
            <w:shd w:val="clear" w:color="auto" w:fill="auto"/>
            <w:noWrap/>
            <w:vAlign w:val="bottom"/>
          </w:tcPr>
          <w:p w14:paraId="0EE70CFE" w14:textId="77777777" w:rsidR="00C3264D" w:rsidRDefault="00676CF0">
            <w:pPr>
              <w:spacing w:after="0" w:line="240" w:lineRule="auto"/>
              <w:jc w:val="right"/>
              <w:rPr>
                <w:rFonts w:ascii="Times New Roman" w:eastAsia="Times New Roman" w:hAnsi="Times New Roman"/>
                <w:b/>
                <w:color w:val="000000"/>
                <w:sz w:val="20"/>
                <w:szCs w:val="20"/>
              </w:rPr>
            </w:pPr>
            <w:r>
              <w:rPr>
                <w:rFonts w:ascii="Times New Roman" w:hAnsi="Times New Roman"/>
                <w:b/>
                <w:sz w:val="20"/>
                <w:szCs w:val="20"/>
              </w:rPr>
              <w:t>5 490,60</w:t>
            </w:r>
          </w:p>
        </w:tc>
        <w:tc>
          <w:tcPr>
            <w:tcW w:w="924" w:type="dxa"/>
            <w:tcBorders>
              <w:top w:val="double" w:sz="4" w:space="0" w:color="auto"/>
              <w:left w:val="nil"/>
              <w:bottom w:val="double" w:sz="6" w:space="0" w:color="auto"/>
              <w:right w:val="double" w:sz="6" w:space="0" w:color="auto"/>
            </w:tcBorders>
            <w:shd w:val="clear" w:color="auto" w:fill="auto"/>
            <w:noWrap/>
            <w:vAlign w:val="bottom"/>
          </w:tcPr>
          <w:p w14:paraId="50EA25E5" w14:textId="77777777" w:rsidR="00C3264D" w:rsidRDefault="00103EEF">
            <w:pPr>
              <w:spacing w:after="0" w:line="240" w:lineRule="auto"/>
              <w:jc w:val="right"/>
              <w:rPr>
                <w:rFonts w:ascii="Times New Roman" w:eastAsia="Times New Roman" w:hAnsi="Times New Roman"/>
                <w:b/>
                <w:color w:val="000000"/>
                <w:sz w:val="20"/>
                <w:szCs w:val="20"/>
              </w:rPr>
            </w:pPr>
            <w:r>
              <w:rPr>
                <w:rFonts w:ascii="Times New Roman" w:hAnsi="Times New Roman"/>
                <w:b/>
                <w:sz w:val="20"/>
                <w:szCs w:val="20"/>
              </w:rPr>
              <w:t>34,14</w:t>
            </w:r>
          </w:p>
        </w:tc>
        <w:tc>
          <w:tcPr>
            <w:tcW w:w="966" w:type="dxa"/>
            <w:tcBorders>
              <w:top w:val="double" w:sz="4" w:space="0" w:color="auto"/>
              <w:left w:val="nil"/>
              <w:bottom w:val="double" w:sz="6" w:space="0" w:color="auto"/>
              <w:right w:val="double" w:sz="6" w:space="0" w:color="auto"/>
            </w:tcBorders>
            <w:shd w:val="clear" w:color="auto" w:fill="auto"/>
            <w:noWrap/>
            <w:vAlign w:val="bottom"/>
          </w:tcPr>
          <w:p w14:paraId="41BC8FD1" w14:textId="77777777" w:rsidR="00C3264D" w:rsidRDefault="00676CF0">
            <w:pPr>
              <w:spacing w:after="0" w:line="240" w:lineRule="auto"/>
              <w:jc w:val="right"/>
              <w:rPr>
                <w:rFonts w:ascii="Times New Roman" w:eastAsia="Times New Roman" w:hAnsi="Times New Roman"/>
                <w:b/>
                <w:color w:val="000000"/>
                <w:sz w:val="20"/>
                <w:szCs w:val="20"/>
              </w:rPr>
            </w:pPr>
            <w:r>
              <w:rPr>
                <w:rFonts w:ascii="Times New Roman" w:hAnsi="Times New Roman"/>
                <w:b/>
                <w:sz w:val="20"/>
                <w:szCs w:val="20"/>
              </w:rPr>
              <w:t>14 090,23</w:t>
            </w:r>
          </w:p>
        </w:tc>
        <w:tc>
          <w:tcPr>
            <w:tcW w:w="924" w:type="dxa"/>
            <w:tcBorders>
              <w:top w:val="double" w:sz="4" w:space="0" w:color="auto"/>
              <w:left w:val="nil"/>
              <w:bottom w:val="double" w:sz="6" w:space="0" w:color="auto"/>
              <w:right w:val="double" w:sz="6" w:space="0" w:color="auto"/>
            </w:tcBorders>
            <w:shd w:val="clear" w:color="auto" w:fill="auto"/>
            <w:noWrap/>
            <w:vAlign w:val="bottom"/>
          </w:tcPr>
          <w:p w14:paraId="79E625A8" w14:textId="77777777" w:rsidR="00C3264D" w:rsidRDefault="00103EEF">
            <w:pPr>
              <w:spacing w:after="0" w:line="240" w:lineRule="auto"/>
              <w:jc w:val="right"/>
              <w:rPr>
                <w:rFonts w:ascii="Times New Roman" w:eastAsia="Times New Roman" w:hAnsi="Times New Roman"/>
                <w:b/>
                <w:color w:val="000000"/>
                <w:sz w:val="20"/>
                <w:szCs w:val="20"/>
              </w:rPr>
            </w:pPr>
            <w:r>
              <w:rPr>
                <w:rFonts w:ascii="Times New Roman" w:hAnsi="Times New Roman"/>
                <w:b/>
                <w:sz w:val="20"/>
                <w:szCs w:val="20"/>
              </w:rPr>
              <w:t>90,27</w:t>
            </w:r>
          </w:p>
        </w:tc>
      </w:tr>
    </w:tbl>
    <w:p w14:paraId="59C376DB" w14:textId="77777777" w:rsidR="00C3264D" w:rsidRDefault="00C3264D">
      <w:pPr>
        <w:rPr>
          <w:rFonts w:ascii="Times New Roman" w:hAnsi="Times New Roman"/>
          <w:b/>
        </w:rPr>
        <w:sectPr w:rsidR="00C3264D" w:rsidSect="002802C4">
          <w:headerReference w:type="even" r:id="rId29"/>
          <w:headerReference w:type="default" r:id="rId30"/>
          <w:footerReference w:type="even" r:id="rId31"/>
          <w:footerReference w:type="default" r:id="rId32"/>
          <w:headerReference w:type="first" r:id="rId33"/>
          <w:footerReference w:type="first" r:id="rId34"/>
          <w:pgSz w:w="16838" w:h="11906" w:orient="landscape"/>
          <w:pgMar w:top="1440" w:right="1440" w:bottom="1440" w:left="1440" w:header="709" w:footer="709" w:gutter="0"/>
          <w:cols w:space="720"/>
          <w:docGrid w:linePitch="360"/>
        </w:sectPr>
      </w:pPr>
    </w:p>
    <w:p w14:paraId="3AB387D3" w14:textId="77777777" w:rsidR="00C3264D" w:rsidRDefault="003A348D">
      <w:pPr>
        <w:rPr>
          <w:rFonts w:ascii="Times New Roman" w:hAnsi="Times New Roman"/>
          <w:b/>
        </w:rPr>
      </w:pPr>
      <w:r>
        <w:rPr>
          <w:rFonts w:ascii="Times New Roman" w:hAnsi="Times New Roman"/>
          <w:b/>
        </w:rPr>
        <w:t>Допълнение 3</w:t>
      </w:r>
    </w:p>
    <w:p w14:paraId="146E8272" w14:textId="77777777" w:rsidR="00C3264D" w:rsidRDefault="00D812BF">
      <w:pPr>
        <w:rPr>
          <w:rFonts w:ascii="Times New Roman" w:hAnsi="Times New Roman"/>
          <w:b/>
          <w:sz w:val="20"/>
          <w:szCs w:val="20"/>
        </w:rPr>
      </w:pPr>
      <w:r>
        <w:rPr>
          <w:rFonts w:ascii="Times New Roman" w:hAnsi="Times New Roman"/>
          <w:b/>
          <w:sz w:val="20"/>
          <w:szCs w:val="20"/>
        </w:rPr>
        <w:t>Таблица 3.1: Обобщени данни за международните кредити, обменени до края на юни 2019 г.</w:t>
      </w:r>
      <w:r>
        <w:rPr>
          <w:rStyle w:val="FootnoteReference"/>
          <w:rFonts w:ascii="Times New Roman" w:hAnsi="Times New Roman"/>
          <w:b/>
          <w:sz w:val="20"/>
          <w:szCs w:val="20"/>
        </w:rPr>
        <w:footnoteReference w:id="78"/>
      </w:r>
    </w:p>
    <w:tbl>
      <w:tblPr>
        <w:tblW w:w="4957" w:type="pct"/>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586"/>
        <w:gridCol w:w="1397"/>
        <w:gridCol w:w="1547"/>
        <w:gridCol w:w="1635"/>
        <w:gridCol w:w="1455"/>
        <w:gridCol w:w="1543"/>
      </w:tblGrid>
      <w:tr w:rsidR="00C3264D" w14:paraId="19942958" w14:textId="77777777" w:rsidTr="00601A28">
        <w:trPr>
          <w:trHeight w:val="238"/>
        </w:trPr>
        <w:tc>
          <w:tcPr>
            <w:tcW w:w="865" w:type="pct"/>
            <w:shd w:val="clear" w:color="auto" w:fill="auto"/>
            <w:noWrap/>
            <w:hideMark/>
          </w:tcPr>
          <w:p w14:paraId="6E8F0C41" w14:textId="77777777" w:rsidR="00C3264D" w:rsidRDefault="00D812BF">
            <w:pPr>
              <w:spacing w:after="0" w:line="240" w:lineRule="auto"/>
              <w:ind w:right="57"/>
              <w:rPr>
                <w:rFonts w:ascii="Times New Roman" w:eastAsia="Times New Roman" w:hAnsi="Times New Roman"/>
                <w:b/>
                <w:bCs/>
                <w:color w:val="000000"/>
                <w:sz w:val="20"/>
                <w:szCs w:val="20"/>
              </w:rPr>
            </w:pPr>
            <w:r>
              <w:rPr>
                <w:rFonts w:ascii="Times New Roman" w:hAnsi="Times New Roman"/>
                <w:b/>
                <w:sz w:val="20"/>
                <w:szCs w:val="20"/>
              </w:rPr>
              <w:t>Международни кредити, обменени до края на юни 2019 г.</w:t>
            </w:r>
          </w:p>
        </w:tc>
        <w:tc>
          <w:tcPr>
            <w:tcW w:w="762" w:type="pct"/>
            <w:shd w:val="clear" w:color="auto" w:fill="auto"/>
            <w:noWrap/>
            <w:hideMark/>
          </w:tcPr>
          <w:p w14:paraId="00D60657" w14:textId="77777777" w:rsidR="00C3264D" w:rsidRDefault="00D812BF">
            <w:pPr>
              <w:spacing w:after="0" w:line="240" w:lineRule="auto"/>
              <w:ind w:right="57"/>
              <w:jc w:val="center"/>
              <w:rPr>
                <w:rFonts w:ascii="Times New Roman" w:eastAsia="Times New Roman" w:hAnsi="Times New Roman"/>
                <w:b/>
                <w:bCs/>
                <w:color w:val="000000"/>
                <w:sz w:val="20"/>
                <w:szCs w:val="20"/>
              </w:rPr>
            </w:pPr>
            <w:r>
              <w:rPr>
                <w:rFonts w:ascii="Times New Roman" w:hAnsi="Times New Roman"/>
                <w:b/>
                <w:sz w:val="20"/>
                <w:szCs w:val="20"/>
              </w:rPr>
              <w:t>в милиони</w:t>
            </w:r>
          </w:p>
        </w:tc>
        <w:tc>
          <w:tcPr>
            <w:tcW w:w="844" w:type="pct"/>
            <w:shd w:val="clear" w:color="auto" w:fill="auto"/>
            <w:noWrap/>
            <w:hideMark/>
          </w:tcPr>
          <w:p w14:paraId="2DBDDA4C" w14:textId="77777777" w:rsidR="00C3264D" w:rsidRDefault="00D812BF">
            <w:pPr>
              <w:spacing w:after="0" w:line="240" w:lineRule="auto"/>
              <w:ind w:right="57"/>
              <w:jc w:val="center"/>
              <w:rPr>
                <w:rFonts w:ascii="Times New Roman" w:eastAsia="Times New Roman" w:hAnsi="Times New Roman"/>
                <w:b/>
                <w:bCs/>
                <w:color w:val="000000"/>
                <w:sz w:val="20"/>
                <w:szCs w:val="20"/>
              </w:rPr>
            </w:pPr>
            <w:r>
              <w:rPr>
                <w:rFonts w:ascii="Times New Roman" w:hAnsi="Times New Roman"/>
                <w:b/>
                <w:sz w:val="20"/>
                <w:szCs w:val="20"/>
              </w:rPr>
              <w:t>в проценти</w:t>
            </w:r>
          </w:p>
        </w:tc>
        <w:tc>
          <w:tcPr>
            <w:tcW w:w="892" w:type="pct"/>
            <w:shd w:val="clear" w:color="auto" w:fill="auto"/>
            <w:noWrap/>
            <w:hideMark/>
          </w:tcPr>
          <w:p w14:paraId="676C7345" w14:textId="77777777" w:rsidR="00C3264D" w:rsidRDefault="00D812BF">
            <w:pPr>
              <w:spacing w:after="0" w:line="240" w:lineRule="auto"/>
              <w:ind w:right="57"/>
              <w:jc w:val="center"/>
              <w:rPr>
                <w:rFonts w:ascii="Times New Roman" w:eastAsia="Times New Roman" w:hAnsi="Times New Roman"/>
                <w:b/>
                <w:color w:val="000000"/>
                <w:sz w:val="20"/>
                <w:szCs w:val="20"/>
              </w:rPr>
            </w:pPr>
            <w:r>
              <w:rPr>
                <w:rFonts w:ascii="Times New Roman" w:hAnsi="Times New Roman"/>
                <w:b/>
                <w:sz w:val="20"/>
                <w:szCs w:val="20"/>
              </w:rPr>
              <w:t>Международни кредити, обменени до края на юни 2019 г.</w:t>
            </w:r>
          </w:p>
        </w:tc>
        <w:tc>
          <w:tcPr>
            <w:tcW w:w="794" w:type="pct"/>
            <w:shd w:val="clear" w:color="auto" w:fill="auto"/>
            <w:noWrap/>
            <w:hideMark/>
          </w:tcPr>
          <w:p w14:paraId="468F055B" w14:textId="77777777" w:rsidR="00C3264D" w:rsidRDefault="00D812BF">
            <w:pPr>
              <w:spacing w:after="0" w:line="240" w:lineRule="auto"/>
              <w:ind w:right="57"/>
              <w:jc w:val="center"/>
              <w:rPr>
                <w:rFonts w:ascii="Times New Roman" w:eastAsia="Times New Roman" w:hAnsi="Times New Roman"/>
                <w:b/>
                <w:color w:val="000000"/>
                <w:sz w:val="20"/>
                <w:szCs w:val="20"/>
              </w:rPr>
            </w:pPr>
            <w:r>
              <w:rPr>
                <w:rFonts w:ascii="Times New Roman" w:hAnsi="Times New Roman"/>
                <w:b/>
                <w:sz w:val="20"/>
                <w:szCs w:val="20"/>
              </w:rPr>
              <w:t>в милиони</w:t>
            </w:r>
          </w:p>
        </w:tc>
        <w:tc>
          <w:tcPr>
            <w:tcW w:w="842" w:type="pct"/>
            <w:shd w:val="clear" w:color="auto" w:fill="auto"/>
            <w:noWrap/>
            <w:hideMark/>
          </w:tcPr>
          <w:p w14:paraId="77CD49C6" w14:textId="77777777" w:rsidR="00C3264D" w:rsidRDefault="00D812BF">
            <w:pPr>
              <w:spacing w:after="0" w:line="240" w:lineRule="auto"/>
              <w:ind w:right="57"/>
              <w:jc w:val="center"/>
              <w:rPr>
                <w:rFonts w:ascii="Times New Roman" w:eastAsia="Times New Roman" w:hAnsi="Times New Roman"/>
                <w:b/>
                <w:color w:val="000000"/>
                <w:sz w:val="20"/>
                <w:szCs w:val="20"/>
              </w:rPr>
            </w:pPr>
            <w:r>
              <w:rPr>
                <w:rFonts w:ascii="Times New Roman" w:hAnsi="Times New Roman"/>
                <w:b/>
                <w:sz w:val="20"/>
                <w:szCs w:val="20"/>
              </w:rPr>
              <w:t>в проценти</w:t>
            </w:r>
          </w:p>
        </w:tc>
      </w:tr>
      <w:tr w:rsidR="00C3264D" w14:paraId="2DF83359" w14:textId="77777777" w:rsidTr="00601A28">
        <w:trPr>
          <w:trHeight w:val="238"/>
        </w:trPr>
        <w:tc>
          <w:tcPr>
            <w:tcW w:w="865" w:type="pct"/>
            <w:shd w:val="clear" w:color="auto" w:fill="auto"/>
            <w:noWrap/>
            <w:hideMark/>
          </w:tcPr>
          <w:p w14:paraId="6402C48C" w14:textId="77777777" w:rsidR="00C3264D" w:rsidRDefault="00D812BF">
            <w:pPr>
              <w:spacing w:after="120" w:line="240" w:lineRule="auto"/>
              <w:ind w:right="57"/>
              <w:rPr>
                <w:rFonts w:ascii="Times New Roman" w:eastAsia="Times New Roman" w:hAnsi="Times New Roman"/>
                <w:b/>
                <w:bCs/>
                <w:color w:val="000000"/>
                <w:sz w:val="20"/>
                <w:szCs w:val="20"/>
              </w:rPr>
            </w:pPr>
            <w:r>
              <w:rPr>
                <w:rFonts w:ascii="Times New Roman" w:hAnsi="Times New Roman"/>
                <w:b/>
                <w:sz w:val="20"/>
                <w:szCs w:val="20"/>
              </w:rPr>
              <w:t>СЕРЕ</w:t>
            </w:r>
          </w:p>
        </w:tc>
        <w:tc>
          <w:tcPr>
            <w:tcW w:w="762" w:type="pct"/>
            <w:shd w:val="clear" w:color="auto" w:fill="auto"/>
            <w:noWrap/>
            <w:hideMark/>
          </w:tcPr>
          <w:p w14:paraId="593B15CF" w14:textId="77777777" w:rsidR="00C3264D" w:rsidRDefault="00D812BF">
            <w:pPr>
              <w:spacing w:after="120" w:line="240" w:lineRule="auto"/>
              <w:ind w:right="57"/>
              <w:jc w:val="center"/>
              <w:rPr>
                <w:rFonts w:ascii="Times New Roman" w:eastAsia="Times New Roman" w:hAnsi="Times New Roman"/>
                <w:b/>
                <w:bCs/>
                <w:color w:val="000000"/>
                <w:sz w:val="20"/>
                <w:szCs w:val="20"/>
              </w:rPr>
            </w:pPr>
            <w:r>
              <w:rPr>
                <w:rFonts w:ascii="Times New Roman" w:hAnsi="Times New Roman"/>
                <w:b/>
                <w:sz w:val="20"/>
                <w:szCs w:val="20"/>
              </w:rPr>
              <w:t xml:space="preserve"> 261,42</w:t>
            </w:r>
          </w:p>
        </w:tc>
        <w:tc>
          <w:tcPr>
            <w:tcW w:w="844" w:type="pct"/>
            <w:shd w:val="clear" w:color="auto" w:fill="auto"/>
            <w:noWrap/>
            <w:hideMark/>
          </w:tcPr>
          <w:p w14:paraId="4AC09611" w14:textId="77777777" w:rsidR="00C3264D" w:rsidRDefault="00D812BF">
            <w:pPr>
              <w:spacing w:after="120"/>
              <w:jc w:val="center"/>
              <w:rPr>
                <w:rFonts w:ascii="Times New Roman" w:hAnsi="Times New Roman"/>
                <w:b/>
                <w:sz w:val="20"/>
                <w:szCs w:val="20"/>
              </w:rPr>
            </w:pPr>
            <w:r>
              <w:rPr>
                <w:rFonts w:ascii="Times New Roman" w:hAnsi="Times New Roman"/>
                <w:b/>
                <w:sz w:val="20"/>
                <w:szCs w:val="20"/>
              </w:rPr>
              <w:t>57,65 %</w:t>
            </w:r>
          </w:p>
        </w:tc>
        <w:tc>
          <w:tcPr>
            <w:tcW w:w="892" w:type="pct"/>
            <w:shd w:val="clear" w:color="auto" w:fill="auto"/>
            <w:noWrap/>
            <w:hideMark/>
          </w:tcPr>
          <w:p w14:paraId="5949EB48" w14:textId="77777777" w:rsidR="00C3264D" w:rsidRDefault="00D812BF">
            <w:pPr>
              <w:spacing w:after="120" w:line="240" w:lineRule="auto"/>
              <w:ind w:right="57"/>
              <w:rPr>
                <w:rFonts w:ascii="Times New Roman" w:eastAsia="Times New Roman" w:hAnsi="Times New Roman"/>
                <w:color w:val="000000"/>
                <w:sz w:val="20"/>
                <w:szCs w:val="20"/>
              </w:rPr>
            </w:pPr>
            <w:r>
              <w:rPr>
                <w:rFonts w:ascii="Times New Roman" w:hAnsi="Times New Roman"/>
                <w:b/>
                <w:sz w:val="20"/>
                <w:szCs w:val="20"/>
              </w:rPr>
              <w:t>ЕРЕ</w:t>
            </w:r>
          </w:p>
        </w:tc>
        <w:tc>
          <w:tcPr>
            <w:tcW w:w="794" w:type="pct"/>
            <w:shd w:val="clear" w:color="auto" w:fill="auto"/>
            <w:noWrap/>
            <w:hideMark/>
          </w:tcPr>
          <w:p w14:paraId="03D41296" w14:textId="77777777" w:rsidR="00C3264D" w:rsidRDefault="00D812BF">
            <w:pPr>
              <w:spacing w:after="120" w:line="240" w:lineRule="auto"/>
              <w:ind w:right="57"/>
              <w:rPr>
                <w:rFonts w:ascii="Times New Roman" w:eastAsia="Times New Roman" w:hAnsi="Times New Roman"/>
                <w:color w:val="000000"/>
                <w:sz w:val="20"/>
                <w:szCs w:val="20"/>
              </w:rPr>
            </w:pPr>
            <w:r>
              <w:rPr>
                <w:rFonts w:ascii="Times New Roman" w:hAnsi="Times New Roman"/>
                <w:b/>
                <w:sz w:val="20"/>
                <w:szCs w:val="20"/>
              </w:rPr>
              <w:t>192,07</w:t>
            </w:r>
          </w:p>
        </w:tc>
        <w:tc>
          <w:tcPr>
            <w:tcW w:w="842" w:type="pct"/>
            <w:shd w:val="clear" w:color="auto" w:fill="auto"/>
            <w:noWrap/>
            <w:hideMark/>
          </w:tcPr>
          <w:p w14:paraId="79D9A768" w14:textId="77777777" w:rsidR="00C3264D" w:rsidRDefault="00D812BF">
            <w:pPr>
              <w:spacing w:after="120" w:line="240" w:lineRule="auto"/>
              <w:ind w:right="57"/>
              <w:rPr>
                <w:rFonts w:ascii="Times New Roman" w:eastAsia="Times New Roman" w:hAnsi="Times New Roman"/>
                <w:color w:val="000000"/>
                <w:sz w:val="20"/>
                <w:szCs w:val="20"/>
              </w:rPr>
            </w:pPr>
            <w:r>
              <w:rPr>
                <w:rFonts w:ascii="Times New Roman" w:hAnsi="Times New Roman"/>
                <w:b/>
                <w:sz w:val="20"/>
                <w:szCs w:val="20"/>
              </w:rPr>
              <w:t>42,35 %</w:t>
            </w:r>
          </w:p>
        </w:tc>
      </w:tr>
      <w:tr w:rsidR="00C3264D" w14:paraId="334B163A" w14:textId="77777777" w:rsidTr="00601A28">
        <w:trPr>
          <w:trHeight w:val="229"/>
        </w:trPr>
        <w:tc>
          <w:tcPr>
            <w:tcW w:w="865" w:type="pct"/>
            <w:shd w:val="clear" w:color="auto" w:fill="auto"/>
            <w:noWrap/>
            <w:hideMark/>
          </w:tcPr>
          <w:p w14:paraId="25D6ACD5" w14:textId="77777777" w:rsidR="00C3264D" w:rsidRDefault="00D812BF">
            <w:pPr>
              <w:spacing w:after="120" w:line="240" w:lineRule="auto"/>
              <w:ind w:right="57"/>
              <w:rPr>
                <w:rFonts w:ascii="Times New Roman" w:eastAsia="Times New Roman" w:hAnsi="Times New Roman"/>
                <w:color w:val="000000"/>
                <w:sz w:val="20"/>
                <w:szCs w:val="20"/>
              </w:rPr>
            </w:pPr>
            <w:r>
              <w:rPr>
                <w:rFonts w:ascii="Times New Roman" w:hAnsi="Times New Roman"/>
                <w:sz w:val="20"/>
                <w:szCs w:val="20"/>
              </w:rPr>
              <w:t>Китай</w:t>
            </w:r>
          </w:p>
        </w:tc>
        <w:tc>
          <w:tcPr>
            <w:tcW w:w="762" w:type="pct"/>
            <w:shd w:val="clear" w:color="auto" w:fill="auto"/>
            <w:noWrap/>
          </w:tcPr>
          <w:p w14:paraId="37B13681" w14:textId="77777777" w:rsidR="00C3264D" w:rsidRDefault="00D812BF">
            <w:pPr>
              <w:spacing w:after="120" w:line="240" w:lineRule="auto"/>
              <w:ind w:right="57"/>
              <w:jc w:val="center"/>
              <w:rPr>
                <w:rFonts w:ascii="Times New Roman" w:eastAsia="Times New Roman" w:hAnsi="Times New Roman"/>
                <w:sz w:val="20"/>
                <w:szCs w:val="20"/>
              </w:rPr>
            </w:pPr>
            <w:r>
              <w:rPr>
                <w:rFonts w:ascii="Times New Roman" w:hAnsi="Times New Roman"/>
                <w:sz w:val="20"/>
                <w:szCs w:val="20"/>
              </w:rPr>
              <w:t xml:space="preserve">195,20 </w:t>
            </w:r>
          </w:p>
        </w:tc>
        <w:tc>
          <w:tcPr>
            <w:tcW w:w="844" w:type="pct"/>
            <w:shd w:val="clear" w:color="auto" w:fill="auto"/>
            <w:noWrap/>
          </w:tcPr>
          <w:p w14:paraId="2484C583" w14:textId="77777777" w:rsidR="00C3264D" w:rsidRDefault="00D812BF">
            <w:pPr>
              <w:spacing w:after="120"/>
              <w:jc w:val="center"/>
              <w:rPr>
                <w:rFonts w:ascii="Times New Roman" w:hAnsi="Times New Roman"/>
                <w:sz w:val="20"/>
                <w:szCs w:val="20"/>
              </w:rPr>
            </w:pPr>
            <w:r>
              <w:rPr>
                <w:rFonts w:ascii="Times New Roman" w:hAnsi="Times New Roman"/>
                <w:sz w:val="20"/>
                <w:szCs w:val="20"/>
              </w:rPr>
              <w:t xml:space="preserve">74,67 </w:t>
            </w:r>
          </w:p>
        </w:tc>
        <w:tc>
          <w:tcPr>
            <w:tcW w:w="892" w:type="pct"/>
            <w:shd w:val="clear" w:color="auto" w:fill="auto"/>
            <w:noWrap/>
            <w:hideMark/>
          </w:tcPr>
          <w:p w14:paraId="1499F37B" w14:textId="77777777" w:rsidR="00C3264D" w:rsidRDefault="00D812BF">
            <w:pPr>
              <w:spacing w:after="120" w:line="240" w:lineRule="auto"/>
              <w:ind w:right="57"/>
              <w:rPr>
                <w:rFonts w:ascii="Times New Roman" w:eastAsia="Times New Roman" w:hAnsi="Times New Roman"/>
                <w:color w:val="000000"/>
                <w:sz w:val="20"/>
                <w:szCs w:val="20"/>
              </w:rPr>
            </w:pPr>
            <w:r>
              <w:rPr>
                <w:rFonts w:ascii="Times New Roman" w:hAnsi="Times New Roman"/>
                <w:sz w:val="20"/>
                <w:szCs w:val="20"/>
              </w:rPr>
              <w:t>Украйна</w:t>
            </w:r>
          </w:p>
        </w:tc>
        <w:tc>
          <w:tcPr>
            <w:tcW w:w="794" w:type="pct"/>
            <w:shd w:val="clear" w:color="auto" w:fill="auto"/>
            <w:noWrap/>
            <w:hideMark/>
          </w:tcPr>
          <w:p w14:paraId="711E74B2" w14:textId="77777777" w:rsidR="00C3264D" w:rsidRDefault="00D812BF">
            <w:pPr>
              <w:spacing w:after="120" w:line="240" w:lineRule="auto"/>
              <w:ind w:right="57"/>
              <w:rPr>
                <w:rFonts w:ascii="Times New Roman" w:eastAsia="Times New Roman" w:hAnsi="Times New Roman"/>
                <w:color w:val="000000"/>
                <w:sz w:val="20"/>
                <w:szCs w:val="20"/>
              </w:rPr>
            </w:pPr>
            <w:r>
              <w:rPr>
                <w:rFonts w:ascii="Times New Roman" w:hAnsi="Times New Roman"/>
                <w:sz w:val="20"/>
                <w:szCs w:val="20"/>
              </w:rPr>
              <w:t>147,69</w:t>
            </w:r>
          </w:p>
        </w:tc>
        <w:tc>
          <w:tcPr>
            <w:tcW w:w="842" w:type="pct"/>
            <w:shd w:val="clear" w:color="auto" w:fill="auto"/>
            <w:noWrap/>
            <w:hideMark/>
          </w:tcPr>
          <w:p w14:paraId="386FC7A7" w14:textId="77777777" w:rsidR="00C3264D" w:rsidRDefault="00D812BF">
            <w:pPr>
              <w:spacing w:after="120" w:line="240" w:lineRule="auto"/>
              <w:ind w:right="57"/>
              <w:rPr>
                <w:rFonts w:ascii="Times New Roman" w:eastAsia="Times New Roman" w:hAnsi="Times New Roman"/>
                <w:color w:val="000000"/>
                <w:sz w:val="20"/>
                <w:szCs w:val="20"/>
              </w:rPr>
            </w:pPr>
            <w:r>
              <w:rPr>
                <w:rFonts w:ascii="Times New Roman" w:hAnsi="Times New Roman"/>
                <w:sz w:val="20"/>
                <w:szCs w:val="20"/>
              </w:rPr>
              <w:t>76,89 %</w:t>
            </w:r>
          </w:p>
        </w:tc>
      </w:tr>
      <w:tr w:rsidR="00C3264D" w14:paraId="0F2406E9" w14:textId="77777777" w:rsidTr="00601A28">
        <w:trPr>
          <w:trHeight w:val="249"/>
        </w:trPr>
        <w:tc>
          <w:tcPr>
            <w:tcW w:w="865" w:type="pct"/>
            <w:shd w:val="clear" w:color="auto" w:fill="auto"/>
            <w:noWrap/>
            <w:hideMark/>
          </w:tcPr>
          <w:p w14:paraId="62A090A0" w14:textId="77777777" w:rsidR="00C3264D" w:rsidRDefault="00D812BF">
            <w:pPr>
              <w:spacing w:after="120" w:line="240" w:lineRule="auto"/>
              <w:ind w:right="57"/>
              <w:rPr>
                <w:rFonts w:ascii="Times New Roman" w:eastAsia="Times New Roman" w:hAnsi="Times New Roman"/>
                <w:color w:val="000000"/>
                <w:sz w:val="20"/>
                <w:szCs w:val="20"/>
              </w:rPr>
            </w:pPr>
            <w:r>
              <w:rPr>
                <w:rFonts w:ascii="Times New Roman" w:hAnsi="Times New Roman"/>
                <w:sz w:val="20"/>
                <w:szCs w:val="20"/>
              </w:rPr>
              <w:t>Индия</w:t>
            </w:r>
          </w:p>
        </w:tc>
        <w:tc>
          <w:tcPr>
            <w:tcW w:w="762" w:type="pct"/>
            <w:shd w:val="clear" w:color="auto" w:fill="auto"/>
            <w:noWrap/>
          </w:tcPr>
          <w:p w14:paraId="44D936FF" w14:textId="77777777" w:rsidR="00C3264D" w:rsidRDefault="00D812BF">
            <w:pPr>
              <w:spacing w:after="120" w:line="240" w:lineRule="auto"/>
              <w:ind w:right="57"/>
              <w:jc w:val="center"/>
              <w:rPr>
                <w:rFonts w:ascii="Times New Roman" w:eastAsia="Times New Roman" w:hAnsi="Times New Roman"/>
                <w:sz w:val="20"/>
                <w:szCs w:val="20"/>
              </w:rPr>
            </w:pPr>
            <w:r>
              <w:rPr>
                <w:rFonts w:ascii="Times New Roman" w:hAnsi="Times New Roman"/>
                <w:sz w:val="20"/>
                <w:szCs w:val="20"/>
              </w:rPr>
              <w:t xml:space="preserve">17,27 </w:t>
            </w:r>
          </w:p>
        </w:tc>
        <w:tc>
          <w:tcPr>
            <w:tcW w:w="844" w:type="pct"/>
            <w:shd w:val="clear" w:color="auto" w:fill="auto"/>
            <w:noWrap/>
          </w:tcPr>
          <w:p w14:paraId="5C1FAB8D" w14:textId="77777777" w:rsidR="00C3264D" w:rsidRDefault="00D812BF">
            <w:pPr>
              <w:spacing w:after="120"/>
              <w:jc w:val="center"/>
              <w:rPr>
                <w:rFonts w:ascii="Times New Roman" w:hAnsi="Times New Roman"/>
                <w:sz w:val="20"/>
                <w:szCs w:val="20"/>
              </w:rPr>
            </w:pPr>
            <w:r>
              <w:rPr>
                <w:rFonts w:ascii="Times New Roman" w:hAnsi="Times New Roman"/>
                <w:sz w:val="20"/>
                <w:szCs w:val="20"/>
              </w:rPr>
              <w:t xml:space="preserve">6,61 </w:t>
            </w:r>
          </w:p>
        </w:tc>
        <w:tc>
          <w:tcPr>
            <w:tcW w:w="892" w:type="pct"/>
            <w:shd w:val="clear" w:color="auto" w:fill="auto"/>
            <w:noWrap/>
            <w:hideMark/>
          </w:tcPr>
          <w:p w14:paraId="46053509" w14:textId="77777777" w:rsidR="00C3264D" w:rsidRDefault="00D812BF">
            <w:pPr>
              <w:spacing w:after="120" w:line="240" w:lineRule="auto"/>
              <w:ind w:right="57"/>
              <w:rPr>
                <w:rFonts w:ascii="Times New Roman" w:eastAsia="Times New Roman" w:hAnsi="Times New Roman"/>
                <w:color w:val="000000"/>
                <w:sz w:val="20"/>
                <w:szCs w:val="20"/>
              </w:rPr>
            </w:pPr>
            <w:r>
              <w:rPr>
                <w:rFonts w:ascii="Times New Roman" w:hAnsi="Times New Roman"/>
                <w:sz w:val="20"/>
                <w:szCs w:val="20"/>
              </w:rPr>
              <w:t>Русия</w:t>
            </w:r>
          </w:p>
        </w:tc>
        <w:tc>
          <w:tcPr>
            <w:tcW w:w="794" w:type="pct"/>
            <w:shd w:val="clear" w:color="auto" w:fill="auto"/>
            <w:noWrap/>
            <w:hideMark/>
          </w:tcPr>
          <w:p w14:paraId="50D07AED" w14:textId="77777777" w:rsidR="00C3264D" w:rsidRDefault="00D812BF">
            <w:pPr>
              <w:spacing w:after="120" w:line="240" w:lineRule="auto"/>
              <w:ind w:right="57"/>
              <w:rPr>
                <w:rFonts w:ascii="Times New Roman" w:eastAsia="Times New Roman" w:hAnsi="Times New Roman"/>
                <w:color w:val="000000"/>
                <w:sz w:val="20"/>
                <w:szCs w:val="20"/>
              </w:rPr>
            </w:pPr>
            <w:r>
              <w:rPr>
                <w:rFonts w:ascii="Times New Roman" w:hAnsi="Times New Roman"/>
                <w:sz w:val="20"/>
                <w:szCs w:val="20"/>
              </w:rPr>
              <w:t>32,06</w:t>
            </w:r>
          </w:p>
        </w:tc>
        <w:tc>
          <w:tcPr>
            <w:tcW w:w="842" w:type="pct"/>
            <w:shd w:val="clear" w:color="auto" w:fill="auto"/>
            <w:noWrap/>
            <w:hideMark/>
          </w:tcPr>
          <w:p w14:paraId="6908BC13" w14:textId="77777777" w:rsidR="00C3264D" w:rsidRDefault="00D812BF">
            <w:pPr>
              <w:spacing w:after="120" w:line="240" w:lineRule="auto"/>
              <w:ind w:right="57"/>
              <w:rPr>
                <w:rFonts w:ascii="Times New Roman" w:eastAsia="Times New Roman" w:hAnsi="Times New Roman"/>
                <w:color w:val="000000"/>
                <w:sz w:val="20"/>
                <w:szCs w:val="20"/>
              </w:rPr>
            </w:pPr>
            <w:r>
              <w:rPr>
                <w:rFonts w:ascii="Times New Roman" w:hAnsi="Times New Roman"/>
                <w:sz w:val="20"/>
                <w:szCs w:val="20"/>
              </w:rPr>
              <w:t>16,69 %</w:t>
            </w:r>
          </w:p>
        </w:tc>
      </w:tr>
      <w:tr w:rsidR="00C3264D" w14:paraId="036F045A" w14:textId="77777777" w:rsidTr="00601A28">
        <w:trPr>
          <w:trHeight w:val="249"/>
        </w:trPr>
        <w:tc>
          <w:tcPr>
            <w:tcW w:w="865" w:type="pct"/>
            <w:shd w:val="clear" w:color="auto" w:fill="auto"/>
            <w:noWrap/>
            <w:hideMark/>
          </w:tcPr>
          <w:p w14:paraId="7429E299" w14:textId="77777777" w:rsidR="00C3264D" w:rsidRDefault="00D812BF">
            <w:pPr>
              <w:spacing w:after="120" w:line="240" w:lineRule="auto"/>
              <w:ind w:right="57"/>
              <w:rPr>
                <w:rFonts w:ascii="Times New Roman" w:eastAsia="Times New Roman" w:hAnsi="Times New Roman"/>
                <w:color w:val="000000"/>
                <w:sz w:val="20"/>
                <w:szCs w:val="20"/>
              </w:rPr>
            </w:pPr>
            <w:r>
              <w:rPr>
                <w:rFonts w:ascii="Times New Roman" w:hAnsi="Times New Roman"/>
                <w:sz w:val="20"/>
                <w:szCs w:val="20"/>
              </w:rPr>
              <w:t>Узбекистан</w:t>
            </w:r>
          </w:p>
        </w:tc>
        <w:tc>
          <w:tcPr>
            <w:tcW w:w="762" w:type="pct"/>
            <w:shd w:val="clear" w:color="auto" w:fill="auto"/>
            <w:noWrap/>
          </w:tcPr>
          <w:p w14:paraId="05E6EC24" w14:textId="77777777" w:rsidR="00C3264D" w:rsidRDefault="00D812BF">
            <w:pPr>
              <w:spacing w:after="120" w:line="240" w:lineRule="auto"/>
              <w:ind w:right="57"/>
              <w:jc w:val="center"/>
              <w:rPr>
                <w:rFonts w:ascii="Times New Roman" w:eastAsia="Times New Roman" w:hAnsi="Times New Roman"/>
                <w:sz w:val="20"/>
                <w:szCs w:val="20"/>
              </w:rPr>
            </w:pPr>
            <w:r>
              <w:rPr>
                <w:rFonts w:ascii="Times New Roman" w:hAnsi="Times New Roman"/>
                <w:sz w:val="20"/>
                <w:szCs w:val="20"/>
              </w:rPr>
              <w:t xml:space="preserve">9,89 </w:t>
            </w:r>
          </w:p>
        </w:tc>
        <w:tc>
          <w:tcPr>
            <w:tcW w:w="844" w:type="pct"/>
            <w:shd w:val="clear" w:color="auto" w:fill="auto"/>
            <w:noWrap/>
          </w:tcPr>
          <w:p w14:paraId="06FDCB91" w14:textId="77777777" w:rsidR="00C3264D" w:rsidRDefault="00D812BF">
            <w:pPr>
              <w:spacing w:after="120"/>
              <w:jc w:val="center"/>
              <w:rPr>
                <w:rFonts w:ascii="Times New Roman" w:hAnsi="Times New Roman"/>
                <w:sz w:val="20"/>
                <w:szCs w:val="20"/>
              </w:rPr>
            </w:pPr>
            <w:r>
              <w:rPr>
                <w:rFonts w:ascii="Times New Roman" w:hAnsi="Times New Roman"/>
                <w:sz w:val="20"/>
                <w:szCs w:val="20"/>
              </w:rPr>
              <w:t xml:space="preserve">3,79 </w:t>
            </w:r>
          </w:p>
        </w:tc>
        <w:tc>
          <w:tcPr>
            <w:tcW w:w="892" w:type="pct"/>
            <w:shd w:val="clear" w:color="auto" w:fill="auto"/>
            <w:noWrap/>
            <w:hideMark/>
          </w:tcPr>
          <w:p w14:paraId="51772CC7" w14:textId="77777777" w:rsidR="00C3264D" w:rsidRDefault="00D812BF">
            <w:pPr>
              <w:spacing w:after="120" w:line="240" w:lineRule="auto"/>
              <w:ind w:right="57"/>
              <w:rPr>
                <w:rFonts w:ascii="Times New Roman" w:eastAsia="Times New Roman" w:hAnsi="Times New Roman"/>
                <w:color w:val="000000"/>
                <w:sz w:val="20"/>
                <w:szCs w:val="20"/>
              </w:rPr>
            </w:pPr>
            <w:r>
              <w:rPr>
                <w:rFonts w:ascii="Times New Roman" w:hAnsi="Times New Roman"/>
                <w:sz w:val="20"/>
                <w:szCs w:val="20"/>
              </w:rPr>
              <w:t>Полша</w:t>
            </w:r>
          </w:p>
        </w:tc>
        <w:tc>
          <w:tcPr>
            <w:tcW w:w="794" w:type="pct"/>
            <w:shd w:val="clear" w:color="auto" w:fill="auto"/>
            <w:noWrap/>
            <w:hideMark/>
          </w:tcPr>
          <w:p w14:paraId="63FDA37C" w14:textId="77777777" w:rsidR="00C3264D" w:rsidRDefault="00D812BF">
            <w:pPr>
              <w:spacing w:after="120" w:line="240" w:lineRule="auto"/>
              <w:ind w:right="57"/>
              <w:rPr>
                <w:rFonts w:ascii="Times New Roman" w:eastAsia="Times New Roman" w:hAnsi="Times New Roman"/>
                <w:color w:val="000000"/>
                <w:sz w:val="20"/>
                <w:szCs w:val="20"/>
              </w:rPr>
            </w:pPr>
            <w:r>
              <w:rPr>
                <w:rFonts w:ascii="Times New Roman" w:hAnsi="Times New Roman"/>
                <w:sz w:val="20"/>
                <w:szCs w:val="20"/>
              </w:rPr>
              <w:t>2,82</w:t>
            </w:r>
          </w:p>
        </w:tc>
        <w:tc>
          <w:tcPr>
            <w:tcW w:w="842" w:type="pct"/>
            <w:shd w:val="clear" w:color="auto" w:fill="auto"/>
            <w:noWrap/>
            <w:hideMark/>
          </w:tcPr>
          <w:p w14:paraId="1475BA0B" w14:textId="77777777" w:rsidR="00C3264D" w:rsidRDefault="00D812BF">
            <w:pPr>
              <w:spacing w:after="120" w:line="240" w:lineRule="auto"/>
              <w:ind w:right="57"/>
              <w:rPr>
                <w:rFonts w:ascii="Times New Roman" w:eastAsia="Times New Roman" w:hAnsi="Times New Roman"/>
                <w:color w:val="000000"/>
                <w:sz w:val="20"/>
                <w:szCs w:val="20"/>
              </w:rPr>
            </w:pPr>
            <w:r>
              <w:rPr>
                <w:rFonts w:ascii="Times New Roman" w:hAnsi="Times New Roman"/>
                <w:sz w:val="20"/>
                <w:szCs w:val="20"/>
              </w:rPr>
              <w:t>1,46 %</w:t>
            </w:r>
          </w:p>
        </w:tc>
      </w:tr>
      <w:tr w:rsidR="00C3264D" w14:paraId="528817CD" w14:textId="77777777" w:rsidTr="00601A28">
        <w:trPr>
          <w:trHeight w:val="249"/>
        </w:trPr>
        <w:tc>
          <w:tcPr>
            <w:tcW w:w="865" w:type="pct"/>
            <w:shd w:val="clear" w:color="auto" w:fill="auto"/>
            <w:noWrap/>
            <w:hideMark/>
          </w:tcPr>
          <w:p w14:paraId="5506A7B1" w14:textId="77777777" w:rsidR="00C3264D" w:rsidRDefault="00D812BF">
            <w:pPr>
              <w:spacing w:after="120" w:line="240" w:lineRule="auto"/>
              <w:ind w:right="57"/>
              <w:rPr>
                <w:rFonts w:ascii="Times New Roman" w:eastAsia="Times New Roman" w:hAnsi="Times New Roman"/>
                <w:color w:val="000000"/>
                <w:sz w:val="20"/>
                <w:szCs w:val="20"/>
              </w:rPr>
            </w:pPr>
            <w:r>
              <w:rPr>
                <w:rFonts w:ascii="Times New Roman" w:hAnsi="Times New Roman"/>
                <w:sz w:val="20"/>
                <w:szCs w:val="20"/>
              </w:rPr>
              <w:t>Бразилия</w:t>
            </w:r>
          </w:p>
        </w:tc>
        <w:tc>
          <w:tcPr>
            <w:tcW w:w="762" w:type="pct"/>
            <w:shd w:val="clear" w:color="auto" w:fill="auto"/>
            <w:noWrap/>
          </w:tcPr>
          <w:p w14:paraId="7B5C1793" w14:textId="77777777" w:rsidR="00C3264D" w:rsidRDefault="00D812BF">
            <w:pPr>
              <w:spacing w:after="120" w:line="240" w:lineRule="auto"/>
              <w:ind w:right="57"/>
              <w:jc w:val="center"/>
              <w:rPr>
                <w:rFonts w:ascii="Times New Roman" w:eastAsia="Times New Roman" w:hAnsi="Times New Roman"/>
                <w:sz w:val="20"/>
                <w:szCs w:val="20"/>
              </w:rPr>
            </w:pPr>
            <w:r>
              <w:rPr>
                <w:rFonts w:ascii="Times New Roman" w:hAnsi="Times New Roman"/>
                <w:sz w:val="20"/>
                <w:szCs w:val="20"/>
              </w:rPr>
              <w:t xml:space="preserve">5,43 </w:t>
            </w:r>
          </w:p>
        </w:tc>
        <w:tc>
          <w:tcPr>
            <w:tcW w:w="844" w:type="pct"/>
            <w:shd w:val="clear" w:color="auto" w:fill="auto"/>
            <w:noWrap/>
          </w:tcPr>
          <w:p w14:paraId="17016049" w14:textId="77777777" w:rsidR="00C3264D" w:rsidRDefault="00D812BF">
            <w:pPr>
              <w:spacing w:after="120"/>
              <w:jc w:val="center"/>
              <w:rPr>
                <w:rFonts w:ascii="Times New Roman" w:hAnsi="Times New Roman"/>
                <w:sz w:val="20"/>
                <w:szCs w:val="20"/>
              </w:rPr>
            </w:pPr>
            <w:r>
              <w:rPr>
                <w:rFonts w:ascii="Times New Roman" w:hAnsi="Times New Roman"/>
                <w:sz w:val="20"/>
                <w:szCs w:val="20"/>
              </w:rPr>
              <w:t xml:space="preserve">2,08 </w:t>
            </w:r>
          </w:p>
        </w:tc>
        <w:tc>
          <w:tcPr>
            <w:tcW w:w="892" w:type="pct"/>
            <w:shd w:val="clear" w:color="auto" w:fill="auto"/>
            <w:noWrap/>
            <w:hideMark/>
          </w:tcPr>
          <w:p w14:paraId="2AD789FE" w14:textId="77777777" w:rsidR="00C3264D" w:rsidRDefault="00D812BF">
            <w:pPr>
              <w:spacing w:after="120" w:line="240" w:lineRule="auto"/>
              <w:ind w:right="57"/>
              <w:rPr>
                <w:rFonts w:ascii="Times New Roman" w:eastAsia="Times New Roman" w:hAnsi="Times New Roman"/>
                <w:color w:val="000000"/>
                <w:sz w:val="20"/>
                <w:szCs w:val="20"/>
              </w:rPr>
            </w:pPr>
            <w:r>
              <w:rPr>
                <w:rFonts w:ascii="Times New Roman" w:hAnsi="Times New Roman"/>
                <w:sz w:val="20"/>
                <w:szCs w:val="20"/>
              </w:rPr>
              <w:t>Германия</w:t>
            </w:r>
          </w:p>
        </w:tc>
        <w:tc>
          <w:tcPr>
            <w:tcW w:w="794" w:type="pct"/>
            <w:shd w:val="clear" w:color="auto" w:fill="auto"/>
            <w:noWrap/>
            <w:hideMark/>
          </w:tcPr>
          <w:p w14:paraId="29D594F7" w14:textId="77777777" w:rsidR="00C3264D" w:rsidRDefault="00D812BF">
            <w:pPr>
              <w:spacing w:after="120" w:line="240" w:lineRule="auto"/>
              <w:ind w:right="57"/>
              <w:rPr>
                <w:rFonts w:ascii="Times New Roman" w:eastAsia="Times New Roman" w:hAnsi="Times New Roman"/>
                <w:color w:val="000000"/>
                <w:sz w:val="20"/>
                <w:szCs w:val="20"/>
              </w:rPr>
            </w:pPr>
            <w:r>
              <w:rPr>
                <w:rFonts w:ascii="Times New Roman" w:hAnsi="Times New Roman"/>
                <w:sz w:val="20"/>
                <w:szCs w:val="20"/>
              </w:rPr>
              <w:t>1,65</w:t>
            </w:r>
          </w:p>
        </w:tc>
        <w:tc>
          <w:tcPr>
            <w:tcW w:w="842" w:type="pct"/>
            <w:shd w:val="clear" w:color="auto" w:fill="auto"/>
            <w:noWrap/>
            <w:hideMark/>
          </w:tcPr>
          <w:p w14:paraId="01C08A59" w14:textId="77777777" w:rsidR="00C3264D" w:rsidRDefault="00D812BF">
            <w:pPr>
              <w:spacing w:after="120" w:line="240" w:lineRule="auto"/>
              <w:ind w:right="57"/>
              <w:rPr>
                <w:rFonts w:ascii="Times New Roman" w:eastAsia="Times New Roman" w:hAnsi="Times New Roman"/>
                <w:color w:val="000000"/>
                <w:sz w:val="20"/>
                <w:szCs w:val="20"/>
              </w:rPr>
            </w:pPr>
            <w:r>
              <w:rPr>
                <w:rFonts w:ascii="Times New Roman" w:hAnsi="Times New Roman"/>
                <w:sz w:val="20"/>
                <w:szCs w:val="20"/>
              </w:rPr>
              <w:t>0,85 %</w:t>
            </w:r>
          </w:p>
        </w:tc>
      </w:tr>
      <w:tr w:rsidR="00C3264D" w14:paraId="3C698832" w14:textId="77777777" w:rsidTr="00601A28">
        <w:trPr>
          <w:trHeight w:val="249"/>
        </w:trPr>
        <w:tc>
          <w:tcPr>
            <w:tcW w:w="865" w:type="pct"/>
            <w:shd w:val="clear" w:color="auto" w:fill="auto"/>
            <w:noWrap/>
            <w:hideMark/>
          </w:tcPr>
          <w:p w14:paraId="4A05F867" w14:textId="77777777" w:rsidR="00C3264D" w:rsidRDefault="00D812BF">
            <w:pPr>
              <w:spacing w:after="120" w:line="240" w:lineRule="auto"/>
              <w:ind w:right="57"/>
              <w:rPr>
                <w:rFonts w:ascii="Times New Roman" w:eastAsia="Times New Roman" w:hAnsi="Times New Roman"/>
                <w:color w:val="000000"/>
                <w:sz w:val="20"/>
                <w:szCs w:val="20"/>
              </w:rPr>
            </w:pPr>
            <w:r>
              <w:rPr>
                <w:rFonts w:ascii="Times New Roman" w:hAnsi="Times New Roman"/>
                <w:sz w:val="20"/>
                <w:szCs w:val="20"/>
              </w:rPr>
              <w:t>Чили</w:t>
            </w:r>
          </w:p>
        </w:tc>
        <w:tc>
          <w:tcPr>
            <w:tcW w:w="762" w:type="pct"/>
            <w:shd w:val="clear" w:color="auto" w:fill="auto"/>
            <w:noWrap/>
          </w:tcPr>
          <w:p w14:paraId="62176B98" w14:textId="77777777" w:rsidR="00C3264D" w:rsidRDefault="00D812BF">
            <w:pPr>
              <w:spacing w:after="120" w:line="240" w:lineRule="auto"/>
              <w:ind w:right="57"/>
              <w:jc w:val="center"/>
              <w:rPr>
                <w:rFonts w:ascii="Times New Roman" w:eastAsia="Times New Roman" w:hAnsi="Times New Roman"/>
                <w:sz w:val="20"/>
                <w:szCs w:val="20"/>
              </w:rPr>
            </w:pPr>
            <w:r>
              <w:rPr>
                <w:rFonts w:ascii="Times New Roman" w:hAnsi="Times New Roman"/>
                <w:sz w:val="20"/>
                <w:szCs w:val="20"/>
              </w:rPr>
              <w:t>3,16</w:t>
            </w:r>
          </w:p>
        </w:tc>
        <w:tc>
          <w:tcPr>
            <w:tcW w:w="844" w:type="pct"/>
            <w:shd w:val="clear" w:color="auto" w:fill="auto"/>
            <w:noWrap/>
          </w:tcPr>
          <w:p w14:paraId="3787A0CD" w14:textId="77777777" w:rsidR="00C3264D" w:rsidRDefault="00D812BF">
            <w:pPr>
              <w:spacing w:after="120"/>
              <w:jc w:val="center"/>
              <w:rPr>
                <w:rFonts w:ascii="Times New Roman" w:hAnsi="Times New Roman"/>
                <w:sz w:val="20"/>
                <w:szCs w:val="20"/>
              </w:rPr>
            </w:pPr>
            <w:r>
              <w:rPr>
                <w:rFonts w:ascii="Times New Roman" w:hAnsi="Times New Roman"/>
                <w:sz w:val="20"/>
                <w:szCs w:val="20"/>
              </w:rPr>
              <w:t xml:space="preserve">1,21 </w:t>
            </w:r>
          </w:p>
        </w:tc>
        <w:tc>
          <w:tcPr>
            <w:tcW w:w="892" w:type="pct"/>
            <w:shd w:val="clear" w:color="auto" w:fill="auto"/>
            <w:noWrap/>
            <w:hideMark/>
          </w:tcPr>
          <w:p w14:paraId="6930B89A" w14:textId="77777777" w:rsidR="00C3264D" w:rsidRDefault="00D812BF">
            <w:pPr>
              <w:spacing w:after="120" w:line="240" w:lineRule="auto"/>
              <w:ind w:right="57"/>
              <w:rPr>
                <w:rFonts w:ascii="Times New Roman" w:eastAsia="Times New Roman" w:hAnsi="Times New Roman"/>
                <w:color w:val="000000"/>
                <w:sz w:val="20"/>
                <w:szCs w:val="20"/>
              </w:rPr>
            </w:pPr>
            <w:r>
              <w:rPr>
                <w:rFonts w:ascii="Times New Roman" w:hAnsi="Times New Roman"/>
                <w:sz w:val="20"/>
                <w:szCs w:val="20"/>
              </w:rPr>
              <w:t>Франция</w:t>
            </w:r>
          </w:p>
        </w:tc>
        <w:tc>
          <w:tcPr>
            <w:tcW w:w="794" w:type="pct"/>
            <w:shd w:val="clear" w:color="auto" w:fill="auto"/>
            <w:noWrap/>
            <w:hideMark/>
          </w:tcPr>
          <w:p w14:paraId="0D26EDE0" w14:textId="77777777" w:rsidR="00C3264D" w:rsidRDefault="00D812BF">
            <w:pPr>
              <w:spacing w:after="120" w:line="240" w:lineRule="auto"/>
              <w:ind w:right="57"/>
              <w:rPr>
                <w:rFonts w:ascii="Times New Roman" w:eastAsia="Times New Roman" w:hAnsi="Times New Roman"/>
                <w:color w:val="000000"/>
                <w:sz w:val="20"/>
                <w:szCs w:val="20"/>
              </w:rPr>
            </w:pPr>
            <w:r>
              <w:rPr>
                <w:rFonts w:ascii="Times New Roman" w:hAnsi="Times New Roman"/>
                <w:sz w:val="20"/>
                <w:szCs w:val="20"/>
              </w:rPr>
              <w:t>1,24</w:t>
            </w:r>
          </w:p>
        </w:tc>
        <w:tc>
          <w:tcPr>
            <w:tcW w:w="842" w:type="pct"/>
            <w:shd w:val="clear" w:color="auto" w:fill="auto"/>
            <w:noWrap/>
            <w:hideMark/>
          </w:tcPr>
          <w:p w14:paraId="29805C81" w14:textId="77777777" w:rsidR="00C3264D" w:rsidRDefault="00D812BF">
            <w:pPr>
              <w:spacing w:after="120" w:line="240" w:lineRule="auto"/>
              <w:ind w:right="57"/>
              <w:rPr>
                <w:rFonts w:ascii="Times New Roman" w:eastAsia="Times New Roman" w:hAnsi="Times New Roman"/>
                <w:color w:val="000000"/>
                <w:sz w:val="20"/>
                <w:szCs w:val="20"/>
              </w:rPr>
            </w:pPr>
            <w:r>
              <w:rPr>
                <w:rFonts w:ascii="Times New Roman" w:hAnsi="Times New Roman"/>
                <w:sz w:val="20"/>
                <w:szCs w:val="20"/>
              </w:rPr>
              <w:t>0,64 %</w:t>
            </w:r>
          </w:p>
        </w:tc>
      </w:tr>
      <w:tr w:rsidR="00C3264D" w14:paraId="2737922B" w14:textId="77777777" w:rsidTr="00601A28">
        <w:trPr>
          <w:trHeight w:val="249"/>
        </w:trPr>
        <w:tc>
          <w:tcPr>
            <w:tcW w:w="865" w:type="pct"/>
            <w:shd w:val="clear" w:color="auto" w:fill="auto"/>
            <w:noWrap/>
            <w:hideMark/>
          </w:tcPr>
          <w:p w14:paraId="379ABD02" w14:textId="77777777" w:rsidR="00C3264D" w:rsidRDefault="00D812BF">
            <w:pPr>
              <w:spacing w:after="120" w:line="240" w:lineRule="auto"/>
              <w:ind w:right="57"/>
              <w:rPr>
                <w:rFonts w:ascii="Times New Roman" w:eastAsia="Times New Roman" w:hAnsi="Times New Roman"/>
                <w:color w:val="000000"/>
                <w:sz w:val="20"/>
                <w:szCs w:val="20"/>
              </w:rPr>
            </w:pPr>
            <w:r>
              <w:rPr>
                <w:rFonts w:ascii="Times New Roman" w:hAnsi="Times New Roman"/>
                <w:sz w:val="20"/>
                <w:szCs w:val="20"/>
              </w:rPr>
              <w:t>Корея</w:t>
            </w:r>
          </w:p>
        </w:tc>
        <w:tc>
          <w:tcPr>
            <w:tcW w:w="762" w:type="pct"/>
            <w:shd w:val="clear" w:color="auto" w:fill="auto"/>
            <w:noWrap/>
          </w:tcPr>
          <w:p w14:paraId="4651BD35" w14:textId="77777777" w:rsidR="00C3264D" w:rsidRDefault="00D812BF">
            <w:pPr>
              <w:spacing w:after="120" w:line="240" w:lineRule="auto"/>
              <w:ind w:right="57"/>
              <w:jc w:val="center"/>
              <w:rPr>
                <w:rFonts w:ascii="Times New Roman" w:eastAsia="Times New Roman" w:hAnsi="Times New Roman"/>
                <w:sz w:val="20"/>
                <w:szCs w:val="20"/>
              </w:rPr>
            </w:pPr>
            <w:r>
              <w:rPr>
                <w:rFonts w:ascii="Times New Roman" w:hAnsi="Times New Roman"/>
                <w:sz w:val="20"/>
                <w:szCs w:val="20"/>
              </w:rPr>
              <w:t>2,93</w:t>
            </w:r>
          </w:p>
        </w:tc>
        <w:tc>
          <w:tcPr>
            <w:tcW w:w="844" w:type="pct"/>
            <w:shd w:val="clear" w:color="auto" w:fill="auto"/>
            <w:noWrap/>
          </w:tcPr>
          <w:p w14:paraId="48D47F08" w14:textId="77777777" w:rsidR="00C3264D" w:rsidRDefault="00D812BF">
            <w:pPr>
              <w:spacing w:after="120"/>
              <w:jc w:val="center"/>
              <w:rPr>
                <w:rFonts w:ascii="Times New Roman" w:hAnsi="Times New Roman"/>
                <w:sz w:val="20"/>
                <w:szCs w:val="20"/>
              </w:rPr>
            </w:pPr>
            <w:r>
              <w:rPr>
                <w:rFonts w:ascii="Times New Roman" w:hAnsi="Times New Roman"/>
                <w:sz w:val="20"/>
                <w:szCs w:val="20"/>
              </w:rPr>
              <w:t xml:space="preserve">1,12 </w:t>
            </w:r>
          </w:p>
        </w:tc>
        <w:tc>
          <w:tcPr>
            <w:tcW w:w="892" w:type="pct"/>
            <w:shd w:val="clear" w:color="auto" w:fill="auto"/>
            <w:noWrap/>
            <w:hideMark/>
          </w:tcPr>
          <w:p w14:paraId="1B1A3B83" w14:textId="77777777" w:rsidR="00C3264D" w:rsidRDefault="00D812BF">
            <w:pPr>
              <w:spacing w:after="120" w:line="240" w:lineRule="auto"/>
              <w:ind w:right="57"/>
              <w:rPr>
                <w:rFonts w:ascii="Times New Roman" w:eastAsia="Times New Roman" w:hAnsi="Times New Roman"/>
                <w:color w:val="000000"/>
                <w:sz w:val="20"/>
                <w:szCs w:val="20"/>
              </w:rPr>
            </w:pPr>
            <w:r>
              <w:rPr>
                <w:rFonts w:ascii="Times New Roman" w:hAnsi="Times New Roman"/>
                <w:sz w:val="20"/>
                <w:szCs w:val="20"/>
              </w:rPr>
              <w:t>България</w:t>
            </w:r>
          </w:p>
        </w:tc>
        <w:tc>
          <w:tcPr>
            <w:tcW w:w="794" w:type="pct"/>
            <w:shd w:val="clear" w:color="auto" w:fill="auto"/>
            <w:noWrap/>
            <w:hideMark/>
          </w:tcPr>
          <w:p w14:paraId="5869CFC1" w14:textId="77777777" w:rsidR="00C3264D" w:rsidRDefault="00D812BF">
            <w:pPr>
              <w:spacing w:after="120" w:line="240" w:lineRule="auto"/>
              <w:ind w:right="57"/>
              <w:rPr>
                <w:rFonts w:ascii="Times New Roman" w:eastAsia="Times New Roman" w:hAnsi="Times New Roman"/>
                <w:color w:val="000000"/>
                <w:sz w:val="20"/>
                <w:szCs w:val="20"/>
              </w:rPr>
            </w:pPr>
            <w:r>
              <w:rPr>
                <w:rFonts w:ascii="Times New Roman" w:hAnsi="Times New Roman"/>
                <w:sz w:val="20"/>
                <w:szCs w:val="20"/>
              </w:rPr>
              <w:t>0,50</w:t>
            </w:r>
          </w:p>
        </w:tc>
        <w:tc>
          <w:tcPr>
            <w:tcW w:w="842" w:type="pct"/>
            <w:shd w:val="clear" w:color="auto" w:fill="auto"/>
            <w:noWrap/>
            <w:hideMark/>
          </w:tcPr>
          <w:p w14:paraId="6E53FDAC" w14:textId="77777777" w:rsidR="00C3264D" w:rsidRDefault="00D812BF">
            <w:pPr>
              <w:spacing w:after="120" w:line="240" w:lineRule="auto"/>
              <w:ind w:right="57"/>
              <w:rPr>
                <w:rFonts w:ascii="Times New Roman" w:eastAsia="Times New Roman" w:hAnsi="Times New Roman"/>
                <w:color w:val="000000"/>
                <w:sz w:val="20"/>
                <w:szCs w:val="20"/>
              </w:rPr>
            </w:pPr>
            <w:r>
              <w:rPr>
                <w:rFonts w:ascii="Times New Roman" w:hAnsi="Times New Roman"/>
                <w:sz w:val="20"/>
                <w:szCs w:val="20"/>
              </w:rPr>
              <w:t>0,26 %</w:t>
            </w:r>
          </w:p>
        </w:tc>
      </w:tr>
      <w:tr w:rsidR="00C3264D" w14:paraId="3DAD834C" w14:textId="77777777" w:rsidTr="00601A28">
        <w:trPr>
          <w:trHeight w:val="260"/>
        </w:trPr>
        <w:tc>
          <w:tcPr>
            <w:tcW w:w="865" w:type="pct"/>
            <w:shd w:val="clear" w:color="auto" w:fill="auto"/>
            <w:noWrap/>
            <w:hideMark/>
          </w:tcPr>
          <w:p w14:paraId="19EF37A4" w14:textId="77777777" w:rsidR="00C3264D" w:rsidRDefault="00D812BF">
            <w:pPr>
              <w:spacing w:after="120" w:line="240" w:lineRule="auto"/>
              <w:ind w:right="57"/>
              <w:rPr>
                <w:rFonts w:ascii="Times New Roman" w:eastAsia="Times New Roman" w:hAnsi="Times New Roman"/>
                <w:color w:val="000000"/>
                <w:sz w:val="20"/>
                <w:szCs w:val="20"/>
              </w:rPr>
            </w:pPr>
            <w:r>
              <w:rPr>
                <w:rFonts w:ascii="Times New Roman" w:hAnsi="Times New Roman"/>
                <w:sz w:val="20"/>
                <w:szCs w:val="20"/>
              </w:rPr>
              <w:t>Мексико</w:t>
            </w:r>
          </w:p>
        </w:tc>
        <w:tc>
          <w:tcPr>
            <w:tcW w:w="762" w:type="pct"/>
            <w:shd w:val="clear" w:color="auto" w:fill="auto"/>
            <w:noWrap/>
          </w:tcPr>
          <w:p w14:paraId="09365504" w14:textId="77777777" w:rsidR="00C3264D" w:rsidRDefault="00D812BF">
            <w:pPr>
              <w:spacing w:after="120" w:line="240" w:lineRule="auto"/>
              <w:ind w:right="57"/>
              <w:jc w:val="center"/>
              <w:rPr>
                <w:rFonts w:ascii="Times New Roman" w:eastAsia="Times New Roman" w:hAnsi="Times New Roman"/>
                <w:sz w:val="20"/>
                <w:szCs w:val="20"/>
              </w:rPr>
            </w:pPr>
            <w:r>
              <w:rPr>
                <w:rFonts w:ascii="Times New Roman" w:hAnsi="Times New Roman"/>
                <w:sz w:val="20"/>
                <w:szCs w:val="20"/>
              </w:rPr>
              <w:t xml:space="preserve">2,89 </w:t>
            </w:r>
          </w:p>
        </w:tc>
        <w:tc>
          <w:tcPr>
            <w:tcW w:w="844" w:type="pct"/>
            <w:shd w:val="clear" w:color="auto" w:fill="auto"/>
            <w:noWrap/>
          </w:tcPr>
          <w:p w14:paraId="0468240B" w14:textId="77777777" w:rsidR="00C3264D" w:rsidRDefault="00D812BF">
            <w:pPr>
              <w:spacing w:after="120"/>
              <w:jc w:val="center"/>
              <w:rPr>
                <w:rFonts w:ascii="Times New Roman" w:hAnsi="Times New Roman"/>
                <w:sz w:val="20"/>
                <w:szCs w:val="20"/>
              </w:rPr>
            </w:pPr>
            <w:r>
              <w:rPr>
                <w:rFonts w:ascii="Times New Roman" w:hAnsi="Times New Roman"/>
                <w:sz w:val="20"/>
                <w:szCs w:val="20"/>
              </w:rPr>
              <w:t xml:space="preserve">1,10 </w:t>
            </w:r>
          </w:p>
        </w:tc>
        <w:tc>
          <w:tcPr>
            <w:tcW w:w="892" w:type="pct"/>
            <w:shd w:val="clear" w:color="auto" w:fill="auto"/>
            <w:noWrap/>
            <w:hideMark/>
          </w:tcPr>
          <w:p w14:paraId="2A3B6635" w14:textId="77777777" w:rsidR="00C3264D" w:rsidRDefault="00D812BF">
            <w:pPr>
              <w:spacing w:after="120" w:line="240" w:lineRule="auto"/>
              <w:ind w:right="57"/>
              <w:rPr>
                <w:rFonts w:ascii="Times New Roman" w:eastAsia="Times New Roman" w:hAnsi="Times New Roman"/>
                <w:color w:val="000000"/>
                <w:sz w:val="20"/>
                <w:szCs w:val="20"/>
              </w:rPr>
            </w:pPr>
            <w:r>
              <w:rPr>
                <w:rFonts w:ascii="Times New Roman" w:hAnsi="Times New Roman"/>
                <w:sz w:val="20"/>
                <w:szCs w:val="20"/>
              </w:rPr>
              <w:t>Други</w:t>
            </w:r>
          </w:p>
        </w:tc>
        <w:tc>
          <w:tcPr>
            <w:tcW w:w="794" w:type="pct"/>
            <w:shd w:val="clear" w:color="auto" w:fill="auto"/>
            <w:noWrap/>
            <w:hideMark/>
          </w:tcPr>
          <w:p w14:paraId="43CCB92C" w14:textId="77777777" w:rsidR="00C3264D" w:rsidRDefault="00D812BF">
            <w:pPr>
              <w:spacing w:after="120" w:line="240" w:lineRule="auto"/>
              <w:ind w:right="57"/>
              <w:rPr>
                <w:rFonts w:ascii="Times New Roman" w:eastAsia="Times New Roman" w:hAnsi="Times New Roman"/>
                <w:color w:val="000000"/>
                <w:sz w:val="20"/>
                <w:szCs w:val="20"/>
              </w:rPr>
            </w:pPr>
            <w:r>
              <w:rPr>
                <w:rFonts w:ascii="Times New Roman" w:hAnsi="Times New Roman"/>
                <w:sz w:val="20"/>
                <w:szCs w:val="20"/>
              </w:rPr>
              <w:t>6,11</w:t>
            </w:r>
          </w:p>
        </w:tc>
        <w:tc>
          <w:tcPr>
            <w:tcW w:w="842" w:type="pct"/>
            <w:shd w:val="clear" w:color="auto" w:fill="auto"/>
            <w:noWrap/>
            <w:hideMark/>
          </w:tcPr>
          <w:p w14:paraId="1FE8B67C" w14:textId="77777777" w:rsidR="00C3264D" w:rsidRDefault="00D812BF">
            <w:pPr>
              <w:spacing w:after="120" w:line="240" w:lineRule="auto"/>
              <w:ind w:right="57"/>
              <w:rPr>
                <w:rFonts w:ascii="Times New Roman" w:eastAsia="Times New Roman" w:hAnsi="Times New Roman"/>
                <w:color w:val="000000"/>
                <w:sz w:val="20"/>
                <w:szCs w:val="20"/>
              </w:rPr>
            </w:pPr>
            <w:r>
              <w:rPr>
                <w:rFonts w:ascii="Times New Roman" w:hAnsi="Times New Roman"/>
                <w:sz w:val="20"/>
                <w:szCs w:val="20"/>
              </w:rPr>
              <w:t>3,21 %</w:t>
            </w:r>
          </w:p>
        </w:tc>
      </w:tr>
      <w:tr w:rsidR="00C3264D" w14:paraId="3C5052DF" w14:textId="77777777" w:rsidTr="00601A28">
        <w:trPr>
          <w:trHeight w:val="260"/>
        </w:trPr>
        <w:tc>
          <w:tcPr>
            <w:tcW w:w="865" w:type="pct"/>
            <w:shd w:val="clear" w:color="auto" w:fill="auto"/>
            <w:noWrap/>
          </w:tcPr>
          <w:p w14:paraId="4492C2B1" w14:textId="77777777" w:rsidR="00C3264D" w:rsidRDefault="00D812BF">
            <w:pPr>
              <w:spacing w:after="120" w:line="240" w:lineRule="auto"/>
              <w:ind w:right="57"/>
              <w:rPr>
                <w:rFonts w:ascii="Times New Roman" w:eastAsia="Times New Roman" w:hAnsi="Times New Roman"/>
                <w:sz w:val="20"/>
                <w:szCs w:val="20"/>
              </w:rPr>
            </w:pPr>
            <w:r>
              <w:rPr>
                <w:rFonts w:ascii="Times New Roman" w:hAnsi="Times New Roman"/>
                <w:sz w:val="20"/>
                <w:szCs w:val="20"/>
              </w:rPr>
              <w:t>Други</w:t>
            </w:r>
          </w:p>
        </w:tc>
        <w:tc>
          <w:tcPr>
            <w:tcW w:w="762" w:type="pct"/>
            <w:shd w:val="clear" w:color="auto" w:fill="auto"/>
            <w:noWrap/>
          </w:tcPr>
          <w:p w14:paraId="4D43D019" w14:textId="77777777" w:rsidR="00C3264D" w:rsidRDefault="00D812BF">
            <w:pPr>
              <w:spacing w:after="120" w:line="240" w:lineRule="auto"/>
              <w:ind w:right="57"/>
              <w:jc w:val="center"/>
              <w:rPr>
                <w:rFonts w:ascii="Times New Roman" w:eastAsia="Times New Roman" w:hAnsi="Times New Roman"/>
                <w:sz w:val="20"/>
                <w:szCs w:val="20"/>
              </w:rPr>
            </w:pPr>
            <w:r>
              <w:rPr>
                <w:rFonts w:ascii="Times New Roman" w:hAnsi="Times New Roman"/>
                <w:sz w:val="20"/>
                <w:szCs w:val="20"/>
              </w:rPr>
              <w:t xml:space="preserve">24,65 </w:t>
            </w:r>
          </w:p>
        </w:tc>
        <w:tc>
          <w:tcPr>
            <w:tcW w:w="844" w:type="pct"/>
            <w:shd w:val="clear" w:color="auto" w:fill="auto"/>
            <w:noWrap/>
          </w:tcPr>
          <w:p w14:paraId="3D933A15" w14:textId="77777777" w:rsidR="00C3264D" w:rsidRDefault="00D812BF">
            <w:pPr>
              <w:spacing w:after="120"/>
              <w:jc w:val="center"/>
              <w:rPr>
                <w:rFonts w:ascii="Times New Roman" w:hAnsi="Times New Roman"/>
                <w:sz w:val="20"/>
                <w:szCs w:val="20"/>
              </w:rPr>
            </w:pPr>
            <w:r>
              <w:rPr>
                <w:rFonts w:ascii="Times New Roman" w:hAnsi="Times New Roman"/>
                <w:sz w:val="20"/>
                <w:szCs w:val="20"/>
              </w:rPr>
              <w:t xml:space="preserve">9,43 </w:t>
            </w:r>
          </w:p>
        </w:tc>
        <w:tc>
          <w:tcPr>
            <w:tcW w:w="892" w:type="pct"/>
            <w:shd w:val="clear" w:color="auto" w:fill="auto"/>
            <w:noWrap/>
          </w:tcPr>
          <w:p w14:paraId="5427F9CA" w14:textId="77777777" w:rsidR="00C3264D" w:rsidRDefault="00C3264D">
            <w:pPr>
              <w:spacing w:after="120" w:line="240" w:lineRule="auto"/>
              <w:ind w:right="57"/>
              <w:rPr>
                <w:rFonts w:ascii="Times New Roman" w:eastAsia="Times New Roman" w:hAnsi="Times New Roman"/>
                <w:color w:val="000000"/>
                <w:sz w:val="20"/>
                <w:szCs w:val="20"/>
                <w:highlight w:val="yellow"/>
              </w:rPr>
            </w:pPr>
          </w:p>
        </w:tc>
        <w:tc>
          <w:tcPr>
            <w:tcW w:w="794" w:type="pct"/>
            <w:shd w:val="clear" w:color="auto" w:fill="auto"/>
            <w:noWrap/>
          </w:tcPr>
          <w:p w14:paraId="1CA6A323" w14:textId="77777777" w:rsidR="00C3264D" w:rsidRDefault="00C3264D">
            <w:pPr>
              <w:spacing w:after="120" w:line="240" w:lineRule="auto"/>
              <w:ind w:right="57"/>
              <w:rPr>
                <w:rFonts w:ascii="Times New Roman" w:eastAsia="Times New Roman" w:hAnsi="Times New Roman"/>
                <w:color w:val="000000"/>
                <w:sz w:val="20"/>
                <w:szCs w:val="20"/>
                <w:highlight w:val="yellow"/>
              </w:rPr>
            </w:pPr>
          </w:p>
        </w:tc>
        <w:tc>
          <w:tcPr>
            <w:tcW w:w="842" w:type="pct"/>
            <w:shd w:val="clear" w:color="auto" w:fill="auto"/>
            <w:noWrap/>
          </w:tcPr>
          <w:p w14:paraId="3FCD26A5" w14:textId="77777777" w:rsidR="00C3264D" w:rsidRDefault="00C3264D">
            <w:pPr>
              <w:spacing w:after="120" w:line="240" w:lineRule="auto"/>
              <w:ind w:right="57"/>
              <w:rPr>
                <w:rFonts w:ascii="Times New Roman" w:eastAsia="Times New Roman" w:hAnsi="Times New Roman"/>
                <w:color w:val="000000"/>
                <w:sz w:val="20"/>
                <w:szCs w:val="20"/>
                <w:highlight w:val="yellow"/>
              </w:rPr>
            </w:pPr>
          </w:p>
        </w:tc>
      </w:tr>
      <w:tr w:rsidR="00C3264D" w14:paraId="3ACA0DB9" w14:textId="77777777" w:rsidTr="00601A28">
        <w:trPr>
          <w:trHeight w:val="260"/>
        </w:trPr>
        <w:tc>
          <w:tcPr>
            <w:tcW w:w="865" w:type="pct"/>
            <w:shd w:val="clear" w:color="auto" w:fill="auto"/>
            <w:noWrap/>
          </w:tcPr>
          <w:p w14:paraId="70880110" w14:textId="77777777" w:rsidR="00C3264D" w:rsidRDefault="00D812BF">
            <w:pPr>
              <w:spacing w:after="120" w:line="240" w:lineRule="auto"/>
              <w:ind w:right="57"/>
              <w:rPr>
                <w:rFonts w:ascii="Times New Roman" w:eastAsia="Times New Roman" w:hAnsi="Times New Roman"/>
                <w:b/>
                <w:sz w:val="20"/>
                <w:szCs w:val="20"/>
              </w:rPr>
            </w:pPr>
            <w:r>
              <w:rPr>
                <w:rFonts w:ascii="Times New Roman" w:hAnsi="Times New Roman"/>
                <w:b/>
                <w:sz w:val="20"/>
                <w:szCs w:val="20"/>
              </w:rPr>
              <w:t>Общо СЕРЕ и ЕРЕ</w:t>
            </w:r>
          </w:p>
        </w:tc>
        <w:tc>
          <w:tcPr>
            <w:tcW w:w="762" w:type="pct"/>
            <w:shd w:val="clear" w:color="auto" w:fill="auto"/>
            <w:noWrap/>
          </w:tcPr>
          <w:p w14:paraId="2C9DAAAA" w14:textId="77777777" w:rsidR="00C3264D" w:rsidRDefault="00D812BF">
            <w:pPr>
              <w:spacing w:after="120" w:line="240" w:lineRule="auto"/>
              <w:ind w:right="57"/>
              <w:jc w:val="center"/>
              <w:rPr>
                <w:rFonts w:ascii="Times New Roman" w:eastAsia="Times New Roman" w:hAnsi="Times New Roman"/>
                <w:b/>
                <w:sz w:val="20"/>
                <w:szCs w:val="20"/>
              </w:rPr>
            </w:pPr>
            <w:r>
              <w:rPr>
                <w:rFonts w:ascii="Times New Roman" w:hAnsi="Times New Roman"/>
                <w:b/>
                <w:sz w:val="20"/>
                <w:szCs w:val="20"/>
              </w:rPr>
              <w:t xml:space="preserve">453,49 </w:t>
            </w:r>
          </w:p>
        </w:tc>
        <w:tc>
          <w:tcPr>
            <w:tcW w:w="844" w:type="pct"/>
            <w:shd w:val="clear" w:color="auto" w:fill="auto"/>
            <w:noWrap/>
          </w:tcPr>
          <w:p w14:paraId="37A90C4E" w14:textId="77777777" w:rsidR="00C3264D" w:rsidRDefault="00D812BF">
            <w:pPr>
              <w:spacing w:after="120"/>
              <w:jc w:val="center"/>
              <w:rPr>
                <w:rFonts w:ascii="Times New Roman" w:hAnsi="Times New Roman"/>
                <w:b/>
                <w:sz w:val="20"/>
                <w:szCs w:val="20"/>
              </w:rPr>
            </w:pPr>
            <w:r>
              <w:rPr>
                <w:rFonts w:ascii="Times New Roman" w:hAnsi="Times New Roman"/>
                <w:b/>
                <w:sz w:val="20"/>
                <w:szCs w:val="20"/>
              </w:rPr>
              <w:t>100 %</w:t>
            </w:r>
          </w:p>
        </w:tc>
        <w:tc>
          <w:tcPr>
            <w:tcW w:w="892" w:type="pct"/>
            <w:shd w:val="clear" w:color="auto" w:fill="auto"/>
            <w:noWrap/>
          </w:tcPr>
          <w:p w14:paraId="6B49F04A" w14:textId="77777777" w:rsidR="00C3264D" w:rsidRDefault="00C3264D">
            <w:pPr>
              <w:spacing w:after="120" w:line="240" w:lineRule="auto"/>
              <w:ind w:right="57"/>
              <w:rPr>
                <w:rFonts w:ascii="Times New Roman" w:eastAsia="Times New Roman" w:hAnsi="Times New Roman"/>
                <w:b/>
                <w:color w:val="000000"/>
                <w:sz w:val="20"/>
                <w:szCs w:val="20"/>
              </w:rPr>
            </w:pPr>
          </w:p>
        </w:tc>
        <w:tc>
          <w:tcPr>
            <w:tcW w:w="794" w:type="pct"/>
            <w:shd w:val="clear" w:color="auto" w:fill="auto"/>
            <w:noWrap/>
          </w:tcPr>
          <w:p w14:paraId="0E942C90" w14:textId="77777777" w:rsidR="00C3264D" w:rsidRDefault="00C3264D">
            <w:pPr>
              <w:spacing w:after="120" w:line="240" w:lineRule="auto"/>
              <w:ind w:right="57"/>
              <w:rPr>
                <w:rFonts w:ascii="Times New Roman" w:eastAsia="Times New Roman" w:hAnsi="Times New Roman"/>
                <w:b/>
                <w:color w:val="000000"/>
                <w:sz w:val="20"/>
                <w:szCs w:val="20"/>
              </w:rPr>
            </w:pPr>
          </w:p>
        </w:tc>
        <w:tc>
          <w:tcPr>
            <w:tcW w:w="842" w:type="pct"/>
            <w:shd w:val="clear" w:color="auto" w:fill="auto"/>
            <w:noWrap/>
          </w:tcPr>
          <w:p w14:paraId="657E5685" w14:textId="77777777" w:rsidR="00C3264D" w:rsidRDefault="00C3264D">
            <w:pPr>
              <w:spacing w:after="120" w:line="240" w:lineRule="auto"/>
              <w:ind w:right="57"/>
              <w:rPr>
                <w:rFonts w:ascii="Times New Roman" w:eastAsia="Times New Roman" w:hAnsi="Times New Roman"/>
                <w:b/>
                <w:color w:val="000000"/>
                <w:sz w:val="20"/>
                <w:szCs w:val="20"/>
              </w:rPr>
            </w:pPr>
          </w:p>
        </w:tc>
      </w:tr>
    </w:tbl>
    <w:p w14:paraId="747D5123" w14:textId="77777777" w:rsidR="00C3264D" w:rsidRDefault="00626D3C">
      <w:pPr>
        <w:rPr>
          <w:rFonts w:ascii="Times New Roman" w:hAnsi="Times New Roman"/>
          <w:b/>
          <w:sz w:val="18"/>
          <w:szCs w:val="18"/>
        </w:rPr>
      </w:pPr>
      <w:r>
        <w:rPr>
          <w:rFonts w:ascii="Times New Roman" w:hAnsi="Times New Roman"/>
          <w:b/>
          <w:sz w:val="18"/>
          <w:szCs w:val="18"/>
        </w:rPr>
        <w:t>Източник: ЕUTL</w:t>
      </w:r>
    </w:p>
    <w:p w14:paraId="069EB13E" w14:textId="77777777" w:rsidR="00C3264D" w:rsidRDefault="00D812BF">
      <w:pPr>
        <w:rPr>
          <w:rFonts w:ascii="Times New Roman" w:hAnsi="Times New Roman"/>
          <w:b/>
          <w:sz w:val="20"/>
          <w:szCs w:val="20"/>
        </w:rPr>
      </w:pPr>
      <w:r>
        <w:rPr>
          <w:rFonts w:ascii="Times New Roman" w:hAnsi="Times New Roman"/>
          <w:b/>
          <w:sz w:val="20"/>
          <w:szCs w:val="20"/>
        </w:rPr>
        <w:t xml:space="preserve">Таблица 3.2: Обобщени данни за международните кредити, обменени до края на юни 2019 г., по видове инсталации </w:t>
      </w:r>
    </w:p>
    <w:tbl>
      <w:tblPr>
        <w:tblW w:w="4111" w:type="pct"/>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533"/>
        <w:gridCol w:w="2534"/>
        <w:gridCol w:w="2532"/>
      </w:tblGrid>
      <w:tr w:rsidR="00C3264D" w14:paraId="05A592FA" w14:textId="77777777" w:rsidTr="00E72EF9">
        <w:trPr>
          <w:trHeight w:val="247"/>
        </w:trPr>
        <w:tc>
          <w:tcPr>
            <w:tcW w:w="1667" w:type="pct"/>
            <w:shd w:val="clear" w:color="auto" w:fill="auto"/>
            <w:noWrap/>
            <w:hideMark/>
          </w:tcPr>
          <w:p w14:paraId="11023F04" w14:textId="77777777" w:rsidR="00C3264D" w:rsidRDefault="00D812BF">
            <w:pPr>
              <w:spacing w:after="0" w:line="240" w:lineRule="auto"/>
              <w:ind w:right="57"/>
              <w:rPr>
                <w:rFonts w:ascii="Times New Roman" w:eastAsia="Times New Roman" w:hAnsi="Times New Roman"/>
                <w:b/>
                <w:bCs/>
                <w:color w:val="000000"/>
                <w:sz w:val="20"/>
                <w:szCs w:val="20"/>
              </w:rPr>
            </w:pPr>
            <w:r>
              <w:rPr>
                <w:rFonts w:ascii="Times New Roman" w:hAnsi="Times New Roman"/>
                <w:b/>
                <w:sz w:val="20"/>
                <w:szCs w:val="20"/>
              </w:rPr>
              <w:t>Международни кредити, обменени до края на юни 2019 г., изразени в:</w:t>
            </w:r>
          </w:p>
        </w:tc>
        <w:tc>
          <w:tcPr>
            <w:tcW w:w="1667" w:type="pct"/>
            <w:shd w:val="clear" w:color="auto" w:fill="auto"/>
            <w:noWrap/>
            <w:hideMark/>
          </w:tcPr>
          <w:p w14:paraId="1E38255E" w14:textId="77777777" w:rsidR="00C3264D" w:rsidRDefault="00D812BF">
            <w:pPr>
              <w:spacing w:after="0" w:line="240" w:lineRule="auto"/>
              <w:ind w:right="57"/>
              <w:jc w:val="center"/>
              <w:rPr>
                <w:rFonts w:ascii="Times New Roman" w:eastAsia="Times New Roman" w:hAnsi="Times New Roman"/>
                <w:b/>
                <w:sz w:val="20"/>
                <w:szCs w:val="20"/>
              </w:rPr>
            </w:pPr>
            <w:r>
              <w:rPr>
                <w:rFonts w:ascii="Times New Roman" w:hAnsi="Times New Roman"/>
                <w:b/>
                <w:sz w:val="20"/>
                <w:szCs w:val="20"/>
              </w:rPr>
              <w:t>СЕРЕ</w:t>
            </w:r>
          </w:p>
          <w:p w14:paraId="6AFE415E" w14:textId="77777777" w:rsidR="00C3264D" w:rsidRDefault="00D812BF">
            <w:pPr>
              <w:spacing w:after="0" w:line="240" w:lineRule="auto"/>
              <w:ind w:right="57"/>
              <w:jc w:val="center"/>
              <w:rPr>
                <w:rFonts w:ascii="Times New Roman" w:eastAsia="Times New Roman" w:hAnsi="Times New Roman"/>
                <w:b/>
                <w:bCs/>
                <w:color w:val="000000"/>
                <w:sz w:val="20"/>
                <w:szCs w:val="20"/>
              </w:rPr>
            </w:pPr>
            <w:r>
              <w:rPr>
                <w:rFonts w:ascii="Times New Roman" w:hAnsi="Times New Roman"/>
                <w:b/>
                <w:sz w:val="20"/>
                <w:szCs w:val="20"/>
              </w:rPr>
              <w:t xml:space="preserve">в милиони  </w:t>
            </w:r>
          </w:p>
        </w:tc>
        <w:tc>
          <w:tcPr>
            <w:tcW w:w="1666" w:type="pct"/>
            <w:shd w:val="clear" w:color="auto" w:fill="auto"/>
            <w:noWrap/>
            <w:hideMark/>
          </w:tcPr>
          <w:p w14:paraId="371E9229" w14:textId="77777777" w:rsidR="00C3264D" w:rsidRDefault="00D812BF">
            <w:pPr>
              <w:spacing w:after="0" w:line="240" w:lineRule="auto"/>
              <w:ind w:right="57"/>
              <w:jc w:val="center"/>
              <w:rPr>
                <w:rFonts w:ascii="Times New Roman" w:eastAsia="Times New Roman" w:hAnsi="Times New Roman"/>
                <w:b/>
                <w:sz w:val="20"/>
                <w:szCs w:val="20"/>
              </w:rPr>
            </w:pPr>
            <w:r>
              <w:rPr>
                <w:rFonts w:ascii="Times New Roman" w:hAnsi="Times New Roman"/>
                <w:b/>
                <w:sz w:val="20"/>
                <w:szCs w:val="20"/>
              </w:rPr>
              <w:t>ЕРЕ</w:t>
            </w:r>
          </w:p>
          <w:p w14:paraId="2AD9EEA9" w14:textId="77777777" w:rsidR="00C3264D" w:rsidRDefault="00D812BF">
            <w:pPr>
              <w:spacing w:after="0" w:line="240" w:lineRule="auto"/>
              <w:ind w:right="57"/>
              <w:jc w:val="center"/>
              <w:rPr>
                <w:rFonts w:ascii="Times New Roman" w:eastAsia="Times New Roman" w:hAnsi="Times New Roman"/>
                <w:b/>
                <w:bCs/>
                <w:color w:val="000000"/>
                <w:sz w:val="20"/>
                <w:szCs w:val="20"/>
              </w:rPr>
            </w:pPr>
            <w:r>
              <w:rPr>
                <w:rFonts w:ascii="Times New Roman" w:hAnsi="Times New Roman"/>
                <w:b/>
                <w:sz w:val="20"/>
                <w:szCs w:val="20"/>
              </w:rPr>
              <w:t xml:space="preserve">в милиони </w:t>
            </w:r>
          </w:p>
        </w:tc>
      </w:tr>
      <w:tr w:rsidR="00C3264D" w14:paraId="6865279C" w14:textId="77777777" w:rsidTr="00E72EF9">
        <w:trPr>
          <w:trHeight w:val="247"/>
        </w:trPr>
        <w:tc>
          <w:tcPr>
            <w:tcW w:w="1667" w:type="pct"/>
            <w:shd w:val="clear" w:color="auto" w:fill="auto"/>
            <w:noWrap/>
            <w:hideMark/>
          </w:tcPr>
          <w:p w14:paraId="3C044288" w14:textId="77777777" w:rsidR="00C3264D" w:rsidRDefault="00D812BF">
            <w:pPr>
              <w:spacing w:after="120" w:line="240" w:lineRule="auto"/>
              <w:ind w:right="57"/>
              <w:rPr>
                <w:rFonts w:ascii="Times New Roman" w:eastAsia="Times New Roman" w:hAnsi="Times New Roman"/>
                <w:bCs/>
                <w:color w:val="000000"/>
                <w:sz w:val="20"/>
                <w:szCs w:val="20"/>
              </w:rPr>
            </w:pPr>
            <w:r>
              <w:rPr>
                <w:rFonts w:ascii="Times New Roman" w:hAnsi="Times New Roman"/>
                <w:sz w:val="20"/>
                <w:szCs w:val="20"/>
              </w:rPr>
              <w:t>Стационарни инсталации</w:t>
            </w:r>
          </w:p>
        </w:tc>
        <w:tc>
          <w:tcPr>
            <w:tcW w:w="1667" w:type="pct"/>
            <w:shd w:val="clear" w:color="auto" w:fill="auto"/>
            <w:noWrap/>
            <w:hideMark/>
          </w:tcPr>
          <w:p w14:paraId="0A7940B7" w14:textId="77777777" w:rsidR="00C3264D" w:rsidRDefault="00D812BF">
            <w:pPr>
              <w:spacing w:after="120" w:line="240" w:lineRule="auto"/>
              <w:ind w:right="57"/>
              <w:jc w:val="center"/>
              <w:rPr>
                <w:rFonts w:ascii="Times New Roman" w:eastAsia="Times New Roman" w:hAnsi="Times New Roman"/>
                <w:bCs/>
                <w:color w:val="000000"/>
                <w:sz w:val="20"/>
                <w:szCs w:val="20"/>
              </w:rPr>
            </w:pPr>
            <w:r>
              <w:rPr>
                <w:rFonts w:ascii="Times New Roman" w:hAnsi="Times New Roman"/>
                <w:sz w:val="20"/>
                <w:szCs w:val="20"/>
              </w:rPr>
              <w:t>256,46</w:t>
            </w:r>
          </w:p>
        </w:tc>
        <w:tc>
          <w:tcPr>
            <w:tcW w:w="1666" w:type="pct"/>
            <w:shd w:val="clear" w:color="auto" w:fill="auto"/>
            <w:noWrap/>
            <w:hideMark/>
          </w:tcPr>
          <w:p w14:paraId="68B44FC5" w14:textId="77777777" w:rsidR="00C3264D" w:rsidRDefault="00D812BF">
            <w:pPr>
              <w:spacing w:after="120"/>
              <w:jc w:val="center"/>
              <w:rPr>
                <w:rFonts w:ascii="Times New Roman" w:hAnsi="Times New Roman"/>
                <w:sz w:val="20"/>
                <w:szCs w:val="20"/>
              </w:rPr>
            </w:pPr>
            <w:r>
              <w:rPr>
                <w:rFonts w:ascii="Times New Roman" w:hAnsi="Times New Roman"/>
                <w:sz w:val="20"/>
                <w:szCs w:val="20"/>
              </w:rPr>
              <w:t>191,25</w:t>
            </w:r>
          </w:p>
        </w:tc>
      </w:tr>
      <w:tr w:rsidR="00C3264D" w14:paraId="1A0E4308" w14:textId="77777777" w:rsidTr="00E72EF9">
        <w:trPr>
          <w:trHeight w:val="237"/>
        </w:trPr>
        <w:tc>
          <w:tcPr>
            <w:tcW w:w="1667" w:type="pct"/>
            <w:shd w:val="clear" w:color="auto" w:fill="auto"/>
            <w:noWrap/>
            <w:hideMark/>
          </w:tcPr>
          <w:p w14:paraId="0BAD6CDB" w14:textId="77777777" w:rsidR="00C3264D" w:rsidRDefault="00D812BF">
            <w:pPr>
              <w:spacing w:after="120" w:line="240" w:lineRule="auto"/>
              <w:ind w:right="57"/>
              <w:rPr>
                <w:rFonts w:ascii="Times New Roman" w:eastAsia="Times New Roman" w:hAnsi="Times New Roman"/>
                <w:color w:val="000000"/>
                <w:sz w:val="20"/>
                <w:szCs w:val="20"/>
              </w:rPr>
            </w:pPr>
            <w:r>
              <w:rPr>
                <w:rFonts w:ascii="Times New Roman" w:hAnsi="Times New Roman"/>
                <w:sz w:val="20"/>
                <w:szCs w:val="20"/>
              </w:rPr>
              <w:t xml:space="preserve">Оператори на въздухоплавателни средства </w:t>
            </w:r>
          </w:p>
        </w:tc>
        <w:tc>
          <w:tcPr>
            <w:tcW w:w="1667" w:type="pct"/>
            <w:shd w:val="clear" w:color="auto" w:fill="auto"/>
            <w:noWrap/>
          </w:tcPr>
          <w:p w14:paraId="1735D797" w14:textId="77777777" w:rsidR="00C3264D" w:rsidRDefault="00D812BF">
            <w:pPr>
              <w:spacing w:after="120" w:line="240" w:lineRule="auto"/>
              <w:ind w:right="57"/>
              <w:jc w:val="center"/>
              <w:rPr>
                <w:rFonts w:ascii="Times New Roman" w:eastAsia="Times New Roman" w:hAnsi="Times New Roman"/>
                <w:sz w:val="20"/>
                <w:szCs w:val="20"/>
              </w:rPr>
            </w:pPr>
            <w:r>
              <w:rPr>
                <w:rFonts w:ascii="Times New Roman" w:hAnsi="Times New Roman"/>
                <w:sz w:val="20"/>
                <w:szCs w:val="20"/>
              </w:rPr>
              <w:t>4,96</w:t>
            </w:r>
          </w:p>
        </w:tc>
        <w:tc>
          <w:tcPr>
            <w:tcW w:w="1666" w:type="pct"/>
            <w:shd w:val="clear" w:color="auto" w:fill="auto"/>
            <w:noWrap/>
          </w:tcPr>
          <w:p w14:paraId="079C8105" w14:textId="77777777" w:rsidR="00C3264D" w:rsidRDefault="00D812BF">
            <w:pPr>
              <w:spacing w:after="120"/>
              <w:jc w:val="center"/>
              <w:rPr>
                <w:rFonts w:ascii="Times New Roman" w:hAnsi="Times New Roman"/>
                <w:sz w:val="20"/>
                <w:szCs w:val="20"/>
              </w:rPr>
            </w:pPr>
            <w:r>
              <w:rPr>
                <w:rFonts w:ascii="Times New Roman" w:hAnsi="Times New Roman"/>
                <w:sz w:val="20"/>
                <w:szCs w:val="20"/>
              </w:rPr>
              <w:t>0,82</w:t>
            </w:r>
          </w:p>
        </w:tc>
      </w:tr>
      <w:tr w:rsidR="00C3264D" w14:paraId="49FD20B1" w14:textId="77777777" w:rsidTr="00E72EF9">
        <w:trPr>
          <w:trHeight w:val="269"/>
        </w:trPr>
        <w:tc>
          <w:tcPr>
            <w:tcW w:w="1667" w:type="pct"/>
            <w:shd w:val="clear" w:color="auto" w:fill="auto"/>
            <w:noWrap/>
          </w:tcPr>
          <w:p w14:paraId="302E55CF" w14:textId="77777777" w:rsidR="00C3264D" w:rsidRDefault="00D812BF">
            <w:pPr>
              <w:spacing w:after="120" w:line="240" w:lineRule="auto"/>
              <w:ind w:right="57"/>
              <w:rPr>
                <w:rFonts w:ascii="Times New Roman" w:eastAsia="Times New Roman" w:hAnsi="Times New Roman"/>
                <w:b/>
                <w:sz w:val="20"/>
                <w:szCs w:val="20"/>
              </w:rPr>
            </w:pPr>
            <w:r>
              <w:rPr>
                <w:rFonts w:ascii="Times New Roman" w:hAnsi="Times New Roman"/>
                <w:b/>
                <w:sz w:val="20"/>
                <w:szCs w:val="20"/>
              </w:rPr>
              <w:t>ОБЩО</w:t>
            </w:r>
          </w:p>
        </w:tc>
        <w:tc>
          <w:tcPr>
            <w:tcW w:w="1667" w:type="pct"/>
            <w:shd w:val="clear" w:color="auto" w:fill="auto"/>
            <w:noWrap/>
          </w:tcPr>
          <w:p w14:paraId="7C9EC01C" w14:textId="77777777" w:rsidR="00C3264D" w:rsidRDefault="00D812BF">
            <w:pPr>
              <w:spacing w:after="120" w:line="240" w:lineRule="auto"/>
              <w:ind w:right="57"/>
              <w:jc w:val="center"/>
              <w:rPr>
                <w:rFonts w:ascii="Times New Roman" w:eastAsia="Times New Roman" w:hAnsi="Times New Roman"/>
                <w:b/>
                <w:sz w:val="20"/>
                <w:szCs w:val="20"/>
              </w:rPr>
            </w:pPr>
            <w:r>
              <w:rPr>
                <w:rFonts w:ascii="Times New Roman" w:hAnsi="Times New Roman"/>
                <w:b/>
                <w:sz w:val="20"/>
                <w:szCs w:val="20"/>
              </w:rPr>
              <w:t>261,42</w:t>
            </w:r>
          </w:p>
        </w:tc>
        <w:tc>
          <w:tcPr>
            <w:tcW w:w="1666" w:type="pct"/>
            <w:shd w:val="clear" w:color="auto" w:fill="auto"/>
            <w:noWrap/>
          </w:tcPr>
          <w:p w14:paraId="713CF12C" w14:textId="77777777" w:rsidR="00C3264D" w:rsidRDefault="00D812BF">
            <w:pPr>
              <w:spacing w:after="120"/>
              <w:jc w:val="center"/>
              <w:rPr>
                <w:rFonts w:ascii="Times New Roman" w:hAnsi="Times New Roman"/>
                <w:b/>
                <w:sz w:val="20"/>
                <w:szCs w:val="20"/>
              </w:rPr>
            </w:pPr>
            <w:r>
              <w:rPr>
                <w:rFonts w:ascii="Times New Roman" w:hAnsi="Times New Roman"/>
                <w:b/>
                <w:sz w:val="20"/>
                <w:szCs w:val="20"/>
              </w:rPr>
              <w:t>192,07</w:t>
            </w:r>
          </w:p>
        </w:tc>
      </w:tr>
    </w:tbl>
    <w:p w14:paraId="0EDBFBF2" w14:textId="77777777" w:rsidR="00C3264D" w:rsidRDefault="00626D3C">
      <w:pPr>
        <w:rPr>
          <w:rFonts w:ascii="Times New Roman" w:hAnsi="Times New Roman"/>
          <w:b/>
          <w:sz w:val="18"/>
          <w:szCs w:val="18"/>
        </w:rPr>
      </w:pPr>
      <w:r>
        <w:rPr>
          <w:rFonts w:ascii="Times New Roman" w:hAnsi="Times New Roman"/>
          <w:b/>
          <w:sz w:val="18"/>
          <w:szCs w:val="18"/>
        </w:rPr>
        <w:t>Източник: ЕUTL</w:t>
      </w:r>
    </w:p>
    <w:p w14:paraId="285D3DFE" w14:textId="77777777" w:rsidR="00C3264D" w:rsidRDefault="00C3264D">
      <w:pPr>
        <w:rPr>
          <w:rFonts w:ascii="Times New Roman" w:hAnsi="Times New Roman"/>
          <w:b/>
        </w:rPr>
      </w:pPr>
    </w:p>
    <w:p w14:paraId="1C201344" w14:textId="77777777" w:rsidR="00C3264D" w:rsidRDefault="001F1235">
      <w:pPr>
        <w:rPr>
          <w:rFonts w:ascii="Times New Roman" w:hAnsi="Times New Roman"/>
          <w:b/>
        </w:rPr>
      </w:pPr>
      <w:r>
        <w:rPr>
          <w:rFonts w:ascii="Times New Roman" w:hAnsi="Times New Roman"/>
          <w:b/>
        </w:rPr>
        <w:t>Допълнение 4</w:t>
      </w:r>
    </w:p>
    <w:p w14:paraId="158FD0F4" w14:textId="77777777" w:rsidR="00C3264D" w:rsidRDefault="001F1235">
      <w:pPr>
        <w:pStyle w:val="Caption"/>
        <w:keepNext/>
        <w:rPr>
          <w:rFonts w:ascii="Times New Roman" w:hAnsi="Times New Roman"/>
        </w:rPr>
      </w:pPr>
      <w:r>
        <w:rPr>
          <w:rFonts w:ascii="Times New Roman" w:hAnsi="Times New Roman"/>
        </w:rPr>
        <w:t>Таблица 4.1: Елементи на предлагането и търсенето на квоти в рамките на СТЕ</w:t>
      </w:r>
    </w:p>
    <w:tbl>
      <w:tblPr>
        <w:tblW w:w="5000" w:type="pct"/>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95"/>
        <w:gridCol w:w="1386"/>
        <w:gridCol w:w="2118"/>
        <w:gridCol w:w="3943"/>
      </w:tblGrid>
      <w:tr w:rsidR="00C3264D" w14:paraId="7AB6F662" w14:textId="77777777" w:rsidTr="00601A28">
        <w:trPr>
          <w:trHeight w:val="458"/>
        </w:trPr>
        <w:tc>
          <w:tcPr>
            <w:tcW w:w="949" w:type="pct"/>
            <w:shd w:val="clear" w:color="auto" w:fill="auto"/>
            <w:vAlign w:val="center"/>
          </w:tcPr>
          <w:p w14:paraId="494FCB6D" w14:textId="77777777" w:rsidR="00C3264D" w:rsidRDefault="001F1235">
            <w:pPr>
              <w:spacing w:after="0" w:line="240" w:lineRule="auto"/>
              <w:rPr>
                <w:rFonts w:ascii="Times New Roman" w:hAnsi="Times New Roman"/>
                <w:b/>
                <w:sz w:val="20"/>
                <w:szCs w:val="20"/>
              </w:rPr>
            </w:pPr>
            <w:r>
              <w:rPr>
                <w:rFonts w:ascii="Times New Roman" w:hAnsi="Times New Roman"/>
                <w:b/>
                <w:sz w:val="20"/>
                <w:szCs w:val="20"/>
              </w:rPr>
              <w:t>Елемент</w:t>
            </w:r>
          </w:p>
        </w:tc>
        <w:tc>
          <w:tcPr>
            <w:tcW w:w="0" w:type="auto"/>
            <w:shd w:val="clear" w:color="auto" w:fill="auto"/>
            <w:vAlign w:val="center"/>
          </w:tcPr>
          <w:p w14:paraId="153BE393" w14:textId="77777777" w:rsidR="00C3264D" w:rsidRDefault="001F1235">
            <w:pPr>
              <w:spacing w:after="0" w:line="240" w:lineRule="auto"/>
              <w:rPr>
                <w:rFonts w:ascii="Times New Roman" w:hAnsi="Times New Roman"/>
                <w:b/>
                <w:sz w:val="20"/>
                <w:szCs w:val="20"/>
              </w:rPr>
            </w:pPr>
            <w:r>
              <w:rPr>
                <w:rFonts w:ascii="Times New Roman" w:hAnsi="Times New Roman"/>
                <w:b/>
                <w:sz w:val="20"/>
                <w:szCs w:val="20"/>
              </w:rPr>
              <w:t>Предлагане или търсене?</w:t>
            </w:r>
          </w:p>
        </w:tc>
        <w:tc>
          <w:tcPr>
            <w:tcW w:w="0" w:type="auto"/>
            <w:shd w:val="clear" w:color="auto" w:fill="auto"/>
            <w:vAlign w:val="center"/>
          </w:tcPr>
          <w:p w14:paraId="3596431D" w14:textId="77777777" w:rsidR="00C3264D" w:rsidRDefault="001F1235">
            <w:pPr>
              <w:spacing w:after="0" w:line="240" w:lineRule="auto"/>
              <w:rPr>
                <w:rFonts w:ascii="Times New Roman" w:hAnsi="Times New Roman"/>
                <w:b/>
                <w:sz w:val="20"/>
                <w:szCs w:val="20"/>
              </w:rPr>
            </w:pPr>
            <w:r>
              <w:rPr>
                <w:rFonts w:ascii="Times New Roman" w:hAnsi="Times New Roman"/>
                <w:b/>
                <w:sz w:val="20"/>
                <w:szCs w:val="20"/>
              </w:rPr>
              <w:t>Публикуване</w:t>
            </w:r>
          </w:p>
        </w:tc>
        <w:tc>
          <w:tcPr>
            <w:tcW w:w="0" w:type="auto"/>
            <w:shd w:val="clear" w:color="auto" w:fill="auto"/>
            <w:vAlign w:val="center"/>
          </w:tcPr>
          <w:p w14:paraId="609978AA" w14:textId="77777777" w:rsidR="00C3264D" w:rsidRDefault="001F1235">
            <w:pPr>
              <w:spacing w:after="0" w:line="240" w:lineRule="auto"/>
              <w:rPr>
                <w:rFonts w:ascii="Times New Roman" w:hAnsi="Times New Roman"/>
                <w:b/>
                <w:sz w:val="20"/>
                <w:szCs w:val="20"/>
              </w:rPr>
            </w:pPr>
            <w:r>
              <w:rPr>
                <w:rFonts w:ascii="Times New Roman" w:hAnsi="Times New Roman"/>
                <w:b/>
                <w:sz w:val="20"/>
                <w:szCs w:val="20"/>
              </w:rPr>
              <w:t>Актуализиране и неясноти</w:t>
            </w:r>
          </w:p>
        </w:tc>
      </w:tr>
      <w:tr w:rsidR="00C3264D" w14:paraId="08D4B096" w14:textId="77777777" w:rsidTr="00601A28">
        <w:trPr>
          <w:trHeight w:val="458"/>
        </w:trPr>
        <w:tc>
          <w:tcPr>
            <w:tcW w:w="949" w:type="pct"/>
            <w:shd w:val="clear" w:color="auto" w:fill="auto"/>
          </w:tcPr>
          <w:p w14:paraId="58170BA1" w14:textId="77777777" w:rsidR="00C3264D" w:rsidRDefault="001F1235">
            <w:pPr>
              <w:spacing w:after="0" w:line="240" w:lineRule="auto"/>
              <w:rPr>
                <w:rFonts w:ascii="Times New Roman" w:hAnsi="Times New Roman"/>
                <w:b/>
                <w:sz w:val="20"/>
                <w:szCs w:val="20"/>
              </w:rPr>
            </w:pPr>
            <w:r>
              <w:rPr>
                <w:rFonts w:ascii="Times New Roman" w:hAnsi="Times New Roman"/>
                <w:b/>
                <w:sz w:val="20"/>
                <w:szCs w:val="20"/>
              </w:rPr>
              <w:t>Общо натрупване за фаза 2</w:t>
            </w:r>
          </w:p>
        </w:tc>
        <w:tc>
          <w:tcPr>
            <w:tcW w:w="0" w:type="auto"/>
            <w:shd w:val="clear" w:color="auto" w:fill="auto"/>
          </w:tcPr>
          <w:p w14:paraId="07260D69" w14:textId="77777777" w:rsidR="00C3264D" w:rsidRDefault="001F1235">
            <w:pPr>
              <w:spacing w:after="0" w:line="240" w:lineRule="auto"/>
              <w:rPr>
                <w:rFonts w:ascii="Times New Roman" w:hAnsi="Times New Roman"/>
                <w:sz w:val="20"/>
                <w:szCs w:val="20"/>
              </w:rPr>
            </w:pPr>
            <w:r>
              <w:rPr>
                <w:rFonts w:ascii="Times New Roman" w:hAnsi="Times New Roman"/>
                <w:sz w:val="20"/>
                <w:szCs w:val="20"/>
              </w:rPr>
              <w:t>Предлагане</w:t>
            </w:r>
          </w:p>
        </w:tc>
        <w:tc>
          <w:tcPr>
            <w:tcW w:w="0" w:type="auto"/>
            <w:shd w:val="clear" w:color="auto" w:fill="auto"/>
          </w:tcPr>
          <w:p w14:paraId="59DD3A87" w14:textId="77777777" w:rsidR="00C3264D" w:rsidRDefault="001F1235">
            <w:pPr>
              <w:spacing w:after="0" w:line="240" w:lineRule="auto"/>
              <w:rPr>
                <w:rFonts w:ascii="Times New Roman" w:hAnsi="Times New Roman"/>
                <w:sz w:val="20"/>
                <w:szCs w:val="20"/>
              </w:rPr>
            </w:pPr>
            <w:r>
              <w:rPr>
                <w:rFonts w:ascii="Times New Roman" w:hAnsi="Times New Roman"/>
                <w:sz w:val="20"/>
                <w:szCs w:val="20"/>
              </w:rPr>
              <w:t>Доклад за пазара на въглеродни емисии</w:t>
            </w:r>
          </w:p>
        </w:tc>
        <w:tc>
          <w:tcPr>
            <w:tcW w:w="0" w:type="auto"/>
            <w:shd w:val="clear" w:color="auto" w:fill="auto"/>
          </w:tcPr>
          <w:p w14:paraId="171B2E87" w14:textId="77777777" w:rsidR="00C3264D" w:rsidRDefault="001F1235">
            <w:pPr>
              <w:pStyle w:val="ListParagraph"/>
              <w:spacing w:after="0" w:line="240" w:lineRule="auto"/>
              <w:ind w:left="0"/>
              <w:rPr>
                <w:rFonts w:ascii="Times New Roman" w:hAnsi="Times New Roman"/>
                <w:sz w:val="20"/>
                <w:szCs w:val="20"/>
              </w:rPr>
            </w:pPr>
            <w:r>
              <w:rPr>
                <w:rFonts w:ascii="Times New Roman" w:hAnsi="Times New Roman"/>
                <w:sz w:val="20"/>
                <w:szCs w:val="20"/>
              </w:rPr>
              <w:t xml:space="preserve">Не се предвижда актуализация, тъй като фаза 2 е завършила. Окончателна стойност. </w:t>
            </w:r>
          </w:p>
        </w:tc>
      </w:tr>
      <w:tr w:rsidR="00C3264D" w14:paraId="52C2E3F1" w14:textId="77777777" w:rsidTr="00601A28">
        <w:trPr>
          <w:trHeight w:val="687"/>
        </w:trPr>
        <w:tc>
          <w:tcPr>
            <w:tcW w:w="949" w:type="pct"/>
            <w:shd w:val="clear" w:color="auto" w:fill="auto"/>
          </w:tcPr>
          <w:p w14:paraId="62871F2A" w14:textId="77777777" w:rsidR="00C3264D" w:rsidRDefault="001F1235">
            <w:pPr>
              <w:spacing w:after="0" w:line="240" w:lineRule="auto"/>
              <w:rPr>
                <w:rFonts w:ascii="Times New Roman" w:hAnsi="Times New Roman"/>
                <w:b/>
                <w:sz w:val="20"/>
                <w:szCs w:val="20"/>
              </w:rPr>
            </w:pPr>
            <w:r>
              <w:rPr>
                <w:rFonts w:ascii="Times New Roman" w:hAnsi="Times New Roman"/>
                <w:b/>
                <w:sz w:val="20"/>
                <w:szCs w:val="20"/>
              </w:rPr>
              <w:t xml:space="preserve">Ранни търгове за фаза 3 </w:t>
            </w:r>
          </w:p>
        </w:tc>
        <w:tc>
          <w:tcPr>
            <w:tcW w:w="0" w:type="auto"/>
            <w:shd w:val="clear" w:color="auto" w:fill="auto"/>
          </w:tcPr>
          <w:p w14:paraId="74C382B2" w14:textId="77777777" w:rsidR="00C3264D" w:rsidRDefault="001F1235">
            <w:pPr>
              <w:spacing w:after="0" w:line="240" w:lineRule="auto"/>
              <w:rPr>
                <w:rFonts w:ascii="Times New Roman" w:hAnsi="Times New Roman"/>
                <w:sz w:val="20"/>
                <w:szCs w:val="20"/>
              </w:rPr>
            </w:pPr>
            <w:r>
              <w:rPr>
                <w:rFonts w:ascii="Times New Roman" w:hAnsi="Times New Roman"/>
                <w:sz w:val="20"/>
                <w:szCs w:val="20"/>
              </w:rPr>
              <w:t>Предлагане</w:t>
            </w:r>
          </w:p>
        </w:tc>
        <w:tc>
          <w:tcPr>
            <w:tcW w:w="0" w:type="auto"/>
            <w:shd w:val="clear" w:color="auto" w:fill="auto"/>
          </w:tcPr>
          <w:p w14:paraId="0B79CAD9" w14:textId="77777777" w:rsidR="00C3264D" w:rsidRDefault="001F1235">
            <w:pPr>
              <w:spacing w:after="0" w:line="240" w:lineRule="auto"/>
              <w:rPr>
                <w:rFonts w:ascii="Times New Roman" w:hAnsi="Times New Roman"/>
                <w:sz w:val="20"/>
                <w:szCs w:val="20"/>
              </w:rPr>
            </w:pPr>
            <w:r>
              <w:rPr>
                <w:rFonts w:ascii="Times New Roman" w:hAnsi="Times New Roman"/>
                <w:sz w:val="20"/>
                <w:szCs w:val="20"/>
              </w:rPr>
              <w:t>Уебсайт на ГД „Действия по климата“, уебсайтове на EEX и ICE</w:t>
            </w:r>
          </w:p>
        </w:tc>
        <w:tc>
          <w:tcPr>
            <w:tcW w:w="0" w:type="auto"/>
            <w:shd w:val="clear" w:color="auto" w:fill="auto"/>
          </w:tcPr>
          <w:p w14:paraId="5A6794C3" w14:textId="77777777" w:rsidR="00C3264D" w:rsidRDefault="001F1235">
            <w:pPr>
              <w:pStyle w:val="ListParagraph"/>
              <w:spacing w:after="0" w:line="240" w:lineRule="auto"/>
              <w:ind w:left="0"/>
              <w:rPr>
                <w:rFonts w:ascii="Times New Roman" w:hAnsi="Times New Roman"/>
                <w:sz w:val="20"/>
                <w:szCs w:val="20"/>
              </w:rPr>
            </w:pPr>
            <w:r>
              <w:rPr>
                <w:rFonts w:ascii="Times New Roman" w:hAnsi="Times New Roman"/>
                <w:sz w:val="20"/>
                <w:szCs w:val="20"/>
              </w:rPr>
              <w:t>Тези квоти не са част от общото натрупване на квоти през фаза 2. Окончателни стойности.</w:t>
            </w:r>
          </w:p>
        </w:tc>
      </w:tr>
      <w:tr w:rsidR="00C3264D" w14:paraId="385F9E67" w14:textId="77777777" w:rsidTr="00601A28">
        <w:trPr>
          <w:trHeight w:val="458"/>
        </w:trPr>
        <w:tc>
          <w:tcPr>
            <w:tcW w:w="949" w:type="pct"/>
            <w:shd w:val="clear" w:color="auto" w:fill="auto"/>
          </w:tcPr>
          <w:p w14:paraId="19AF6BFF" w14:textId="77777777" w:rsidR="00C3264D" w:rsidRDefault="001F1235">
            <w:pPr>
              <w:spacing w:after="0" w:line="240" w:lineRule="auto"/>
              <w:rPr>
                <w:rFonts w:ascii="Times New Roman" w:hAnsi="Times New Roman"/>
                <w:b/>
                <w:sz w:val="20"/>
                <w:szCs w:val="20"/>
              </w:rPr>
            </w:pPr>
            <w:r>
              <w:rPr>
                <w:rFonts w:ascii="Times New Roman" w:hAnsi="Times New Roman"/>
                <w:b/>
                <w:sz w:val="20"/>
                <w:szCs w:val="20"/>
              </w:rPr>
              <w:t>Квоти за финансиране на NER 300</w:t>
            </w:r>
          </w:p>
        </w:tc>
        <w:tc>
          <w:tcPr>
            <w:tcW w:w="0" w:type="auto"/>
            <w:shd w:val="clear" w:color="auto" w:fill="auto"/>
          </w:tcPr>
          <w:p w14:paraId="79CEC823" w14:textId="77777777" w:rsidR="00C3264D" w:rsidRDefault="001F1235">
            <w:pPr>
              <w:spacing w:after="0" w:line="240" w:lineRule="auto"/>
              <w:rPr>
                <w:rFonts w:ascii="Times New Roman" w:hAnsi="Times New Roman"/>
                <w:sz w:val="20"/>
                <w:szCs w:val="20"/>
              </w:rPr>
            </w:pPr>
            <w:r>
              <w:rPr>
                <w:rFonts w:ascii="Times New Roman" w:hAnsi="Times New Roman"/>
                <w:sz w:val="20"/>
                <w:szCs w:val="20"/>
              </w:rPr>
              <w:t>Предлагане</w:t>
            </w:r>
          </w:p>
        </w:tc>
        <w:tc>
          <w:tcPr>
            <w:tcW w:w="0" w:type="auto"/>
            <w:shd w:val="clear" w:color="auto" w:fill="auto"/>
          </w:tcPr>
          <w:p w14:paraId="0CE0D0E4" w14:textId="77777777" w:rsidR="00C3264D" w:rsidRDefault="001F1235">
            <w:pPr>
              <w:spacing w:after="0" w:line="240" w:lineRule="auto"/>
              <w:rPr>
                <w:rFonts w:ascii="Times New Roman" w:hAnsi="Times New Roman"/>
                <w:sz w:val="20"/>
                <w:szCs w:val="20"/>
              </w:rPr>
            </w:pPr>
            <w:r>
              <w:rPr>
                <w:rFonts w:ascii="Times New Roman" w:hAnsi="Times New Roman"/>
                <w:sz w:val="20"/>
                <w:szCs w:val="20"/>
              </w:rPr>
              <w:t>Уебсайт на ЕИБ</w:t>
            </w:r>
          </w:p>
        </w:tc>
        <w:tc>
          <w:tcPr>
            <w:tcW w:w="0" w:type="auto"/>
            <w:shd w:val="clear" w:color="auto" w:fill="auto"/>
          </w:tcPr>
          <w:p w14:paraId="27BA7D24" w14:textId="77777777" w:rsidR="00C3264D" w:rsidRDefault="001F1235">
            <w:pPr>
              <w:pStyle w:val="ListParagraph"/>
              <w:spacing w:after="0" w:line="240" w:lineRule="auto"/>
              <w:ind w:left="0"/>
              <w:rPr>
                <w:rFonts w:ascii="Times New Roman" w:hAnsi="Times New Roman"/>
                <w:sz w:val="20"/>
                <w:szCs w:val="20"/>
              </w:rPr>
            </w:pPr>
            <w:r>
              <w:rPr>
                <w:rFonts w:ascii="Times New Roman" w:hAnsi="Times New Roman"/>
                <w:sz w:val="20"/>
                <w:szCs w:val="20"/>
              </w:rPr>
              <w:t>300 милиона квоти са осребрени през периода 2012—2014 г. Окончателни стойности. Окончателни стойности.</w:t>
            </w:r>
          </w:p>
        </w:tc>
      </w:tr>
      <w:tr w:rsidR="00C3264D" w14:paraId="5A53AF73" w14:textId="77777777" w:rsidTr="00601A28">
        <w:trPr>
          <w:trHeight w:val="915"/>
        </w:trPr>
        <w:tc>
          <w:tcPr>
            <w:tcW w:w="949" w:type="pct"/>
            <w:shd w:val="clear" w:color="auto" w:fill="auto"/>
          </w:tcPr>
          <w:p w14:paraId="474CA478" w14:textId="77777777" w:rsidR="00C3264D" w:rsidRDefault="001F1235">
            <w:pPr>
              <w:spacing w:after="0" w:line="240" w:lineRule="auto"/>
              <w:rPr>
                <w:rFonts w:ascii="Times New Roman" w:hAnsi="Times New Roman"/>
                <w:b/>
                <w:sz w:val="20"/>
                <w:szCs w:val="20"/>
              </w:rPr>
            </w:pPr>
            <w:r>
              <w:rPr>
                <w:rFonts w:ascii="Times New Roman" w:hAnsi="Times New Roman"/>
                <w:b/>
                <w:sz w:val="20"/>
                <w:szCs w:val="20"/>
              </w:rPr>
              <w:t>Търгове за авиационни емисии</w:t>
            </w:r>
          </w:p>
        </w:tc>
        <w:tc>
          <w:tcPr>
            <w:tcW w:w="0" w:type="auto"/>
            <w:shd w:val="clear" w:color="auto" w:fill="auto"/>
          </w:tcPr>
          <w:p w14:paraId="624E5B45" w14:textId="77777777" w:rsidR="00C3264D" w:rsidRDefault="001F1235">
            <w:pPr>
              <w:spacing w:after="0" w:line="240" w:lineRule="auto"/>
              <w:rPr>
                <w:rFonts w:ascii="Times New Roman" w:hAnsi="Times New Roman"/>
                <w:sz w:val="20"/>
                <w:szCs w:val="20"/>
              </w:rPr>
            </w:pPr>
            <w:r>
              <w:rPr>
                <w:rFonts w:ascii="Times New Roman" w:hAnsi="Times New Roman"/>
                <w:sz w:val="20"/>
                <w:szCs w:val="20"/>
              </w:rPr>
              <w:t>Предлагане</w:t>
            </w:r>
          </w:p>
        </w:tc>
        <w:tc>
          <w:tcPr>
            <w:tcW w:w="0" w:type="auto"/>
            <w:shd w:val="clear" w:color="auto" w:fill="auto"/>
          </w:tcPr>
          <w:p w14:paraId="73105170" w14:textId="77777777" w:rsidR="00C3264D" w:rsidRDefault="001F1235">
            <w:pPr>
              <w:spacing w:after="0" w:line="240" w:lineRule="auto"/>
              <w:rPr>
                <w:rFonts w:ascii="Times New Roman" w:hAnsi="Times New Roman"/>
                <w:sz w:val="20"/>
                <w:szCs w:val="20"/>
              </w:rPr>
            </w:pPr>
            <w:r>
              <w:rPr>
                <w:rFonts w:ascii="Times New Roman" w:hAnsi="Times New Roman"/>
                <w:sz w:val="20"/>
                <w:szCs w:val="20"/>
              </w:rPr>
              <w:t>Уебсайт на ГД „Действия по климата“, уебсайтове на EEX и ICE</w:t>
            </w:r>
          </w:p>
        </w:tc>
        <w:tc>
          <w:tcPr>
            <w:tcW w:w="0" w:type="auto"/>
            <w:shd w:val="clear" w:color="auto" w:fill="auto"/>
          </w:tcPr>
          <w:p w14:paraId="54111AB1" w14:textId="77777777" w:rsidR="00C3264D" w:rsidRDefault="001F1235">
            <w:pPr>
              <w:pStyle w:val="ListParagraph"/>
              <w:spacing w:after="0" w:line="240" w:lineRule="auto"/>
              <w:ind w:left="0"/>
              <w:rPr>
                <w:rFonts w:ascii="Times New Roman" w:hAnsi="Times New Roman"/>
                <w:sz w:val="20"/>
                <w:szCs w:val="20"/>
              </w:rPr>
            </w:pPr>
            <w:r>
              <w:rPr>
                <w:rFonts w:ascii="Times New Roman" w:hAnsi="Times New Roman"/>
                <w:sz w:val="20"/>
                <w:szCs w:val="20"/>
              </w:rPr>
              <w:t>Няма — корекциите се отразяват в количествата за следващата година.</w:t>
            </w:r>
          </w:p>
          <w:p w14:paraId="2F39CC72" w14:textId="77777777" w:rsidR="00C3264D" w:rsidRDefault="00C3264D">
            <w:pPr>
              <w:pStyle w:val="ListParagraph"/>
              <w:spacing w:after="0" w:line="240" w:lineRule="auto"/>
              <w:ind w:left="0"/>
              <w:rPr>
                <w:rFonts w:ascii="Times New Roman" w:hAnsi="Times New Roman"/>
                <w:sz w:val="20"/>
                <w:szCs w:val="20"/>
              </w:rPr>
            </w:pPr>
          </w:p>
          <w:p w14:paraId="57650A94" w14:textId="77777777" w:rsidR="00C3264D" w:rsidRDefault="001F1235">
            <w:pPr>
              <w:pStyle w:val="ListParagraph"/>
              <w:spacing w:after="0" w:line="240" w:lineRule="auto"/>
              <w:ind w:left="0"/>
              <w:rPr>
                <w:rFonts w:ascii="Times New Roman" w:hAnsi="Times New Roman"/>
                <w:sz w:val="20"/>
                <w:szCs w:val="20"/>
              </w:rPr>
            </w:pPr>
            <w:r>
              <w:rPr>
                <w:rFonts w:ascii="Times New Roman" w:hAnsi="Times New Roman"/>
                <w:sz w:val="20"/>
                <w:szCs w:val="20"/>
              </w:rPr>
              <w:t>Търговете за 2013 г. и 2014 г. са проведени през 2015 г.</w:t>
            </w:r>
          </w:p>
        </w:tc>
      </w:tr>
      <w:tr w:rsidR="00C3264D" w14:paraId="1EE03035" w14:textId="77777777" w:rsidTr="00601A28">
        <w:trPr>
          <w:trHeight w:val="1145"/>
        </w:trPr>
        <w:tc>
          <w:tcPr>
            <w:tcW w:w="949" w:type="pct"/>
            <w:shd w:val="clear" w:color="auto" w:fill="auto"/>
          </w:tcPr>
          <w:p w14:paraId="577EA6E4" w14:textId="77777777" w:rsidR="00C3264D" w:rsidRDefault="001F1235">
            <w:pPr>
              <w:spacing w:after="0" w:line="240" w:lineRule="auto"/>
              <w:rPr>
                <w:rFonts w:ascii="Times New Roman" w:hAnsi="Times New Roman"/>
                <w:b/>
                <w:sz w:val="20"/>
                <w:szCs w:val="20"/>
              </w:rPr>
            </w:pPr>
            <w:r>
              <w:rPr>
                <w:rFonts w:ascii="Times New Roman" w:hAnsi="Times New Roman"/>
                <w:b/>
                <w:sz w:val="20"/>
                <w:szCs w:val="20"/>
              </w:rPr>
              <w:t>Търгове за фаза 3</w:t>
            </w:r>
          </w:p>
        </w:tc>
        <w:tc>
          <w:tcPr>
            <w:tcW w:w="0" w:type="auto"/>
            <w:shd w:val="clear" w:color="auto" w:fill="auto"/>
          </w:tcPr>
          <w:p w14:paraId="30D56A0C" w14:textId="77777777" w:rsidR="00C3264D" w:rsidRDefault="001F1235">
            <w:pPr>
              <w:spacing w:after="0" w:line="240" w:lineRule="auto"/>
              <w:rPr>
                <w:rFonts w:ascii="Times New Roman" w:hAnsi="Times New Roman"/>
                <w:sz w:val="20"/>
                <w:szCs w:val="20"/>
              </w:rPr>
            </w:pPr>
            <w:r>
              <w:rPr>
                <w:rFonts w:ascii="Times New Roman" w:hAnsi="Times New Roman"/>
                <w:sz w:val="20"/>
                <w:szCs w:val="20"/>
              </w:rPr>
              <w:t>Предлагане</w:t>
            </w:r>
          </w:p>
        </w:tc>
        <w:tc>
          <w:tcPr>
            <w:tcW w:w="0" w:type="auto"/>
            <w:shd w:val="clear" w:color="auto" w:fill="auto"/>
          </w:tcPr>
          <w:p w14:paraId="06521372" w14:textId="77777777" w:rsidR="00C3264D" w:rsidRDefault="001F1235">
            <w:pPr>
              <w:spacing w:after="0" w:line="240" w:lineRule="auto"/>
              <w:rPr>
                <w:rFonts w:ascii="Times New Roman" w:hAnsi="Times New Roman"/>
                <w:sz w:val="20"/>
                <w:szCs w:val="20"/>
              </w:rPr>
            </w:pPr>
            <w:r>
              <w:rPr>
                <w:rFonts w:ascii="Times New Roman" w:hAnsi="Times New Roman"/>
                <w:sz w:val="20"/>
                <w:szCs w:val="20"/>
              </w:rPr>
              <w:t>Уебсайт на ГД „Действия по климата“, уебсайтове на EEX и ICE</w:t>
            </w:r>
          </w:p>
        </w:tc>
        <w:tc>
          <w:tcPr>
            <w:tcW w:w="0" w:type="auto"/>
            <w:shd w:val="clear" w:color="auto" w:fill="auto"/>
          </w:tcPr>
          <w:p w14:paraId="15C0C206" w14:textId="77777777" w:rsidR="00C3264D" w:rsidRDefault="001F1235">
            <w:pPr>
              <w:pStyle w:val="ListParagraph"/>
              <w:spacing w:after="0" w:line="240" w:lineRule="auto"/>
              <w:ind w:left="0"/>
              <w:rPr>
                <w:rFonts w:ascii="Times New Roman" w:hAnsi="Times New Roman"/>
                <w:sz w:val="20"/>
                <w:szCs w:val="20"/>
              </w:rPr>
            </w:pPr>
            <w:r>
              <w:rPr>
                <w:rFonts w:ascii="Times New Roman" w:hAnsi="Times New Roman"/>
                <w:sz w:val="20"/>
                <w:szCs w:val="20"/>
              </w:rPr>
              <w:t>Няма — стойността не подлежи на преразглеждане. Все пак някои квоти (например поради забавяния на започването на тръжните продажби за някои държави членки, като тези от ЕАСТ, участващи в ЕИП), които са изтеглени от търгове, могат да се предлагат за тръжна продажба през следващите години.</w:t>
            </w:r>
          </w:p>
        </w:tc>
      </w:tr>
      <w:tr w:rsidR="00C3264D" w14:paraId="545F4A15" w14:textId="77777777" w:rsidTr="00601A28">
        <w:trPr>
          <w:trHeight w:val="1354"/>
        </w:trPr>
        <w:tc>
          <w:tcPr>
            <w:tcW w:w="949" w:type="pct"/>
            <w:shd w:val="clear" w:color="auto" w:fill="auto"/>
          </w:tcPr>
          <w:p w14:paraId="19A6146F" w14:textId="77777777" w:rsidR="00C3264D" w:rsidRDefault="001F1235">
            <w:pPr>
              <w:spacing w:after="0" w:line="240" w:lineRule="auto"/>
              <w:rPr>
                <w:rFonts w:ascii="Times New Roman" w:hAnsi="Times New Roman"/>
                <w:b/>
                <w:sz w:val="20"/>
                <w:szCs w:val="20"/>
              </w:rPr>
            </w:pPr>
            <w:r>
              <w:rPr>
                <w:rFonts w:ascii="Times New Roman" w:hAnsi="Times New Roman"/>
                <w:b/>
                <w:sz w:val="20"/>
                <w:szCs w:val="20"/>
              </w:rPr>
              <w:t>Безплатни квоти (НМИ)</w:t>
            </w:r>
          </w:p>
        </w:tc>
        <w:tc>
          <w:tcPr>
            <w:tcW w:w="0" w:type="auto"/>
            <w:shd w:val="clear" w:color="auto" w:fill="auto"/>
          </w:tcPr>
          <w:p w14:paraId="136A9C20" w14:textId="77777777" w:rsidR="00C3264D" w:rsidRDefault="001F1235">
            <w:pPr>
              <w:spacing w:after="0" w:line="240" w:lineRule="auto"/>
              <w:rPr>
                <w:rFonts w:ascii="Times New Roman" w:hAnsi="Times New Roman"/>
                <w:sz w:val="20"/>
                <w:szCs w:val="20"/>
              </w:rPr>
            </w:pPr>
            <w:r>
              <w:rPr>
                <w:rFonts w:ascii="Times New Roman" w:hAnsi="Times New Roman"/>
                <w:sz w:val="20"/>
                <w:szCs w:val="20"/>
              </w:rPr>
              <w:t>Предлагане</w:t>
            </w:r>
          </w:p>
        </w:tc>
        <w:tc>
          <w:tcPr>
            <w:tcW w:w="0" w:type="auto"/>
            <w:shd w:val="clear" w:color="auto" w:fill="auto"/>
          </w:tcPr>
          <w:p w14:paraId="7BF43B22" w14:textId="77777777" w:rsidR="00C3264D" w:rsidRDefault="001F1235">
            <w:pPr>
              <w:spacing w:after="0" w:line="240" w:lineRule="auto"/>
              <w:rPr>
                <w:rFonts w:ascii="Times New Roman" w:hAnsi="Times New Roman"/>
                <w:sz w:val="20"/>
                <w:szCs w:val="20"/>
              </w:rPr>
            </w:pPr>
            <w:r>
              <w:rPr>
                <w:rFonts w:ascii="Times New Roman" w:hAnsi="Times New Roman"/>
                <w:sz w:val="20"/>
                <w:szCs w:val="20"/>
              </w:rPr>
              <w:t>EUTL, таблици</w:t>
            </w:r>
          </w:p>
        </w:tc>
        <w:tc>
          <w:tcPr>
            <w:tcW w:w="0" w:type="auto"/>
            <w:vMerge w:val="restart"/>
            <w:shd w:val="clear" w:color="auto" w:fill="auto"/>
          </w:tcPr>
          <w:p w14:paraId="638D7A71" w14:textId="77777777" w:rsidR="00C3264D" w:rsidRDefault="001F1235">
            <w:pPr>
              <w:pStyle w:val="ListParagraph"/>
              <w:spacing w:after="0" w:line="240" w:lineRule="auto"/>
              <w:ind w:left="0"/>
              <w:rPr>
                <w:rFonts w:ascii="Times New Roman" w:hAnsi="Times New Roman"/>
                <w:sz w:val="20"/>
                <w:szCs w:val="20"/>
              </w:rPr>
            </w:pPr>
            <w:r>
              <w:rPr>
                <w:rFonts w:ascii="Times New Roman" w:hAnsi="Times New Roman"/>
                <w:sz w:val="20"/>
                <w:szCs w:val="20"/>
              </w:rPr>
              <w:t xml:space="preserve">Тези стойности се актуализират в течение на годината. </w:t>
            </w:r>
          </w:p>
          <w:p w14:paraId="459F1AE4" w14:textId="77777777" w:rsidR="00C3264D" w:rsidRDefault="00C3264D">
            <w:pPr>
              <w:pStyle w:val="ListParagraph"/>
              <w:spacing w:after="0" w:line="240" w:lineRule="auto"/>
              <w:ind w:left="0"/>
              <w:rPr>
                <w:rFonts w:ascii="Times New Roman" w:hAnsi="Times New Roman"/>
                <w:sz w:val="20"/>
                <w:szCs w:val="20"/>
              </w:rPr>
            </w:pPr>
          </w:p>
          <w:p w14:paraId="03D76E81" w14:textId="77777777" w:rsidR="00C3264D" w:rsidRDefault="001F1235">
            <w:pPr>
              <w:pStyle w:val="ListParagraph"/>
              <w:spacing w:after="0" w:line="240" w:lineRule="auto"/>
              <w:ind w:left="0"/>
              <w:rPr>
                <w:rFonts w:ascii="Times New Roman" w:hAnsi="Times New Roman"/>
                <w:sz w:val="20"/>
                <w:szCs w:val="20"/>
              </w:rPr>
            </w:pPr>
            <w:r>
              <w:rPr>
                <w:rFonts w:ascii="Times New Roman" w:hAnsi="Times New Roman"/>
                <w:sz w:val="20"/>
                <w:szCs w:val="20"/>
              </w:rPr>
              <w:t xml:space="preserve">– Възможно е държави членки да подадат със закъснение данни за предходните години или действително разпределените квоти да са по-малко от първоначално предвиденото количество. </w:t>
            </w:r>
          </w:p>
          <w:p w14:paraId="7AB6FDE3" w14:textId="77777777" w:rsidR="00C3264D" w:rsidRDefault="00C3264D">
            <w:pPr>
              <w:pStyle w:val="ListParagraph"/>
              <w:spacing w:after="0" w:line="240" w:lineRule="auto"/>
              <w:ind w:left="0"/>
              <w:rPr>
                <w:rFonts w:ascii="Times New Roman" w:hAnsi="Times New Roman"/>
                <w:sz w:val="20"/>
                <w:szCs w:val="20"/>
              </w:rPr>
            </w:pPr>
          </w:p>
          <w:p w14:paraId="5936E20D" w14:textId="77777777" w:rsidR="00C3264D" w:rsidRDefault="001F1235">
            <w:pPr>
              <w:pStyle w:val="ListParagraph"/>
              <w:spacing w:after="0" w:line="240" w:lineRule="auto"/>
              <w:ind w:left="0"/>
              <w:rPr>
                <w:rFonts w:ascii="Times New Roman" w:hAnsi="Times New Roman"/>
                <w:sz w:val="20"/>
                <w:szCs w:val="20"/>
              </w:rPr>
            </w:pPr>
            <w:r>
              <w:rPr>
                <w:rFonts w:ascii="Times New Roman" w:hAnsi="Times New Roman"/>
                <w:sz w:val="20"/>
                <w:szCs w:val="20"/>
              </w:rPr>
              <w:t>EUTL показва точни данни за актуалното състояние на действителното разпределение на квотите.</w:t>
            </w:r>
          </w:p>
          <w:p w14:paraId="298AFED7" w14:textId="77777777" w:rsidR="00C3264D" w:rsidRDefault="00C3264D">
            <w:pPr>
              <w:pStyle w:val="ListParagraph"/>
              <w:spacing w:after="0" w:line="240" w:lineRule="auto"/>
              <w:ind w:left="0"/>
              <w:rPr>
                <w:rFonts w:ascii="Times New Roman" w:hAnsi="Times New Roman"/>
                <w:sz w:val="20"/>
                <w:szCs w:val="20"/>
              </w:rPr>
            </w:pPr>
          </w:p>
        </w:tc>
      </w:tr>
      <w:tr w:rsidR="00C3264D" w14:paraId="64CBBE80" w14:textId="77777777" w:rsidTr="00601A28">
        <w:trPr>
          <w:trHeight w:val="458"/>
        </w:trPr>
        <w:tc>
          <w:tcPr>
            <w:tcW w:w="949" w:type="pct"/>
            <w:shd w:val="clear" w:color="auto" w:fill="auto"/>
          </w:tcPr>
          <w:p w14:paraId="66A9E882" w14:textId="77777777" w:rsidR="00C3264D" w:rsidRDefault="001F1235">
            <w:pPr>
              <w:spacing w:after="0" w:line="240" w:lineRule="auto"/>
              <w:rPr>
                <w:rFonts w:ascii="Times New Roman" w:hAnsi="Times New Roman"/>
                <w:b/>
                <w:sz w:val="20"/>
                <w:szCs w:val="20"/>
              </w:rPr>
            </w:pPr>
            <w:r>
              <w:rPr>
                <w:rFonts w:ascii="Times New Roman" w:hAnsi="Times New Roman"/>
                <w:b/>
                <w:sz w:val="20"/>
                <w:szCs w:val="20"/>
              </w:rPr>
              <w:t>Безплатни квоти (NER)</w:t>
            </w:r>
          </w:p>
        </w:tc>
        <w:tc>
          <w:tcPr>
            <w:tcW w:w="0" w:type="auto"/>
            <w:shd w:val="clear" w:color="auto" w:fill="auto"/>
          </w:tcPr>
          <w:p w14:paraId="1F49BE1C" w14:textId="77777777" w:rsidR="00C3264D" w:rsidRDefault="001F1235">
            <w:pPr>
              <w:spacing w:after="0" w:line="240" w:lineRule="auto"/>
              <w:rPr>
                <w:rFonts w:ascii="Times New Roman" w:hAnsi="Times New Roman"/>
                <w:sz w:val="20"/>
                <w:szCs w:val="20"/>
              </w:rPr>
            </w:pPr>
            <w:r>
              <w:rPr>
                <w:rFonts w:ascii="Times New Roman" w:hAnsi="Times New Roman"/>
                <w:sz w:val="20"/>
                <w:szCs w:val="20"/>
              </w:rPr>
              <w:t>Предлагане</w:t>
            </w:r>
          </w:p>
        </w:tc>
        <w:tc>
          <w:tcPr>
            <w:tcW w:w="0" w:type="auto"/>
            <w:shd w:val="clear" w:color="auto" w:fill="auto"/>
          </w:tcPr>
          <w:p w14:paraId="6B0F0DD0" w14:textId="77777777" w:rsidR="00C3264D" w:rsidRDefault="001F1235">
            <w:pPr>
              <w:spacing w:after="0" w:line="240" w:lineRule="auto"/>
              <w:rPr>
                <w:rFonts w:ascii="Times New Roman" w:hAnsi="Times New Roman"/>
                <w:sz w:val="20"/>
                <w:szCs w:val="20"/>
              </w:rPr>
            </w:pPr>
            <w:r>
              <w:rPr>
                <w:rFonts w:ascii="Times New Roman" w:hAnsi="Times New Roman"/>
                <w:sz w:val="20"/>
                <w:szCs w:val="20"/>
              </w:rPr>
              <w:t>EUTL, таблици</w:t>
            </w:r>
          </w:p>
        </w:tc>
        <w:tc>
          <w:tcPr>
            <w:tcW w:w="0" w:type="auto"/>
            <w:vMerge/>
            <w:shd w:val="clear" w:color="auto" w:fill="auto"/>
          </w:tcPr>
          <w:p w14:paraId="3B91D601" w14:textId="77777777" w:rsidR="00C3264D" w:rsidRDefault="00C3264D">
            <w:pPr>
              <w:pStyle w:val="ListParagraph"/>
              <w:spacing w:after="0" w:line="240" w:lineRule="auto"/>
              <w:ind w:left="0"/>
              <w:rPr>
                <w:rFonts w:ascii="Times New Roman" w:hAnsi="Times New Roman"/>
                <w:sz w:val="20"/>
                <w:szCs w:val="20"/>
              </w:rPr>
            </w:pPr>
          </w:p>
        </w:tc>
      </w:tr>
      <w:tr w:rsidR="00C3264D" w14:paraId="3EE62C25" w14:textId="77777777" w:rsidTr="00601A28">
        <w:trPr>
          <w:trHeight w:val="687"/>
        </w:trPr>
        <w:tc>
          <w:tcPr>
            <w:tcW w:w="949" w:type="pct"/>
            <w:shd w:val="clear" w:color="auto" w:fill="auto"/>
          </w:tcPr>
          <w:p w14:paraId="7758220B" w14:textId="77777777" w:rsidR="00C3264D" w:rsidRDefault="001F1235">
            <w:pPr>
              <w:spacing w:after="0" w:line="240" w:lineRule="auto"/>
              <w:rPr>
                <w:rFonts w:ascii="Times New Roman" w:hAnsi="Times New Roman"/>
                <w:b/>
                <w:sz w:val="20"/>
                <w:szCs w:val="20"/>
              </w:rPr>
            </w:pPr>
            <w:r>
              <w:rPr>
                <w:rFonts w:ascii="Times New Roman" w:hAnsi="Times New Roman"/>
                <w:b/>
                <w:sz w:val="20"/>
                <w:szCs w:val="20"/>
              </w:rPr>
              <w:t>Безплатни квоти</w:t>
            </w:r>
          </w:p>
          <w:p w14:paraId="0B1EEF45" w14:textId="77777777" w:rsidR="00C3264D" w:rsidRDefault="001F1235">
            <w:pPr>
              <w:spacing w:after="0" w:line="240" w:lineRule="auto"/>
              <w:rPr>
                <w:rFonts w:ascii="Times New Roman" w:hAnsi="Times New Roman"/>
                <w:b/>
                <w:sz w:val="20"/>
                <w:szCs w:val="20"/>
              </w:rPr>
            </w:pPr>
            <w:r>
              <w:rPr>
                <w:rFonts w:ascii="Times New Roman" w:hAnsi="Times New Roman"/>
                <w:b/>
                <w:sz w:val="20"/>
                <w:szCs w:val="20"/>
              </w:rPr>
              <w:t>(въздухоплаване)</w:t>
            </w:r>
          </w:p>
        </w:tc>
        <w:tc>
          <w:tcPr>
            <w:tcW w:w="0" w:type="auto"/>
            <w:shd w:val="clear" w:color="auto" w:fill="auto"/>
          </w:tcPr>
          <w:p w14:paraId="3CCDD381" w14:textId="77777777" w:rsidR="00C3264D" w:rsidRDefault="001F1235">
            <w:pPr>
              <w:spacing w:after="0" w:line="240" w:lineRule="auto"/>
              <w:rPr>
                <w:rFonts w:ascii="Times New Roman" w:hAnsi="Times New Roman"/>
                <w:sz w:val="20"/>
                <w:szCs w:val="20"/>
              </w:rPr>
            </w:pPr>
            <w:r>
              <w:rPr>
                <w:rFonts w:ascii="Times New Roman" w:hAnsi="Times New Roman"/>
                <w:sz w:val="20"/>
                <w:szCs w:val="20"/>
              </w:rPr>
              <w:t>Предлагане</w:t>
            </w:r>
          </w:p>
        </w:tc>
        <w:tc>
          <w:tcPr>
            <w:tcW w:w="0" w:type="auto"/>
            <w:shd w:val="clear" w:color="auto" w:fill="auto"/>
          </w:tcPr>
          <w:p w14:paraId="3F37C07F" w14:textId="77777777" w:rsidR="00C3264D" w:rsidRDefault="001F1235">
            <w:pPr>
              <w:spacing w:after="0" w:line="240" w:lineRule="auto"/>
              <w:rPr>
                <w:rFonts w:ascii="Times New Roman" w:hAnsi="Times New Roman"/>
                <w:sz w:val="20"/>
                <w:szCs w:val="20"/>
              </w:rPr>
            </w:pPr>
            <w:r>
              <w:rPr>
                <w:rFonts w:ascii="Times New Roman" w:hAnsi="Times New Roman"/>
                <w:sz w:val="20"/>
                <w:szCs w:val="20"/>
              </w:rPr>
              <w:t>EUTL, публикувани от държавите членки таблици за разпределението на квотите</w:t>
            </w:r>
          </w:p>
        </w:tc>
        <w:tc>
          <w:tcPr>
            <w:tcW w:w="0" w:type="auto"/>
            <w:vMerge/>
            <w:shd w:val="clear" w:color="auto" w:fill="auto"/>
          </w:tcPr>
          <w:p w14:paraId="58E0B0A9" w14:textId="77777777" w:rsidR="00C3264D" w:rsidRDefault="00C3264D">
            <w:pPr>
              <w:pStyle w:val="ListParagraph"/>
              <w:spacing w:after="0" w:line="240" w:lineRule="auto"/>
              <w:ind w:left="0"/>
              <w:rPr>
                <w:rFonts w:ascii="Times New Roman" w:hAnsi="Times New Roman"/>
                <w:sz w:val="20"/>
                <w:szCs w:val="20"/>
              </w:rPr>
            </w:pPr>
          </w:p>
        </w:tc>
      </w:tr>
      <w:tr w:rsidR="00C3264D" w14:paraId="755A01D7" w14:textId="77777777" w:rsidTr="00601A28">
        <w:trPr>
          <w:trHeight w:val="458"/>
        </w:trPr>
        <w:tc>
          <w:tcPr>
            <w:tcW w:w="949" w:type="pct"/>
            <w:shd w:val="clear" w:color="auto" w:fill="auto"/>
          </w:tcPr>
          <w:p w14:paraId="1F385EBC" w14:textId="77777777" w:rsidR="00C3264D" w:rsidRDefault="001F1235">
            <w:pPr>
              <w:spacing w:after="0" w:line="240" w:lineRule="auto"/>
              <w:rPr>
                <w:rFonts w:ascii="Times New Roman" w:hAnsi="Times New Roman"/>
                <w:b/>
                <w:sz w:val="20"/>
                <w:szCs w:val="20"/>
              </w:rPr>
            </w:pPr>
            <w:r>
              <w:rPr>
                <w:rFonts w:ascii="Times New Roman" w:hAnsi="Times New Roman"/>
                <w:b/>
                <w:sz w:val="20"/>
                <w:szCs w:val="20"/>
              </w:rPr>
              <w:t>Безплатни квоти</w:t>
            </w:r>
          </w:p>
          <w:p w14:paraId="50971D39" w14:textId="77777777" w:rsidR="00C3264D" w:rsidRDefault="001F1235">
            <w:pPr>
              <w:spacing w:after="0" w:line="240" w:lineRule="auto"/>
              <w:rPr>
                <w:rFonts w:ascii="Times New Roman" w:hAnsi="Times New Roman"/>
                <w:b/>
                <w:sz w:val="20"/>
                <w:szCs w:val="20"/>
              </w:rPr>
            </w:pPr>
            <w:r>
              <w:rPr>
                <w:rFonts w:ascii="Times New Roman" w:hAnsi="Times New Roman"/>
                <w:b/>
                <w:sz w:val="20"/>
                <w:szCs w:val="20"/>
              </w:rPr>
              <w:t>(Член 10в)</w:t>
            </w:r>
          </w:p>
        </w:tc>
        <w:tc>
          <w:tcPr>
            <w:tcW w:w="0" w:type="auto"/>
            <w:shd w:val="clear" w:color="auto" w:fill="auto"/>
          </w:tcPr>
          <w:p w14:paraId="5049061F" w14:textId="77777777" w:rsidR="00C3264D" w:rsidRDefault="001F1235">
            <w:pPr>
              <w:spacing w:after="0" w:line="240" w:lineRule="auto"/>
              <w:rPr>
                <w:rFonts w:ascii="Times New Roman" w:hAnsi="Times New Roman"/>
                <w:sz w:val="20"/>
                <w:szCs w:val="20"/>
              </w:rPr>
            </w:pPr>
            <w:r>
              <w:rPr>
                <w:rFonts w:ascii="Times New Roman" w:hAnsi="Times New Roman"/>
                <w:sz w:val="20"/>
                <w:szCs w:val="20"/>
              </w:rPr>
              <w:t>Предлагане</w:t>
            </w:r>
          </w:p>
        </w:tc>
        <w:tc>
          <w:tcPr>
            <w:tcW w:w="0" w:type="auto"/>
            <w:shd w:val="clear" w:color="auto" w:fill="auto"/>
          </w:tcPr>
          <w:p w14:paraId="1C7CBB1D" w14:textId="77777777" w:rsidR="00C3264D" w:rsidRDefault="001F1235">
            <w:pPr>
              <w:spacing w:after="0" w:line="240" w:lineRule="auto"/>
              <w:rPr>
                <w:rFonts w:ascii="Times New Roman" w:hAnsi="Times New Roman"/>
                <w:sz w:val="20"/>
                <w:szCs w:val="20"/>
              </w:rPr>
            </w:pPr>
            <w:r>
              <w:rPr>
                <w:rFonts w:ascii="Times New Roman" w:hAnsi="Times New Roman"/>
                <w:sz w:val="20"/>
                <w:szCs w:val="20"/>
              </w:rPr>
              <w:t>EUTL, таблица за състоянието</w:t>
            </w:r>
          </w:p>
        </w:tc>
        <w:tc>
          <w:tcPr>
            <w:tcW w:w="0" w:type="auto"/>
            <w:vMerge/>
            <w:shd w:val="clear" w:color="auto" w:fill="auto"/>
          </w:tcPr>
          <w:p w14:paraId="782317EE" w14:textId="77777777" w:rsidR="00C3264D" w:rsidRDefault="00C3264D">
            <w:pPr>
              <w:pStyle w:val="ListParagraph"/>
              <w:spacing w:after="0" w:line="240" w:lineRule="auto"/>
              <w:ind w:left="0"/>
              <w:rPr>
                <w:rFonts w:ascii="Times New Roman" w:hAnsi="Times New Roman"/>
                <w:sz w:val="20"/>
                <w:szCs w:val="20"/>
              </w:rPr>
            </w:pPr>
          </w:p>
        </w:tc>
      </w:tr>
      <w:tr w:rsidR="00C3264D" w14:paraId="310B2536" w14:textId="77777777" w:rsidTr="00601A28">
        <w:trPr>
          <w:trHeight w:val="1156"/>
        </w:trPr>
        <w:tc>
          <w:tcPr>
            <w:tcW w:w="949" w:type="pct"/>
            <w:shd w:val="clear" w:color="auto" w:fill="auto"/>
          </w:tcPr>
          <w:p w14:paraId="19058307" w14:textId="77777777" w:rsidR="00C3264D" w:rsidRDefault="001F1235">
            <w:pPr>
              <w:spacing w:after="0" w:line="240" w:lineRule="auto"/>
              <w:rPr>
                <w:rFonts w:ascii="Times New Roman" w:hAnsi="Times New Roman"/>
                <w:b/>
                <w:sz w:val="20"/>
                <w:szCs w:val="20"/>
              </w:rPr>
            </w:pPr>
            <w:r>
              <w:rPr>
                <w:rFonts w:ascii="Times New Roman" w:hAnsi="Times New Roman"/>
                <w:b/>
                <w:sz w:val="20"/>
                <w:szCs w:val="20"/>
              </w:rPr>
              <w:t>Емисии (стационарни инсталации)</w:t>
            </w:r>
          </w:p>
        </w:tc>
        <w:tc>
          <w:tcPr>
            <w:tcW w:w="0" w:type="auto"/>
            <w:shd w:val="clear" w:color="auto" w:fill="auto"/>
          </w:tcPr>
          <w:p w14:paraId="03806901" w14:textId="77777777" w:rsidR="00C3264D" w:rsidRDefault="001F1235">
            <w:pPr>
              <w:spacing w:after="0" w:line="240" w:lineRule="auto"/>
              <w:jc w:val="both"/>
              <w:rPr>
                <w:rFonts w:ascii="Times New Roman" w:hAnsi="Times New Roman"/>
                <w:sz w:val="20"/>
                <w:szCs w:val="20"/>
              </w:rPr>
            </w:pPr>
            <w:r>
              <w:rPr>
                <w:rFonts w:ascii="Times New Roman" w:hAnsi="Times New Roman"/>
                <w:sz w:val="20"/>
                <w:szCs w:val="20"/>
              </w:rPr>
              <w:t>Търсене</w:t>
            </w:r>
          </w:p>
        </w:tc>
        <w:tc>
          <w:tcPr>
            <w:tcW w:w="0" w:type="auto"/>
            <w:shd w:val="clear" w:color="auto" w:fill="auto"/>
          </w:tcPr>
          <w:p w14:paraId="70490D73" w14:textId="77777777" w:rsidR="00C3264D" w:rsidRDefault="001F1235">
            <w:pPr>
              <w:spacing w:after="0" w:line="240" w:lineRule="auto"/>
              <w:jc w:val="both"/>
              <w:rPr>
                <w:rFonts w:ascii="Times New Roman" w:hAnsi="Times New Roman"/>
                <w:sz w:val="20"/>
                <w:szCs w:val="20"/>
              </w:rPr>
            </w:pPr>
            <w:r>
              <w:rPr>
                <w:rFonts w:ascii="Times New Roman" w:hAnsi="Times New Roman"/>
                <w:sz w:val="20"/>
                <w:szCs w:val="20"/>
              </w:rPr>
              <w:t>EUTL, данни за спазването на изискванията</w:t>
            </w:r>
          </w:p>
        </w:tc>
        <w:tc>
          <w:tcPr>
            <w:tcW w:w="0" w:type="auto"/>
            <w:shd w:val="clear" w:color="auto" w:fill="auto"/>
          </w:tcPr>
          <w:p w14:paraId="3D95D68F" w14:textId="77777777" w:rsidR="00C3264D" w:rsidRDefault="001F1235">
            <w:pPr>
              <w:spacing w:after="0" w:line="240" w:lineRule="auto"/>
              <w:jc w:val="both"/>
              <w:rPr>
                <w:rFonts w:ascii="Times New Roman" w:hAnsi="Times New Roman"/>
                <w:sz w:val="20"/>
                <w:szCs w:val="20"/>
              </w:rPr>
            </w:pPr>
            <w:r>
              <w:rPr>
                <w:rFonts w:ascii="Times New Roman" w:hAnsi="Times New Roman"/>
                <w:sz w:val="20"/>
                <w:szCs w:val="20"/>
              </w:rPr>
              <w:t>Данните за спазването на изискванията, които се обявяват публично на 1 май, показват емисиите и върнатите квоти за инсталациите, за които са спазени изискванията (т.е. тези инсталации, за които е докладвано за всички съответни години)</w:t>
            </w:r>
            <w:r>
              <w:rPr>
                <w:rStyle w:val="FootnoteReference"/>
                <w:rFonts w:ascii="Times New Roman" w:hAnsi="Times New Roman"/>
                <w:sz w:val="20"/>
                <w:szCs w:val="20"/>
              </w:rPr>
              <w:footnoteReference w:id="79"/>
            </w:r>
            <w:r>
              <w:t>.</w:t>
            </w:r>
          </w:p>
          <w:p w14:paraId="38550770" w14:textId="77777777" w:rsidR="00C3264D" w:rsidRDefault="00C3264D">
            <w:pPr>
              <w:spacing w:after="0" w:line="240" w:lineRule="auto"/>
              <w:jc w:val="both"/>
              <w:rPr>
                <w:rFonts w:ascii="Times New Roman" w:hAnsi="Times New Roman"/>
                <w:sz w:val="20"/>
                <w:szCs w:val="20"/>
              </w:rPr>
            </w:pPr>
          </w:p>
        </w:tc>
      </w:tr>
      <w:tr w:rsidR="00C3264D" w14:paraId="4E8F3C5F" w14:textId="77777777" w:rsidTr="00601A28">
        <w:trPr>
          <w:trHeight w:val="469"/>
        </w:trPr>
        <w:tc>
          <w:tcPr>
            <w:tcW w:w="949" w:type="pct"/>
            <w:shd w:val="clear" w:color="auto" w:fill="auto"/>
          </w:tcPr>
          <w:p w14:paraId="139F5413" w14:textId="77777777" w:rsidR="00C3264D" w:rsidRDefault="001F1235">
            <w:pPr>
              <w:spacing w:after="0" w:line="240" w:lineRule="auto"/>
              <w:rPr>
                <w:rFonts w:ascii="Times New Roman" w:hAnsi="Times New Roman"/>
                <w:b/>
                <w:sz w:val="20"/>
                <w:szCs w:val="20"/>
              </w:rPr>
            </w:pPr>
            <w:r>
              <w:rPr>
                <w:rFonts w:ascii="Times New Roman" w:hAnsi="Times New Roman"/>
                <w:b/>
                <w:sz w:val="20"/>
                <w:szCs w:val="20"/>
              </w:rPr>
              <w:t>Емисии (въздухоплаване)</w:t>
            </w:r>
          </w:p>
        </w:tc>
        <w:tc>
          <w:tcPr>
            <w:tcW w:w="0" w:type="auto"/>
            <w:shd w:val="clear" w:color="auto" w:fill="auto"/>
          </w:tcPr>
          <w:p w14:paraId="62690D01" w14:textId="77777777" w:rsidR="00C3264D" w:rsidRDefault="001F1235">
            <w:pPr>
              <w:spacing w:after="0" w:line="240" w:lineRule="auto"/>
              <w:jc w:val="both"/>
              <w:rPr>
                <w:rFonts w:ascii="Times New Roman" w:hAnsi="Times New Roman"/>
                <w:sz w:val="20"/>
                <w:szCs w:val="20"/>
              </w:rPr>
            </w:pPr>
            <w:r>
              <w:rPr>
                <w:rFonts w:ascii="Times New Roman" w:hAnsi="Times New Roman"/>
                <w:sz w:val="20"/>
                <w:szCs w:val="20"/>
              </w:rPr>
              <w:t>Търсене</w:t>
            </w:r>
          </w:p>
        </w:tc>
        <w:tc>
          <w:tcPr>
            <w:tcW w:w="0" w:type="auto"/>
            <w:shd w:val="clear" w:color="auto" w:fill="auto"/>
          </w:tcPr>
          <w:p w14:paraId="7324D0BA" w14:textId="77777777" w:rsidR="00C3264D" w:rsidRDefault="00C3264D">
            <w:pPr>
              <w:spacing w:after="0" w:line="240" w:lineRule="auto"/>
              <w:jc w:val="both"/>
              <w:rPr>
                <w:rFonts w:ascii="Times New Roman" w:hAnsi="Times New Roman"/>
                <w:sz w:val="20"/>
                <w:szCs w:val="20"/>
              </w:rPr>
            </w:pPr>
          </w:p>
        </w:tc>
        <w:tc>
          <w:tcPr>
            <w:tcW w:w="0" w:type="auto"/>
            <w:shd w:val="clear" w:color="auto" w:fill="auto"/>
          </w:tcPr>
          <w:p w14:paraId="666868F4" w14:textId="77777777" w:rsidR="00C3264D" w:rsidRDefault="001F1235">
            <w:pPr>
              <w:spacing w:after="0" w:line="240" w:lineRule="auto"/>
              <w:jc w:val="both"/>
              <w:rPr>
                <w:rFonts w:ascii="Times New Roman" w:hAnsi="Times New Roman"/>
                <w:sz w:val="20"/>
                <w:szCs w:val="20"/>
              </w:rPr>
            </w:pPr>
            <w:r>
              <w:rPr>
                <w:rFonts w:ascii="Times New Roman" w:hAnsi="Times New Roman"/>
                <w:sz w:val="20"/>
                <w:szCs w:val="20"/>
              </w:rPr>
              <w:t>Спазването на изискванията за операторите на въздухоплавателни средства за 2013 г. и 2014 г. беше реализирано през 2015 г.</w:t>
            </w:r>
          </w:p>
        </w:tc>
      </w:tr>
      <w:tr w:rsidR="00C3264D" w14:paraId="20548487" w14:textId="77777777" w:rsidTr="00601A28">
        <w:trPr>
          <w:trHeight w:val="469"/>
        </w:trPr>
        <w:tc>
          <w:tcPr>
            <w:tcW w:w="949" w:type="pct"/>
            <w:shd w:val="clear" w:color="auto" w:fill="auto"/>
          </w:tcPr>
          <w:p w14:paraId="680BD948" w14:textId="77777777" w:rsidR="00C3264D" w:rsidRDefault="001F1235">
            <w:pPr>
              <w:spacing w:after="0" w:line="240" w:lineRule="auto"/>
              <w:rPr>
                <w:rFonts w:ascii="Times New Roman" w:hAnsi="Times New Roman"/>
                <w:b/>
                <w:sz w:val="20"/>
                <w:szCs w:val="20"/>
              </w:rPr>
            </w:pPr>
            <w:r>
              <w:rPr>
                <w:rFonts w:ascii="Times New Roman" w:hAnsi="Times New Roman"/>
                <w:b/>
                <w:sz w:val="20"/>
                <w:szCs w:val="20"/>
              </w:rPr>
              <w:t>Отменени квоти</w:t>
            </w:r>
          </w:p>
        </w:tc>
        <w:tc>
          <w:tcPr>
            <w:tcW w:w="0" w:type="auto"/>
            <w:shd w:val="clear" w:color="auto" w:fill="auto"/>
          </w:tcPr>
          <w:p w14:paraId="299B9804" w14:textId="77777777" w:rsidR="00C3264D" w:rsidRDefault="001F1235">
            <w:pPr>
              <w:spacing w:after="0" w:line="240" w:lineRule="auto"/>
              <w:jc w:val="both"/>
              <w:rPr>
                <w:rFonts w:ascii="Times New Roman" w:hAnsi="Times New Roman"/>
                <w:sz w:val="20"/>
                <w:szCs w:val="20"/>
              </w:rPr>
            </w:pPr>
            <w:r>
              <w:rPr>
                <w:rFonts w:ascii="Times New Roman" w:hAnsi="Times New Roman"/>
                <w:sz w:val="20"/>
                <w:szCs w:val="20"/>
              </w:rPr>
              <w:t>Търсене</w:t>
            </w:r>
          </w:p>
        </w:tc>
        <w:tc>
          <w:tcPr>
            <w:tcW w:w="0" w:type="auto"/>
            <w:shd w:val="clear" w:color="auto" w:fill="auto"/>
          </w:tcPr>
          <w:p w14:paraId="5123AAC4" w14:textId="77777777" w:rsidR="00C3264D" w:rsidRDefault="00C3264D">
            <w:pPr>
              <w:spacing w:after="0" w:line="240" w:lineRule="auto"/>
              <w:jc w:val="both"/>
              <w:rPr>
                <w:rFonts w:ascii="Times New Roman" w:hAnsi="Times New Roman"/>
                <w:sz w:val="20"/>
                <w:szCs w:val="20"/>
              </w:rPr>
            </w:pPr>
          </w:p>
        </w:tc>
        <w:tc>
          <w:tcPr>
            <w:tcW w:w="0" w:type="auto"/>
            <w:shd w:val="clear" w:color="auto" w:fill="auto"/>
          </w:tcPr>
          <w:p w14:paraId="605B0ED2" w14:textId="77777777" w:rsidR="00C3264D" w:rsidRDefault="001F1235">
            <w:pPr>
              <w:spacing w:after="0" w:line="240" w:lineRule="auto"/>
              <w:jc w:val="both"/>
              <w:rPr>
                <w:rFonts w:ascii="Times New Roman" w:hAnsi="Times New Roman"/>
                <w:sz w:val="20"/>
                <w:szCs w:val="20"/>
              </w:rPr>
            </w:pPr>
            <w:r>
              <w:rPr>
                <w:rFonts w:ascii="Times New Roman" w:hAnsi="Times New Roman"/>
                <w:sz w:val="20"/>
                <w:szCs w:val="20"/>
              </w:rPr>
              <w:t>Доклад за пазара на въглеродни емисии</w:t>
            </w:r>
          </w:p>
        </w:tc>
      </w:tr>
    </w:tbl>
    <w:p w14:paraId="656CFAA5" w14:textId="77777777" w:rsidR="00C3264D" w:rsidRDefault="00C3264D">
      <w:pPr>
        <w:pStyle w:val="Caption"/>
        <w:keepNext/>
        <w:rPr>
          <w:sz w:val="22"/>
          <w:szCs w:val="22"/>
        </w:rPr>
      </w:pPr>
    </w:p>
    <w:p w14:paraId="20D87059" w14:textId="77777777" w:rsidR="00C3264D" w:rsidRDefault="001F1235">
      <w:pPr>
        <w:pStyle w:val="Caption"/>
        <w:keepNext/>
        <w:rPr>
          <w:rFonts w:ascii="Times New Roman" w:hAnsi="Times New Roman"/>
        </w:rPr>
      </w:pPr>
      <w:r>
        <w:rPr>
          <w:rFonts w:ascii="Times New Roman" w:hAnsi="Times New Roman"/>
        </w:rPr>
        <w:t xml:space="preserve">Таблица 4.2: График за публикуването на данни </w:t>
      </w:r>
    </w:p>
    <w:tbl>
      <w:tblPr>
        <w:tblW w:w="8438"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372"/>
        <w:gridCol w:w="3150"/>
        <w:gridCol w:w="2916"/>
      </w:tblGrid>
      <w:tr w:rsidR="00C3264D" w14:paraId="05897E16" w14:textId="77777777" w:rsidTr="00601A28">
        <w:trPr>
          <w:trHeight w:val="375"/>
        </w:trPr>
        <w:tc>
          <w:tcPr>
            <w:tcW w:w="2372" w:type="dxa"/>
            <w:shd w:val="clear" w:color="auto" w:fill="auto"/>
            <w:vAlign w:val="center"/>
          </w:tcPr>
          <w:p w14:paraId="2A5AC918" w14:textId="77777777" w:rsidR="00C3264D" w:rsidRDefault="001F1235">
            <w:pPr>
              <w:rPr>
                <w:rFonts w:ascii="Times New Roman" w:hAnsi="Times New Roman"/>
                <w:b/>
              </w:rPr>
            </w:pPr>
            <w:r>
              <w:rPr>
                <w:rFonts w:ascii="Times New Roman" w:hAnsi="Times New Roman"/>
                <w:b/>
              </w:rPr>
              <w:t>График</w:t>
            </w:r>
          </w:p>
        </w:tc>
        <w:tc>
          <w:tcPr>
            <w:tcW w:w="3150" w:type="dxa"/>
            <w:shd w:val="clear" w:color="auto" w:fill="auto"/>
            <w:vAlign w:val="center"/>
          </w:tcPr>
          <w:p w14:paraId="77E1717C" w14:textId="77777777" w:rsidR="00C3264D" w:rsidRDefault="001F1235">
            <w:pPr>
              <w:rPr>
                <w:rFonts w:ascii="Times New Roman" w:hAnsi="Times New Roman"/>
                <w:b/>
              </w:rPr>
            </w:pPr>
            <w:r>
              <w:rPr>
                <w:rFonts w:ascii="Times New Roman" w:hAnsi="Times New Roman"/>
                <w:b/>
              </w:rPr>
              <w:t>Данни</w:t>
            </w:r>
          </w:p>
        </w:tc>
        <w:tc>
          <w:tcPr>
            <w:tcW w:w="2916" w:type="dxa"/>
            <w:shd w:val="clear" w:color="auto" w:fill="auto"/>
            <w:vAlign w:val="center"/>
          </w:tcPr>
          <w:p w14:paraId="1ECBA519" w14:textId="77777777" w:rsidR="00C3264D" w:rsidRDefault="001F1235">
            <w:pPr>
              <w:rPr>
                <w:rFonts w:ascii="Times New Roman" w:hAnsi="Times New Roman"/>
                <w:b/>
              </w:rPr>
            </w:pPr>
            <w:r>
              <w:rPr>
                <w:rFonts w:ascii="Times New Roman" w:hAnsi="Times New Roman"/>
                <w:b/>
              </w:rPr>
              <w:t>Обхват</w:t>
            </w:r>
          </w:p>
        </w:tc>
      </w:tr>
      <w:tr w:rsidR="00C3264D" w14:paraId="3856F012" w14:textId="77777777" w:rsidTr="00601A28">
        <w:trPr>
          <w:trHeight w:val="594"/>
        </w:trPr>
        <w:tc>
          <w:tcPr>
            <w:tcW w:w="2372" w:type="dxa"/>
            <w:shd w:val="clear" w:color="auto" w:fill="auto"/>
          </w:tcPr>
          <w:p w14:paraId="06B6C8D8" w14:textId="77777777" w:rsidR="00C3264D" w:rsidRDefault="001F1235">
            <w:pPr>
              <w:rPr>
                <w:rFonts w:ascii="Times New Roman" w:hAnsi="Times New Roman"/>
                <w:sz w:val="20"/>
                <w:szCs w:val="20"/>
              </w:rPr>
            </w:pPr>
            <w:r>
              <w:rPr>
                <w:rFonts w:ascii="Times New Roman" w:hAnsi="Times New Roman"/>
                <w:sz w:val="20"/>
                <w:szCs w:val="20"/>
              </w:rPr>
              <w:t>1 януари — 30 април на година x</w:t>
            </w:r>
          </w:p>
        </w:tc>
        <w:tc>
          <w:tcPr>
            <w:tcW w:w="3150" w:type="dxa"/>
            <w:shd w:val="clear" w:color="auto" w:fill="auto"/>
          </w:tcPr>
          <w:p w14:paraId="2D43B873" w14:textId="77777777" w:rsidR="00C3264D" w:rsidRDefault="001F1235">
            <w:pPr>
              <w:rPr>
                <w:rFonts w:ascii="Times New Roman" w:hAnsi="Times New Roman"/>
                <w:sz w:val="20"/>
                <w:szCs w:val="20"/>
              </w:rPr>
            </w:pPr>
            <w:r>
              <w:rPr>
                <w:rFonts w:ascii="Times New Roman" w:hAnsi="Times New Roman"/>
                <w:sz w:val="20"/>
                <w:szCs w:val="20"/>
              </w:rPr>
              <w:t>Актуализации заради безплатните квоти за производство на електрическа и топлинна енергия (член 10в)</w:t>
            </w:r>
          </w:p>
        </w:tc>
        <w:tc>
          <w:tcPr>
            <w:tcW w:w="2916" w:type="dxa"/>
            <w:shd w:val="clear" w:color="auto" w:fill="auto"/>
          </w:tcPr>
          <w:p w14:paraId="1A07CD2D" w14:textId="77777777" w:rsidR="00C3264D" w:rsidRDefault="001F1235">
            <w:pPr>
              <w:rPr>
                <w:rFonts w:ascii="Times New Roman" w:hAnsi="Times New Roman"/>
                <w:sz w:val="20"/>
                <w:szCs w:val="20"/>
              </w:rPr>
            </w:pPr>
            <w:r>
              <w:rPr>
                <w:rFonts w:ascii="Times New Roman" w:hAnsi="Times New Roman"/>
                <w:sz w:val="20"/>
                <w:szCs w:val="20"/>
              </w:rPr>
              <w:t>Година x-1</w:t>
            </w:r>
          </w:p>
        </w:tc>
      </w:tr>
      <w:tr w:rsidR="00C3264D" w14:paraId="42ED03B0" w14:textId="77777777" w:rsidTr="00601A28">
        <w:trPr>
          <w:trHeight w:val="969"/>
        </w:trPr>
        <w:tc>
          <w:tcPr>
            <w:tcW w:w="2372" w:type="dxa"/>
            <w:shd w:val="clear" w:color="auto" w:fill="auto"/>
          </w:tcPr>
          <w:p w14:paraId="7A44A945" w14:textId="77777777" w:rsidR="00C3264D" w:rsidRDefault="001F1235">
            <w:pPr>
              <w:rPr>
                <w:rFonts w:ascii="Times New Roman" w:hAnsi="Times New Roman"/>
                <w:sz w:val="20"/>
                <w:szCs w:val="20"/>
              </w:rPr>
            </w:pPr>
            <w:r>
              <w:rPr>
                <w:rFonts w:ascii="Times New Roman" w:hAnsi="Times New Roman"/>
                <w:sz w:val="20"/>
                <w:szCs w:val="20"/>
              </w:rPr>
              <w:t>1 април на година x</w:t>
            </w:r>
          </w:p>
        </w:tc>
        <w:tc>
          <w:tcPr>
            <w:tcW w:w="3150" w:type="dxa"/>
            <w:shd w:val="clear" w:color="auto" w:fill="auto"/>
          </w:tcPr>
          <w:p w14:paraId="371EA7E4" w14:textId="77777777" w:rsidR="00C3264D" w:rsidRDefault="001F1235">
            <w:pPr>
              <w:rPr>
                <w:rFonts w:ascii="Times New Roman" w:hAnsi="Times New Roman"/>
                <w:sz w:val="20"/>
                <w:szCs w:val="20"/>
              </w:rPr>
            </w:pPr>
            <w:r>
              <w:rPr>
                <w:rFonts w:ascii="Times New Roman" w:hAnsi="Times New Roman"/>
                <w:sz w:val="20"/>
                <w:szCs w:val="20"/>
              </w:rPr>
              <w:t>Верифицирани емисии</w:t>
            </w:r>
          </w:p>
          <w:p w14:paraId="2E1B97FE" w14:textId="77777777" w:rsidR="00C3264D" w:rsidRDefault="001F1235">
            <w:pPr>
              <w:rPr>
                <w:rFonts w:ascii="Times New Roman" w:hAnsi="Times New Roman"/>
                <w:sz w:val="20"/>
                <w:szCs w:val="20"/>
              </w:rPr>
            </w:pPr>
            <w:r>
              <w:rPr>
                <w:rFonts w:ascii="Times New Roman" w:hAnsi="Times New Roman"/>
                <w:sz w:val="20"/>
                <w:szCs w:val="20"/>
              </w:rPr>
              <w:t>Безплатни квоти (член 10а, параграф 5 — НМИ)</w:t>
            </w:r>
          </w:p>
        </w:tc>
        <w:tc>
          <w:tcPr>
            <w:tcW w:w="2916" w:type="dxa"/>
            <w:shd w:val="clear" w:color="auto" w:fill="auto"/>
          </w:tcPr>
          <w:p w14:paraId="73A2ADA8" w14:textId="77777777" w:rsidR="00C3264D" w:rsidRDefault="001F1235">
            <w:pPr>
              <w:rPr>
                <w:rFonts w:ascii="Times New Roman" w:hAnsi="Times New Roman"/>
                <w:sz w:val="20"/>
                <w:szCs w:val="20"/>
              </w:rPr>
            </w:pPr>
            <w:r>
              <w:rPr>
                <w:rFonts w:ascii="Times New Roman" w:hAnsi="Times New Roman"/>
                <w:sz w:val="20"/>
                <w:szCs w:val="20"/>
              </w:rPr>
              <w:t>Година x-1</w:t>
            </w:r>
          </w:p>
        </w:tc>
      </w:tr>
      <w:tr w:rsidR="00C3264D" w14:paraId="48C83F57" w14:textId="77777777" w:rsidTr="00601A28">
        <w:trPr>
          <w:trHeight w:val="814"/>
        </w:trPr>
        <w:tc>
          <w:tcPr>
            <w:tcW w:w="2372" w:type="dxa"/>
            <w:shd w:val="clear" w:color="auto" w:fill="auto"/>
          </w:tcPr>
          <w:p w14:paraId="19B341F2" w14:textId="77777777" w:rsidR="00C3264D" w:rsidRDefault="001F1235">
            <w:pPr>
              <w:rPr>
                <w:rFonts w:ascii="Times New Roman" w:hAnsi="Times New Roman"/>
                <w:sz w:val="20"/>
                <w:szCs w:val="20"/>
              </w:rPr>
            </w:pPr>
            <w:r>
              <w:rPr>
                <w:rFonts w:ascii="Times New Roman" w:hAnsi="Times New Roman"/>
                <w:sz w:val="20"/>
                <w:szCs w:val="20"/>
              </w:rPr>
              <w:t>1 май на година x</w:t>
            </w:r>
          </w:p>
        </w:tc>
        <w:tc>
          <w:tcPr>
            <w:tcW w:w="3150" w:type="dxa"/>
            <w:shd w:val="clear" w:color="auto" w:fill="auto"/>
          </w:tcPr>
          <w:p w14:paraId="0CF58D93" w14:textId="77777777" w:rsidR="00C3264D" w:rsidRDefault="001F1235">
            <w:pPr>
              <w:rPr>
                <w:rFonts w:ascii="Times New Roman" w:hAnsi="Times New Roman"/>
                <w:sz w:val="20"/>
                <w:szCs w:val="20"/>
              </w:rPr>
            </w:pPr>
            <w:r>
              <w:rPr>
                <w:rFonts w:ascii="Times New Roman" w:hAnsi="Times New Roman"/>
                <w:sz w:val="20"/>
                <w:szCs w:val="20"/>
              </w:rPr>
              <w:t>Срок за привеждане в съответствие: верифицирани емисии и върнати квоти</w:t>
            </w:r>
          </w:p>
        </w:tc>
        <w:tc>
          <w:tcPr>
            <w:tcW w:w="2916" w:type="dxa"/>
            <w:shd w:val="clear" w:color="auto" w:fill="auto"/>
          </w:tcPr>
          <w:p w14:paraId="4344FDC5" w14:textId="77777777" w:rsidR="00C3264D" w:rsidRDefault="001F1235">
            <w:pPr>
              <w:rPr>
                <w:rFonts w:ascii="Times New Roman" w:hAnsi="Times New Roman"/>
                <w:sz w:val="20"/>
                <w:szCs w:val="20"/>
              </w:rPr>
            </w:pPr>
            <w:r>
              <w:rPr>
                <w:rFonts w:ascii="Times New Roman" w:hAnsi="Times New Roman"/>
                <w:sz w:val="20"/>
                <w:szCs w:val="20"/>
              </w:rPr>
              <w:t>Година x-1</w:t>
            </w:r>
          </w:p>
        </w:tc>
      </w:tr>
      <w:tr w:rsidR="00C3264D" w14:paraId="7FF377F4" w14:textId="77777777" w:rsidTr="00601A28">
        <w:trPr>
          <w:trHeight w:val="375"/>
        </w:trPr>
        <w:tc>
          <w:tcPr>
            <w:tcW w:w="2372" w:type="dxa"/>
            <w:shd w:val="clear" w:color="auto" w:fill="auto"/>
          </w:tcPr>
          <w:p w14:paraId="4532BF1A" w14:textId="77777777" w:rsidR="00C3264D" w:rsidRDefault="001F1235">
            <w:pPr>
              <w:rPr>
                <w:rFonts w:ascii="Times New Roman" w:hAnsi="Times New Roman"/>
                <w:sz w:val="20"/>
                <w:szCs w:val="20"/>
              </w:rPr>
            </w:pPr>
            <w:r>
              <w:rPr>
                <w:rFonts w:ascii="Times New Roman" w:hAnsi="Times New Roman"/>
                <w:sz w:val="20"/>
                <w:szCs w:val="20"/>
              </w:rPr>
              <w:t>Май/октомври на година x</w:t>
            </w:r>
          </w:p>
        </w:tc>
        <w:tc>
          <w:tcPr>
            <w:tcW w:w="3150" w:type="dxa"/>
            <w:shd w:val="clear" w:color="auto" w:fill="auto"/>
          </w:tcPr>
          <w:p w14:paraId="46DA21C2" w14:textId="77777777" w:rsidR="00C3264D" w:rsidRDefault="001F1235">
            <w:pPr>
              <w:rPr>
                <w:rFonts w:ascii="Times New Roman" w:hAnsi="Times New Roman"/>
                <w:sz w:val="20"/>
                <w:szCs w:val="20"/>
              </w:rPr>
            </w:pPr>
            <w:r>
              <w:rPr>
                <w:rFonts w:ascii="Times New Roman" w:hAnsi="Times New Roman"/>
                <w:sz w:val="20"/>
                <w:szCs w:val="20"/>
              </w:rPr>
              <w:t>Обменени международни кредити</w:t>
            </w:r>
          </w:p>
        </w:tc>
        <w:tc>
          <w:tcPr>
            <w:tcW w:w="2916" w:type="dxa"/>
            <w:shd w:val="clear" w:color="auto" w:fill="auto"/>
          </w:tcPr>
          <w:p w14:paraId="394DFD19" w14:textId="77777777" w:rsidR="00C3264D" w:rsidRDefault="00C3264D">
            <w:pPr>
              <w:rPr>
                <w:rFonts w:ascii="Times New Roman" w:hAnsi="Times New Roman"/>
                <w:sz w:val="20"/>
                <w:szCs w:val="20"/>
              </w:rPr>
            </w:pPr>
          </w:p>
        </w:tc>
      </w:tr>
      <w:tr w:rsidR="00C3264D" w14:paraId="5F9DDA2F" w14:textId="77777777" w:rsidTr="00601A28">
        <w:trPr>
          <w:trHeight w:val="366"/>
        </w:trPr>
        <w:tc>
          <w:tcPr>
            <w:tcW w:w="2372" w:type="dxa"/>
            <w:shd w:val="clear" w:color="auto" w:fill="auto"/>
          </w:tcPr>
          <w:p w14:paraId="3A4DBD9B" w14:textId="77777777" w:rsidR="00C3264D" w:rsidRDefault="001F1235">
            <w:pPr>
              <w:rPr>
                <w:rFonts w:ascii="Times New Roman" w:hAnsi="Times New Roman"/>
                <w:sz w:val="20"/>
                <w:szCs w:val="20"/>
              </w:rPr>
            </w:pPr>
            <w:r>
              <w:rPr>
                <w:rFonts w:ascii="Times New Roman" w:hAnsi="Times New Roman"/>
                <w:sz w:val="20"/>
                <w:szCs w:val="20"/>
              </w:rPr>
              <w:t>Последно тримесечие на година x</w:t>
            </w:r>
          </w:p>
        </w:tc>
        <w:tc>
          <w:tcPr>
            <w:tcW w:w="3150" w:type="dxa"/>
            <w:shd w:val="clear" w:color="auto" w:fill="auto"/>
          </w:tcPr>
          <w:p w14:paraId="536FC7C9" w14:textId="77777777" w:rsidR="00C3264D" w:rsidRDefault="001F1235">
            <w:pPr>
              <w:rPr>
                <w:rFonts w:ascii="Times New Roman" w:hAnsi="Times New Roman"/>
                <w:sz w:val="20"/>
                <w:szCs w:val="20"/>
              </w:rPr>
            </w:pPr>
            <w:r>
              <w:rPr>
                <w:rFonts w:ascii="Times New Roman" w:hAnsi="Times New Roman"/>
                <w:sz w:val="20"/>
                <w:szCs w:val="20"/>
              </w:rPr>
              <w:t>Доклад за пазара на въглеродни емисии</w:t>
            </w:r>
          </w:p>
        </w:tc>
        <w:tc>
          <w:tcPr>
            <w:tcW w:w="2916" w:type="dxa"/>
            <w:shd w:val="clear" w:color="auto" w:fill="auto"/>
          </w:tcPr>
          <w:p w14:paraId="02505A1E" w14:textId="77777777" w:rsidR="00C3264D" w:rsidRDefault="001F1235">
            <w:pPr>
              <w:rPr>
                <w:rFonts w:ascii="Times New Roman" w:hAnsi="Times New Roman"/>
                <w:sz w:val="20"/>
                <w:szCs w:val="20"/>
              </w:rPr>
            </w:pPr>
            <w:r>
              <w:rPr>
                <w:rFonts w:ascii="Times New Roman" w:hAnsi="Times New Roman"/>
                <w:sz w:val="20"/>
                <w:szCs w:val="20"/>
              </w:rPr>
              <w:t>Година x-1</w:t>
            </w:r>
          </w:p>
        </w:tc>
      </w:tr>
      <w:tr w:rsidR="00C3264D" w14:paraId="2C1CF353" w14:textId="77777777" w:rsidTr="00601A28">
        <w:trPr>
          <w:trHeight w:val="594"/>
        </w:trPr>
        <w:tc>
          <w:tcPr>
            <w:tcW w:w="2372" w:type="dxa"/>
            <w:shd w:val="clear" w:color="auto" w:fill="auto"/>
          </w:tcPr>
          <w:p w14:paraId="45C81A23" w14:textId="77777777" w:rsidR="00C3264D" w:rsidRDefault="001F1235">
            <w:pPr>
              <w:rPr>
                <w:rFonts w:ascii="Times New Roman" w:hAnsi="Times New Roman"/>
                <w:sz w:val="20"/>
                <w:szCs w:val="20"/>
              </w:rPr>
            </w:pPr>
            <w:r>
              <w:rPr>
                <w:rFonts w:ascii="Times New Roman" w:hAnsi="Times New Roman"/>
                <w:sz w:val="20"/>
                <w:szCs w:val="20"/>
              </w:rPr>
              <w:t>Януари/юли на година x</w:t>
            </w:r>
          </w:p>
        </w:tc>
        <w:tc>
          <w:tcPr>
            <w:tcW w:w="3150" w:type="dxa"/>
            <w:shd w:val="clear" w:color="auto" w:fill="auto"/>
          </w:tcPr>
          <w:p w14:paraId="289F9220" w14:textId="77777777" w:rsidR="00C3264D" w:rsidRDefault="001F1235">
            <w:pPr>
              <w:rPr>
                <w:rFonts w:ascii="Times New Roman" w:hAnsi="Times New Roman"/>
                <w:sz w:val="20"/>
                <w:szCs w:val="20"/>
              </w:rPr>
            </w:pPr>
            <w:r>
              <w:rPr>
                <w:rFonts w:ascii="Times New Roman" w:hAnsi="Times New Roman"/>
                <w:sz w:val="20"/>
                <w:szCs w:val="20"/>
              </w:rPr>
              <w:t>Състояние на резерва за нови участници (NER) — таблица относно NER</w:t>
            </w:r>
          </w:p>
        </w:tc>
        <w:tc>
          <w:tcPr>
            <w:tcW w:w="2916" w:type="dxa"/>
            <w:shd w:val="clear" w:color="auto" w:fill="auto"/>
          </w:tcPr>
          <w:p w14:paraId="0CB58E33" w14:textId="77777777" w:rsidR="00C3264D" w:rsidRDefault="00C3264D">
            <w:pPr>
              <w:rPr>
                <w:rFonts w:ascii="Times New Roman" w:hAnsi="Times New Roman"/>
                <w:sz w:val="20"/>
                <w:szCs w:val="20"/>
                <w:highlight w:val="yellow"/>
              </w:rPr>
            </w:pPr>
          </w:p>
        </w:tc>
      </w:tr>
      <w:tr w:rsidR="00C3264D" w14:paraId="76F0BFB6" w14:textId="77777777" w:rsidTr="00601A28">
        <w:trPr>
          <w:trHeight w:val="603"/>
        </w:trPr>
        <w:tc>
          <w:tcPr>
            <w:tcW w:w="2372" w:type="dxa"/>
            <w:shd w:val="clear" w:color="auto" w:fill="auto"/>
          </w:tcPr>
          <w:p w14:paraId="6DAF84DA" w14:textId="77777777" w:rsidR="00C3264D" w:rsidRDefault="001F1235">
            <w:pPr>
              <w:rPr>
                <w:rFonts w:ascii="Times New Roman" w:hAnsi="Times New Roman"/>
                <w:sz w:val="20"/>
                <w:szCs w:val="20"/>
              </w:rPr>
            </w:pPr>
            <w:r>
              <w:rPr>
                <w:rFonts w:ascii="Times New Roman" w:hAnsi="Times New Roman"/>
                <w:sz w:val="20"/>
                <w:szCs w:val="20"/>
              </w:rPr>
              <w:t>Данни, непубликувани на равнището на ЕС</w:t>
            </w:r>
          </w:p>
        </w:tc>
        <w:tc>
          <w:tcPr>
            <w:tcW w:w="3150" w:type="dxa"/>
            <w:shd w:val="clear" w:color="auto" w:fill="auto"/>
          </w:tcPr>
          <w:p w14:paraId="018886E6" w14:textId="77777777" w:rsidR="00C3264D" w:rsidRDefault="001F1235">
            <w:pPr>
              <w:rPr>
                <w:rFonts w:ascii="Times New Roman" w:hAnsi="Times New Roman"/>
                <w:sz w:val="20"/>
                <w:szCs w:val="20"/>
              </w:rPr>
            </w:pPr>
            <w:r>
              <w:rPr>
                <w:rFonts w:ascii="Times New Roman" w:hAnsi="Times New Roman"/>
                <w:sz w:val="20"/>
                <w:szCs w:val="20"/>
              </w:rPr>
              <w:t>Безплатно разпределени квоти за въздухоплаването, публикувани на равнището на държавите членки</w:t>
            </w:r>
          </w:p>
        </w:tc>
        <w:tc>
          <w:tcPr>
            <w:tcW w:w="2916" w:type="dxa"/>
            <w:shd w:val="clear" w:color="auto" w:fill="auto"/>
          </w:tcPr>
          <w:p w14:paraId="6DABE803" w14:textId="77777777" w:rsidR="00C3264D" w:rsidRDefault="00C3264D">
            <w:pPr>
              <w:rPr>
                <w:rFonts w:ascii="Times New Roman" w:hAnsi="Times New Roman"/>
                <w:sz w:val="20"/>
                <w:szCs w:val="20"/>
              </w:rPr>
            </w:pPr>
          </w:p>
        </w:tc>
      </w:tr>
    </w:tbl>
    <w:p w14:paraId="0CF7A1D5" w14:textId="77777777" w:rsidR="00C3264D" w:rsidRDefault="00C3264D">
      <w:pPr>
        <w:rPr>
          <w:rFonts w:ascii="Times New Roman" w:hAnsi="Times New Roman"/>
          <w:b/>
          <w:highlight w:val="yellow"/>
        </w:rPr>
      </w:pPr>
    </w:p>
    <w:p w14:paraId="13080D79" w14:textId="77777777" w:rsidR="00C3264D" w:rsidRDefault="0057434D">
      <w:pPr>
        <w:rPr>
          <w:rFonts w:ascii="Times New Roman" w:hAnsi="Times New Roman"/>
          <w:b/>
        </w:rPr>
      </w:pPr>
      <w:r>
        <w:rPr>
          <w:rFonts w:ascii="Times New Roman" w:hAnsi="Times New Roman"/>
          <w:b/>
        </w:rPr>
        <w:t>Допълнение 5</w:t>
      </w:r>
    </w:p>
    <w:p w14:paraId="36F98B10" w14:textId="77777777" w:rsidR="00C3264D" w:rsidRDefault="00E9293A">
      <w:pPr>
        <w:rPr>
          <w:rFonts w:ascii="Times New Roman" w:hAnsi="Times New Roman"/>
          <w:b/>
        </w:rPr>
      </w:pPr>
      <w:r>
        <w:rPr>
          <w:rFonts w:ascii="Times New Roman" w:hAnsi="Times New Roman"/>
          <w:b/>
          <w:sz w:val="20"/>
          <w:szCs w:val="20"/>
        </w:rPr>
        <w:t>Таблица 5.1 Верифицирани по СТЕ емисии от инсталации на парникови газове, различни о</w:t>
      </w:r>
      <w:r>
        <w:rPr>
          <w:rFonts w:ascii="Times New Roman" w:hAnsi="Times New Roman"/>
          <w:b/>
          <w:bCs/>
          <w:color w:val="262626"/>
          <w:sz w:val="20"/>
          <w:szCs w:val="20"/>
        </w:rPr>
        <w:t>CO</w:t>
      </w:r>
      <w:r>
        <w:rPr>
          <w:rFonts w:ascii="Times New Roman" w:hAnsi="Times New Roman"/>
          <w:b/>
          <w:bCs/>
          <w:color w:val="262626"/>
          <w:sz w:val="20"/>
          <w:szCs w:val="20"/>
          <w:bdr w:val="none" w:sz="0" w:space="0" w:color="auto" w:frame="1"/>
          <w:vertAlign w:val="subscript"/>
        </w:rPr>
        <w:t>2</w:t>
      </w:r>
      <w:r>
        <w:rPr>
          <w:rFonts w:ascii="Times New Roman" w:hAnsi="Times New Roman"/>
          <w:b/>
          <w:sz w:val="20"/>
          <w:szCs w:val="20"/>
        </w:rPr>
        <w:t xml:space="preserve"> според вида на парниковия газ, за периода 2013—2018 г. (в милиони тонове</w:t>
      </w:r>
      <w:r>
        <w:rPr>
          <w:rFonts w:ascii="Times New Roman" w:hAnsi="Times New Roman"/>
          <w:b/>
        </w:rPr>
        <w:t>)</w:t>
      </w:r>
      <w:r>
        <w:rPr>
          <w:rStyle w:val="FootnoteReference"/>
          <w:rFonts w:ascii="Times New Roman" w:hAnsi="Times New Roman"/>
          <w:b/>
        </w:rPr>
        <w:footnoteReference w:id="80"/>
      </w:r>
      <w:r>
        <w:rPr>
          <w:rFonts w:ascii="Times New Roman" w:hAnsi="Times New Roman"/>
          <w:b/>
        </w:rPr>
        <w:fldChar w:fldCharType="begin"/>
      </w:r>
      <w:r>
        <w:rPr>
          <w:rFonts w:ascii="Times New Roman" w:hAnsi="Times New Roman"/>
          <w:b/>
        </w:rPr>
        <w:instrText xml:space="preserve"> LINK Excel.Sheet.12 "\\\\net1.cec.eu.int\\CLIMA\\B\\1\\23.01 General\\23.01-7.6 Carbon market reports\\2019\\Copy of Report emissions_N2O_PFC_CO2.xlsx" Sheet1!R20C1:R24C9 \a \f 5 \h  \* MERGEFORMAT </w:instrText>
      </w:r>
      <w:r>
        <w:rPr>
          <w:rFonts w:ascii="Times New Roman" w:hAnsi="Times New Roman"/>
          <w:b/>
        </w:rPr>
        <w:fldChar w:fldCharType="separate"/>
      </w:r>
    </w:p>
    <w:tbl>
      <w:tblPr>
        <w:tblStyle w:val="TableGrid"/>
        <w:tblW w:w="680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972"/>
        <w:gridCol w:w="973"/>
        <w:gridCol w:w="972"/>
        <w:gridCol w:w="973"/>
        <w:gridCol w:w="973"/>
        <w:gridCol w:w="973"/>
        <w:gridCol w:w="973"/>
      </w:tblGrid>
      <w:tr w:rsidR="00C3264D" w14:paraId="3E6D9B55" w14:textId="77777777" w:rsidTr="007F5B1E">
        <w:trPr>
          <w:trHeight w:val="506"/>
        </w:trPr>
        <w:tc>
          <w:tcPr>
            <w:tcW w:w="972" w:type="dxa"/>
            <w:noWrap/>
            <w:vAlign w:val="center"/>
            <w:hideMark/>
          </w:tcPr>
          <w:p w14:paraId="1E58AFD1" w14:textId="77777777" w:rsidR="00C3264D" w:rsidRDefault="00C3264D">
            <w:pPr>
              <w:rPr>
                <w:rFonts w:ascii="Times New Roman" w:hAnsi="Times New Roman"/>
              </w:rPr>
            </w:pPr>
          </w:p>
        </w:tc>
        <w:tc>
          <w:tcPr>
            <w:tcW w:w="973" w:type="dxa"/>
            <w:noWrap/>
            <w:vAlign w:val="center"/>
            <w:hideMark/>
          </w:tcPr>
          <w:p w14:paraId="4B5DB7F2" w14:textId="77777777" w:rsidR="00C3264D" w:rsidRDefault="00E9293A">
            <w:pPr>
              <w:jc w:val="center"/>
              <w:rPr>
                <w:rFonts w:ascii="Times New Roman" w:hAnsi="Times New Roman"/>
                <w:b/>
              </w:rPr>
            </w:pPr>
            <w:r>
              <w:rPr>
                <w:rFonts w:ascii="Times New Roman" w:hAnsi="Times New Roman"/>
                <w:b/>
              </w:rPr>
              <w:t>2013</w:t>
            </w:r>
          </w:p>
        </w:tc>
        <w:tc>
          <w:tcPr>
            <w:tcW w:w="972" w:type="dxa"/>
            <w:noWrap/>
            <w:vAlign w:val="center"/>
            <w:hideMark/>
          </w:tcPr>
          <w:p w14:paraId="6566A2A4" w14:textId="77777777" w:rsidR="00C3264D" w:rsidRDefault="00E9293A">
            <w:pPr>
              <w:jc w:val="center"/>
              <w:rPr>
                <w:rFonts w:ascii="Times New Roman" w:hAnsi="Times New Roman"/>
                <w:b/>
              </w:rPr>
            </w:pPr>
            <w:r>
              <w:rPr>
                <w:rFonts w:ascii="Times New Roman" w:hAnsi="Times New Roman"/>
                <w:b/>
              </w:rPr>
              <w:t>2014</w:t>
            </w:r>
          </w:p>
        </w:tc>
        <w:tc>
          <w:tcPr>
            <w:tcW w:w="973" w:type="dxa"/>
            <w:noWrap/>
            <w:vAlign w:val="center"/>
            <w:hideMark/>
          </w:tcPr>
          <w:p w14:paraId="2D7A64B7" w14:textId="77777777" w:rsidR="00C3264D" w:rsidRDefault="00E9293A">
            <w:pPr>
              <w:jc w:val="center"/>
              <w:rPr>
                <w:rFonts w:ascii="Times New Roman" w:hAnsi="Times New Roman"/>
                <w:b/>
              </w:rPr>
            </w:pPr>
            <w:r>
              <w:rPr>
                <w:rFonts w:ascii="Times New Roman" w:hAnsi="Times New Roman"/>
                <w:b/>
              </w:rPr>
              <w:t>2015</w:t>
            </w:r>
          </w:p>
        </w:tc>
        <w:tc>
          <w:tcPr>
            <w:tcW w:w="973" w:type="dxa"/>
            <w:noWrap/>
            <w:vAlign w:val="center"/>
            <w:hideMark/>
          </w:tcPr>
          <w:p w14:paraId="4B7692FA" w14:textId="77777777" w:rsidR="00C3264D" w:rsidRDefault="00E9293A">
            <w:pPr>
              <w:jc w:val="center"/>
              <w:rPr>
                <w:rFonts w:ascii="Times New Roman" w:hAnsi="Times New Roman"/>
                <w:b/>
              </w:rPr>
            </w:pPr>
            <w:r>
              <w:rPr>
                <w:rFonts w:ascii="Times New Roman" w:hAnsi="Times New Roman"/>
                <w:b/>
              </w:rPr>
              <w:t>2016</w:t>
            </w:r>
          </w:p>
        </w:tc>
        <w:tc>
          <w:tcPr>
            <w:tcW w:w="973" w:type="dxa"/>
            <w:noWrap/>
            <w:vAlign w:val="center"/>
            <w:hideMark/>
          </w:tcPr>
          <w:p w14:paraId="1EF15A23" w14:textId="77777777" w:rsidR="00C3264D" w:rsidRDefault="00E9293A">
            <w:pPr>
              <w:jc w:val="center"/>
              <w:rPr>
                <w:rFonts w:ascii="Times New Roman" w:hAnsi="Times New Roman"/>
                <w:b/>
              </w:rPr>
            </w:pPr>
            <w:r>
              <w:rPr>
                <w:rFonts w:ascii="Times New Roman" w:hAnsi="Times New Roman"/>
                <w:b/>
              </w:rPr>
              <w:t>2017</w:t>
            </w:r>
          </w:p>
        </w:tc>
        <w:tc>
          <w:tcPr>
            <w:tcW w:w="973" w:type="dxa"/>
            <w:noWrap/>
            <w:vAlign w:val="center"/>
            <w:hideMark/>
          </w:tcPr>
          <w:p w14:paraId="2C1BB7F9" w14:textId="77777777" w:rsidR="00C3264D" w:rsidRDefault="00E9293A">
            <w:pPr>
              <w:jc w:val="center"/>
              <w:rPr>
                <w:rFonts w:ascii="Times New Roman" w:hAnsi="Times New Roman"/>
                <w:b/>
              </w:rPr>
            </w:pPr>
            <w:r>
              <w:rPr>
                <w:rFonts w:ascii="Times New Roman" w:hAnsi="Times New Roman"/>
                <w:b/>
              </w:rPr>
              <w:t>2018</w:t>
            </w:r>
          </w:p>
        </w:tc>
      </w:tr>
      <w:tr w:rsidR="00C3264D" w14:paraId="37A0761C" w14:textId="77777777" w:rsidTr="007F5B1E">
        <w:trPr>
          <w:trHeight w:val="506"/>
        </w:trPr>
        <w:tc>
          <w:tcPr>
            <w:tcW w:w="972" w:type="dxa"/>
            <w:noWrap/>
            <w:vAlign w:val="center"/>
            <w:hideMark/>
          </w:tcPr>
          <w:p w14:paraId="0DECD77C" w14:textId="77777777" w:rsidR="00C3264D" w:rsidRDefault="00E9293A">
            <w:pPr>
              <w:rPr>
                <w:rFonts w:ascii="Times New Roman" w:hAnsi="Times New Roman"/>
                <w:b/>
              </w:rPr>
            </w:pPr>
            <w:r>
              <w:rPr>
                <w:rFonts w:ascii="Times New Roman" w:hAnsi="Times New Roman"/>
                <w:b/>
              </w:rPr>
              <w:t>PFCs</w:t>
            </w:r>
          </w:p>
        </w:tc>
        <w:tc>
          <w:tcPr>
            <w:tcW w:w="973" w:type="dxa"/>
            <w:noWrap/>
            <w:vAlign w:val="center"/>
            <w:hideMark/>
          </w:tcPr>
          <w:p w14:paraId="52136E16" w14:textId="77777777" w:rsidR="00C3264D" w:rsidRDefault="00E9293A">
            <w:pPr>
              <w:jc w:val="center"/>
              <w:rPr>
                <w:rFonts w:ascii="Times New Roman" w:hAnsi="Times New Roman"/>
              </w:rPr>
            </w:pPr>
            <w:r>
              <w:rPr>
                <w:rFonts w:ascii="Times New Roman" w:hAnsi="Times New Roman"/>
              </w:rPr>
              <w:t>0,40</w:t>
            </w:r>
          </w:p>
        </w:tc>
        <w:tc>
          <w:tcPr>
            <w:tcW w:w="972" w:type="dxa"/>
            <w:noWrap/>
            <w:vAlign w:val="center"/>
            <w:hideMark/>
          </w:tcPr>
          <w:p w14:paraId="4E732B1E" w14:textId="77777777" w:rsidR="00C3264D" w:rsidRDefault="00E9293A">
            <w:pPr>
              <w:jc w:val="center"/>
              <w:rPr>
                <w:rFonts w:ascii="Times New Roman" w:hAnsi="Times New Roman"/>
              </w:rPr>
            </w:pPr>
            <w:r>
              <w:rPr>
                <w:rFonts w:ascii="Times New Roman" w:hAnsi="Times New Roman"/>
              </w:rPr>
              <w:t>0,74</w:t>
            </w:r>
          </w:p>
        </w:tc>
        <w:tc>
          <w:tcPr>
            <w:tcW w:w="973" w:type="dxa"/>
            <w:noWrap/>
            <w:vAlign w:val="center"/>
            <w:hideMark/>
          </w:tcPr>
          <w:p w14:paraId="3349F1AB" w14:textId="77777777" w:rsidR="00C3264D" w:rsidRDefault="00E9293A">
            <w:pPr>
              <w:jc w:val="center"/>
              <w:rPr>
                <w:rFonts w:ascii="Times New Roman" w:hAnsi="Times New Roman"/>
              </w:rPr>
            </w:pPr>
            <w:r>
              <w:rPr>
                <w:rFonts w:ascii="Times New Roman" w:hAnsi="Times New Roman"/>
              </w:rPr>
              <w:t>0,58</w:t>
            </w:r>
          </w:p>
        </w:tc>
        <w:tc>
          <w:tcPr>
            <w:tcW w:w="973" w:type="dxa"/>
            <w:noWrap/>
            <w:vAlign w:val="center"/>
            <w:hideMark/>
          </w:tcPr>
          <w:p w14:paraId="36C909CF" w14:textId="77777777" w:rsidR="00C3264D" w:rsidRDefault="00E9293A">
            <w:pPr>
              <w:jc w:val="center"/>
              <w:rPr>
                <w:rFonts w:ascii="Times New Roman" w:hAnsi="Times New Roman"/>
              </w:rPr>
            </w:pPr>
            <w:r>
              <w:rPr>
                <w:rFonts w:ascii="Times New Roman" w:hAnsi="Times New Roman"/>
              </w:rPr>
              <w:t>0,64</w:t>
            </w:r>
          </w:p>
        </w:tc>
        <w:tc>
          <w:tcPr>
            <w:tcW w:w="973" w:type="dxa"/>
            <w:noWrap/>
            <w:vAlign w:val="center"/>
            <w:hideMark/>
          </w:tcPr>
          <w:p w14:paraId="598A1820" w14:textId="77777777" w:rsidR="00C3264D" w:rsidRDefault="00E9293A">
            <w:pPr>
              <w:jc w:val="center"/>
              <w:rPr>
                <w:rFonts w:ascii="Times New Roman" w:hAnsi="Times New Roman"/>
              </w:rPr>
            </w:pPr>
            <w:r>
              <w:rPr>
                <w:rFonts w:ascii="Times New Roman" w:hAnsi="Times New Roman"/>
              </w:rPr>
              <w:t>0,47</w:t>
            </w:r>
          </w:p>
        </w:tc>
        <w:tc>
          <w:tcPr>
            <w:tcW w:w="973" w:type="dxa"/>
            <w:noWrap/>
            <w:vAlign w:val="center"/>
            <w:hideMark/>
          </w:tcPr>
          <w:p w14:paraId="21CC59DF" w14:textId="77777777" w:rsidR="00C3264D" w:rsidRDefault="00E9293A">
            <w:pPr>
              <w:jc w:val="center"/>
              <w:rPr>
                <w:rFonts w:ascii="Times New Roman" w:hAnsi="Times New Roman"/>
              </w:rPr>
            </w:pPr>
            <w:r>
              <w:rPr>
                <w:rFonts w:ascii="Times New Roman" w:hAnsi="Times New Roman"/>
              </w:rPr>
              <w:t>0,60</w:t>
            </w:r>
          </w:p>
        </w:tc>
      </w:tr>
      <w:tr w:rsidR="00C3264D" w14:paraId="698D48F6" w14:textId="77777777" w:rsidTr="007F5B1E">
        <w:trPr>
          <w:trHeight w:val="506"/>
        </w:trPr>
        <w:tc>
          <w:tcPr>
            <w:tcW w:w="972" w:type="dxa"/>
            <w:noWrap/>
            <w:vAlign w:val="center"/>
            <w:hideMark/>
          </w:tcPr>
          <w:p w14:paraId="21DFEF8F" w14:textId="77777777" w:rsidR="00C3264D" w:rsidRDefault="00E9293A">
            <w:pPr>
              <w:rPr>
                <w:rFonts w:ascii="Times New Roman" w:hAnsi="Times New Roman"/>
                <w:b/>
              </w:rPr>
            </w:pPr>
            <w:r>
              <w:rPr>
                <w:rFonts w:ascii="Times New Roman" w:hAnsi="Times New Roman"/>
                <w:b/>
                <w:bCs/>
                <w:color w:val="262626"/>
              </w:rPr>
              <w:t>N</w:t>
            </w:r>
            <w:r>
              <w:rPr>
                <w:rFonts w:ascii="Times New Roman" w:hAnsi="Times New Roman"/>
                <w:b/>
                <w:bCs/>
                <w:color w:val="262626"/>
                <w:bdr w:val="none" w:sz="0" w:space="0" w:color="auto" w:frame="1"/>
                <w:vertAlign w:val="subscript"/>
              </w:rPr>
              <w:t>2</w:t>
            </w:r>
            <w:r>
              <w:rPr>
                <w:rFonts w:ascii="Times New Roman" w:hAnsi="Times New Roman"/>
                <w:b/>
                <w:bCs/>
                <w:color w:val="262626"/>
              </w:rPr>
              <w:t>O</w:t>
            </w:r>
          </w:p>
        </w:tc>
        <w:tc>
          <w:tcPr>
            <w:tcW w:w="973" w:type="dxa"/>
            <w:noWrap/>
            <w:vAlign w:val="center"/>
            <w:hideMark/>
          </w:tcPr>
          <w:p w14:paraId="26F5FD32" w14:textId="77777777" w:rsidR="00C3264D" w:rsidRDefault="00E9293A">
            <w:pPr>
              <w:jc w:val="center"/>
              <w:rPr>
                <w:rFonts w:ascii="Times New Roman" w:hAnsi="Times New Roman"/>
              </w:rPr>
            </w:pPr>
            <w:r>
              <w:rPr>
                <w:rFonts w:ascii="Times New Roman" w:hAnsi="Times New Roman"/>
              </w:rPr>
              <w:t>2,47</w:t>
            </w:r>
          </w:p>
        </w:tc>
        <w:tc>
          <w:tcPr>
            <w:tcW w:w="972" w:type="dxa"/>
            <w:noWrap/>
            <w:vAlign w:val="center"/>
            <w:hideMark/>
          </w:tcPr>
          <w:p w14:paraId="45FF1C23" w14:textId="77777777" w:rsidR="00C3264D" w:rsidRDefault="00E9293A">
            <w:pPr>
              <w:jc w:val="center"/>
              <w:rPr>
                <w:rFonts w:ascii="Times New Roman" w:hAnsi="Times New Roman"/>
              </w:rPr>
            </w:pPr>
            <w:r>
              <w:rPr>
                <w:rFonts w:ascii="Times New Roman" w:hAnsi="Times New Roman"/>
              </w:rPr>
              <w:t>5,49</w:t>
            </w:r>
          </w:p>
        </w:tc>
        <w:tc>
          <w:tcPr>
            <w:tcW w:w="973" w:type="dxa"/>
            <w:noWrap/>
            <w:vAlign w:val="center"/>
            <w:hideMark/>
          </w:tcPr>
          <w:p w14:paraId="66E754A9" w14:textId="77777777" w:rsidR="00C3264D" w:rsidRDefault="00E9293A">
            <w:pPr>
              <w:jc w:val="center"/>
              <w:rPr>
                <w:rFonts w:ascii="Times New Roman" w:hAnsi="Times New Roman"/>
              </w:rPr>
            </w:pPr>
            <w:r>
              <w:rPr>
                <w:rFonts w:ascii="Times New Roman" w:hAnsi="Times New Roman"/>
              </w:rPr>
              <w:t>5,32</w:t>
            </w:r>
          </w:p>
        </w:tc>
        <w:tc>
          <w:tcPr>
            <w:tcW w:w="973" w:type="dxa"/>
            <w:noWrap/>
            <w:vAlign w:val="center"/>
            <w:hideMark/>
          </w:tcPr>
          <w:p w14:paraId="53A7D174" w14:textId="77777777" w:rsidR="00C3264D" w:rsidRDefault="00E9293A">
            <w:pPr>
              <w:jc w:val="center"/>
              <w:rPr>
                <w:rFonts w:ascii="Times New Roman" w:hAnsi="Times New Roman"/>
              </w:rPr>
            </w:pPr>
            <w:r>
              <w:rPr>
                <w:rFonts w:ascii="Times New Roman" w:hAnsi="Times New Roman"/>
              </w:rPr>
              <w:t>4,62</w:t>
            </w:r>
          </w:p>
        </w:tc>
        <w:tc>
          <w:tcPr>
            <w:tcW w:w="973" w:type="dxa"/>
            <w:noWrap/>
            <w:vAlign w:val="center"/>
            <w:hideMark/>
          </w:tcPr>
          <w:p w14:paraId="681B24DB" w14:textId="77777777" w:rsidR="00C3264D" w:rsidRDefault="00E9293A">
            <w:pPr>
              <w:jc w:val="center"/>
              <w:rPr>
                <w:rFonts w:ascii="Times New Roman" w:hAnsi="Times New Roman"/>
              </w:rPr>
            </w:pPr>
            <w:r>
              <w:rPr>
                <w:rFonts w:ascii="Times New Roman" w:hAnsi="Times New Roman"/>
              </w:rPr>
              <w:t>4,96</w:t>
            </w:r>
          </w:p>
        </w:tc>
        <w:tc>
          <w:tcPr>
            <w:tcW w:w="973" w:type="dxa"/>
            <w:noWrap/>
            <w:vAlign w:val="center"/>
            <w:hideMark/>
          </w:tcPr>
          <w:p w14:paraId="7461DDF7" w14:textId="77777777" w:rsidR="00C3264D" w:rsidRDefault="00E9293A">
            <w:pPr>
              <w:jc w:val="center"/>
              <w:rPr>
                <w:rFonts w:ascii="Times New Roman" w:hAnsi="Times New Roman"/>
              </w:rPr>
            </w:pPr>
            <w:r>
              <w:rPr>
                <w:rFonts w:ascii="Times New Roman" w:hAnsi="Times New Roman"/>
              </w:rPr>
              <w:t>4,11</w:t>
            </w:r>
          </w:p>
        </w:tc>
      </w:tr>
    </w:tbl>
    <w:p w14:paraId="6C34E57F" w14:textId="77777777" w:rsidR="00C3264D" w:rsidRDefault="00E9293A">
      <w:pPr>
        <w:rPr>
          <w:rFonts w:ascii="Times New Roman" w:hAnsi="Times New Roman"/>
          <w:sz w:val="18"/>
          <w:szCs w:val="18"/>
        </w:rPr>
      </w:pPr>
      <w:r>
        <w:rPr>
          <w:rFonts w:ascii="Times New Roman" w:hAnsi="Times New Roman"/>
        </w:rPr>
        <w:fldChar w:fldCharType="end"/>
      </w:r>
      <w:r>
        <w:rPr>
          <w:rFonts w:ascii="Times New Roman" w:hAnsi="Times New Roman"/>
          <w:sz w:val="18"/>
          <w:szCs w:val="18"/>
        </w:rPr>
        <w:t>Източник: ЕUTL</w:t>
      </w:r>
    </w:p>
    <w:p w14:paraId="44553B10" w14:textId="77777777" w:rsidR="00C3264D" w:rsidRDefault="00C3264D">
      <w:pPr>
        <w:rPr>
          <w:rFonts w:ascii="Times New Roman" w:hAnsi="Times New Roman"/>
          <w:b/>
        </w:rPr>
      </w:pPr>
    </w:p>
    <w:p w14:paraId="14C7AD75" w14:textId="77777777" w:rsidR="00C3264D" w:rsidRDefault="003A348D">
      <w:pPr>
        <w:rPr>
          <w:rFonts w:ascii="Times New Roman" w:hAnsi="Times New Roman"/>
          <w:b/>
        </w:rPr>
      </w:pPr>
      <w:r>
        <w:rPr>
          <w:rFonts w:ascii="Times New Roman" w:hAnsi="Times New Roman"/>
          <w:b/>
        </w:rPr>
        <w:t>Допълнение 6</w:t>
      </w:r>
    </w:p>
    <w:p w14:paraId="4B561069" w14:textId="77777777" w:rsidR="00C3264D" w:rsidRDefault="003A348D">
      <w:pPr>
        <w:rPr>
          <w:rFonts w:ascii="Times New Roman" w:hAnsi="Times New Roman"/>
          <w:b/>
          <w:sz w:val="20"/>
          <w:szCs w:val="20"/>
        </w:rPr>
      </w:pPr>
      <w:r>
        <w:rPr>
          <w:rFonts w:ascii="Times New Roman" w:hAnsi="Times New Roman"/>
          <w:b/>
          <w:sz w:val="20"/>
          <w:szCs w:val="20"/>
        </w:rPr>
        <w:t>Таблица 6.1: Решения на Съда на ЕС относно функционирането на СТЕ на ЕС през периода юли 2018 г. — юни 2019 г.</w:t>
      </w:r>
    </w:p>
    <w:tbl>
      <w:tblPr>
        <w:tblStyle w:val="TableGrid4"/>
        <w:tblW w:w="9565"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005"/>
        <w:gridCol w:w="1382"/>
        <w:gridCol w:w="1382"/>
        <w:gridCol w:w="2640"/>
        <w:gridCol w:w="753"/>
        <w:gridCol w:w="2403"/>
      </w:tblGrid>
      <w:tr w:rsidR="00C3264D" w14:paraId="663D26AF" w14:textId="77777777" w:rsidTr="00601A28">
        <w:trPr>
          <w:trHeight w:val="551"/>
        </w:trPr>
        <w:tc>
          <w:tcPr>
            <w:tcW w:w="1005" w:type="dxa"/>
            <w:vAlign w:val="center"/>
            <w:hideMark/>
          </w:tcPr>
          <w:p w14:paraId="3FC05ABF" w14:textId="77777777" w:rsidR="00C3264D" w:rsidRDefault="003A348D">
            <w:pPr>
              <w:rPr>
                <w:rFonts w:ascii="Times New Roman" w:hAnsi="Times New Roman"/>
                <w:b/>
                <w:bCs/>
                <w:sz w:val="20"/>
                <w:szCs w:val="20"/>
              </w:rPr>
            </w:pPr>
            <w:r>
              <w:rPr>
                <w:rFonts w:ascii="Times New Roman" w:hAnsi="Times New Roman"/>
                <w:b/>
                <w:bCs/>
                <w:sz w:val="20"/>
                <w:szCs w:val="20"/>
              </w:rPr>
              <w:t>Референтен номер на делото</w:t>
            </w:r>
          </w:p>
        </w:tc>
        <w:tc>
          <w:tcPr>
            <w:tcW w:w="1382" w:type="dxa"/>
            <w:vAlign w:val="center"/>
          </w:tcPr>
          <w:p w14:paraId="5166199E" w14:textId="77777777" w:rsidR="00C3264D" w:rsidRDefault="003A348D">
            <w:pPr>
              <w:rPr>
                <w:rFonts w:ascii="Times New Roman" w:hAnsi="Times New Roman"/>
                <w:b/>
                <w:sz w:val="20"/>
                <w:szCs w:val="20"/>
              </w:rPr>
            </w:pPr>
            <w:r>
              <w:rPr>
                <w:rFonts w:ascii="Times New Roman" w:hAnsi="Times New Roman"/>
                <w:b/>
                <w:sz w:val="20"/>
                <w:szCs w:val="20"/>
              </w:rPr>
              <w:t>Приложимо законодателство</w:t>
            </w:r>
          </w:p>
        </w:tc>
        <w:tc>
          <w:tcPr>
            <w:tcW w:w="1382" w:type="dxa"/>
            <w:vAlign w:val="center"/>
          </w:tcPr>
          <w:p w14:paraId="54F1A022" w14:textId="77777777" w:rsidR="00C3264D" w:rsidRDefault="003A348D">
            <w:pPr>
              <w:rPr>
                <w:rFonts w:ascii="Times New Roman" w:hAnsi="Times New Roman"/>
                <w:b/>
                <w:sz w:val="20"/>
                <w:szCs w:val="20"/>
              </w:rPr>
            </w:pPr>
            <w:r>
              <w:rPr>
                <w:rFonts w:ascii="Times New Roman" w:hAnsi="Times New Roman"/>
                <w:b/>
                <w:sz w:val="20"/>
                <w:szCs w:val="20"/>
              </w:rPr>
              <w:t>Страни</w:t>
            </w:r>
          </w:p>
        </w:tc>
        <w:tc>
          <w:tcPr>
            <w:tcW w:w="2640" w:type="dxa"/>
            <w:vAlign w:val="center"/>
          </w:tcPr>
          <w:p w14:paraId="54991B1B" w14:textId="77777777" w:rsidR="00C3264D" w:rsidRDefault="003A348D">
            <w:pPr>
              <w:jc w:val="center"/>
              <w:rPr>
                <w:rFonts w:ascii="Times New Roman" w:hAnsi="Times New Roman"/>
                <w:b/>
                <w:bCs/>
                <w:sz w:val="20"/>
                <w:szCs w:val="20"/>
              </w:rPr>
            </w:pPr>
            <w:r>
              <w:rPr>
                <w:rFonts w:ascii="Times New Roman" w:hAnsi="Times New Roman"/>
                <w:b/>
                <w:bCs/>
                <w:sz w:val="20"/>
                <w:szCs w:val="20"/>
              </w:rPr>
              <w:t>Контекст на делото</w:t>
            </w:r>
          </w:p>
        </w:tc>
        <w:tc>
          <w:tcPr>
            <w:tcW w:w="753" w:type="dxa"/>
            <w:vAlign w:val="center"/>
            <w:hideMark/>
          </w:tcPr>
          <w:p w14:paraId="10B1C416" w14:textId="77777777" w:rsidR="00C3264D" w:rsidRDefault="003A348D">
            <w:pPr>
              <w:jc w:val="center"/>
              <w:rPr>
                <w:rFonts w:ascii="Times New Roman" w:hAnsi="Times New Roman"/>
                <w:b/>
                <w:bCs/>
                <w:sz w:val="20"/>
                <w:szCs w:val="20"/>
              </w:rPr>
            </w:pPr>
            <w:r>
              <w:rPr>
                <w:rFonts w:ascii="Times New Roman" w:hAnsi="Times New Roman"/>
                <w:b/>
                <w:bCs/>
                <w:sz w:val="20"/>
                <w:szCs w:val="20"/>
              </w:rPr>
              <w:t>Дата</w:t>
            </w:r>
          </w:p>
        </w:tc>
        <w:tc>
          <w:tcPr>
            <w:tcW w:w="2403" w:type="dxa"/>
            <w:vAlign w:val="center"/>
            <w:hideMark/>
          </w:tcPr>
          <w:p w14:paraId="0EBC3B57" w14:textId="77777777" w:rsidR="00C3264D" w:rsidRDefault="003A348D">
            <w:pPr>
              <w:jc w:val="center"/>
              <w:rPr>
                <w:rFonts w:ascii="Times New Roman" w:hAnsi="Times New Roman"/>
                <w:b/>
                <w:bCs/>
                <w:sz w:val="20"/>
                <w:szCs w:val="20"/>
              </w:rPr>
            </w:pPr>
            <w:r>
              <w:rPr>
                <w:rFonts w:ascii="Times New Roman" w:hAnsi="Times New Roman"/>
                <w:b/>
                <w:bCs/>
                <w:sz w:val="20"/>
                <w:szCs w:val="20"/>
              </w:rPr>
              <w:t>Констатация на Съда</w:t>
            </w:r>
          </w:p>
        </w:tc>
      </w:tr>
      <w:tr w:rsidR="00C3264D" w14:paraId="5BE19430" w14:textId="77777777" w:rsidTr="00601A28">
        <w:trPr>
          <w:trHeight w:val="1384"/>
        </w:trPr>
        <w:tc>
          <w:tcPr>
            <w:tcW w:w="1005" w:type="dxa"/>
          </w:tcPr>
          <w:p w14:paraId="5301FC9D" w14:textId="77777777" w:rsidR="00C3264D" w:rsidRDefault="00FA645E">
            <w:pPr>
              <w:rPr>
                <w:rFonts w:ascii="Times New Roman" w:hAnsi="Times New Roman"/>
                <w:bCs/>
                <w:sz w:val="20"/>
                <w:szCs w:val="20"/>
              </w:rPr>
            </w:pPr>
            <w:r>
              <w:rPr>
                <w:rFonts w:ascii="Times New Roman" w:hAnsi="Times New Roman"/>
                <w:bCs/>
                <w:sz w:val="20"/>
                <w:szCs w:val="20"/>
              </w:rPr>
              <w:t>Дело C-682/17</w:t>
            </w:r>
          </w:p>
        </w:tc>
        <w:tc>
          <w:tcPr>
            <w:tcW w:w="1382" w:type="dxa"/>
          </w:tcPr>
          <w:p w14:paraId="0E44E23D" w14:textId="77777777" w:rsidR="00C3264D" w:rsidRDefault="00FA645E">
            <w:pPr>
              <w:rPr>
                <w:rFonts w:ascii="Times New Roman" w:hAnsi="Times New Roman"/>
                <w:sz w:val="20"/>
                <w:szCs w:val="20"/>
              </w:rPr>
            </w:pPr>
            <w:r>
              <w:rPr>
                <w:rFonts w:ascii="Times New Roman" w:hAnsi="Times New Roman"/>
                <w:sz w:val="20"/>
                <w:szCs w:val="20"/>
              </w:rPr>
              <w:t xml:space="preserve">Директива 2003/87/ЕО, </w:t>
            </w:r>
          </w:p>
          <w:p w14:paraId="03A7F16A" w14:textId="77777777" w:rsidR="00C3264D" w:rsidRDefault="00FA645E">
            <w:pPr>
              <w:rPr>
                <w:rFonts w:ascii="Times New Roman" w:hAnsi="Times New Roman"/>
                <w:sz w:val="20"/>
                <w:szCs w:val="20"/>
              </w:rPr>
            </w:pPr>
            <w:r>
              <w:rPr>
                <w:rFonts w:ascii="Times New Roman" w:hAnsi="Times New Roman"/>
                <w:sz w:val="20"/>
                <w:szCs w:val="20"/>
              </w:rPr>
              <w:t>Решение 2011/278/ЕС</w:t>
            </w:r>
          </w:p>
        </w:tc>
        <w:tc>
          <w:tcPr>
            <w:tcW w:w="1382" w:type="dxa"/>
          </w:tcPr>
          <w:p w14:paraId="5CE52C46" w14:textId="77777777" w:rsidR="00C3264D" w:rsidRDefault="00FA645E">
            <w:pPr>
              <w:rPr>
                <w:rFonts w:ascii="Times New Roman" w:hAnsi="Times New Roman"/>
                <w:sz w:val="20"/>
                <w:szCs w:val="20"/>
              </w:rPr>
            </w:pPr>
            <w:r>
              <w:rPr>
                <w:rFonts w:ascii="Times New Roman" w:hAnsi="Times New Roman"/>
                <w:sz w:val="20"/>
                <w:szCs w:val="20"/>
              </w:rPr>
              <w:t>ExxonMobil Production Deutschland GmbH/Германия</w:t>
            </w:r>
          </w:p>
        </w:tc>
        <w:tc>
          <w:tcPr>
            <w:tcW w:w="2640" w:type="dxa"/>
          </w:tcPr>
          <w:p w14:paraId="5EE05F2E" w14:textId="77777777" w:rsidR="00C3264D" w:rsidRDefault="00AA1C54">
            <w:pPr>
              <w:rPr>
                <w:rFonts w:ascii="Times New Roman" w:hAnsi="Times New Roman"/>
                <w:bCs/>
                <w:sz w:val="20"/>
                <w:szCs w:val="20"/>
              </w:rPr>
            </w:pPr>
            <w:r>
              <w:rPr>
                <w:rFonts w:ascii="Times New Roman" w:hAnsi="Times New Roman"/>
                <w:bCs/>
                <w:sz w:val="20"/>
                <w:szCs w:val="20"/>
              </w:rPr>
              <w:t>Ако в дадена инсталация не се извършват други дейности по приложение 1, освен генерирането на енергия, тя счита ли се за генератор на електроенергия и ако да, има ли право на разпределяне на безплатни квоти?</w:t>
            </w:r>
          </w:p>
        </w:tc>
        <w:tc>
          <w:tcPr>
            <w:tcW w:w="753" w:type="dxa"/>
          </w:tcPr>
          <w:p w14:paraId="60B05B2C" w14:textId="77777777" w:rsidR="00C3264D" w:rsidRDefault="00AA1C54">
            <w:pPr>
              <w:rPr>
                <w:rFonts w:ascii="Times New Roman" w:hAnsi="Times New Roman"/>
                <w:bCs/>
                <w:sz w:val="20"/>
                <w:szCs w:val="20"/>
              </w:rPr>
            </w:pPr>
            <w:r>
              <w:rPr>
                <w:rFonts w:ascii="Times New Roman" w:hAnsi="Times New Roman"/>
                <w:bCs/>
                <w:sz w:val="20"/>
                <w:szCs w:val="20"/>
              </w:rPr>
              <w:t>20.6.2019 г.</w:t>
            </w:r>
          </w:p>
        </w:tc>
        <w:tc>
          <w:tcPr>
            <w:tcW w:w="2403" w:type="dxa"/>
          </w:tcPr>
          <w:p w14:paraId="68A6A3AA" w14:textId="77777777" w:rsidR="00C3264D" w:rsidRDefault="00AA1C54">
            <w:pPr>
              <w:rPr>
                <w:rFonts w:ascii="Times New Roman" w:hAnsi="Times New Roman"/>
                <w:bCs/>
                <w:sz w:val="20"/>
                <w:szCs w:val="20"/>
              </w:rPr>
            </w:pPr>
            <w:r>
              <w:rPr>
                <w:rFonts w:ascii="Times New Roman" w:hAnsi="Times New Roman"/>
                <w:bCs/>
                <w:sz w:val="20"/>
                <w:szCs w:val="20"/>
              </w:rPr>
              <w:t>Съдът потвърди буквалното тълкуване на определението за електрически генератор в Директива 2003/87/ЕО.</w:t>
            </w:r>
          </w:p>
        </w:tc>
      </w:tr>
      <w:tr w:rsidR="00C3264D" w14:paraId="30DE2FAD" w14:textId="77777777" w:rsidTr="00601A28">
        <w:trPr>
          <w:trHeight w:val="1384"/>
        </w:trPr>
        <w:tc>
          <w:tcPr>
            <w:tcW w:w="1005" w:type="dxa"/>
          </w:tcPr>
          <w:p w14:paraId="77FED0B2" w14:textId="77777777" w:rsidR="00C3264D" w:rsidRDefault="00FA4E9C">
            <w:pPr>
              <w:rPr>
                <w:rFonts w:ascii="Times New Roman" w:hAnsi="Times New Roman"/>
                <w:bCs/>
                <w:sz w:val="20"/>
                <w:szCs w:val="20"/>
              </w:rPr>
            </w:pPr>
            <w:r>
              <w:rPr>
                <w:rFonts w:ascii="Times New Roman" w:hAnsi="Times New Roman"/>
                <w:bCs/>
                <w:sz w:val="20"/>
                <w:szCs w:val="20"/>
              </w:rPr>
              <w:t>Дело T-330/18</w:t>
            </w:r>
          </w:p>
        </w:tc>
        <w:tc>
          <w:tcPr>
            <w:tcW w:w="1382" w:type="dxa"/>
          </w:tcPr>
          <w:p w14:paraId="05994603" w14:textId="77777777" w:rsidR="00C3264D" w:rsidRDefault="00FA4E9C">
            <w:pPr>
              <w:rPr>
                <w:rFonts w:ascii="Times New Roman" w:hAnsi="Times New Roman"/>
                <w:sz w:val="20"/>
                <w:szCs w:val="20"/>
              </w:rPr>
            </w:pPr>
            <w:r>
              <w:rPr>
                <w:rFonts w:ascii="Times New Roman" w:hAnsi="Times New Roman"/>
                <w:sz w:val="20"/>
                <w:szCs w:val="20"/>
              </w:rPr>
              <w:t>Директива (ЕС) 2018/410, Регламент (ЕС) 2018/842, Регламент (ЕС) 2018/841</w:t>
            </w:r>
          </w:p>
        </w:tc>
        <w:tc>
          <w:tcPr>
            <w:tcW w:w="1382" w:type="dxa"/>
          </w:tcPr>
          <w:p w14:paraId="641F929E" w14:textId="77777777" w:rsidR="00C3264D" w:rsidRDefault="00FA4E9C">
            <w:pPr>
              <w:rPr>
                <w:rFonts w:ascii="Times New Roman" w:hAnsi="Times New Roman"/>
                <w:sz w:val="20"/>
                <w:szCs w:val="20"/>
              </w:rPr>
            </w:pPr>
            <w:r>
              <w:rPr>
                <w:rFonts w:ascii="Times New Roman" w:hAnsi="Times New Roman"/>
                <w:sz w:val="20"/>
                <w:szCs w:val="20"/>
              </w:rPr>
              <w:t>Carvalho и др./Парламент и Съвет</w:t>
            </w:r>
          </w:p>
        </w:tc>
        <w:tc>
          <w:tcPr>
            <w:tcW w:w="2640" w:type="dxa"/>
          </w:tcPr>
          <w:p w14:paraId="2A4893B6" w14:textId="77777777" w:rsidR="00C3264D" w:rsidRDefault="00DF6D22">
            <w:pPr>
              <w:rPr>
                <w:rFonts w:ascii="Times New Roman" w:hAnsi="Times New Roman"/>
                <w:bCs/>
                <w:sz w:val="20"/>
                <w:szCs w:val="20"/>
              </w:rPr>
            </w:pPr>
            <w:r>
              <w:rPr>
                <w:rFonts w:ascii="Times New Roman" w:hAnsi="Times New Roman"/>
                <w:bCs/>
                <w:sz w:val="20"/>
                <w:szCs w:val="20"/>
              </w:rPr>
              <w:t xml:space="preserve">37 частни лица са подали жалба за отмяна на Директива (ЕС) 2018/410, Регламент (ЕС) 2018/842 и Регламент (ЕС) 2018/841, като твърдят, че планираните намаления на емисии на парникови газове са недостатъчни. </w:t>
            </w:r>
          </w:p>
          <w:p w14:paraId="3D577E91" w14:textId="77777777" w:rsidR="00C3264D" w:rsidRDefault="00376A62">
            <w:pPr>
              <w:rPr>
                <w:rFonts w:ascii="Times New Roman" w:hAnsi="Times New Roman"/>
                <w:bCs/>
                <w:sz w:val="20"/>
                <w:szCs w:val="20"/>
              </w:rPr>
            </w:pPr>
            <w:r>
              <w:rPr>
                <w:rFonts w:ascii="Times New Roman" w:hAnsi="Times New Roman"/>
                <w:bCs/>
                <w:sz w:val="20"/>
                <w:szCs w:val="20"/>
              </w:rPr>
              <w:t>Европейският парламент и Съветът на ЕС са подали жалба за недопустимост.</w:t>
            </w:r>
          </w:p>
        </w:tc>
        <w:tc>
          <w:tcPr>
            <w:tcW w:w="753" w:type="dxa"/>
          </w:tcPr>
          <w:p w14:paraId="609F4529" w14:textId="77777777" w:rsidR="00C3264D" w:rsidRDefault="00A95247">
            <w:pPr>
              <w:rPr>
                <w:rFonts w:ascii="Times New Roman" w:hAnsi="Times New Roman"/>
                <w:bCs/>
                <w:sz w:val="20"/>
                <w:szCs w:val="20"/>
              </w:rPr>
            </w:pPr>
            <w:r>
              <w:rPr>
                <w:rFonts w:ascii="Times New Roman" w:hAnsi="Times New Roman"/>
                <w:bCs/>
                <w:sz w:val="20"/>
                <w:szCs w:val="20"/>
              </w:rPr>
              <w:t>8.5.2019 г.</w:t>
            </w:r>
          </w:p>
        </w:tc>
        <w:tc>
          <w:tcPr>
            <w:tcW w:w="2403" w:type="dxa"/>
          </w:tcPr>
          <w:p w14:paraId="592D107B" w14:textId="77777777" w:rsidR="00C3264D" w:rsidRDefault="00A95247">
            <w:pPr>
              <w:rPr>
                <w:rFonts w:ascii="Times New Roman" w:hAnsi="Times New Roman"/>
                <w:bCs/>
                <w:sz w:val="20"/>
                <w:szCs w:val="20"/>
              </w:rPr>
            </w:pPr>
            <w:r>
              <w:rPr>
                <w:rFonts w:ascii="Times New Roman" w:hAnsi="Times New Roman"/>
                <w:bCs/>
                <w:sz w:val="20"/>
                <w:szCs w:val="20"/>
              </w:rPr>
              <w:t>Съдът отхвърли жалбата като недопустима в нейната цялост.</w:t>
            </w:r>
          </w:p>
        </w:tc>
      </w:tr>
      <w:tr w:rsidR="00C3264D" w14:paraId="3720A04D" w14:textId="77777777" w:rsidTr="00601A28">
        <w:trPr>
          <w:trHeight w:val="1384"/>
        </w:trPr>
        <w:tc>
          <w:tcPr>
            <w:tcW w:w="1005" w:type="dxa"/>
          </w:tcPr>
          <w:p w14:paraId="56D7D664" w14:textId="77777777" w:rsidR="00C3264D" w:rsidRDefault="00D3027D">
            <w:pPr>
              <w:rPr>
                <w:rFonts w:ascii="Times New Roman" w:hAnsi="Times New Roman"/>
                <w:bCs/>
                <w:sz w:val="20"/>
                <w:szCs w:val="20"/>
              </w:rPr>
            </w:pPr>
            <w:r>
              <w:rPr>
                <w:rFonts w:ascii="Times New Roman" w:hAnsi="Times New Roman"/>
                <w:bCs/>
                <w:sz w:val="20"/>
                <w:szCs w:val="20"/>
              </w:rPr>
              <w:t>Дело C-561/18</w:t>
            </w:r>
          </w:p>
        </w:tc>
        <w:tc>
          <w:tcPr>
            <w:tcW w:w="1382" w:type="dxa"/>
          </w:tcPr>
          <w:p w14:paraId="31488C4D" w14:textId="77777777" w:rsidR="00C3264D" w:rsidRDefault="00D3027D">
            <w:pPr>
              <w:rPr>
                <w:rFonts w:ascii="Times New Roman" w:hAnsi="Times New Roman"/>
                <w:sz w:val="20"/>
                <w:szCs w:val="20"/>
              </w:rPr>
            </w:pPr>
            <w:r>
              <w:rPr>
                <w:rFonts w:ascii="Times New Roman" w:hAnsi="Times New Roman"/>
                <w:sz w:val="20"/>
                <w:szCs w:val="20"/>
              </w:rPr>
              <w:t>Регламент (ЕС) № 601/2012 на Комисията</w:t>
            </w:r>
          </w:p>
        </w:tc>
        <w:tc>
          <w:tcPr>
            <w:tcW w:w="1382" w:type="dxa"/>
          </w:tcPr>
          <w:p w14:paraId="473B34DF" w14:textId="77777777" w:rsidR="00C3264D" w:rsidRDefault="00D3027D">
            <w:pPr>
              <w:rPr>
                <w:rFonts w:ascii="Times New Roman" w:hAnsi="Times New Roman"/>
                <w:sz w:val="20"/>
                <w:szCs w:val="20"/>
              </w:rPr>
            </w:pPr>
            <w:r>
              <w:rPr>
                <w:rFonts w:ascii="Times New Roman" w:hAnsi="Times New Roman"/>
                <w:sz w:val="20"/>
                <w:szCs w:val="20"/>
              </w:rPr>
              <w:t>Solvay Chemicals GmbH/Германия</w:t>
            </w:r>
          </w:p>
        </w:tc>
        <w:tc>
          <w:tcPr>
            <w:tcW w:w="2640" w:type="dxa"/>
          </w:tcPr>
          <w:p w14:paraId="4568331E" w14:textId="77777777" w:rsidR="00C3264D" w:rsidRDefault="00D3027D">
            <w:pPr>
              <w:rPr>
                <w:rFonts w:ascii="Times New Roman" w:hAnsi="Times New Roman"/>
                <w:bCs/>
                <w:sz w:val="20"/>
                <w:szCs w:val="20"/>
              </w:rPr>
            </w:pPr>
            <w:r>
              <w:rPr>
                <w:rFonts w:ascii="Times New Roman" w:hAnsi="Times New Roman"/>
                <w:bCs/>
                <w:sz w:val="20"/>
                <w:szCs w:val="20"/>
              </w:rPr>
              <w:t xml:space="preserve"> – Невалиден ли е Регламент (ЕС) 601/2012 и нарушава ли целите на Директива 2003/87/ЕО като предвижда, че </w:t>
            </w:r>
            <w:r>
              <w:rPr>
                <w:rFonts w:ascii="Times New Roman" w:hAnsi="Times New Roman"/>
                <w:color w:val="222222"/>
                <w:sz w:val="20"/>
                <w:szCs w:val="20"/>
              </w:rPr>
              <w:t>CO</w:t>
            </w:r>
            <w:r>
              <w:rPr>
                <w:rFonts w:ascii="Times New Roman" w:hAnsi="Times New Roman"/>
                <w:color w:val="222222"/>
                <w:sz w:val="20"/>
                <w:szCs w:val="20"/>
                <w:vertAlign w:val="subscript"/>
              </w:rPr>
              <w:t>2</w:t>
            </w:r>
            <w:r>
              <w:rPr>
                <w:rFonts w:ascii="Times New Roman" w:hAnsi="Times New Roman"/>
                <w:bCs/>
                <w:sz w:val="20"/>
                <w:szCs w:val="20"/>
              </w:rPr>
              <w:t>, който не се подава по смисъла на член 49, параграф 1, първа алинея, се отделя от инсталациите, които произвеждат</w:t>
            </w:r>
            <w:r>
              <w:rPr>
                <w:rFonts w:ascii="Verdana" w:hAnsi="Verdana"/>
                <w:color w:val="333333"/>
                <w:sz w:val="18"/>
                <w:szCs w:val="18"/>
              </w:rPr>
              <w:t xml:space="preserve"> </w:t>
            </w:r>
            <w:r>
              <w:rPr>
                <w:rFonts w:ascii="Times New Roman" w:hAnsi="Times New Roman"/>
                <w:color w:val="222222"/>
                <w:sz w:val="20"/>
                <w:szCs w:val="20"/>
              </w:rPr>
              <w:t>CO</w:t>
            </w:r>
            <w:r>
              <w:rPr>
                <w:rFonts w:ascii="Times New Roman" w:hAnsi="Times New Roman"/>
                <w:color w:val="222222"/>
                <w:sz w:val="20"/>
                <w:szCs w:val="20"/>
                <w:vertAlign w:val="subscript"/>
              </w:rPr>
              <w:t>2</w:t>
            </w:r>
            <w:r>
              <w:rPr>
                <w:rFonts w:ascii="Times New Roman" w:hAnsi="Times New Roman"/>
                <w:bCs/>
                <w:sz w:val="20"/>
                <w:szCs w:val="20"/>
              </w:rPr>
              <w:t>,независимо от това дали е освободен в атмосферата, или не?</w:t>
            </w:r>
          </w:p>
          <w:p w14:paraId="497DD326" w14:textId="77777777" w:rsidR="00C3264D" w:rsidRDefault="00D3027D">
            <w:pPr>
              <w:rPr>
                <w:rFonts w:ascii="Times New Roman" w:hAnsi="Times New Roman"/>
                <w:bCs/>
                <w:sz w:val="20"/>
                <w:szCs w:val="20"/>
              </w:rPr>
            </w:pPr>
            <w:r>
              <w:rPr>
                <w:rFonts w:ascii="Times New Roman" w:hAnsi="Times New Roman"/>
                <w:sz w:val="20"/>
                <w:szCs w:val="20"/>
              </w:rPr>
              <w:t>-</w:t>
            </w:r>
            <w:r>
              <w:rPr>
                <w:rFonts w:ascii="Times New Roman" w:hAnsi="Times New Roman"/>
                <w:color w:val="333333"/>
                <w:sz w:val="20"/>
                <w:szCs w:val="20"/>
              </w:rPr>
              <w:t xml:space="preserve">  Невалиден ли е Регламент (ЕС) 601/2012 и нарушава ли целите на Директива 2003/87/ЕО като предвижда, че подаденият CO</w:t>
            </w:r>
            <w:r>
              <w:rPr>
                <w:rFonts w:ascii="Times New Roman" w:hAnsi="Times New Roman"/>
                <w:color w:val="333333"/>
                <w:sz w:val="20"/>
                <w:szCs w:val="20"/>
                <w:vertAlign w:val="subscript"/>
              </w:rPr>
              <w:t>2</w:t>
            </w:r>
            <w:r>
              <w:rPr>
                <w:rFonts w:ascii="Times New Roman" w:hAnsi="Times New Roman"/>
                <w:color w:val="333333"/>
                <w:sz w:val="20"/>
                <w:szCs w:val="20"/>
              </w:rPr>
              <w:t xml:space="preserve"> от инсталация за производство на калцинирана сода </w:t>
            </w:r>
            <w:r>
              <w:rPr>
                <w:rFonts w:ascii="Times New Roman" w:hAnsi="Times New Roman"/>
                <w:sz w:val="20"/>
                <w:szCs w:val="20"/>
              </w:rPr>
              <w:t>към друга инсталация с цел производство на калциево карбонатен преципитат (PCC)</w:t>
            </w:r>
            <w:r>
              <w:rPr>
                <w:rFonts w:ascii="Times New Roman" w:hAnsi="Times New Roman"/>
                <w:color w:val="333333"/>
                <w:sz w:val="20"/>
                <w:szCs w:val="20"/>
              </w:rPr>
              <w:t xml:space="preserve"> трябва да бъде систематично включван в емисиите на тази инсталация?</w:t>
            </w:r>
          </w:p>
        </w:tc>
        <w:tc>
          <w:tcPr>
            <w:tcW w:w="753" w:type="dxa"/>
          </w:tcPr>
          <w:p w14:paraId="7B1A3D0E" w14:textId="77777777" w:rsidR="00C3264D" w:rsidRDefault="00D3027D">
            <w:pPr>
              <w:rPr>
                <w:rFonts w:ascii="Times New Roman" w:hAnsi="Times New Roman"/>
                <w:bCs/>
                <w:sz w:val="20"/>
                <w:szCs w:val="20"/>
              </w:rPr>
            </w:pPr>
            <w:r>
              <w:rPr>
                <w:rFonts w:ascii="Times New Roman" w:hAnsi="Times New Roman"/>
                <w:bCs/>
                <w:sz w:val="20"/>
                <w:szCs w:val="20"/>
              </w:rPr>
              <w:t>6.2.2019 г.</w:t>
            </w:r>
          </w:p>
        </w:tc>
        <w:tc>
          <w:tcPr>
            <w:tcW w:w="2403" w:type="dxa"/>
          </w:tcPr>
          <w:p w14:paraId="38A543A3" w14:textId="77777777" w:rsidR="00C3264D" w:rsidRDefault="00D3027D">
            <w:pPr>
              <w:rPr>
                <w:rFonts w:ascii="Times New Roman" w:hAnsi="Times New Roman"/>
                <w:bCs/>
                <w:sz w:val="20"/>
                <w:szCs w:val="20"/>
              </w:rPr>
            </w:pPr>
            <w:r>
              <w:rPr>
                <w:rFonts w:ascii="Times New Roman" w:hAnsi="Times New Roman"/>
                <w:bCs/>
                <w:sz w:val="20"/>
                <w:szCs w:val="20"/>
              </w:rPr>
              <w:t>Съдът обяви разпоредбите на член 49, параграф 1, втора алинея и точка 20, част Б от приложение IV към Регламент (ЕС) 601/2012 за невалидни, доколкото систематично включват подадения CO</w:t>
            </w:r>
            <w:r>
              <w:rPr>
                <w:rFonts w:ascii="Times New Roman" w:hAnsi="Times New Roman"/>
                <w:bCs/>
                <w:sz w:val="20"/>
                <w:szCs w:val="20"/>
                <w:vertAlign w:val="subscript"/>
              </w:rPr>
              <w:t>2</w:t>
            </w:r>
            <w:r>
              <w:rPr>
                <w:rFonts w:ascii="Times New Roman" w:hAnsi="Times New Roman"/>
                <w:bCs/>
                <w:sz w:val="20"/>
                <w:szCs w:val="20"/>
              </w:rPr>
              <w:t xml:space="preserve"> към друга инсталация за производство на калциево карбонатен преципитат (PCC) в емисиите на инсталацията за производство на калцинирана сода, независимо от това дали този CO</w:t>
            </w:r>
            <w:r>
              <w:rPr>
                <w:rFonts w:ascii="Times New Roman" w:hAnsi="Times New Roman"/>
                <w:bCs/>
                <w:sz w:val="20"/>
                <w:szCs w:val="20"/>
                <w:vertAlign w:val="subscript"/>
              </w:rPr>
              <w:t>2</w:t>
            </w:r>
            <w:r>
              <w:rPr>
                <w:rFonts w:ascii="Times New Roman" w:hAnsi="Times New Roman"/>
                <w:bCs/>
                <w:sz w:val="20"/>
                <w:szCs w:val="20"/>
              </w:rPr>
              <w:t xml:space="preserve"> е освободен в атмосферата, или не. </w:t>
            </w:r>
          </w:p>
        </w:tc>
      </w:tr>
    </w:tbl>
    <w:p w14:paraId="79B28CE0" w14:textId="77777777" w:rsidR="00C3264D" w:rsidRDefault="00C3264D">
      <w:pPr>
        <w:rPr>
          <w:rFonts w:ascii="Times New Roman" w:hAnsi="Times New Roman"/>
          <w:b/>
        </w:rPr>
      </w:pPr>
    </w:p>
    <w:p w14:paraId="51D36496" w14:textId="77777777" w:rsidR="00C3264D" w:rsidRDefault="003A348D">
      <w:pPr>
        <w:rPr>
          <w:rFonts w:ascii="Times New Roman" w:hAnsi="Times New Roman"/>
          <w:b/>
        </w:rPr>
      </w:pPr>
      <w:r>
        <w:rPr>
          <w:rFonts w:ascii="Times New Roman" w:hAnsi="Times New Roman"/>
          <w:b/>
        </w:rPr>
        <w:t>Допълнение 7</w:t>
      </w:r>
    </w:p>
    <w:p w14:paraId="35C6A808" w14:textId="77777777" w:rsidR="00C3264D" w:rsidRDefault="003A348D">
      <w:pPr>
        <w:rPr>
          <w:rFonts w:ascii="Times New Roman" w:hAnsi="Times New Roman"/>
          <w:b/>
          <w:sz w:val="20"/>
          <w:szCs w:val="20"/>
        </w:rPr>
      </w:pPr>
      <w:r>
        <w:rPr>
          <w:rFonts w:ascii="Times New Roman" w:hAnsi="Times New Roman"/>
          <w:b/>
          <w:sz w:val="20"/>
          <w:szCs w:val="20"/>
        </w:rPr>
        <w:t xml:space="preserve">Таблица 7.1: Актуално състояние на изпълнението на фаза 4 на СТЕ на ЕС </w:t>
      </w:r>
    </w:p>
    <w:tbl>
      <w:tblPr>
        <w:tblStyle w:val="TableGrid"/>
        <w:tblW w:w="969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030"/>
        <w:gridCol w:w="3808"/>
        <w:gridCol w:w="1862"/>
        <w:gridCol w:w="1994"/>
      </w:tblGrid>
      <w:tr w:rsidR="00C3264D" w14:paraId="67112C11" w14:textId="77777777" w:rsidTr="00601A28">
        <w:trPr>
          <w:trHeight w:val="230"/>
        </w:trPr>
        <w:tc>
          <w:tcPr>
            <w:tcW w:w="2030" w:type="dxa"/>
            <w:vMerge w:val="restart"/>
            <w:vAlign w:val="center"/>
          </w:tcPr>
          <w:p w14:paraId="21291712" w14:textId="77777777" w:rsidR="00C3264D" w:rsidRDefault="003A348D">
            <w:pPr>
              <w:jc w:val="center"/>
              <w:rPr>
                <w:rFonts w:ascii="Times New Roman" w:hAnsi="Times New Roman"/>
                <w:b/>
              </w:rPr>
            </w:pPr>
            <w:r>
              <w:rPr>
                <w:rFonts w:ascii="Times New Roman" w:hAnsi="Times New Roman"/>
                <w:b/>
              </w:rPr>
              <w:t>Мярка</w:t>
            </w:r>
          </w:p>
        </w:tc>
        <w:tc>
          <w:tcPr>
            <w:tcW w:w="3808" w:type="dxa"/>
            <w:vMerge w:val="restart"/>
            <w:vAlign w:val="center"/>
          </w:tcPr>
          <w:p w14:paraId="4066D10D" w14:textId="77777777" w:rsidR="00C3264D" w:rsidRDefault="003A348D">
            <w:pPr>
              <w:jc w:val="center"/>
              <w:rPr>
                <w:rFonts w:ascii="Times New Roman" w:hAnsi="Times New Roman"/>
                <w:b/>
              </w:rPr>
            </w:pPr>
            <w:r>
              <w:rPr>
                <w:rFonts w:ascii="Times New Roman" w:hAnsi="Times New Roman"/>
                <w:b/>
              </w:rPr>
              <w:t>Цел</w:t>
            </w:r>
          </w:p>
        </w:tc>
        <w:tc>
          <w:tcPr>
            <w:tcW w:w="1862" w:type="dxa"/>
            <w:vMerge w:val="restart"/>
            <w:vAlign w:val="center"/>
          </w:tcPr>
          <w:p w14:paraId="436EAC73" w14:textId="77777777" w:rsidR="00C3264D" w:rsidRDefault="003A348D">
            <w:pPr>
              <w:jc w:val="center"/>
              <w:rPr>
                <w:rFonts w:ascii="Times New Roman" w:hAnsi="Times New Roman"/>
                <w:b/>
              </w:rPr>
            </w:pPr>
            <w:r>
              <w:rPr>
                <w:rFonts w:ascii="Times New Roman" w:hAnsi="Times New Roman"/>
                <w:b/>
              </w:rPr>
              <w:t>Вид законодателен акт</w:t>
            </w:r>
          </w:p>
        </w:tc>
        <w:tc>
          <w:tcPr>
            <w:tcW w:w="1994" w:type="dxa"/>
            <w:vMerge w:val="restart"/>
            <w:vAlign w:val="center"/>
          </w:tcPr>
          <w:p w14:paraId="07DA919F" w14:textId="77777777" w:rsidR="00C3264D" w:rsidRDefault="003A348D">
            <w:pPr>
              <w:jc w:val="center"/>
              <w:rPr>
                <w:rFonts w:ascii="Times New Roman" w:hAnsi="Times New Roman"/>
                <w:b/>
              </w:rPr>
            </w:pPr>
            <w:r>
              <w:rPr>
                <w:rFonts w:ascii="Times New Roman" w:hAnsi="Times New Roman"/>
                <w:b/>
              </w:rPr>
              <w:t>Предвидено приемане</w:t>
            </w:r>
          </w:p>
        </w:tc>
      </w:tr>
      <w:tr w:rsidR="00C3264D" w14:paraId="1591A0AE" w14:textId="77777777" w:rsidTr="00601A28">
        <w:trPr>
          <w:trHeight w:val="230"/>
        </w:trPr>
        <w:tc>
          <w:tcPr>
            <w:tcW w:w="2030" w:type="dxa"/>
            <w:vMerge/>
            <w:vAlign w:val="center"/>
          </w:tcPr>
          <w:p w14:paraId="18D487EE" w14:textId="77777777" w:rsidR="00C3264D" w:rsidRDefault="00C3264D">
            <w:pPr>
              <w:rPr>
                <w:rFonts w:ascii="Times New Roman" w:hAnsi="Times New Roman"/>
                <w:b/>
              </w:rPr>
            </w:pPr>
          </w:p>
        </w:tc>
        <w:tc>
          <w:tcPr>
            <w:tcW w:w="3808" w:type="dxa"/>
            <w:vMerge/>
          </w:tcPr>
          <w:p w14:paraId="2C6F83B0" w14:textId="77777777" w:rsidR="00C3264D" w:rsidRDefault="00C3264D">
            <w:pPr>
              <w:rPr>
                <w:rFonts w:ascii="Times New Roman" w:hAnsi="Times New Roman"/>
                <w:b/>
              </w:rPr>
            </w:pPr>
          </w:p>
        </w:tc>
        <w:tc>
          <w:tcPr>
            <w:tcW w:w="1862" w:type="dxa"/>
            <w:vMerge/>
            <w:vAlign w:val="center"/>
          </w:tcPr>
          <w:p w14:paraId="4D1BC2B1" w14:textId="77777777" w:rsidR="00C3264D" w:rsidRDefault="00C3264D">
            <w:pPr>
              <w:rPr>
                <w:rFonts w:ascii="Times New Roman" w:hAnsi="Times New Roman"/>
                <w:b/>
              </w:rPr>
            </w:pPr>
          </w:p>
        </w:tc>
        <w:tc>
          <w:tcPr>
            <w:tcW w:w="1994" w:type="dxa"/>
            <w:vMerge/>
            <w:vAlign w:val="center"/>
          </w:tcPr>
          <w:p w14:paraId="3D08CC47" w14:textId="77777777" w:rsidR="00C3264D" w:rsidRDefault="00C3264D">
            <w:pPr>
              <w:rPr>
                <w:rFonts w:ascii="Times New Roman" w:hAnsi="Times New Roman"/>
                <w:b/>
              </w:rPr>
            </w:pPr>
          </w:p>
        </w:tc>
      </w:tr>
      <w:tr w:rsidR="00C3264D" w14:paraId="65A2B942" w14:textId="77777777" w:rsidTr="00601A28">
        <w:trPr>
          <w:trHeight w:val="247"/>
        </w:trPr>
        <w:tc>
          <w:tcPr>
            <w:tcW w:w="2030" w:type="dxa"/>
            <w:shd w:val="clear" w:color="auto" w:fill="CCFFCC"/>
            <w:vAlign w:val="center"/>
          </w:tcPr>
          <w:p w14:paraId="0ECDE15F" w14:textId="77777777" w:rsidR="00C3264D" w:rsidRDefault="003A348D">
            <w:pPr>
              <w:rPr>
                <w:rFonts w:ascii="Times New Roman" w:hAnsi="Times New Roman"/>
              </w:rPr>
            </w:pPr>
            <w:r>
              <w:rPr>
                <w:rFonts w:ascii="Times New Roman" w:hAnsi="Times New Roman"/>
              </w:rPr>
              <w:t>Списък за изместване на въглеродни емисии за периода 2021—2030 г.</w:t>
            </w:r>
          </w:p>
        </w:tc>
        <w:tc>
          <w:tcPr>
            <w:tcW w:w="3808" w:type="dxa"/>
            <w:shd w:val="clear" w:color="auto" w:fill="CCFFCC"/>
            <w:vAlign w:val="center"/>
          </w:tcPr>
          <w:p w14:paraId="0B4BA8CC" w14:textId="77777777" w:rsidR="00C3264D" w:rsidRDefault="003A348D">
            <w:pPr>
              <w:rPr>
                <w:rFonts w:ascii="Times New Roman" w:hAnsi="Times New Roman"/>
              </w:rPr>
            </w:pPr>
            <w:r>
              <w:rPr>
                <w:rFonts w:ascii="Times New Roman" w:hAnsi="Times New Roman"/>
              </w:rPr>
              <w:t>Създаване на нов списък за изместване на въглеродни емисии за фаза 4 на СТЕ на ЕС въз основа на критериите за определяне на секторите, изложени на значителен риск от изместване на въглеродни емисии</w:t>
            </w:r>
          </w:p>
        </w:tc>
        <w:tc>
          <w:tcPr>
            <w:tcW w:w="1862" w:type="dxa"/>
            <w:shd w:val="clear" w:color="auto" w:fill="CCFFCC"/>
            <w:vAlign w:val="center"/>
          </w:tcPr>
          <w:p w14:paraId="70973ED2" w14:textId="77777777" w:rsidR="00C3264D" w:rsidRDefault="000E4949">
            <w:pPr>
              <w:jc w:val="center"/>
              <w:rPr>
                <w:rFonts w:ascii="Times New Roman" w:hAnsi="Times New Roman"/>
              </w:rPr>
            </w:pPr>
            <w:r>
              <w:rPr>
                <w:rFonts w:ascii="Times New Roman" w:hAnsi="Times New Roman"/>
              </w:rPr>
              <w:t>Делегирано решение на Комисията</w:t>
            </w:r>
          </w:p>
        </w:tc>
        <w:tc>
          <w:tcPr>
            <w:tcW w:w="1994" w:type="dxa"/>
            <w:shd w:val="clear" w:color="auto" w:fill="CCFFCC"/>
            <w:vAlign w:val="center"/>
          </w:tcPr>
          <w:p w14:paraId="7551FEA3" w14:textId="77777777" w:rsidR="00C3264D" w:rsidRDefault="00D4406F">
            <w:pPr>
              <w:jc w:val="center"/>
              <w:rPr>
                <w:rFonts w:ascii="Times New Roman" w:hAnsi="Times New Roman"/>
              </w:rPr>
            </w:pPr>
            <w:r>
              <w:rPr>
                <w:rFonts w:ascii="Times New Roman" w:hAnsi="Times New Roman"/>
              </w:rPr>
              <w:t>Прието на 15 февруари 2019 г. и публикувано в Официален вестник на 8 май 2019 г.</w:t>
            </w:r>
            <w:r>
              <w:rPr>
                <w:rStyle w:val="FootnoteReference"/>
                <w:rFonts w:ascii="Times New Roman" w:hAnsi="Times New Roman"/>
              </w:rPr>
              <w:footnoteReference w:id="81"/>
            </w:r>
            <w:r>
              <w:rPr>
                <w:rFonts w:ascii="Times New Roman" w:hAnsi="Times New Roman"/>
              </w:rPr>
              <w:t>.</w:t>
            </w:r>
          </w:p>
        </w:tc>
      </w:tr>
      <w:tr w:rsidR="00C3264D" w14:paraId="2441DD23" w14:textId="77777777" w:rsidTr="00601A28">
        <w:trPr>
          <w:trHeight w:val="247"/>
        </w:trPr>
        <w:tc>
          <w:tcPr>
            <w:tcW w:w="2030" w:type="dxa"/>
            <w:shd w:val="clear" w:color="auto" w:fill="CCFFCC"/>
            <w:vAlign w:val="center"/>
          </w:tcPr>
          <w:p w14:paraId="2EAA1788" w14:textId="77777777" w:rsidR="00C3264D" w:rsidRDefault="003A348D">
            <w:pPr>
              <w:rPr>
                <w:rFonts w:ascii="Times New Roman" w:hAnsi="Times New Roman"/>
              </w:rPr>
            </w:pPr>
            <w:r>
              <w:rPr>
                <w:rFonts w:ascii="Times New Roman" w:hAnsi="Times New Roman"/>
              </w:rPr>
              <w:t>Преразглеждане на правилата за безплатно разпределяне на квоти за периода 2021—2030 г.</w:t>
            </w:r>
          </w:p>
        </w:tc>
        <w:tc>
          <w:tcPr>
            <w:tcW w:w="3808" w:type="dxa"/>
            <w:shd w:val="clear" w:color="auto" w:fill="CCFFCC"/>
            <w:vAlign w:val="center"/>
          </w:tcPr>
          <w:p w14:paraId="4E558E3A" w14:textId="77777777" w:rsidR="00C3264D" w:rsidRDefault="003A348D">
            <w:pPr>
              <w:rPr>
                <w:rFonts w:ascii="Times New Roman" w:hAnsi="Times New Roman"/>
              </w:rPr>
            </w:pPr>
            <w:r>
              <w:rPr>
                <w:rFonts w:ascii="Times New Roman" w:hAnsi="Times New Roman"/>
              </w:rPr>
              <w:t>Преразглеждане на Решение 2011/278/ЕС на Комисията за определяне на валидни за целия Европейски съюз преходни правила за хармонизираното безплатно разпределяне на квоти, така че то да се адаптира към новата правна уредба, определена за фаза 4</w:t>
            </w:r>
          </w:p>
        </w:tc>
        <w:tc>
          <w:tcPr>
            <w:tcW w:w="1862" w:type="dxa"/>
            <w:shd w:val="clear" w:color="auto" w:fill="CCFFCC"/>
            <w:vAlign w:val="center"/>
          </w:tcPr>
          <w:p w14:paraId="433E2E66" w14:textId="77777777" w:rsidR="00C3264D" w:rsidRDefault="000E4949">
            <w:pPr>
              <w:jc w:val="center"/>
              <w:rPr>
                <w:rFonts w:ascii="Times New Roman" w:hAnsi="Times New Roman"/>
              </w:rPr>
            </w:pPr>
            <w:r>
              <w:rPr>
                <w:rFonts w:ascii="Times New Roman" w:hAnsi="Times New Roman"/>
              </w:rPr>
              <w:t>Делегиран регламент на Комисията</w:t>
            </w:r>
          </w:p>
        </w:tc>
        <w:tc>
          <w:tcPr>
            <w:tcW w:w="1994" w:type="dxa"/>
            <w:shd w:val="clear" w:color="auto" w:fill="CCFFCC"/>
            <w:vAlign w:val="center"/>
          </w:tcPr>
          <w:p w14:paraId="4386C50A" w14:textId="77777777" w:rsidR="00C3264D" w:rsidRDefault="00D4406F">
            <w:pPr>
              <w:jc w:val="center"/>
              <w:rPr>
                <w:rFonts w:ascii="Times New Roman" w:hAnsi="Times New Roman"/>
              </w:rPr>
            </w:pPr>
            <w:r>
              <w:rPr>
                <w:rFonts w:ascii="Times New Roman" w:hAnsi="Times New Roman"/>
              </w:rPr>
              <w:t>Приет на 19 декември 2018 г. и публикуван в Официален вестник на 27 февруари 2019 г.</w:t>
            </w:r>
            <w:r>
              <w:rPr>
                <w:rStyle w:val="FootnoteReference"/>
                <w:rFonts w:ascii="Times New Roman" w:hAnsi="Times New Roman"/>
              </w:rPr>
              <w:footnoteReference w:id="82"/>
            </w:r>
          </w:p>
        </w:tc>
      </w:tr>
      <w:tr w:rsidR="00C3264D" w14:paraId="16B65DAE" w14:textId="77777777" w:rsidTr="00601A28">
        <w:trPr>
          <w:trHeight w:val="247"/>
        </w:trPr>
        <w:tc>
          <w:tcPr>
            <w:tcW w:w="2030" w:type="dxa"/>
            <w:shd w:val="clear" w:color="auto" w:fill="FFFFCC"/>
            <w:vAlign w:val="center"/>
          </w:tcPr>
          <w:p w14:paraId="0DCD4CA7" w14:textId="77777777" w:rsidR="00C3264D" w:rsidRDefault="003A348D">
            <w:pPr>
              <w:rPr>
                <w:rFonts w:ascii="Times New Roman" w:hAnsi="Times New Roman"/>
              </w:rPr>
            </w:pPr>
            <w:r>
              <w:rPr>
                <w:rFonts w:ascii="Times New Roman" w:hAnsi="Times New Roman"/>
              </w:rPr>
              <w:t>Корекция на безплатно предоставяните квоти поради изменения в производството</w:t>
            </w:r>
          </w:p>
        </w:tc>
        <w:tc>
          <w:tcPr>
            <w:tcW w:w="3808" w:type="dxa"/>
            <w:shd w:val="clear" w:color="auto" w:fill="FFFFCC"/>
            <w:vAlign w:val="center"/>
          </w:tcPr>
          <w:p w14:paraId="18025A58" w14:textId="77777777" w:rsidR="00C3264D" w:rsidRDefault="003A348D">
            <w:pPr>
              <w:rPr>
                <w:rFonts w:ascii="Times New Roman" w:hAnsi="Times New Roman"/>
              </w:rPr>
            </w:pPr>
            <w:r>
              <w:rPr>
                <w:rFonts w:ascii="Times New Roman" w:hAnsi="Times New Roman"/>
              </w:rPr>
              <w:t>Определяне на реда за извършване на корекцията на равнището на безплатно разпределяните квоти за инсталациите, въз основа на променящите се равнища на функционирането с повече от 15 % нагоре или надолу, средно за период от две години</w:t>
            </w:r>
          </w:p>
        </w:tc>
        <w:tc>
          <w:tcPr>
            <w:tcW w:w="1862" w:type="dxa"/>
            <w:shd w:val="clear" w:color="auto" w:fill="FFFFCC"/>
            <w:vAlign w:val="center"/>
          </w:tcPr>
          <w:p w14:paraId="2D5093DF" w14:textId="77777777" w:rsidR="00C3264D" w:rsidRDefault="00D4406F">
            <w:pPr>
              <w:jc w:val="center"/>
              <w:rPr>
                <w:rFonts w:ascii="Times New Roman" w:hAnsi="Times New Roman"/>
              </w:rPr>
            </w:pPr>
            <w:r>
              <w:rPr>
                <w:rFonts w:ascii="Times New Roman" w:hAnsi="Times New Roman"/>
              </w:rPr>
              <w:t>Регламент за изпълнение на Комисията</w:t>
            </w:r>
          </w:p>
        </w:tc>
        <w:tc>
          <w:tcPr>
            <w:tcW w:w="1994" w:type="dxa"/>
            <w:shd w:val="clear" w:color="auto" w:fill="FFFFCC"/>
            <w:vAlign w:val="center"/>
          </w:tcPr>
          <w:p w14:paraId="0745AACE" w14:textId="77777777" w:rsidR="00C3264D" w:rsidRDefault="003A348D">
            <w:pPr>
              <w:jc w:val="center"/>
              <w:rPr>
                <w:rFonts w:ascii="Times New Roman" w:hAnsi="Times New Roman"/>
              </w:rPr>
            </w:pPr>
            <w:r>
              <w:rPr>
                <w:rFonts w:ascii="Times New Roman" w:hAnsi="Times New Roman"/>
              </w:rPr>
              <w:t>2019 г.</w:t>
            </w:r>
          </w:p>
        </w:tc>
      </w:tr>
      <w:tr w:rsidR="00C3264D" w14:paraId="1EEE4228" w14:textId="77777777" w:rsidTr="00601A28">
        <w:trPr>
          <w:trHeight w:val="247"/>
        </w:trPr>
        <w:tc>
          <w:tcPr>
            <w:tcW w:w="2030" w:type="dxa"/>
            <w:vAlign w:val="center"/>
          </w:tcPr>
          <w:p w14:paraId="6D34A291" w14:textId="77777777" w:rsidR="00C3264D" w:rsidRDefault="003A348D">
            <w:pPr>
              <w:rPr>
                <w:rFonts w:ascii="Times New Roman" w:hAnsi="Times New Roman"/>
              </w:rPr>
            </w:pPr>
            <w:r>
              <w:rPr>
                <w:rFonts w:ascii="Times New Roman" w:hAnsi="Times New Roman"/>
              </w:rPr>
              <w:t>Актуализиране на стойностите на показателите за безплатно предоставяне на квоти за периода 2021—2025 г.</w:t>
            </w:r>
          </w:p>
        </w:tc>
        <w:tc>
          <w:tcPr>
            <w:tcW w:w="3808" w:type="dxa"/>
            <w:vAlign w:val="center"/>
          </w:tcPr>
          <w:p w14:paraId="174D8406" w14:textId="77777777" w:rsidR="00C3264D" w:rsidRDefault="003A348D">
            <w:pPr>
              <w:rPr>
                <w:rFonts w:ascii="Times New Roman" w:hAnsi="Times New Roman"/>
              </w:rPr>
            </w:pPr>
            <w:r>
              <w:rPr>
                <w:rFonts w:ascii="Times New Roman" w:hAnsi="Times New Roman"/>
              </w:rPr>
              <w:t>Определяне на актуализирани показатели за периода 2021—2025 г. въз основа на данните, предоставени от държавите членки до 30 септември 2019 г. за годините 2016 г. и 2017 г.</w:t>
            </w:r>
          </w:p>
        </w:tc>
        <w:tc>
          <w:tcPr>
            <w:tcW w:w="1862" w:type="dxa"/>
            <w:vAlign w:val="center"/>
          </w:tcPr>
          <w:p w14:paraId="13CE8AA9" w14:textId="77777777" w:rsidR="00C3264D" w:rsidRDefault="003A348D">
            <w:pPr>
              <w:jc w:val="center"/>
              <w:rPr>
                <w:rFonts w:ascii="Times New Roman" w:hAnsi="Times New Roman"/>
              </w:rPr>
            </w:pPr>
            <w:r>
              <w:rPr>
                <w:rFonts w:ascii="Times New Roman" w:hAnsi="Times New Roman"/>
              </w:rPr>
              <w:t>Акт за изпълнение</w:t>
            </w:r>
          </w:p>
        </w:tc>
        <w:tc>
          <w:tcPr>
            <w:tcW w:w="1994" w:type="dxa"/>
            <w:vAlign w:val="center"/>
          </w:tcPr>
          <w:p w14:paraId="75AA3CE0" w14:textId="77777777" w:rsidR="00C3264D" w:rsidRDefault="003A348D">
            <w:pPr>
              <w:jc w:val="center"/>
              <w:rPr>
                <w:rFonts w:ascii="Times New Roman" w:hAnsi="Times New Roman"/>
              </w:rPr>
            </w:pPr>
            <w:r>
              <w:rPr>
                <w:rFonts w:ascii="Times New Roman" w:hAnsi="Times New Roman"/>
              </w:rPr>
              <w:t>2020 г.</w:t>
            </w:r>
          </w:p>
        </w:tc>
      </w:tr>
      <w:tr w:rsidR="00C3264D" w14:paraId="3FC676C8" w14:textId="77777777" w:rsidTr="00601A28">
        <w:trPr>
          <w:trHeight w:val="259"/>
        </w:trPr>
        <w:tc>
          <w:tcPr>
            <w:tcW w:w="2030" w:type="dxa"/>
            <w:shd w:val="clear" w:color="auto" w:fill="CCFFCC"/>
            <w:vAlign w:val="center"/>
          </w:tcPr>
          <w:p w14:paraId="356CB7D9" w14:textId="77777777" w:rsidR="00C3264D" w:rsidRDefault="003A348D">
            <w:pPr>
              <w:rPr>
                <w:rFonts w:ascii="Times New Roman" w:hAnsi="Times New Roman"/>
              </w:rPr>
            </w:pPr>
            <w:r>
              <w:rPr>
                <w:rFonts w:ascii="Times New Roman" w:hAnsi="Times New Roman"/>
              </w:rPr>
              <w:t>Създаване на Фонда за иновации</w:t>
            </w:r>
          </w:p>
        </w:tc>
        <w:tc>
          <w:tcPr>
            <w:tcW w:w="3808" w:type="dxa"/>
            <w:shd w:val="clear" w:color="auto" w:fill="CCFFCC"/>
            <w:vAlign w:val="center"/>
          </w:tcPr>
          <w:p w14:paraId="26D5C5F7" w14:textId="77777777" w:rsidR="00C3264D" w:rsidRDefault="003A348D">
            <w:pPr>
              <w:rPr>
                <w:rFonts w:ascii="Times New Roman" w:hAnsi="Times New Roman"/>
              </w:rPr>
            </w:pPr>
            <w:r>
              <w:rPr>
                <w:rFonts w:ascii="Times New Roman" w:hAnsi="Times New Roman"/>
              </w:rPr>
              <w:t>Определяне на правилата относно функционирането на Фонда за иновации, включително процедурата и критериите за подбор</w:t>
            </w:r>
          </w:p>
        </w:tc>
        <w:tc>
          <w:tcPr>
            <w:tcW w:w="1862" w:type="dxa"/>
            <w:shd w:val="clear" w:color="auto" w:fill="CCFFCC"/>
            <w:vAlign w:val="center"/>
          </w:tcPr>
          <w:p w14:paraId="72186F2B" w14:textId="77777777" w:rsidR="00C3264D" w:rsidRDefault="000E4949">
            <w:pPr>
              <w:jc w:val="center"/>
              <w:rPr>
                <w:rFonts w:ascii="Times New Roman" w:hAnsi="Times New Roman"/>
              </w:rPr>
            </w:pPr>
            <w:r>
              <w:rPr>
                <w:rFonts w:ascii="Times New Roman" w:hAnsi="Times New Roman"/>
              </w:rPr>
              <w:t>Делегиран регламент на Комисията</w:t>
            </w:r>
          </w:p>
        </w:tc>
        <w:tc>
          <w:tcPr>
            <w:tcW w:w="1994" w:type="dxa"/>
            <w:shd w:val="clear" w:color="auto" w:fill="CCFFCC"/>
            <w:vAlign w:val="center"/>
          </w:tcPr>
          <w:p w14:paraId="2E6DA7AD" w14:textId="77777777" w:rsidR="00C3264D" w:rsidRDefault="000E7891">
            <w:pPr>
              <w:jc w:val="center"/>
              <w:rPr>
                <w:rFonts w:ascii="Times New Roman" w:hAnsi="Times New Roman"/>
              </w:rPr>
            </w:pPr>
            <w:r>
              <w:rPr>
                <w:rFonts w:ascii="Times New Roman" w:hAnsi="Times New Roman"/>
              </w:rPr>
              <w:t>Приет на 26 февруари 2019 г. и публикуван в Официален вестник на 28 май 2019 г.</w:t>
            </w:r>
            <w:r>
              <w:rPr>
                <w:rStyle w:val="FootnoteReference"/>
                <w:rFonts w:ascii="Times New Roman" w:hAnsi="Times New Roman"/>
              </w:rPr>
              <w:footnoteReference w:id="83"/>
            </w:r>
          </w:p>
        </w:tc>
      </w:tr>
      <w:tr w:rsidR="00C3264D" w14:paraId="545A3AA7" w14:textId="77777777" w:rsidTr="00601A28">
        <w:trPr>
          <w:trHeight w:val="154"/>
        </w:trPr>
        <w:tc>
          <w:tcPr>
            <w:tcW w:w="2030" w:type="dxa"/>
            <w:shd w:val="clear" w:color="auto" w:fill="FFFFCC"/>
            <w:vAlign w:val="center"/>
          </w:tcPr>
          <w:p w14:paraId="3BC7B5D1" w14:textId="77777777" w:rsidR="00C3264D" w:rsidRDefault="003A348D">
            <w:pPr>
              <w:rPr>
                <w:rFonts w:ascii="Times New Roman" w:hAnsi="Times New Roman"/>
              </w:rPr>
            </w:pPr>
            <w:r>
              <w:rPr>
                <w:rFonts w:ascii="Times New Roman" w:hAnsi="Times New Roman"/>
              </w:rPr>
              <w:t>Създаване на Фонда за модернизация</w:t>
            </w:r>
          </w:p>
        </w:tc>
        <w:tc>
          <w:tcPr>
            <w:tcW w:w="3808" w:type="dxa"/>
            <w:shd w:val="clear" w:color="auto" w:fill="FFFFCC"/>
            <w:vAlign w:val="center"/>
          </w:tcPr>
          <w:p w14:paraId="7796E0A0" w14:textId="77777777" w:rsidR="00C3264D" w:rsidRDefault="003A348D">
            <w:pPr>
              <w:rPr>
                <w:rFonts w:ascii="Times New Roman" w:hAnsi="Times New Roman"/>
              </w:rPr>
            </w:pPr>
            <w:r>
              <w:rPr>
                <w:rFonts w:ascii="Times New Roman" w:hAnsi="Times New Roman"/>
              </w:rPr>
              <w:t>Определяне на правилата относно функционирането на Фонда за модернизация</w:t>
            </w:r>
          </w:p>
        </w:tc>
        <w:tc>
          <w:tcPr>
            <w:tcW w:w="1862" w:type="dxa"/>
            <w:shd w:val="clear" w:color="auto" w:fill="FFFFCC"/>
            <w:vAlign w:val="center"/>
          </w:tcPr>
          <w:p w14:paraId="723441D3" w14:textId="77777777" w:rsidR="00C3264D" w:rsidRDefault="003A348D">
            <w:pPr>
              <w:jc w:val="center"/>
              <w:rPr>
                <w:rFonts w:ascii="Times New Roman" w:hAnsi="Times New Roman"/>
              </w:rPr>
            </w:pPr>
            <w:r>
              <w:rPr>
                <w:rFonts w:ascii="Times New Roman" w:hAnsi="Times New Roman"/>
              </w:rPr>
              <w:t>Акт за изпълнение</w:t>
            </w:r>
          </w:p>
        </w:tc>
        <w:tc>
          <w:tcPr>
            <w:tcW w:w="1994" w:type="dxa"/>
            <w:shd w:val="clear" w:color="auto" w:fill="FFFFCC"/>
            <w:vAlign w:val="center"/>
          </w:tcPr>
          <w:p w14:paraId="59CE247A" w14:textId="77777777" w:rsidR="00C3264D" w:rsidRDefault="003A348D">
            <w:pPr>
              <w:jc w:val="center"/>
              <w:rPr>
                <w:rFonts w:ascii="Times New Roman" w:hAnsi="Times New Roman"/>
              </w:rPr>
            </w:pPr>
            <w:r>
              <w:rPr>
                <w:rFonts w:ascii="Times New Roman" w:hAnsi="Times New Roman"/>
              </w:rPr>
              <w:t>2020 г.</w:t>
            </w:r>
          </w:p>
        </w:tc>
      </w:tr>
      <w:tr w:rsidR="00C3264D" w14:paraId="657BE359" w14:textId="77777777" w:rsidTr="00601A28">
        <w:trPr>
          <w:trHeight w:val="154"/>
        </w:trPr>
        <w:tc>
          <w:tcPr>
            <w:tcW w:w="2030" w:type="dxa"/>
            <w:shd w:val="clear" w:color="auto" w:fill="CCFFCC"/>
            <w:vAlign w:val="center"/>
          </w:tcPr>
          <w:p w14:paraId="24890CCF" w14:textId="77777777" w:rsidR="00C3264D" w:rsidRDefault="003A348D">
            <w:pPr>
              <w:rPr>
                <w:rFonts w:ascii="Times New Roman" w:hAnsi="Times New Roman"/>
              </w:rPr>
            </w:pPr>
            <w:r>
              <w:rPr>
                <w:rFonts w:ascii="Times New Roman" w:hAnsi="Times New Roman"/>
              </w:rPr>
              <w:t>Преразглеждане на Регламент (ЕС) № 389/2013 (Регламента за Регистъра)</w:t>
            </w:r>
          </w:p>
        </w:tc>
        <w:tc>
          <w:tcPr>
            <w:tcW w:w="3808" w:type="dxa"/>
            <w:shd w:val="clear" w:color="auto" w:fill="CCFFCC"/>
            <w:vAlign w:val="center"/>
          </w:tcPr>
          <w:p w14:paraId="38BD2981" w14:textId="77777777" w:rsidR="00C3264D" w:rsidRDefault="003A348D">
            <w:pPr>
              <w:rPr>
                <w:rFonts w:ascii="Times New Roman" w:hAnsi="Times New Roman"/>
              </w:rPr>
            </w:pPr>
            <w:r>
              <w:rPr>
                <w:rFonts w:ascii="Times New Roman" w:hAnsi="Times New Roman"/>
              </w:rPr>
              <w:t>Определяне на изискванията за Регистъра на ЕС за фаза 4, под формата на стандартизирани електронни бази данни, съдържащи общи информационни елементи за проследяване на издаването, притежаването, прехвърлянето и отмяната на квоти, и за осигуряване на публичен достъп и на поверителност</w:t>
            </w:r>
          </w:p>
        </w:tc>
        <w:tc>
          <w:tcPr>
            <w:tcW w:w="1862" w:type="dxa"/>
            <w:shd w:val="clear" w:color="auto" w:fill="CCFFCC"/>
            <w:vAlign w:val="center"/>
          </w:tcPr>
          <w:p w14:paraId="4BEE1E91" w14:textId="77777777" w:rsidR="00C3264D" w:rsidRDefault="000E4949">
            <w:pPr>
              <w:jc w:val="center"/>
              <w:rPr>
                <w:rFonts w:ascii="Times New Roman" w:hAnsi="Times New Roman"/>
              </w:rPr>
            </w:pPr>
            <w:r>
              <w:rPr>
                <w:rFonts w:ascii="Times New Roman" w:hAnsi="Times New Roman"/>
              </w:rPr>
              <w:t>Делегиран регламент на Комисията</w:t>
            </w:r>
          </w:p>
        </w:tc>
        <w:tc>
          <w:tcPr>
            <w:tcW w:w="1994" w:type="dxa"/>
            <w:shd w:val="clear" w:color="auto" w:fill="CCFFCC"/>
            <w:vAlign w:val="center"/>
          </w:tcPr>
          <w:p w14:paraId="09177F50" w14:textId="77777777" w:rsidR="00C3264D" w:rsidRDefault="00970C68">
            <w:pPr>
              <w:jc w:val="center"/>
              <w:rPr>
                <w:rFonts w:ascii="Times New Roman" w:hAnsi="Times New Roman"/>
              </w:rPr>
            </w:pPr>
            <w:r>
              <w:rPr>
                <w:rFonts w:ascii="Times New Roman" w:hAnsi="Times New Roman"/>
              </w:rPr>
              <w:t>Приет на 12 март 2019 г. и публикуван в Официален вестник на 02 юли 2019 г.</w:t>
            </w:r>
            <w:r>
              <w:rPr>
                <w:rStyle w:val="FootnoteReference"/>
                <w:rFonts w:ascii="Times New Roman" w:hAnsi="Times New Roman"/>
              </w:rPr>
              <w:footnoteReference w:id="84"/>
            </w:r>
          </w:p>
        </w:tc>
      </w:tr>
      <w:tr w:rsidR="00C3264D" w14:paraId="3E6D4906" w14:textId="77777777" w:rsidTr="00601A28">
        <w:trPr>
          <w:trHeight w:val="154"/>
        </w:trPr>
        <w:tc>
          <w:tcPr>
            <w:tcW w:w="2030" w:type="dxa"/>
            <w:shd w:val="clear" w:color="auto" w:fill="CCFFCC"/>
            <w:vAlign w:val="center"/>
          </w:tcPr>
          <w:p w14:paraId="5CCDAB84" w14:textId="77777777" w:rsidR="00C3264D" w:rsidRDefault="003A348D">
            <w:pPr>
              <w:rPr>
                <w:rFonts w:ascii="Times New Roman" w:hAnsi="Times New Roman"/>
              </w:rPr>
            </w:pPr>
            <w:r>
              <w:rPr>
                <w:rFonts w:ascii="Times New Roman" w:hAnsi="Times New Roman"/>
              </w:rPr>
              <w:t>Изменение на Регламент (ЕС) № 1031/2010 (Регламента за тръжната продажба)</w:t>
            </w:r>
          </w:p>
        </w:tc>
        <w:tc>
          <w:tcPr>
            <w:tcW w:w="3808" w:type="dxa"/>
            <w:shd w:val="clear" w:color="auto" w:fill="CCFFCC"/>
            <w:vAlign w:val="center"/>
          </w:tcPr>
          <w:p w14:paraId="5939CD27" w14:textId="77777777" w:rsidR="00C3264D" w:rsidRDefault="003A348D">
            <w:pPr>
              <w:rPr>
                <w:rFonts w:ascii="Times New Roman" w:hAnsi="Times New Roman"/>
              </w:rPr>
            </w:pPr>
            <w:r>
              <w:rPr>
                <w:rFonts w:ascii="Times New Roman" w:hAnsi="Times New Roman"/>
              </w:rPr>
              <w:t>Предоставяне на възможност за разпределяне чрез търг на първите 50 милиона квоти за Фонда за иновации, взети от резерва за стабилност на пазара (MSR) през 2020 г.</w:t>
            </w:r>
          </w:p>
        </w:tc>
        <w:tc>
          <w:tcPr>
            <w:tcW w:w="1862" w:type="dxa"/>
            <w:shd w:val="clear" w:color="auto" w:fill="CCFFCC"/>
            <w:vAlign w:val="center"/>
          </w:tcPr>
          <w:p w14:paraId="19804815" w14:textId="77777777" w:rsidR="00C3264D" w:rsidRDefault="00EE5825">
            <w:pPr>
              <w:jc w:val="center"/>
              <w:rPr>
                <w:rFonts w:ascii="Times New Roman" w:hAnsi="Times New Roman"/>
              </w:rPr>
            </w:pPr>
            <w:r>
              <w:rPr>
                <w:rFonts w:ascii="Times New Roman" w:hAnsi="Times New Roman"/>
              </w:rPr>
              <w:t>Делегиран регламент на Комисията</w:t>
            </w:r>
          </w:p>
        </w:tc>
        <w:tc>
          <w:tcPr>
            <w:tcW w:w="1994" w:type="dxa"/>
            <w:shd w:val="clear" w:color="auto" w:fill="CCFFCC"/>
            <w:vAlign w:val="center"/>
          </w:tcPr>
          <w:p w14:paraId="695A0B38" w14:textId="77777777" w:rsidR="00C3264D" w:rsidRDefault="00EE5825">
            <w:pPr>
              <w:jc w:val="center"/>
              <w:rPr>
                <w:rFonts w:ascii="Times New Roman" w:hAnsi="Times New Roman"/>
              </w:rPr>
            </w:pPr>
            <w:r>
              <w:rPr>
                <w:rFonts w:ascii="Times New Roman" w:hAnsi="Times New Roman"/>
              </w:rPr>
              <w:t>Приет на 30 октомври 2018 г. и публикуван в Официален вестник на 4 януари 2019 г.</w:t>
            </w:r>
            <w:r>
              <w:rPr>
                <w:rStyle w:val="FootnoteReference"/>
                <w:rFonts w:ascii="Times New Roman" w:hAnsi="Times New Roman"/>
              </w:rPr>
              <w:footnoteReference w:id="85"/>
            </w:r>
          </w:p>
        </w:tc>
      </w:tr>
      <w:tr w:rsidR="00C3264D" w14:paraId="1734A4E3" w14:textId="77777777" w:rsidTr="00601A28">
        <w:trPr>
          <w:trHeight w:val="154"/>
        </w:trPr>
        <w:tc>
          <w:tcPr>
            <w:tcW w:w="2030" w:type="dxa"/>
            <w:shd w:val="clear" w:color="auto" w:fill="FFFFCC"/>
            <w:vAlign w:val="center"/>
          </w:tcPr>
          <w:p w14:paraId="01973151" w14:textId="77777777" w:rsidR="00C3264D" w:rsidRDefault="003A348D">
            <w:pPr>
              <w:rPr>
                <w:rFonts w:ascii="Times New Roman" w:hAnsi="Times New Roman"/>
              </w:rPr>
            </w:pPr>
            <w:r>
              <w:rPr>
                <w:rFonts w:ascii="Times New Roman" w:hAnsi="Times New Roman"/>
              </w:rPr>
              <w:t>Преразглеждане на Регламент (ЕС) № 1031/2010 (Регламента за тръжната продажба)</w:t>
            </w:r>
          </w:p>
        </w:tc>
        <w:tc>
          <w:tcPr>
            <w:tcW w:w="3808" w:type="dxa"/>
            <w:shd w:val="clear" w:color="auto" w:fill="FFFFCC"/>
            <w:vAlign w:val="center"/>
          </w:tcPr>
          <w:p w14:paraId="204BA481" w14:textId="77777777" w:rsidR="00C3264D" w:rsidRDefault="003A348D">
            <w:pPr>
              <w:spacing w:after="120"/>
              <w:rPr>
                <w:rFonts w:ascii="Times New Roman" w:hAnsi="Times New Roman"/>
              </w:rPr>
            </w:pPr>
            <w:r>
              <w:rPr>
                <w:rFonts w:ascii="Times New Roman" w:hAnsi="Times New Roman"/>
              </w:rPr>
              <w:t>Преразглеждане на някои аспекти от тръжната процедура, за да се изпълнят изискванията за фаза 4, по-специално за да се позволи разпределянето чрез търг на квоти за Фонда за иновации и за Фонда за модернизация, както и за да се отрази класификацията на квотите по СТЕ на ЕС като финансови инструменти съгласно Директива 2014/65/ЕС относно пазарите на финансови инструменти (ДПФИ II).</w:t>
            </w:r>
          </w:p>
        </w:tc>
        <w:tc>
          <w:tcPr>
            <w:tcW w:w="1862" w:type="dxa"/>
            <w:shd w:val="clear" w:color="auto" w:fill="FFFFCC"/>
            <w:vAlign w:val="center"/>
          </w:tcPr>
          <w:p w14:paraId="10F2A58F" w14:textId="77777777" w:rsidR="00C3264D" w:rsidRDefault="003A348D">
            <w:pPr>
              <w:jc w:val="center"/>
              <w:rPr>
                <w:rFonts w:ascii="Times New Roman" w:hAnsi="Times New Roman"/>
              </w:rPr>
            </w:pPr>
            <w:r>
              <w:rPr>
                <w:rFonts w:ascii="Times New Roman" w:hAnsi="Times New Roman"/>
              </w:rPr>
              <w:t>Делегиран акт</w:t>
            </w:r>
          </w:p>
        </w:tc>
        <w:tc>
          <w:tcPr>
            <w:tcW w:w="1994" w:type="dxa"/>
            <w:shd w:val="clear" w:color="auto" w:fill="FFFFCC"/>
            <w:vAlign w:val="center"/>
          </w:tcPr>
          <w:p w14:paraId="47C622DF" w14:textId="77777777" w:rsidR="00C3264D" w:rsidRDefault="003A348D">
            <w:pPr>
              <w:jc w:val="center"/>
              <w:rPr>
                <w:rFonts w:ascii="Times New Roman" w:hAnsi="Times New Roman"/>
              </w:rPr>
            </w:pPr>
            <w:r>
              <w:rPr>
                <w:rFonts w:ascii="Times New Roman" w:hAnsi="Times New Roman"/>
              </w:rPr>
              <w:t>2019 г.</w:t>
            </w:r>
          </w:p>
        </w:tc>
      </w:tr>
      <w:tr w:rsidR="00C3264D" w14:paraId="10BEBB1D" w14:textId="77777777" w:rsidTr="00601A28">
        <w:trPr>
          <w:trHeight w:val="154"/>
        </w:trPr>
        <w:tc>
          <w:tcPr>
            <w:tcW w:w="2030" w:type="dxa"/>
            <w:shd w:val="clear" w:color="auto" w:fill="CCFFCC"/>
            <w:vAlign w:val="center"/>
          </w:tcPr>
          <w:p w14:paraId="59A6486B" w14:textId="77777777" w:rsidR="00C3264D" w:rsidRDefault="003A348D">
            <w:pPr>
              <w:rPr>
                <w:rFonts w:ascii="Times New Roman" w:hAnsi="Times New Roman"/>
              </w:rPr>
            </w:pPr>
            <w:r>
              <w:rPr>
                <w:rFonts w:ascii="Times New Roman" w:hAnsi="Times New Roman"/>
              </w:rPr>
              <w:t>Преразглеждане на Регламент (ЕС) № 601/2012 относно мониторинга и докладването</w:t>
            </w:r>
          </w:p>
        </w:tc>
        <w:tc>
          <w:tcPr>
            <w:tcW w:w="3808" w:type="dxa"/>
            <w:shd w:val="clear" w:color="auto" w:fill="CCFFCC"/>
            <w:vAlign w:val="center"/>
          </w:tcPr>
          <w:p w14:paraId="5B35144D" w14:textId="77777777" w:rsidR="00C3264D" w:rsidRDefault="003A348D">
            <w:pPr>
              <w:rPr>
                <w:rFonts w:ascii="Times New Roman" w:hAnsi="Times New Roman"/>
              </w:rPr>
            </w:pPr>
            <w:r>
              <w:rPr>
                <w:rFonts w:ascii="Times New Roman" w:hAnsi="Times New Roman"/>
              </w:rPr>
              <w:t>Опростяване, подобряване и изясняване на правилата за мониторинг и докладване и намаляване на административната тежест, въз основа на опита от изпълнението от фаза 3</w:t>
            </w:r>
          </w:p>
        </w:tc>
        <w:tc>
          <w:tcPr>
            <w:tcW w:w="1862" w:type="dxa"/>
            <w:shd w:val="clear" w:color="auto" w:fill="CCFFCC"/>
            <w:vAlign w:val="center"/>
          </w:tcPr>
          <w:p w14:paraId="1E58A93D" w14:textId="77777777" w:rsidR="00C3264D" w:rsidRDefault="002A3783">
            <w:pPr>
              <w:jc w:val="center"/>
              <w:rPr>
                <w:rFonts w:ascii="Times New Roman" w:hAnsi="Times New Roman"/>
              </w:rPr>
            </w:pPr>
            <w:r>
              <w:rPr>
                <w:rFonts w:ascii="Times New Roman" w:hAnsi="Times New Roman"/>
              </w:rPr>
              <w:t>Регламент за изпълнение на Комисията</w:t>
            </w:r>
          </w:p>
        </w:tc>
        <w:tc>
          <w:tcPr>
            <w:tcW w:w="1994" w:type="dxa"/>
            <w:shd w:val="clear" w:color="auto" w:fill="CCFFCC"/>
            <w:vAlign w:val="center"/>
          </w:tcPr>
          <w:p w14:paraId="4A6145C7" w14:textId="77777777" w:rsidR="00C3264D" w:rsidRDefault="009A6369">
            <w:pPr>
              <w:jc w:val="center"/>
              <w:rPr>
                <w:rFonts w:ascii="Times New Roman" w:hAnsi="Times New Roman"/>
              </w:rPr>
            </w:pPr>
            <w:r>
              <w:rPr>
                <w:rFonts w:ascii="Times New Roman" w:hAnsi="Times New Roman"/>
              </w:rPr>
              <w:t>Приет на 19 декември 2018 г. и публикуван в Официален вестник на 31 декември 2018 г.</w:t>
            </w:r>
            <w:r>
              <w:rPr>
                <w:rStyle w:val="FootnoteReference"/>
                <w:rFonts w:ascii="Times New Roman" w:hAnsi="Times New Roman"/>
              </w:rPr>
              <w:footnoteReference w:id="86"/>
            </w:r>
            <w:r>
              <w:rPr>
                <w:rFonts w:ascii="Times New Roman" w:hAnsi="Times New Roman"/>
              </w:rPr>
              <w:t>.</w:t>
            </w:r>
          </w:p>
        </w:tc>
      </w:tr>
      <w:tr w:rsidR="00C3264D" w14:paraId="7F53BE0B" w14:textId="77777777" w:rsidTr="00A324A5">
        <w:trPr>
          <w:trHeight w:val="154"/>
        </w:trPr>
        <w:tc>
          <w:tcPr>
            <w:tcW w:w="2030" w:type="dxa"/>
            <w:tcBorders>
              <w:bottom w:val="double" w:sz="4" w:space="0" w:color="auto"/>
            </w:tcBorders>
            <w:shd w:val="clear" w:color="auto" w:fill="CCFFCC"/>
            <w:vAlign w:val="center"/>
          </w:tcPr>
          <w:p w14:paraId="001CF685" w14:textId="77777777" w:rsidR="00C3264D" w:rsidRDefault="003A348D">
            <w:pPr>
              <w:rPr>
                <w:rFonts w:ascii="Times New Roman" w:hAnsi="Times New Roman"/>
              </w:rPr>
            </w:pPr>
            <w:r>
              <w:rPr>
                <w:rFonts w:ascii="Times New Roman" w:hAnsi="Times New Roman"/>
              </w:rPr>
              <w:t>Преразглеждане на Регламент (ЕС) № 600/2012 относно проверката и акредитацията</w:t>
            </w:r>
          </w:p>
        </w:tc>
        <w:tc>
          <w:tcPr>
            <w:tcW w:w="3808" w:type="dxa"/>
            <w:tcBorders>
              <w:bottom w:val="double" w:sz="4" w:space="0" w:color="auto"/>
            </w:tcBorders>
            <w:shd w:val="clear" w:color="auto" w:fill="CCFFCC"/>
            <w:vAlign w:val="center"/>
          </w:tcPr>
          <w:p w14:paraId="7229FB85" w14:textId="77777777" w:rsidR="00C3264D" w:rsidRDefault="003A348D">
            <w:pPr>
              <w:rPr>
                <w:rFonts w:ascii="Times New Roman" w:hAnsi="Times New Roman"/>
              </w:rPr>
            </w:pPr>
            <w:r>
              <w:rPr>
                <w:rFonts w:ascii="Times New Roman" w:hAnsi="Times New Roman"/>
              </w:rPr>
              <w:t>Опростяване, подобряване и изясняване на правилата за акредитация и проверка и намаляване на административната тежест до възможно най-голяма степен, въз основа на опита от изпълнението от фаза 3</w:t>
            </w:r>
          </w:p>
        </w:tc>
        <w:tc>
          <w:tcPr>
            <w:tcW w:w="1862" w:type="dxa"/>
            <w:tcBorders>
              <w:bottom w:val="double" w:sz="4" w:space="0" w:color="auto"/>
            </w:tcBorders>
            <w:shd w:val="clear" w:color="auto" w:fill="CCFFCC"/>
            <w:vAlign w:val="center"/>
          </w:tcPr>
          <w:p w14:paraId="4FA307CA" w14:textId="77777777" w:rsidR="00C3264D" w:rsidRDefault="009A6369">
            <w:pPr>
              <w:jc w:val="center"/>
              <w:rPr>
                <w:rFonts w:ascii="Times New Roman" w:hAnsi="Times New Roman"/>
              </w:rPr>
            </w:pPr>
            <w:r>
              <w:rPr>
                <w:rFonts w:ascii="Times New Roman" w:hAnsi="Times New Roman"/>
              </w:rPr>
              <w:t xml:space="preserve">Регламент за изпълнение на Комисията </w:t>
            </w:r>
          </w:p>
        </w:tc>
        <w:tc>
          <w:tcPr>
            <w:tcW w:w="1994" w:type="dxa"/>
            <w:tcBorders>
              <w:bottom w:val="double" w:sz="4" w:space="0" w:color="auto"/>
            </w:tcBorders>
            <w:shd w:val="clear" w:color="auto" w:fill="CCFFCC"/>
            <w:vAlign w:val="center"/>
          </w:tcPr>
          <w:p w14:paraId="3C6EBCF4" w14:textId="77777777" w:rsidR="00C3264D" w:rsidRDefault="005F547A">
            <w:pPr>
              <w:jc w:val="center"/>
              <w:rPr>
                <w:rFonts w:ascii="Times New Roman" w:hAnsi="Times New Roman"/>
              </w:rPr>
            </w:pPr>
            <w:r>
              <w:rPr>
                <w:rFonts w:ascii="Times New Roman" w:hAnsi="Times New Roman"/>
              </w:rPr>
              <w:t>Приет на 19 декември 2018 г. и публикуван в Официален вестник на 31 декември 2018 г.</w:t>
            </w:r>
            <w:r>
              <w:rPr>
                <w:rStyle w:val="FootnoteReference"/>
                <w:rFonts w:ascii="Times New Roman" w:hAnsi="Times New Roman"/>
              </w:rPr>
              <w:footnoteReference w:id="87"/>
            </w:r>
          </w:p>
        </w:tc>
      </w:tr>
      <w:tr w:rsidR="00C3264D" w14:paraId="0E1CEEA2" w14:textId="77777777" w:rsidTr="00A324A5">
        <w:trPr>
          <w:trHeight w:val="154"/>
        </w:trPr>
        <w:tc>
          <w:tcPr>
            <w:tcW w:w="2030" w:type="dxa"/>
            <w:shd w:val="clear" w:color="auto" w:fill="FFFFCC"/>
            <w:vAlign w:val="center"/>
          </w:tcPr>
          <w:p w14:paraId="4AAEB14B" w14:textId="77777777" w:rsidR="00C3264D" w:rsidRDefault="00EE1C77">
            <w:pPr>
              <w:rPr>
                <w:rFonts w:ascii="Times New Roman" w:hAnsi="Times New Roman"/>
              </w:rPr>
            </w:pPr>
            <w:r>
              <w:rPr>
                <w:rFonts w:ascii="Times New Roman" w:hAnsi="Times New Roman"/>
              </w:rPr>
              <w:t>Регламент за допълване на Директива 2003/87/ЕО по отношение на CORSIA</w:t>
            </w:r>
          </w:p>
        </w:tc>
        <w:tc>
          <w:tcPr>
            <w:tcW w:w="3808" w:type="dxa"/>
            <w:shd w:val="clear" w:color="auto" w:fill="FFFFCC"/>
            <w:vAlign w:val="center"/>
          </w:tcPr>
          <w:p w14:paraId="2AD4697B" w14:textId="77777777" w:rsidR="00C3264D" w:rsidRDefault="00EE1C77">
            <w:pPr>
              <w:rPr>
                <w:rFonts w:ascii="Times New Roman" w:hAnsi="Times New Roman"/>
              </w:rPr>
            </w:pPr>
            <w:r>
              <w:rPr>
                <w:rFonts w:ascii="Times New Roman" w:hAnsi="Times New Roman"/>
              </w:rPr>
              <w:t>Допълване на Директивата за СТЕ на ЕС по отношение на приетите от Международната организация за гражданско въздухоплаване мерки за мониторинг, докладване и проверка на авиационните емисии с цел прилагане на CORSIA</w:t>
            </w:r>
          </w:p>
        </w:tc>
        <w:tc>
          <w:tcPr>
            <w:tcW w:w="1862" w:type="dxa"/>
            <w:shd w:val="clear" w:color="auto" w:fill="FFFFCC"/>
            <w:vAlign w:val="center"/>
          </w:tcPr>
          <w:p w14:paraId="31DF685B" w14:textId="77777777" w:rsidR="00C3264D" w:rsidRDefault="00EE1C77">
            <w:pPr>
              <w:jc w:val="center"/>
              <w:rPr>
                <w:rFonts w:ascii="Times New Roman" w:hAnsi="Times New Roman"/>
              </w:rPr>
            </w:pPr>
            <w:r>
              <w:rPr>
                <w:rFonts w:ascii="Times New Roman" w:hAnsi="Times New Roman"/>
              </w:rPr>
              <w:t>Делегиран регламент на Комисията</w:t>
            </w:r>
          </w:p>
        </w:tc>
        <w:tc>
          <w:tcPr>
            <w:tcW w:w="1994" w:type="dxa"/>
            <w:shd w:val="clear" w:color="auto" w:fill="FFFFCC"/>
            <w:vAlign w:val="center"/>
          </w:tcPr>
          <w:p w14:paraId="62B32846" w14:textId="77777777" w:rsidR="00C3264D" w:rsidRDefault="00EE1C77">
            <w:pPr>
              <w:jc w:val="center"/>
              <w:rPr>
                <w:rFonts w:ascii="Times New Roman" w:hAnsi="Times New Roman"/>
              </w:rPr>
            </w:pPr>
            <w:r>
              <w:rPr>
                <w:rFonts w:ascii="Times New Roman" w:hAnsi="Times New Roman"/>
              </w:rPr>
              <w:t>2019 г.</w:t>
            </w:r>
          </w:p>
        </w:tc>
      </w:tr>
      <w:tr w:rsidR="00C3264D" w14:paraId="61D9C793" w14:textId="77777777" w:rsidTr="00601A28">
        <w:trPr>
          <w:trHeight w:val="154"/>
        </w:trPr>
        <w:tc>
          <w:tcPr>
            <w:tcW w:w="2030" w:type="dxa"/>
            <w:shd w:val="clear" w:color="auto" w:fill="FFFFCC"/>
            <w:vAlign w:val="center"/>
          </w:tcPr>
          <w:p w14:paraId="06FB713B" w14:textId="77777777" w:rsidR="00C3264D" w:rsidRDefault="006E77EE">
            <w:pPr>
              <w:rPr>
                <w:rFonts w:ascii="Times New Roman" w:hAnsi="Times New Roman"/>
              </w:rPr>
            </w:pPr>
            <w:r>
              <w:rPr>
                <w:rFonts w:ascii="Times New Roman" w:hAnsi="Times New Roman"/>
              </w:rPr>
              <w:t>Насоки за държавни помощи в контекста на СТЕ на ЕС за периода 2021—2030 г.</w:t>
            </w:r>
          </w:p>
        </w:tc>
        <w:tc>
          <w:tcPr>
            <w:tcW w:w="3808" w:type="dxa"/>
            <w:shd w:val="clear" w:color="auto" w:fill="FFFFCC"/>
            <w:vAlign w:val="center"/>
          </w:tcPr>
          <w:p w14:paraId="773396A2" w14:textId="77777777" w:rsidR="00C3264D" w:rsidRDefault="006E77EE">
            <w:pPr>
              <w:rPr>
                <w:rFonts w:ascii="Times New Roman" w:hAnsi="Times New Roman"/>
              </w:rPr>
            </w:pPr>
            <w:r>
              <w:rPr>
                <w:rFonts w:ascii="Times New Roman" w:hAnsi="Times New Roman"/>
              </w:rPr>
              <w:t>Преразглеждане на насоките за държавни помощи в контекста на СТЕ на ЕС за фаза 4, за да се включат новите разпоредби, въведени от преразгледаната Директива за СТЕ на ЕС за схемите за компенсиране на непреките разходи за ограничаване на въглеродните емисии</w:t>
            </w:r>
          </w:p>
        </w:tc>
        <w:tc>
          <w:tcPr>
            <w:tcW w:w="1862" w:type="dxa"/>
            <w:shd w:val="clear" w:color="auto" w:fill="FFFFCC"/>
            <w:vAlign w:val="center"/>
          </w:tcPr>
          <w:p w14:paraId="1126B985" w14:textId="77777777" w:rsidR="00C3264D" w:rsidRDefault="006E77EE">
            <w:pPr>
              <w:jc w:val="center"/>
              <w:rPr>
                <w:rFonts w:ascii="Times New Roman" w:hAnsi="Times New Roman"/>
              </w:rPr>
            </w:pPr>
            <w:r>
              <w:rPr>
                <w:rFonts w:ascii="Times New Roman" w:hAnsi="Times New Roman"/>
              </w:rPr>
              <w:t>Съобщение на Комисията</w:t>
            </w:r>
          </w:p>
        </w:tc>
        <w:tc>
          <w:tcPr>
            <w:tcW w:w="1994" w:type="dxa"/>
            <w:shd w:val="clear" w:color="auto" w:fill="FFFFCC"/>
            <w:vAlign w:val="center"/>
          </w:tcPr>
          <w:p w14:paraId="15A7CFC0" w14:textId="77777777" w:rsidR="00C3264D" w:rsidRDefault="006E77EE">
            <w:pPr>
              <w:jc w:val="center"/>
              <w:rPr>
                <w:rFonts w:ascii="Times New Roman" w:hAnsi="Times New Roman"/>
              </w:rPr>
            </w:pPr>
            <w:r>
              <w:rPr>
                <w:rFonts w:ascii="Times New Roman" w:hAnsi="Times New Roman"/>
              </w:rPr>
              <w:t>2020 г.</w:t>
            </w:r>
          </w:p>
        </w:tc>
      </w:tr>
    </w:tbl>
    <w:tbl>
      <w:tblPr>
        <w:tblStyle w:val="TableGrid6"/>
        <w:tblpPr w:leftFromText="180" w:rightFromText="180" w:vertAnchor="text" w:horzAnchor="margin" w:tblpY="72"/>
        <w:tblW w:w="1851" w:type="dxa"/>
        <w:tblLook w:val="04A0" w:firstRow="1" w:lastRow="0" w:firstColumn="1" w:lastColumn="0" w:noHBand="0" w:noVBand="1"/>
      </w:tblPr>
      <w:tblGrid>
        <w:gridCol w:w="1851"/>
      </w:tblGrid>
      <w:tr w:rsidR="00C3264D" w14:paraId="398E9281" w14:textId="77777777" w:rsidTr="007F5B1E">
        <w:trPr>
          <w:trHeight w:val="251"/>
        </w:trPr>
        <w:tc>
          <w:tcPr>
            <w:tcW w:w="1851" w:type="dxa"/>
          </w:tcPr>
          <w:p w14:paraId="7ACA2F89" w14:textId="77777777" w:rsidR="00C3264D" w:rsidRDefault="007F5B1E">
            <w:pPr>
              <w:rPr>
                <w:rFonts w:ascii="Times New Roman" w:hAnsi="Times New Roman"/>
                <w:b/>
              </w:rPr>
            </w:pPr>
            <w:r>
              <w:rPr>
                <w:rFonts w:ascii="Times New Roman" w:hAnsi="Times New Roman"/>
                <w:b/>
              </w:rPr>
              <w:t xml:space="preserve">Актуално състояние </w:t>
            </w:r>
          </w:p>
        </w:tc>
      </w:tr>
      <w:tr w:rsidR="00C3264D" w14:paraId="1EEE117A" w14:textId="77777777" w:rsidTr="007F5B1E">
        <w:trPr>
          <w:trHeight w:val="251"/>
        </w:trPr>
        <w:tc>
          <w:tcPr>
            <w:tcW w:w="1851" w:type="dxa"/>
            <w:tcBorders>
              <w:bottom w:val="single" w:sz="4" w:space="0" w:color="auto"/>
            </w:tcBorders>
          </w:tcPr>
          <w:p w14:paraId="2D9742E5" w14:textId="77777777" w:rsidR="00C3264D" w:rsidRDefault="007F5B1E">
            <w:pPr>
              <w:rPr>
                <w:rFonts w:ascii="Times New Roman" w:hAnsi="Times New Roman"/>
              </w:rPr>
            </w:pPr>
            <w:r>
              <w:rPr>
                <w:rFonts w:ascii="Times New Roman" w:hAnsi="Times New Roman"/>
              </w:rPr>
              <w:t>Планирано</w:t>
            </w:r>
          </w:p>
        </w:tc>
      </w:tr>
      <w:tr w:rsidR="00C3264D" w14:paraId="4B5492B1" w14:textId="77777777" w:rsidTr="007F5B1E">
        <w:trPr>
          <w:trHeight w:val="251"/>
        </w:trPr>
        <w:tc>
          <w:tcPr>
            <w:tcW w:w="1851" w:type="dxa"/>
            <w:tcBorders>
              <w:bottom w:val="single" w:sz="4" w:space="0" w:color="auto"/>
            </w:tcBorders>
            <w:shd w:val="clear" w:color="auto" w:fill="FFFFCC"/>
          </w:tcPr>
          <w:p w14:paraId="2E213755" w14:textId="77777777" w:rsidR="00C3264D" w:rsidRDefault="007F5B1E">
            <w:pPr>
              <w:rPr>
                <w:rFonts w:ascii="Times New Roman" w:hAnsi="Times New Roman"/>
              </w:rPr>
            </w:pPr>
            <w:r>
              <w:rPr>
                <w:rFonts w:ascii="Times New Roman" w:hAnsi="Times New Roman"/>
              </w:rPr>
              <w:t>В ход</w:t>
            </w:r>
          </w:p>
        </w:tc>
      </w:tr>
      <w:tr w:rsidR="00C3264D" w14:paraId="54AB2EEC" w14:textId="77777777" w:rsidTr="007F5B1E">
        <w:trPr>
          <w:trHeight w:val="264"/>
        </w:trPr>
        <w:tc>
          <w:tcPr>
            <w:tcW w:w="1851" w:type="dxa"/>
            <w:shd w:val="clear" w:color="auto" w:fill="CCFFCC"/>
          </w:tcPr>
          <w:p w14:paraId="068C6FD7" w14:textId="77777777" w:rsidR="00C3264D" w:rsidRDefault="007F5B1E">
            <w:pPr>
              <w:rPr>
                <w:rFonts w:ascii="Times New Roman" w:hAnsi="Times New Roman"/>
              </w:rPr>
            </w:pPr>
            <w:r>
              <w:rPr>
                <w:rFonts w:ascii="Times New Roman" w:hAnsi="Times New Roman"/>
              </w:rPr>
              <w:t>Завършено</w:t>
            </w:r>
          </w:p>
        </w:tc>
      </w:tr>
    </w:tbl>
    <w:p w14:paraId="4633E6D4" w14:textId="77777777" w:rsidR="00C3264D" w:rsidRDefault="00C3264D">
      <w:pPr>
        <w:spacing w:after="0"/>
        <w:rPr>
          <w:rFonts w:ascii="Times New Roman" w:hAnsi="Times New Roman"/>
          <w:b/>
        </w:rPr>
      </w:pPr>
    </w:p>
    <w:p w14:paraId="502B3DB6" w14:textId="77777777" w:rsidR="00C3264D" w:rsidRDefault="00C3264D">
      <w:pPr>
        <w:rPr>
          <w:rFonts w:ascii="Times New Roman" w:hAnsi="Times New Roman"/>
          <w:b/>
        </w:rPr>
      </w:pPr>
    </w:p>
    <w:p w14:paraId="25EB6222" w14:textId="77777777" w:rsidR="00C3264D" w:rsidRDefault="00C3264D">
      <w:pPr>
        <w:rPr>
          <w:rFonts w:ascii="Times New Roman" w:hAnsi="Times New Roman"/>
          <w:b/>
        </w:rPr>
      </w:pPr>
    </w:p>
    <w:p w14:paraId="52208539" w14:textId="77777777" w:rsidR="00C3264D" w:rsidRDefault="00C3264D">
      <w:pPr>
        <w:rPr>
          <w:rFonts w:ascii="Times New Roman" w:hAnsi="Times New Roman"/>
          <w:b/>
        </w:rPr>
      </w:pPr>
    </w:p>
    <w:p w14:paraId="44A3B180" w14:textId="77777777" w:rsidR="00C3264D" w:rsidRDefault="003A348D">
      <w:pPr>
        <w:rPr>
          <w:rFonts w:ascii="Times New Roman" w:hAnsi="Times New Roman"/>
          <w:b/>
        </w:rPr>
      </w:pPr>
      <w:r>
        <w:rPr>
          <w:rFonts w:ascii="Times New Roman" w:hAnsi="Times New Roman"/>
          <w:b/>
        </w:rPr>
        <w:t>Допълнение 8</w:t>
      </w:r>
    </w:p>
    <w:p w14:paraId="56DD5484" w14:textId="77777777" w:rsidR="00C3264D" w:rsidRDefault="00707619">
      <w:pPr>
        <w:keepNext/>
        <w:rPr>
          <w:rFonts w:ascii="Times New Roman" w:hAnsi="Times New Roman"/>
          <w:b/>
          <w:bCs/>
          <w:sz w:val="20"/>
          <w:szCs w:val="20"/>
        </w:rPr>
      </w:pPr>
      <w:r>
        <w:rPr>
          <w:rFonts w:ascii="Times New Roman" w:hAnsi="Times New Roman"/>
          <w:b/>
          <w:bCs/>
          <w:sz w:val="20"/>
          <w:szCs w:val="20"/>
        </w:rPr>
        <w:t>Таблица 8.1:</w:t>
      </w:r>
      <w:r>
        <w:rPr>
          <w:b/>
          <w:bCs/>
          <w:sz w:val="20"/>
          <w:szCs w:val="20"/>
        </w:rPr>
        <w:t xml:space="preserve"> </w:t>
      </w:r>
      <w:r>
        <w:rPr>
          <w:rFonts w:ascii="Times New Roman" w:hAnsi="Times New Roman"/>
          <w:b/>
          <w:bCs/>
          <w:sz w:val="20"/>
          <w:szCs w:val="20"/>
        </w:rPr>
        <w:t>Вноски на държавите членки към резерва за стабилност на пазара през 2019 г.</w:t>
      </w:r>
      <w:r>
        <w:rPr>
          <w:rStyle w:val="FootnoteReference"/>
          <w:b/>
          <w:sz w:val="20"/>
          <w:szCs w:val="20"/>
        </w:rPr>
        <w:footnoteReference w:id="88"/>
      </w:r>
      <w:r>
        <w:rPr>
          <w:rFonts w:ascii="Times New Roman" w:hAnsi="Times New Roman"/>
          <w:b/>
          <w:bCs/>
          <w:sz w:val="20"/>
          <w:szCs w:val="20"/>
        </w:rPr>
        <w:t xml:space="preserve"> и  2020 г.</w:t>
      </w:r>
      <w:r>
        <w:rPr>
          <w:rStyle w:val="FootnoteReference"/>
          <w:b/>
          <w:sz w:val="20"/>
          <w:szCs w:val="20"/>
        </w:rPr>
        <w:footnoteReference w:id="89"/>
      </w:r>
    </w:p>
    <w:tbl>
      <w:tblPr>
        <w:tblW w:w="9302" w:type="dxa"/>
        <w:tblInd w:w="7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3102"/>
        <w:gridCol w:w="3100"/>
        <w:gridCol w:w="3100"/>
      </w:tblGrid>
      <w:tr w:rsidR="00C3264D" w14:paraId="4DD3BAAA" w14:textId="77777777" w:rsidTr="00601A28">
        <w:trPr>
          <w:trHeight w:val="1274"/>
        </w:trPr>
        <w:tc>
          <w:tcPr>
            <w:tcW w:w="3102" w:type="dxa"/>
            <w:shd w:val="clear" w:color="auto" w:fill="auto"/>
            <w:vAlign w:val="bottom"/>
            <w:hideMark/>
          </w:tcPr>
          <w:p w14:paraId="04001DB4" w14:textId="77777777" w:rsidR="00C3264D" w:rsidRDefault="00707619">
            <w:pPr>
              <w:spacing w:after="0" w:line="240" w:lineRule="auto"/>
              <w:rPr>
                <w:rFonts w:ascii="Times New Roman" w:eastAsia="Times New Roman" w:hAnsi="Times New Roman"/>
                <w:b/>
                <w:bCs/>
                <w:sz w:val="20"/>
                <w:szCs w:val="20"/>
              </w:rPr>
            </w:pPr>
            <w:r>
              <w:rPr>
                <w:rFonts w:ascii="Times New Roman" w:hAnsi="Times New Roman"/>
                <w:b/>
                <w:bCs/>
                <w:sz w:val="20"/>
                <w:szCs w:val="20"/>
              </w:rPr>
              <w:t>държава членка/държава от ЕИП</w:t>
            </w:r>
            <w:r>
              <w:rPr>
                <w:rFonts w:ascii="Times New Roman" w:hAnsi="Times New Roman"/>
                <w:b/>
                <w:bCs/>
                <w:sz w:val="20"/>
                <w:szCs w:val="20"/>
              </w:rPr>
              <w:br/>
              <w:t>държава от ЕАСТ</w:t>
            </w:r>
          </w:p>
        </w:tc>
        <w:tc>
          <w:tcPr>
            <w:tcW w:w="3100" w:type="dxa"/>
            <w:shd w:val="clear" w:color="auto" w:fill="auto"/>
            <w:vAlign w:val="bottom"/>
            <w:hideMark/>
          </w:tcPr>
          <w:p w14:paraId="13803C63" w14:textId="77777777" w:rsidR="00C3264D" w:rsidRDefault="00707619">
            <w:pPr>
              <w:spacing w:after="0" w:line="240" w:lineRule="auto"/>
              <w:rPr>
                <w:rFonts w:ascii="Times New Roman" w:eastAsia="Times New Roman" w:hAnsi="Times New Roman"/>
                <w:b/>
                <w:bCs/>
                <w:sz w:val="20"/>
                <w:szCs w:val="20"/>
              </w:rPr>
            </w:pPr>
            <w:r>
              <w:rPr>
                <w:rFonts w:ascii="Times New Roman" w:hAnsi="Times New Roman"/>
                <w:b/>
                <w:bCs/>
                <w:sz w:val="20"/>
                <w:szCs w:val="20"/>
              </w:rPr>
              <w:t>Вноски към MSR през 2019 г.</w:t>
            </w:r>
          </w:p>
        </w:tc>
        <w:tc>
          <w:tcPr>
            <w:tcW w:w="3100" w:type="dxa"/>
            <w:shd w:val="clear" w:color="auto" w:fill="auto"/>
            <w:vAlign w:val="bottom"/>
            <w:hideMark/>
          </w:tcPr>
          <w:p w14:paraId="39996C12" w14:textId="77777777" w:rsidR="00C3264D" w:rsidRDefault="00707619">
            <w:pPr>
              <w:spacing w:after="0" w:line="240" w:lineRule="auto"/>
              <w:rPr>
                <w:rFonts w:ascii="Times New Roman" w:eastAsia="Times New Roman" w:hAnsi="Times New Roman"/>
                <w:b/>
                <w:bCs/>
                <w:sz w:val="20"/>
                <w:szCs w:val="20"/>
              </w:rPr>
            </w:pPr>
            <w:r>
              <w:rPr>
                <w:rFonts w:ascii="Times New Roman" w:hAnsi="Times New Roman"/>
                <w:b/>
                <w:bCs/>
                <w:sz w:val="20"/>
                <w:szCs w:val="20"/>
              </w:rPr>
              <w:t>Известни вноски към MSR през 2020 г.</w:t>
            </w:r>
            <w:r>
              <w:rPr>
                <w:rStyle w:val="FootnoteReference"/>
                <w:rFonts w:ascii="Times New Roman" w:eastAsia="Times New Roman" w:hAnsi="Times New Roman"/>
                <w:b/>
                <w:bCs/>
                <w:sz w:val="20"/>
                <w:szCs w:val="20"/>
              </w:rPr>
              <w:footnoteReference w:id="90"/>
            </w:r>
            <w:r>
              <w:rPr>
                <w:rFonts w:ascii="Times New Roman" w:hAnsi="Times New Roman"/>
                <w:b/>
                <w:bCs/>
                <w:sz w:val="20"/>
                <w:szCs w:val="20"/>
              </w:rPr>
              <w:t xml:space="preserve"> </w:t>
            </w:r>
          </w:p>
        </w:tc>
      </w:tr>
      <w:tr w:rsidR="00C3264D" w14:paraId="777FF85C" w14:textId="77777777" w:rsidTr="00601A28">
        <w:trPr>
          <w:trHeight w:val="292"/>
        </w:trPr>
        <w:tc>
          <w:tcPr>
            <w:tcW w:w="3102" w:type="dxa"/>
            <w:shd w:val="clear" w:color="auto" w:fill="auto"/>
            <w:noWrap/>
            <w:vAlign w:val="bottom"/>
            <w:hideMark/>
          </w:tcPr>
          <w:p w14:paraId="4EACFA94" w14:textId="77777777" w:rsidR="00C3264D" w:rsidRDefault="00707619">
            <w:pPr>
              <w:spacing w:after="0" w:line="240" w:lineRule="auto"/>
              <w:rPr>
                <w:rFonts w:ascii="Times New Roman" w:eastAsia="Times New Roman" w:hAnsi="Times New Roman"/>
                <w:sz w:val="20"/>
                <w:szCs w:val="20"/>
              </w:rPr>
            </w:pPr>
            <w:r>
              <w:rPr>
                <w:rFonts w:ascii="Times New Roman" w:hAnsi="Times New Roman"/>
                <w:sz w:val="20"/>
                <w:szCs w:val="20"/>
              </w:rPr>
              <w:t>Австрия</w:t>
            </w:r>
          </w:p>
        </w:tc>
        <w:tc>
          <w:tcPr>
            <w:tcW w:w="3100" w:type="dxa"/>
            <w:shd w:val="clear" w:color="auto" w:fill="auto"/>
            <w:noWrap/>
            <w:vAlign w:val="bottom"/>
            <w:hideMark/>
          </w:tcPr>
          <w:p w14:paraId="5D15CC0B" w14:textId="77777777" w:rsidR="00C3264D" w:rsidRDefault="00707619">
            <w:pPr>
              <w:spacing w:after="0" w:line="240" w:lineRule="auto"/>
              <w:jc w:val="right"/>
              <w:rPr>
                <w:rFonts w:ascii="Times New Roman" w:eastAsia="Times New Roman" w:hAnsi="Times New Roman"/>
                <w:sz w:val="20"/>
                <w:szCs w:val="20"/>
              </w:rPr>
            </w:pPr>
            <w:r>
              <w:rPr>
                <w:rFonts w:ascii="Times New Roman" w:hAnsi="Times New Roman"/>
                <w:sz w:val="20"/>
                <w:szCs w:val="20"/>
              </w:rPr>
              <w:t>5 935 748</w:t>
            </w:r>
          </w:p>
        </w:tc>
        <w:tc>
          <w:tcPr>
            <w:tcW w:w="3100" w:type="dxa"/>
            <w:shd w:val="clear" w:color="auto" w:fill="auto"/>
            <w:noWrap/>
            <w:vAlign w:val="bottom"/>
            <w:hideMark/>
          </w:tcPr>
          <w:p w14:paraId="28419864" w14:textId="77777777" w:rsidR="00C3264D" w:rsidRDefault="00707619">
            <w:pPr>
              <w:spacing w:after="0" w:line="240" w:lineRule="auto"/>
              <w:jc w:val="right"/>
              <w:rPr>
                <w:rFonts w:ascii="Times New Roman" w:eastAsia="Times New Roman" w:hAnsi="Times New Roman"/>
                <w:sz w:val="20"/>
                <w:szCs w:val="20"/>
              </w:rPr>
            </w:pPr>
            <w:r>
              <w:rPr>
                <w:rFonts w:ascii="Times New Roman" w:hAnsi="Times New Roman"/>
                <w:sz w:val="20"/>
                <w:szCs w:val="20"/>
              </w:rPr>
              <w:t>3 957 699</w:t>
            </w:r>
          </w:p>
        </w:tc>
      </w:tr>
      <w:tr w:rsidR="00C3264D" w14:paraId="7DE4C650" w14:textId="77777777" w:rsidTr="00601A28">
        <w:trPr>
          <w:trHeight w:val="292"/>
        </w:trPr>
        <w:tc>
          <w:tcPr>
            <w:tcW w:w="3102" w:type="dxa"/>
            <w:shd w:val="clear" w:color="auto" w:fill="auto"/>
            <w:noWrap/>
            <w:vAlign w:val="bottom"/>
            <w:hideMark/>
          </w:tcPr>
          <w:p w14:paraId="0367DEEE" w14:textId="77777777" w:rsidR="00C3264D" w:rsidRDefault="00707619">
            <w:pPr>
              <w:spacing w:after="0" w:line="240" w:lineRule="auto"/>
              <w:rPr>
                <w:rFonts w:ascii="Times New Roman" w:eastAsia="Times New Roman" w:hAnsi="Times New Roman"/>
                <w:sz w:val="20"/>
                <w:szCs w:val="20"/>
              </w:rPr>
            </w:pPr>
            <w:r>
              <w:rPr>
                <w:rFonts w:ascii="Times New Roman" w:hAnsi="Times New Roman"/>
                <w:sz w:val="20"/>
                <w:szCs w:val="20"/>
              </w:rPr>
              <w:t>Белгия</w:t>
            </w:r>
          </w:p>
        </w:tc>
        <w:tc>
          <w:tcPr>
            <w:tcW w:w="3100" w:type="dxa"/>
            <w:shd w:val="clear" w:color="auto" w:fill="auto"/>
            <w:noWrap/>
            <w:vAlign w:val="bottom"/>
            <w:hideMark/>
          </w:tcPr>
          <w:p w14:paraId="42E00D87" w14:textId="77777777" w:rsidR="00C3264D" w:rsidRDefault="00707619">
            <w:pPr>
              <w:spacing w:after="0" w:line="240" w:lineRule="auto"/>
              <w:jc w:val="right"/>
              <w:rPr>
                <w:rFonts w:ascii="Times New Roman" w:eastAsia="Times New Roman" w:hAnsi="Times New Roman"/>
                <w:sz w:val="20"/>
                <w:szCs w:val="20"/>
              </w:rPr>
            </w:pPr>
            <w:r>
              <w:rPr>
                <w:rFonts w:ascii="Times New Roman" w:hAnsi="Times New Roman"/>
                <w:sz w:val="20"/>
                <w:szCs w:val="20"/>
              </w:rPr>
              <w:t>9 846 994</w:t>
            </w:r>
          </w:p>
        </w:tc>
        <w:tc>
          <w:tcPr>
            <w:tcW w:w="3100" w:type="dxa"/>
            <w:shd w:val="clear" w:color="auto" w:fill="auto"/>
            <w:noWrap/>
            <w:vAlign w:val="bottom"/>
            <w:hideMark/>
          </w:tcPr>
          <w:p w14:paraId="2873CF4F" w14:textId="77777777" w:rsidR="00C3264D" w:rsidRDefault="00707619">
            <w:pPr>
              <w:spacing w:after="0" w:line="240" w:lineRule="auto"/>
              <w:jc w:val="right"/>
              <w:rPr>
                <w:rFonts w:ascii="Times New Roman" w:eastAsia="Times New Roman" w:hAnsi="Times New Roman"/>
                <w:sz w:val="20"/>
                <w:szCs w:val="20"/>
              </w:rPr>
            </w:pPr>
            <w:r>
              <w:rPr>
                <w:rFonts w:ascii="Times New Roman" w:hAnsi="Times New Roman"/>
                <w:sz w:val="20"/>
                <w:szCs w:val="20"/>
              </w:rPr>
              <w:t>6 565 549</w:t>
            </w:r>
          </w:p>
        </w:tc>
      </w:tr>
      <w:tr w:rsidR="00C3264D" w14:paraId="0CF67E75" w14:textId="77777777" w:rsidTr="00601A28">
        <w:trPr>
          <w:trHeight w:val="292"/>
        </w:trPr>
        <w:tc>
          <w:tcPr>
            <w:tcW w:w="3102" w:type="dxa"/>
            <w:shd w:val="clear" w:color="auto" w:fill="auto"/>
            <w:noWrap/>
            <w:vAlign w:val="bottom"/>
            <w:hideMark/>
          </w:tcPr>
          <w:p w14:paraId="4C98E93E" w14:textId="77777777" w:rsidR="00C3264D" w:rsidRDefault="00707619">
            <w:pPr>
              <w:spacing w:after="0" w:line="240" w:lineRule="auto"/>
              <w:rPr>
                <w:rFonts w:ascii="Times New Roman" w:eastAsia="Times New Roman" w:hAnsi="Times New Roman"/>
                <w:sz w:val="20"/>
                <w:szCs w:val="20"/>
              </w:rPr>
            </w:pPr>
            <w:r>
              <w:rPr>
                <w:rFonts w:ascii="Times New Roman" w:hAnsi="Times New Roman"/>
                <w:sz w:val="20"/>
                <w:szCs w:val="20"/>
              </w:rPr>
              <w:t>България</w:t>
            </w:r>
          </w:p>
        </w:tc>
        <w:tc>
          <w:tcPr>
            <w:tcW w:w="3100" w:type="dxa"/>
            <w:shd w:val="clear" w:color="auto" w:fill="auto"/>
            <w:noWrap/>
            <w:vAlign w:val="bottom"/>
            <w:hideMark/>
          </w:tcPr>
          <w:p w14:paraId="2138C4DE" w14:textId="77777777" w:rsidR="00C3264D" w:rsidRDefault="00707619">
            <w:pPr>
              <w:spacing w:after="0" w:line="240" w:lineRule="auto"/>
              <w:jc w:val="right"/>
              <w:rPr>
                <w:rFonts w:ascii="Times New Roman" w:eastAsia="Times New Roman" w:hAnsi="Times New Roman"/>
                <w:sz w:val="20"/>
                <w:szCs w:val="20"/>
              </w:rPr>
            </w:pPr>
            <w:r>
              <w:rPr>
                <w:rFonts w:ascii="Times New Roman" w:hAnsi="Times New Roman"/>
                <w:sz w:val="20"/>
                <w:szCs w:val="20"/>
              </w:rPr>
              <w:t>8 292 720</w:t>
            </w:r>
          </w:p>
        </w:tc>
        <w:tc>
          <w:tcPr>
            <w:tcW w:w="3100" w:type="dxa"/>
            <w:shd w:val="clear" w:color="auto" w:fill="auto"/>
            <w:noWrap/>
            <w:vAlign w:val="bottom"/>
            <w:hideMark/>
          </w:tcPr>
          <w:p w14:paraId="19E54E38" w14:textId="77777777" w:rsidR="00C3264D" w:rsidRDefault="00707619">
            <w:pPr>
              <w:spacing w:after="0" w:line="240" w:lineRule="auto"/>
              <w:jc w:val="right"/>
              <w:rPr>
                <w:rFonts w:ascii="Times New Roman" w:eastAsia="Times New Roman" w:hAnsi="Times New Roman"/>
                <w:sz w:val="20"/>
                <w:szCs w:val="20"/>
              </w:rPr>
            </w:pPr>
            <w:r>
              <w:rPr>
                <w:rFonts w:ascii="Times New Roman" w:hAnsi="Times New Roman"/>
                <w:sz w:val="20"/>
                <w:szCs w:val="20"/>
              </w:rPr>
              <w:t>5 529 227</w:t>
            </w:r>
          </w:p>
        </w:tc>
      </w:tr>
      <w:tr w:rsidR="00C3264D" w14:paraId="6E6E390F" w14:textId="77777777" w:rsidTr="00601A28">
        <w:trPr>
          <w:trHeight w:val="292"/>
        </w:trPr>
        <w:tc>
          <w:tcPr>
            <w:tcW w:w="3102" w:type="dxa"/>
            <w:shd w:val="clear" w:color="auto" w:fill="auto"/>
            <w:noWrap/>
            <w:vAlign w:val="bottom"/>
            <w:hideMark/>
          </w:tcPr>
          <w:p w14:paraId="675E0640" w14:textId="77777777" w:rsidR="00C3264D" w:rsidRDefault="00707619">
            <w:pPr>
              <w:spacing w:after="0" w:line="240" w:lineRule="auto"/>
              <w:rPr>
                <w:rFonts w:ascii="Times New Roman" w:eastAsia="Times New Roman" w:hAnsi="Times New Roman"/>
                <w:sz w:val="20"/>
                <w:szCs w:val="20"/>
              </w:rPr>
            </w:pPr>
            <w:r>
              <w:rPr>
                <w:rFonts w:ascii="Times New Roman" w:hAnsi="Times New Roman"/>
                <w:sz w:val="20"/>
                <w:szCs w:val="20"/>
              </w:rPr>
              <w:t>Хърватия</w:t>
            </w:r>
          </w:p>
        </w:tc>
        <w:tc>
          <w:tcPr>
            <w:tcW w:w="3100" w:type="dxa"/>
            <w:shd w:val="clear" w:color="auto" w:fill="auto"/>
            <w:noWrap/>
            <w:vAlign w:val="bottom"/>
            <w:hideMark/>
          </w:tcPr>
          <w:p w14:paraId="1D22A47C" w14:textId="77777777" w:rsidR="00C3264D" w:rsidRDefault="00707619">
            <w:pPr>
              <w:spacing w:after="0" w:line="240" w:lineRule="auto"/>
              <w:jc w:val="right"/>
              <w:rPr>
                <w:rFonts w:ascii="Times New Roman" w:eastAsia="Times New Roman" w:hAnsi="Times New Roman"/>
                <w:sz w:val="20"/>
                <w:szCs w:val="20"/>
              </w:rPr>
            </w:pPr>
            <w:r>
              <w:rPr>
                <w:rFonts w:ascii="Times New Roman" w:hAnsi="Times New Roman"/>
                <w:sz w:val="20"/>
                <w:szCs w:val="20"/>
              </w:rPr>
              <w:t>1 614 984</w:t>
            </w:r>
          </w:p>
        </w:tc>
        <w:tc>
          <w:tcPr>
            <w:tcW w:w="3100" w:type="dxa"/>
            <w:shd w:val="clear" w:color="auto" w:fill="auto"/>
            <w:noWrap/>
            <w:vAlign w:val="bottom"/>
            <w:hideMark/>
          </w:tcPr>
          <w:p w14:paraId="550CFDB7" w14:textId="77777777" w:rsidR="00C3264D" w:rsidRDefault="00707619">
            <w:pPr>
              <w:spacing w:after="0" w:line="240" w:lineRule="auto"/>
              <w:jc w:val="right"/>
              <w:rPr>
                <w:rFonts w:ascii="Times New Roman" w:eastAsia="Times New Roman" w:hAnsi="Times New Roman"/>
                <w:sz w:val="20"/>
                <w:szCs w:val="20"/>
              </w:rPr>
            </w:pPr>
            <w:r>
              <w:rPr>
                <w:rFonts w:ascii="Times New Roman" w:hAnsi="Times New Roman"/>
                <w:sz w:val="20"/>
                <w:szCs w:val="20"/>
              </w:rPr>
              <w:t>1 076 801</w:t>
            </w:r>
          </w:p>
        </w:tc>
      </w:tr>
      <w:tr w:rsidR="00C3264D" w14:paraId="3E404C9D" w14:textId="77777777" w:rsidTr="00601A28">
        <w:trPr>
          <w:trHeight w:val="292"/>
        </w:trPr>
        <w:tc>
          <w:tcPr>
            <w:tcW w:w="3102" w:type="dxa"/>
            <w:shd w:val="clear" w:color="auto" w:fill="auto"/>
            <w:noWrap/>
            <w:vAlign w:val="bottom"/>
            <w:hideMark/>
          </w:tcPr>
          <w:p w14:paraId="158FDDA7" w14:textId="77777777" w:rsidR="00C3264D" w:rsidRDefault="00707619">
            <w:pPr>
              <w:spacing w:after="0" w:line="240" w:lineRule="auto"/>
              <w:rPr>
                <w:rFonts w:ascii="Times New Roman" w:eastAsia="Times New Roman" w:hAnsi="Times New Roman"/>
                <w:sz w:val="20"/>
                <w:szCs w:val="20"/>
              </w:rPr>
            </w:pPr>
            <w:r>
              <w:rPr>
                <w:rFonts w:ascii="Times New Roman" w:hAnsi="Times New Roman"/>
                <w:sz w:val="20"/>
                <w:szCs w:val="20"/>
              </w:rPr>
              <w:t>Кипър</w:t>
            </w:r>
          </w:p>
        </w:tc>
        <w:tc>
          <w:tcPr>
            <w:tcW w:w="3100" w:type="dxa"/>
            <w:shd w:val="clear" w:color="auto" w:fill="auto"/>
            <w:noWrap/>
            <w:vAlign w:val="bottom"/>
            <w:hideMark/>
          </w:tcPr>
          <w:p w14:paraId="4B37040B" w14:textId="77777777" w:rsidR="00C3264D" w:rsidRDefault="00707619">
            <w:pPr>
              <w:spacing w:after="0" w:line="240" w:lineRule="auto"/>
              <w:jc w:val="right"/>
              <w:rPr>
                <w:rFonts w:ascii="Times New Roman" w:eastAsia="Times New Roman" w:hAnsi="Times New Roman"/>
                <w:sz w:val="20"/>
                <w:szCs w:val="20"/>
              </w:rPr>
            </w:pPr>
            <w:r>
              <w:rPr>
                <w:rFonts w:ascii="Times New Roman" w:hAnsi="Times New Roman"/>
                <w:sz w:val="20"/>
                <w:szCs w:val="20"/>
              </w:rPr>
              <w:t>932 844</w:t>
            </w:r>
          </w:p>
        </w:tc>
        <w:tc>
          <w:tcPr>
            <w:tcW w:w="3100" w:type="dxa"/>
            <w:shd w:val="clear" w:color="auto" w:fill="auto"/>
            <w:noWrap/>
            <w:vAlign w:val="bottom"/>
            <w:hideMark/>
          </w:tcPr>
          <w:p w14:paraId="18A2F290" w14:textId="77777777" w:rsidR="00C3264D" w:rsidRDefault="00707619">
            <w:pPr>
              <w:spacing w:after="0" w:line="240" w:lineRule="auto"/>
              <w:jc w:val="right"/>
              <w:rPr>
                <w:rFonts w:ascii="Times New Roman" w:eastAsia="Times New Roman" w:hAnsi="Times New Roman"/>
                <w:sz w:val="20"/>
                <w:szCs w:val="20"/>
              </w:rPr>
            </w:pPr>
            <w:r>
              <w:rPr>
                <w:rFonts w:ascii="Times New Roman" w:hAnsi="Times New Roman"/>
                <w:sz w:val="20"/>
                <w:szCs w:val="20"/>
              </w:rPr>
              <w:t>621 980</w:t>
            </w:r>
          </w:p>
        </w:tc>
      </w:tr>
      <w:tr w:rsidR="00C3264D" w14:paraId="19F268B7" w14:textId="77777777" w:rsidTr="00601A28">
        <w:trPr>
          <w:trHeight w:val="292"/>
        </w:trPr>
        <w:tc>
          <w:tcPr>
            <w:tcW w:w="3102" w:type="dxa"/>
            <w:shd w:val="clear" w:color="auto" w:fill="auto"/>
            <w:noWrap/>
            <w:vAlign w:val="bottom"/>
            <w:hideMark/>
          </w:tcPr>
          <w:p w14:paraId="43C7F5C2" w14:textId="77777777" w:rsidR="00C3264D" w:rsidRDefault="00707619">
            <w:pPr>
              <w:spacing w:after="0" w:line="240" w:lineRule="auto"/>
              <w:rPr>
                <w:rFonts w:ascii="Times New Roman" w:eastAsia="Times New Roman" w:hAnsi="Times New Roman"/>
                <w:sz w:val="20"/>
                <w:szCs w:val="20"/>
              </w:rPr>
            </w:pPr>
            <w:r>
              <w:rPr>
                <w:rFonts w:ascii="Times New Roman" w:hAnsi="Times New Roman"/>
                <w:sz w:val="20"/>
                <w:szCs w:val="20"/>
              </w:rPr>
              <w:t>Чешка република</w:t>
            </w:r>
          </w:p>
        </w:tc>
        <w:tc>
          <w:tcPr>
            <w:tcW w:w="3100" w:type="dxa"/>
            <w:shd w:val="clear" w:color="auto" w:fill="auto"/>
            <w:noWrap/>
            <w:vAlign w:val="bottom"/>
            <w:hideMark/>
          </w:tcPr>
          <w:p w14:paraId="692BDB55" w14:textId="77777777" w:rsidR="00C3264D" w:rsidRDefault="00707619">
            <w:pPr>
              <w:spacing w:after="0" w:line="240" w:lineRule="auto"/>
              <w:jc w:val="right"/>
              <w:rPr>
                <w:rFonts w:ascii="Times New Roman" w:eastAsia="Times New Roman" w:hAnsi="Times New Roman"/>
                <w:sz w:val="20"/>
                <w:szCs w:val="20"/>
              </w:rPr>
            </w:pPr>
            <w:r>
              <w:rPr>
                <w:rFonts w:ascii="Times New Roman" w:hAnsi="Times New Roman"/>
                <w:sz w:val="20"/>
                <w:szCs w:val="20"/>
              </w:rPr>
              <w:t>15 406 858</w:t>
            </w:r>
          </w:p>
        </w:tc>
        <w:tc>
          <w:tcPr>
            <w:tcW w:w="3100" w:type="dxa"/>
            <w:shd w:val="clear" w:color="auto" w:fill="auto"/>
            <w:noWrap/>
            <w:vAlign w:val="bottom"/>
            <w:hideMark/>
          </w:tcPr>
          <w:p w14:paraId="528A2D23" w14:textId="77777777" w:rsidR="00C3264D" w:rsidRDefault="00707619">
            <w:pPr>
              <w:spacing w:after="0" w:line="240" w:lineRule="auto"/>
              <w:jc w:val="right"/>
              <w:rPr>
                <w:rFonts w:ascii="Times New Roman" w:eastAsia="Times New Roman" w:hAnsi="Times New Roman"/>
                <w:sz w:val="20"/>
                <w:szCs w:val="20"/>
              </w:rPr>
            </w:pPr>
            <w:r>
              <w:rPr>
                <w:rFonts w:ascii="Times New Roman" w:hAnsi="Times New Roman"/>
                <w:sz w:val="20"/>
                <w:szCs w:val="20"/>
              </w:rPr>
              <w:t>10 272 626</w:t>
            </w:r>
          </w:p>
        </w:tc>
      </w:tr>
      <w:tr w:rsidR="00C3264D" w14:paraId="158FE017" w14:textId="77777777" w:rsidTr="00601A28">
        <w:trPr>
          <w:trHeight w:val="292"/>
        </w:trPr>
        <w:tc>
          <w:tcPr>
            <w:tcW w:w="3102" w:type="dxa"/>
            <w:shd w:val="clear" w:color="auto" w:fill="auto"/>
            <w:noWrap/>
            <w:vAlign w:val="bottom"/>
            <w:hideMark/>
          </w:tcPr>
          <w:p w14:paraId="03A7F586" w14:textId="77777777" w:rsidR="00C3264D" w:rsidRDefault="00707619">
            <w:pPr>
              <w:spacing w:after="0" w:line="240" w:lineRule="auto"/>
              <w:rPr>
                <w:rFonts w:ascii="Times New Roman" w:eastAsia="Times New Roman" w:hAnsi="Times New Roman"/>
                <w:sz w:val="20"/>
                <w:szCs w:val="20"/>
              </w:rPr>
            </w:pPr>
            <w:r>
              <w:rPr>
                <w:rFonts w:ascii="Times New Roman" w:hAnsi="Times New Roman"/>
                <w:sz w:val="20"/>
                <w:szCs w:val="20"/>
              </w:rPr>
              <w:t>Дания</w:t>
            </w:r>
          </w:p>
        </w:tc>
        <w:tc>
          <w:tcPr>
            <w:tcW w:w="3100" w:type="dxa"/>
            <w:shd w:val="clear" w:color="auto" w:fill="auto"/>
            <w:noWrap/>
            <w:vAlign w:val="bottom"/>
            <w:hideMark/>
          </w:tcPr>
          <w:p w14:paraId="5D82BC44" w14:textId="77777777" w:rsidR="00C3264D" w:rsidRDefault="00707619">
            <w:pPr>
              <w:spacing w:after="0" w:line="240" w:lineRule="auto"/>
              <w:jc w:val="right"/>
              <w:rPr>
                <w:rFonts w:ascii="Times New Roman" w:eastAsia="Times New Roman" w:hAnsi="Times New Roman"/>
                <w:sz w:val="20"/>
                <w:szCs w:val="20"/>
              </w:rPr>
            </w:pPr>
            <w:r>
              <w:rPr>
                <w:rFonts w:ascii="Times New Roman" w:hAnsi="Times New Roman"/>
                <w:sz w:val="20"/>
                <w:szCs w:val="20"/>
              </w:rPr>
              <w:t>5 340 750</w:t>
            </w:r>
          </w:p>
        </w:tc>
        <w:tc>
          <w:tcPr>
            <w:tcW w:w="3100" w:type="dxa"/>
            <w:shd w:val="clear" w:color="auto" w:fill="auto"/>
            <w:noWrap/>
            <w:vAlign w:val="bottom"/>
            <w:hideMark/>
          </w:tcPr>
          <w:p w14:paraId="7B7D6B72" w14:textId="77777777" w:rsidR="00C3264D" w:rsidRDefault="00707619">
            <w:pPr>
              <w:spacing w:after="0" w:line="240" w:lineRule="auto"/>
              <w:jc w:val="right"/>
              <w:rPr>
                <w:rFonts w:ascii="Times New Roman" w:eastAsia="Times New Roman" w:hAnsi="Times New Roman"/>
                <w:sz w:val="20"/>
                <w:szCs w:val="20"/>
              </w:rPr>
            </w:pPr>
            <w:r>
              <w:rPr>
                <w:rFonts w:ascii="Times New Roman" w:hAnsi="Times New Roman"/>
                <w:sz w:val="20"/>
                <w:szCs w:val="20"/>
              </w:rPr>
              <w:t>3 560 981</w:t>
            </w:r>
          </w:p>
        </w:tc>
      </w:tr>
      <w:tr w:rsidR="00C3264D" w14:paraId="442C62CA" w14:textId="77777777" w:rsidTr="00601A28">
        <w:trPr>
          <w:trHeight w:val="292"/>
        </w:trPr>
        <w:tc>
          <w:tcPr>
            <w:tcW w:w="3102" w:type="dxa"/>
            <w:shd w:val="clear" w:color="auto" w:fill="auto"/>
            <w:noWrap/>
            <w:vAlign w:val="bottom"/>
            <w:hideMark/>
          </w:tcPr>
          <w:p w14:paraId="4B948695" w14:textId="77777777" w:rsidR="00C3264D" w:rsidRDefault="00707619">
            <w:pPr>
              <w:spacing w:after="0" w:line="240" w:lineRule="auto"/>
              <w:rPr>
                <w:rFonts w:ascii="Times New Roman" w:eastAsia="Times New Roman" w:hAnsi="Times New Roman"/>
                <w:sz w:val="20"/>
                <w:szCs w:val="20"/>
              </w:rPr>
            </w:pPr>
            <w:r>
              <w:rPr>
                <w:rFonts w:ascii="Times New Roman" w:hAnsi="Times New Roman"/>
                <w:sz w:val="20"/>
                <w:szCs w:val="20"/>
              </w:rPr>
              <w:t>Естония</w:t>
            </w:r>
          </w:p>
        </w:tc>
        <w:tc>
          <w:tcPr>
            <w:tcW w:w="3100" w:type="dxa"/>
            <w:shd w:val="clear" w:color="auto" w:fill="auto"/>
            <w:noWrap/>
            <w:vAlign w:val="bottom"/>
            <w:hideMark/>
          </w:tcPr>
          <w:p w14:paraId="1BFBCCC3" w14:textId="77777777" w:rsidR="00C3264D" w:rsidRDefault="00707619">
            <w:pPr>
              <w:spacing w:after="0" w:line="240" w:lineRule="auto"/>
              <w:jc w:val="right"/>
              <w:rPr>
                <w:rFonts w:ascii="Times New Roman" w:eastAsia="Times New Roman" w:hAnsi="Times New Roman"/>
                <w:sz w:val="20"/>
                <w:szCs w:val="20"/>
              </w:rPr>
            </w:pPr>
            <w:r>
              <w:rPr>
                <w:rFonts w:ascii="Times New Roman" w:hAnsi="Times New Roman"/>
                <w:sz w:val="20"/>
                <w:szCs w:val="20"/>
              </w:rPr>
              <w:t>2 904 319</w:t>
            </w:r>
          </w:p>
        </w:tc>
        <w:tc>
          <w:tcPr>
            <w:tcW w:w="3100" w:type="dxa"/>
            <w:shd w:val="clear" w:color="auto" w:fill="auto"/>
            <w:noWrap/>
            <w:vAlign w:val="bottom"/>
            <w:hideMark/>
          </w:tcPr>
          <w:p w14:paraId="25EB0505" w14:textId="77777777" w:rsidR="00C3264D" w:rsidRDefault="00707619">
            <w:pPr>
              <w:spacing w:after="0" w:line="240" w:lineRule="auto"/>
              <w:jc w:val="right"/>
              <w:rPr>
                <w:rFonts w:ascii="Times New Roman" w:eastAsia="Times New Roman" w:hAnsi="Times New Roman"/>
                <w:sz w:val="20"/>
                <w:szCs w:val="20"/>
              </w:rPr>
            </w:pPr>
            <w:r>
              <w:rPr>
                <w:rFonts w:ascii="Times New Roman" w:hAnsi="Times New Roman"/>
                <w:sz w:val="20"/>
                <w:szCs w:val="20"/>
              </w:rPr>
              <w:t>1 936 474</w:t>
            </w:r>
          </w:p>
        </w:tc>
      </w:tr>
      <w:tr w:rsidR="00C3264D" w14:paraId="5888A41C" w14:textId="77777777" w:rsidTr="00601A28">
        <w:trPr>
          <w:trHeight w:val="292"/>
        </w:trPr>
        <w:tc>
          <w:tcPr>
            <w:tcW w:w="3102" w:type="dxa"/>
            <w:shd w:val="clear" w:color="auto" w:fill="auto"/>
            <w:noWrap/>
            <w:vAlign w:val="bottom"/>
            <w:hideMark/>
          </w:tcPr>
          <w:p w14:paraId="75D6AE48" w14:textId="77777777" w:rsidR="00C3264D" w:rsidRDefault="00707619">
            <w:pPr>
              <w:spacing w:after="0" w:line="240" w:lineRule="auto"/>
              <w:rPr>
                <w:rFonts w:ascii="Times New Roman" w:eastAsia="Times New Roman" w:hAnsi="Times New Roman"/>
                <w:sz w:val="20"/>
                <w:szCs w:val="20"/>
              </w:rPr>
            </w:pPr>
            <w:r>
              <w:rPr>
                <w:rFonts w:ascii="Times New Roman" w:hAnsi="Times New Roman"/>
                <w:sz w:val="20"/>
                <w:szCs w:val="20"/>
              </w:rPr>
              <w:t>Финландия</w:t>
            </w:r>
          </w:p>
        </w:tc>
        <w:tc>
          <w:tcPr>
            <w:tcW w:w="3100" w:type="dxa"/>
            <w:shd w:val="clear" w:color="auto" w:fill="auto"/>
            <w:noWrap/>
            <w:vAlign w:val="bottom"/>
            <w:hideMark/>
          </w:tcPr>
          <w:p w14:paraId="47E8E443" w14:textId="77777777" w:rsidR="00C3264D" w:rsidRDefault="00707619">
            <w:pPr>
              <w:spacing w:after="0" w:line="240" w:lineRule="auto"/>
              <w:jc w:val="right"/>
              <w:rPr>
                <w:rFonts w:ascii="Times New Roman" w:eastAsia="Times New Roman" w:hAnsi="Times New Roman"/>
                <w:sz w:val="20"/>
                <w:szCs w:val="20"/>
              </w:rPr>
            </w:pPr>
            <w:r>
              <w:rPr>
                <w:rFonts w:ascii="Times New Roman" w:hAnsi="Times New Roman"/>
                <w:sz w:val="20"/>
                <w:szCs w:val="20"/>
              </w:rPr>
              <w:t>7 130 025</w:t>
            </w:r>
          </w:p>
        </w:tc>
        <w:tc>
          <w:tcPr>
            <w:tcW w:w="3100" w:type="dxa"/>
            <w:shd w:val="clear" w:color="auto" w:fill="auto"/>
            <w:noWrap/>
            <w:vAlign w:val="bottom"/>
            <w:hideMark/>
          </w:tcPr>
          <w:p w14:paraId="4C89AB97" w14:textId="77777777" w:rsidR="00C3264D" w:rsidRDefault="00707619">
            <w:pPr>
              <w:spacing w:after="0" w:line="240" w:lineRule="auto"/>
              <w:jc w:val="right"/>
              <w:rPr>
                <w:rFonts w:ascii="Times New Roman" w:eastAsia="Times New Roman" w:hAnsi="Times New Roman"/>
                <w:sz w:val="20"/>
                <w:szCs w:val="20"/>
              </w:rPr>
            </w:pPr>
            <w:r>
              <w:rPr>
                <w:rFonts w:ascii="Times New Roman" w:hAnsi="Times New Roman"/>
                <w:sz w:val="20"/>
                <w:szCs w:val="20"/>
              </w:rPr>
              <w:t>4 753 992</w:t>
            </w:r>
          </w:p>
        </w:tc>
      </w:tr>
      <w:tr w:rsidR="00C3264D" w14:paraId="3645574F" w14:textId="77777777" w:rsidTr="00601A28">
        <w:trPr>
          <w:trHeight w:val="292"/>
        </w:trPr>
        <w:tc>
          <w:tcPr>
            <w:tcW w:w="3102" w:type="dxa"/>
            <w:shd w:val="clear" w:color="auto" w:fill="auto"/>
            <w:noWrap/>
            <w:vAlign w:val="bottom"/>
            <w:hideMark/>
          </w:tcPr>
          <w:p w14:paraId="0D0CA15D" w14:textId="77777777" w:rsidR="00C3264D" w:rsidRDefault="00707619">
            <w:pPr>
              <w:spacing w:after="0" w:line="240" w:lineRule="auto"/>
              <w:rPr>
                <w:rFonts w:ascii="Times New Roman" w:eastAsia="Times New Roman" w:hAnsi="Times New Roman"/>
                <w:sz w:val="20"/>
                <w:szCs w:val="20"/>
              </w:rPr>
            </w:pPr>
            <w:r>
              <w:rPr>
                <w:rFonts w:ascii="Times New Roman" w:hAnsi="Times New Roman"/>
                <w:sz w:val="20"/>
                <w:szCs w:val="20"/>
              </w:rPr>
              <w:t>Франция</w:t>
            </w:r>
          </w:p>
        </w:tc>
        <w:tc>
          <w:tcPr>
            <w:tcW w:w="3100" w:type="dxa"/>
            <w:shd w:val="clear" w:color="auto" w:fill="auto"/>
            <w:noWrap/>
            <w:vAlign w:val="bottom"/>
            <w:hideMark/>
          </w:tcPr>
          <w:p w14:paraId="3897226F" w14:textId="77777777" w:rsidR="00C3264D" w:rsidRDefault="00707619">
            <w:pPr>
              <w:spacing w:after="0" w:line="240" w:lineRule="auto"/>
              <w:jc w:val="right"/>
              <w:rPr>
                <w:rFonts w:ascii="Times New Roman" w:eastAsia="Times New Roman" w:hAnsi="Times New Roman"/>
                <w:sz w:val="20"/>
                <w:szCs w:val="20"/>
              </w:rPr>
            </w:pPr>
            <w:r>
              <w:rPr>
                <w:rFonts w:ascii="Times New Roman" w:hAnsi="Times New Roman"/>
                <w:sz w:val="20"/>
                <w:szCs w:val="20"/>
              </w:rPr>
              <w:t>23 346 791</w:t>
            </w:r>
          </w:p>
        </w:tc>
        <w:tc>
          <w:tcPr>
            <w:tcW w:w="3100" w:type="dxa"/>
            <w:shd w:val="clear" w:color="auto" w:fill="auto"/>
            <w:noWrap/>
            <w:vAlign w:val="bottom"/>
            <w:hideMark/>
          </w:tcPr>
          <w:p w14:paraId="1910D844" w14:textId="77777777" w:rsidR="00C3264D" w:rsidRDefault="00707619">
            <w:pPr>
              <w:spacing w:after="0" w:line="240" w:lineRule="auto"/>
              <w:jc w:val="right"/>
              <w:rPr>
                <w:rFonts w:ascii="Times New Roman" w:eastAsia="Times New Roman" w:hAnsi="Times New Roman"/>
                <w:sz w:val="20"/>
                <w:szCs w:val="20"/>
              </w:rPr>
            </w:pPr>
            <w:r>
              <w:rPr>
                <w:rFonts w:ascii="Times New Roman" w:hAnsi="Times New Roman"/>
                <w:sz w:val="20"/>
                <w:szCs w:val="20"/>
              </w:rPr>
              <w:t>15 566 629</w:t>
            </w:r>
          </w:p>
        </w:tc>
      </w:tr>
      <w:tr w:rsidR="00C3264D" w14:paraId="14F46345" w14:textId="77777777" w:rsidTr="00601A28">
        <w:trPr>
          <w:trHeight w:val="292"/>
        </w:trPr>
        <w:tc>
          <w:tcPr>
            <w:tcW w:w="3102" w:type="dxa"/>
            <w:shd w:val="clear" w:color="auto" w:fill="auto"/>
            <w:noWrap/>
            <w:vAlign w:val="bottom"/>
            <w:hideMark/>
          </w:tcPr>
          <w:p w14:paraId="1D334ACB" w14:textId="77777777" w:rsidR="00C3264D" w:rsidRDefault="00707619">
            <w:pPr>
              <w:spacing w:after="0" w:line="240" w:lineRule="auto"/>
              <w:rPr>
                <w:rFonts w:ascii="Times New Roman" w:eastAsia="Times New Roman" w:hAnsi="Times New Roman"/>
                <w:sz w:val="20"/>
                <w:szCs w:val="20"/>
              </w:rPr>
            </w:pPr>
            <w:r>
              <w:rPr>
                <w:rFonts w:ascii="Times New Roman" w:hAnsi="Times New Roman"/>
                <w:sz w:val="20"/>
                <w:szCs w:val="20"/>
              </w:rPr>
              <w:t>Германия</w:t>
            </w:r>
          </w:p>
        </w:tc>
        <w:tc>
          <w:tcPr>
            <w:tcW w:w="3100" w:type="dxa"/>
            <w:shd w:val="clear" w:color="auto" w:fill="auto"/>
            <w:noWrap/>
            <w:vAlign w:val="bottom"/>
            <w:hideMark/>
          </w:tcPr>
          <w:p w14:paraId="53C90019" w14:textId="77777777" w:rsidR="00C3264D" w:rsidRDefault="00707619">
            <w:pPr>
              <w:spacing w:after="0" w:line="240" w:lineRule="auto"/>
              <w:jc w:val="right"/>
              <w:rPr>
                <w:rFonts w:ascii="Times New Roman" w:eastAsia="Times New Roman" w:hAnsi="Times New Roman"/>
                <w:sz w:val="20"/>
                <w:szCs w:val="20"/>
              </w:rPr>
            </w:pPr>
            <w:r>
              <w:rPr>
                <w:rFonts w:ascii="Times New Roman" w:hAnsi="Times New Roman"/>
                <w:sz w:val="20"/>
                <w:szCs w:val="20"/>
              </w:rPr>
              <w:t>85 389 770</w:t>
            </w:r>
          </w:p>
        </w:tc>
        <w:tc>
          <w:tcPr>
            <w:tcW w:w="3100" w:type="dxa"/>
            <w:shd w:val="clear" w:color="auto" w:fill="auto"/>
            <w:noWrap/>
            <w:vAlign w:val="bottom"/>
            <w:hideMark/>
          </w:tcPr>
          <w:p w14:paraId="61159B51" w14:textId="77777777" w:rsidR="00C3264D" w:rsidRDefault="00707619">
            <w:pPr>
              <w:spacing w:after="0" w:line="240" w:lineRule="auto"/>
              <w:jc w:val="right"/>
              <w:rPr>
                <w:rFonts w:ascii="Times New Roman" w:eastAsia="Times New Roman" w:hAnsi="Times New Roman"/>
                <w:sz w:val="20"/>
                <w:szCs w:val="20"/>
              </w:rPr>
            </w:pPr>
            <w:r>
              <w:rPr>
                <w:rFonts w:ascii="Times New Roman" w:hAnsi="Times New Roman"/>
                <w:sz w:val="20"/>
                <w:szCs w:val="20"/>
              </w:rPr>
              <w:t>56 934 202</w:t>
            </w:r>
          </w:p>
        </w:tc>
      </w:tr>
      <w:tr w:rsidR="00C3264D" w14:paraId="03D83480" w14:textId="77777777" w:rsidTr="00601A28">
        <w:trPr>
          <w:trHeight w:val="292"/>
        </w:trPr>
        <w:tc>
          <w:tcPr>
            <w:tcW w:w="3102" w:type="dxa"/>
            <w:shd w:val="clear" w:color="auto" w:fill="auto"/>
            <w:noWrap/>
            <w:vAlign w:val="bottom"/>
            <w:hideMark/>
          </w:tcPr>
          <w:p w14:paraId="7E9116AB" w14:textId="77777777" w:rsidR="00C3264D" w:rsidRDefault="00707619">
            <w:pPr>
              <w:spacing w:after="0" w:line="240" w:lineRule="auto"/>
              <w:rPr>
                <w:rFonts w:ascii="Times New Roman" w:eastAsia="Times New Roman" w:hAnsi="Times New Roman"/>
                <w:sz w:val="20"/>
                <w:szCs w:val="20"/>
              </w:rPr>
            </w:pPr>
            <w:r>
              <w:rPr>
                <w:rFonts w:ascii="Times New Roman" w:hAnsi="Times New Roman"/>
                <w:sz w:val="20"/>
                <w:szCs w:val="20"/>
              </w:rPr>
              <w:t>Гърция</w:t>
            </w:r>
          </w:p>
        </w:tc>
        <w:tc>
          <w:tcPr>
            <w:tcW w:w="3100" w:type="dxa"/>
            <w:shd w:val="clear" w:color="auto" w:fill="auto"/>
            <w:noWrap/>
            <w:vAlign w:val="bottom"/>
            <w:hideMark/>
          </w:tcPr>
          <w:p w14:paraId="1F1F9EB3" w14:textId="77777777" w:rsidR="00C3264D" w:rsidRDefault="00707619">
            <w:pPr>
              <w:spacing w:after="0" w:line="240" w:lineRule="auto"/>
              <w:jc w:val="right"/>
              <w:rPr>
                <w:rFonts w:ascii="Times New Roman" w:eastAsia="Times New Roman" w:hAnsi="Times New Roman"/>
                <w:sz w:val="20"/>
                <w:szCs w:val="20"/>
              </w:rPr>
            </w:pPr>
            <w:r>
              <w:rPr>
                <w:rFonts w:ascii="Times New Roman" w:hAnsi="Times New Roman"/>
                <w:sz w:val="20"/>
                <w:szCs w:val="20"/>
              </w:rPr>
              <w:t>12 684 492</w:t>
            </w:r>
          </w:p>
        </w:tc>
        <w:tc>
          <w:tcPr>
            <w:tcW w:w="3100" w:type="dxa"/>
            <w:shd w:val="clear" w:color="auto" w:fill="auto"/>
            <w:noWrap/>
            <w:vAlign w:val="bottom"/>
            <w:hideMark/>
          </w:tcPr>
          <w:p w14:paraId="1B18072E" w14:textId="77777777" w:rsidR="00C3264D" w:rsidRDefault="00707619">
            <w:pPr>
              <w:spacing w:after="0" w:line="240" w:lineRule="auto"/>
              <w:jc w:val="right"/>
              <w:rPr>
                <w:rFonts w:ascii="Times New Roman" w:eastAsia="Times New Roman" w:hAnsi="Times New Roman"/>
                <w:sz w:val="20"/>
                <w:szCs w:val="20"/>
              </w:rPr>
            </w:pPr>
            <w:r>
              <w:rPr>
                <w:rFonts w:ascii="Times New Roman" w:hAnsi="Times New Roman"/>
                <w:sz w:val="20"/>
                <w:szCs w:val="20"/>
              </w:rPr>
              <w:t>8 457 470</w:t>
            </w:r>
          </w:p>
        </w:tc>
      </w:tr>
      <w:tr w:rsidR="00C3264D" w14:paraId="3313AF20" w14:textId="77777777" w:rsidTr="00601A28">
        <w:trPr>
          <w:trHeight w:val="292"/>
        </w:trPr>
        <w:tc>
          <w:tcPr>
            <w:tcW w:w="3102" w:type="dxa"/>
            <w:shd w:val="clear" w:color="auto" w:fill="auto"/>
            <w:noWrap/>
            <w:vAlign w:val="bottom"/>
            <w:hideMark/>
          </w:tcPr>
          <w:p w14:paraId="1862BC3D" w14:textId="77777777" w:rsidR="00C3264D" w:rsidRDefault="00707619">
            <w:pPr>
              <w:spacing w:after="0" w:line="240" w:lineRule="auto"/>
              <w:rPr>
                <w:rFonts w:ascii="Times New Roman" w:eastAsia="Times New Roman" w:hAnsi="Times New Roman"/>
                <w:sz w:val="20"/>
                <w:szCs w:val="20"/>
              </w:rPr>
            </w:pPr>
            <w:r>
              <w:rPr>
                <w:rFonts w:ascii="Times New Roman" w:hAnsi="Times New Roman"/>
                <w:sz w:val="20"/>
                <w:szCs w:val="20"/>
              </w:rPr>
              <w:t>Унгария</w:t>
            </w:r>
          </w:p>
        </w:tc>
        <w:tc>
          <w:tcPr>
            <w:tcW w:w="3100" w:type="dxa"/>
            <w:shd w:val="clear" w:color="auto" w:fill="auto"/>
            <w:noWrap/>
            <w:vAlign w:val="bottom"/>
            <w:hideMark/>
          </w:tcPr>
          <w:p w14:paraId="1EDC2A4F" w14:textId="77777777" w:rsidR="00C3264D" w:rsidRDefault="00707619">
            <w:pPr>
              <w:spacing w:after="0" w:line="240" w:lineRule="auto"/>
              <w:jc w:val="right"/>
              <w:rPr>
                <w:rFonts w:ascii="Times New Roman" w:eastAsia="Times New Roman" w:hAnsi="Times New Roman"/>
                <w:sz w:val="20"/>
                <w:szCs w:val="20"/>
              </w:rPr>
            </w:pPr>
            <w:r>
              <w:rPr>
                <w:rFonts w:ascii="Times New Roman" w:hAnsi="Times New Roman"/>
                <w:sz w:val="20"/>
                <w:szCs w:val="20"/>
              </w:rPr>
              <w:t>5 115 708</w:t>
            </w:r>
          </w:p>
        </w:tc>
        <w:tc>
          <w:tcPr>
            <w:tcW w:w="3100" w:type="dxa"/>
            <w:shd w:val="clear" w:color="auto" w:fill="auto"/>
            <w:noWrap/>
            <w:vAlign w:val="bottom"/>
            <w:hideMark/>
          </w:tcPr>
          <w:p w14:paraId="7F4FCA60" w14:textId="77777777" w:rsidR="00C3264D" w:rsidRDefault="00707619">
            <w:pPr>
              <w:spacing w:after="0" w:line="240" w:lineRule="auto"/>
              <w:jc w:val="right"/>
              <w:rPr>
                <w:rFonts w:ascii="Times New Roman" w:eastAsia="Times New Roman" w:hAnsi="Times New Roman"/>
                <w:sz w:val="20"/>
                <w:szCs w:val="20"/>
              </w:rPr>
            </w:pPr>
            <w:r>
              <w:rPr>
                <w:rFonts w:ascii="Times New Roman" w:hAnsi="Times New Roman"/>
                <w:sz w:val="20"/>
                <w:szCs w:val="20"/>
              </w:rPr>
              <w:t>3 410 933</w:t>
            </w:r>
          </w:p>
        </w:tc>
      </w:tr>
      <w:tr w:rsidR="00C3264D" w14:paraId="44C56151" w14:textId="77777777" w:rsidTr="00601A28">
        <w:trPr>
          <w:trHeight w:val="292"/>
        </w:trPr>
        <w:tc>
          <w:tcPr>
            <w:tcW w:w="3102" w:type="dxa"/>
            <w:shd w:val="clear" w:color="auto" w:fill="auto"/>
            <w:noWrap/>
            <w:vAlign w:val="bottom"/>
            <w:hideMark/>
          </w:tcPr>
          <w:p w14:paraId="153227FC" w14:textId="77777777" w:rsidR="00C3264D" w:rsidRDefault="00707619">
            <w:pPr>
              <w:spacing w:after="0" w:line="240" w:lineRule="auto"/>
              <w:rPr>
                <w:rFonts w:ascii="Times New Roman" w:eastAsia="Times New Roman" w:hAnsi="Times New Roman"/>
                <w:sz w:val="20"/>
                <w:szCs w:val="20"/>
              </w:rPr>
            </w:pPr>
            <w:r>
              <w:rPr>
                <w:rFonts w:ascii="Times New Roman" w:hAnsi="Times New Roman"/>
                <w:sz w:val="20"/>
                <w:szCs w:val="20"/>
              </w:rPr>
              <w:t>Исландия</w:t>
            </w:r>
          </w:p>
        </w:tc>
        <w:tc>
          <w:tcPr>
            <w:tcW w:w="3100" w:type="dxa"/>
            <w:shd w:val="clear" w:color="auto" w:fill="auto"/>
            <w:noWrap/>
            <w:vAlign w:val="bottom"/>
            <w:hideMark/>
          </w:tcPr>
          <w:p w14:paraId="40349B5B" w14:textId="77777777" w:rsidR="00C3264D" w:rsidRDefault="00707619">
            <w:pPr>
              <w:spacing w:after="0" w:line="240" w:lineRule="auto"/>
              <w:jc w:val="right"/>
              <w:rPr>
                <w:rFonts w:ascii="Times New Roman" w:eastAsia="Times New Roman" w:hAnsi="Times New Roman"/>
                <w:sz w:val="20"/>
                <w:szCs w:val="20"/>
              </w:rPr>
            </w:pPr>
            <w:r>
              <w:rPr>
                <w:rFonts w:ascii="Times New Roman" w:hAnsi="Times New Roman"/>
                <w:sz w:val="20"/>
                <w:szCs w:val="20"/>
              </w:rPr>
              <w:t>166 450</w:t>
            </w:r>
          </w:p>
        </w:tc>
        <w:tc>
          <w:tcPr>
            <w:tcW w:w="3100" w:type="dxa"/>
            <w:shd w:val="clear" w:color="auto" w:fill="auto"/>
            <w:noWrap/>
            <w:vAlign w:val="bottom"/>
            <w:hideMark/>
          </w:tcPr>
          <w:p w14:paraId="3D38BD5D" w14:textId="77777777" w:rsidR="00C3264D" w:rsidRDefault="00707619">
            <w:pPr>
              <w:spacing w:after="0" w:line="240" w:lineRule="auto"/>
              <w:jc w:val="right"/>
              <w:rPr>
                <w:rFonts w:ascii="Times New Roman" w:eastAsia="Times New Roman" w:hAnsi="Times New Roman"/>
                <w:sz w:val="20"/>
                <w:szCs w:val="20"/>
              </w:rPr>
            </w:pPr>
            <w:r>
              <w:rPr>
                <w:rFonts w:ascii="Times New Roman" w:hAnsi="Times New Roman"/>
                <w:sz w:val="20"/>
                <w:szCs w:val="20"/>
              </w:rPr>
              <w:t>110 982</w:t>
            </w:r>
          </w:p>
        </w:tc>
      </w:tr>
      <w:tr w:rsidR="00C3264D" w14:paraId="5F82ED15" w14:textId="77777777" w:rsidTr="00601A28">
        <w:trPr>
          <w:trHeight w:val="292"/>
        </w:trPr>
        <w:tc>
          <w:tcPr>
            <w:tcW w:w="3102" w:type="dxa"/>
            <w:shd w:val="clear" w:color="auto" w:fill="auto"/>
            <w:noWrap/>
            <w:vAlign w:val="bottom"/>
            <w:hideMark/>
          </w:tcPr>
          <w:p w14:paraId="633333AB" w14:textId="77777777" w:rsidR="00C3264D" w:rsidRDefault="00707619">
            <w:pPr>
              <w:spacing w:after="0" w:line="240" w:lineRule="auto"/>
              <w:rPr>
                <w:rFonts w:ascii="Times New Roman" w:eastAsia="Times New Roman" w:hAnsi="Times New Roman"/>
                <w:sz w:val="20"/>
                <w:szCs w:val="20"/>
              </w:rPr>
            </w:pPr>
            <w:r>
              <w:rPr>
                <w:rFonts w:ascii="Times New Roman" w:hAnsi="Times New Roman"/>
                <w:sz w:val="20"/>
                <w:szCs w:val="20"/>
              </w:rPr>
              <w:t>Ирландия</w:t>
            </w:r>
          </w:p>
        </w:tc>
        <w:tc>
          <w:tcPr>
            <w:tcW w:w="3100" w:type="dxa"/>
            <w:shd w:val="clear" w:color="auto" w:fill="auto"/>
            <w:noWrap/>
            <w:vAlign w:val="bottom"/>
            <w:hideMark/>
          </w:tcPr>
          <w:p w14:paraId="3E521FC2" w14:textId="77777777" w:rsidR="00C3264D" w:rsidRDefault="00707619">
            <w:pPr>
              <w:spacing w:after="0" w:line="240" w:lineRule="auto"/>
              <w:jc w:val="right"/>
              <w:rPr>
                <w:rFonts w:ascii="Times New Roman" w:eastAsia="Times New Roman" w:hAnsi="Times New Roman"/>
                <w:sz w:val="20"/>
                <w:szCs w:val="20"/>
              </w:rPr>
            </w:pPr>
            <w:r>
              <w:rPr>
                <w:rFonts w:ascii="Times New Roman" w:hAnsi="Times New Roman"/>
                <w:sz w:val="20"/>
                <w:szCs w:val="20"/>
              </w:rPr>
              <w:t>3 991 393</w:t>
            </w:r>
          </w:p>
        </w:tc>
        <w:tc>
          <w:tcPr>
            <w:tcW w:w="3100" w:type="dxa"/>
            <w:shd w:val="clear" w:color="auto" w:fill="auto"/>
            <w:noWrap/>
            <w:vAlign w:val="bottom"/>
            <w:hideMark/>
          </w:tcPr>
          <w:p w14:paraId="6F9919E2" w14:textId="77777777" w:rsidR="00C3264D" w:rsidRDefault="00707619">
            <w:pPr>
              <w:spacing w:after="0" w:line="240" w:lineRule="auto"/>
              <w:jc w:val="right"/>
              <w:rPr>
                <w:rFonts w:ascii="Times New Roman" w:eastAsia="Times New Roman" w:hAnsi="Times New Roman"/>
                <w:sz w:val="20"/>
                <w:szCs w:val="20"/>
              </w:rPr>
            </w:pPr>
            <w:r>
              <w:rPr>
                <w:rFonts w:ascii="Times New Roman" w:hAnsi="Times New Roman"/>
                <w:sz w:val="20"/>
                <w:szCs w:val="20"/>
              </w:rPr>
              <w:t>2 661 288</w:t>
            </w:r>
          </w:p>
        </w:tc>
      </w:tr>
      <w:tr w:rsidR="00C3264D" w14:paraId="04BB7FC1" w14:textId="77777777" w:rsidTr="00601A28">
        <w:trPr>
          <w:trHeight w:val="292"/>
        </w:trPr>
        <w:tc>
          <w:tcPr>
            <w:tcW w:w="3102" w:type="dxa"/>
            <w:shd w:val="clear" w:color="auto" w:fill="auto"/>
            <w:noWrap/>
            <w:vAlign w:val="bottom"/>
            <w:hideMark/>
          </w:tcPr>
          <w:p w14:paraId="3CCE33BE" w14:textId="77777777" w:rsidR="00C3264D" w:rsidRDefault="00707619">
            <w:pPr>
              <w:spacing w:after="0" w:line="240" w:lineRule="auto"/>
              <w:rPr>
                <w:rFonts w:ascii="Times New Roman" w:eastAsia="Times New Roman" w:hAnsi="Times New Roman"/>
                <w:sz w:val="20"/>
                <w:szCs w:val="20"/>
              </w:rPr>
            </w:pPr>
            <w:r>
              <w:rPr>
                <w:rFonts w:ascii="Times New Roman" w:hAnsi="Times New Roman"/>
                <w:sz w:val="20"/>
                <w:szCs w:val="20"/>
              </w:rPr>
              <w:t>Италия</w:t>
            </w:r>
          </w:p>
        </w:tc>
        <w:tc>
          <w:tcPr>
            <w:tcW w:w="3100" w:type="dxa"/>
            <w:shd w:val="clear" w:color="auto" w:fill="auto"/>
            <w:noWrap/>
            <w:vAlign w:val="bottom"/>
            <w:hideMark/>
          </w:tcPr>
          <w:p w14:paraId="4DA3D631" w14:textId="77777777" w:rsidR="00C3264D" w:rsidRDefault="00707619">
            <w:pPr>
              <w:spacing w:after="0" w:line="240" w:lineRule="auto"/>
              <w:jc w:val="right"/>
              <w:rPr>
                <w:rFonts w:ascii="Times New Roman" w:eastAsia="Times New Roman" w:hAnsi="Times New Roman"/>
                <w:sz w:val="20"/>
                <w:szCs w:val="20"/>
              </w:rPr>
            </w:pPr>
            <w:r>
              <w:rPr>
                <w:rFonts w:ascii="Times New Roman" w:hAnsi="Times New Roman"/>
                <w:sz w:val="20"/>
                <w:szCs w:val="20"/>
              </w:rPr>
              <w:t>40 304 729</w:t>
            </w:r>
          </w:p>
        </w:tc>
        <w:tc>
          <w:tcPr>
            <w:tcW w:w="3100" w:type="dxa"/>
            <w:shd w:val="clear" w:color="auto" w:fill="auto"/>
            <w:noWrap/>
            <w:vAlign w:val="bottom"/>
            <w:hideMark/>
          </w:tcPr>
          <w:p w14:paraId="215CEB4C" w14:textId="77777777" w:rsidR="00C3264D" w:rsidRDefault="00707619">
            <w:pPr>
              <w:spacing w:after="0" w:line="240" w:lineRule="auto"/>
              <w:jc w:val="right"/>
              <w:rPr>
                <w:rFonts w:ascii="Times New Roman" w:eastAsia="Times New Roman" w:hAnsi="Times New Roman"/>
                <w:sz w:val="20"/>
                <w:szCs w:val="20"/>
              </w:rPr>
            </w:pPr>
            <w:r>
              <w:rPr>
                <w:rFonts w:ascii="Times New Roman" w:hAnsi="Times New Roman"/>
                <w:sz w:val="20"/>
                <w:szCs w:val="20"/>
              </w:rPr>
              <w:t>26 873 449</w:t>
            </w:r>
          </w:p>
        </w:tc>
      </w:tr>
      <w:tr w:rsidR="00C3264D" w14:paraId="1EAF1743" w14:textId="77777777" w:rsidTr="00601A28">
        <w:trPr>
          <w:trHeight w:val="292"/>
        </w:trPr>
        <w:tc>
          <w:tcPr>
            <w:tcW w:w="3102" w:type="dxa"/>
            <w:shd w:val="clear" w:color="auto" w:fill="auto"/>
            <w:noWrap/>
            <w:vAlign w:val="bottom"/>
            <w:hideMark/>
          </w:tcPr>
          <w:p w14:paraId="2820CAFC" w14:textId="77777777" w:rsidR="00C3264D" w:rsidRDefault="00707619">
            <w:pPr>
              <w:spacing w:after="0" w:line="240" w:lineRule="auto"/>
              <w:rPr>
                <w:rFonts w:ascii="Times New Roman" w:eastAsia="Times New Roman" w:hAnsi="Times New Roman"/>
                <w:sz w:val="20"/>
                <w:szCs w:val="20"/>
              </w:rPr>
            </w:pPr>
            <w:r>
              <w:rPr>
                <w:rFonts w:ascii="Times New Roman" w:hAnsi="Times New Roman"/>
                <w:sz w:val="20"/>
                <w:szCs w:val="20"/>
              </w:rPr>
              <w:t>Латвия</w:t>
            </w:r>
          </w:p>
        </w:tc>
        <w:tc>
          <w:tcPr>
            <w:tcW w:w="3100" w:type="dxa"/>
            <w:shd w:val="clear" w:color="auto" w:fill="auto"/>
            <w:noWrap/>
            <w:vAlign w:val="bottom"/>
            <w:hideMark/>
          </w:tcPr>
          <w:p w14:paraId="0D17DE0C" w14:textId="77777777" w:rsidR="00C3264D" w:rsidRDefault="00707619">
            <w:pPr>
              <w:spacing w:after="0" w:line="240" w:lineRule="auto"/>
              <w:jc w:val="right"/>
              <w:rPr>
                <w:rFonts w:ascii="Times New Roman" w:eastAsia="Times New Roman" w:hAnsi="Times New Roman"/>
                <w:sz w:val="20"/>
                <w:szCs w:val="20"/>
              </w:rPr>
            </w:pPr>
            <w:r>
              <w:rPr>
                <w:rFonts w:ascii="Times New Roman" w:hAnsi="Times New Roman"/>
                <w:sz w:val="20"/>
                <w:szCs w:val="20"/>
              </w:rPr>
              <w:t>865 501</w:t>
            </w:r>
          </w:p>
        </w:tc>
        <w:tc>
          <w:tcPr>
            <w:tcW w:w="3100" w:type="dxa"/>
            <w:shd w:val="clear" w:color="auto" w:fill="auto"/>
            <w:noWrap/>
            <w:vAlign w:val="bottom"/>
            <w:hideMark/>
          </w:tcPr>
          <w:p w14:paraId="67AE242F" w14:textId="77777777" w:rsidR="00C3264D" w:rsidRDefault="00707619">
            <w:pPr>
              <w:spacing w:after="0" w:line="240" w:lineRule="auto"/>
              <w:jc w:val="right"/>
              <w:rPr>
                <w:rFonts w:ascii="Times New Roman" w:eastAsia="Times New Roman" w:hAnsi="Times New Roman"/>
                <w:sz w:val="20"/>
                <w:szCs w:val="20"/>
              </w:rPr>
            </w:pPr>
            <w:r>
              <w:rPr>
                <w:rFonts w:ascii="Times New Roman" w:hAnsi="Times New Roman"/>
                <w:sz w:val="20"/>
                <w:szCs w:val="20"/>
              </w:rPr>
              <w:t>577 079</w:t>
            </w:r>
          </w:p>
        </w:tc>
      </w:tr>
      <w:tr w:rsidR="00C3264D" w14:paraId="1208642F" w14:textId="77777777" w:rsidTr="00601A28">
        <w:trPr>
          <w:trHeight w:val="292"/>
        </w:trPr>
        <w:tc>
          <w:tcPr>
            <w:tcW w:w="3102" w:type="dxa"/>
            <w:shd w:val="clear" w:color="auto" w:fill="auto"/>
            <w:noWrap/>
            <w:vAlign w:val="bottom"/>
            <w:hideMark/>
          </w:tcPr>
          <w:p w14:paraId="3E1C264E" w14:textId="77777777" w:rsidR="00C3264D" w:rsidRDefault="00707619">
            <w:pPr>
              <w:spacing w:after="0" w:line="240" w:lineRule="auto"/>
              <w:rPr>
                <w:rFonts w:ascii="Times New Roman" w:eastAsia="Times New Roman" w:hAnsi="Times New Roman"/>
                <w:sz w:val="20"/>
                <w:szCs w:val="20"/>
              </w:rPr>
            </w:pPr>
            <w:r>
              <w:rPr>
                <w:rFonts w:ascii="Times New Roman" w:hAnsi="Times New Roman"/>
                <w:sz w:val="20"/>
                <w:szCs w:val="20"/>
              </w:rPr>
              <w:t>Лихтенщайн</w:t>
            </w:r>
          </w:p>
        </w:tc>
        <w:tc>
          <w:tcPr>
            <w:tcW w:w="3100" w:type="dxa"/>
            <w:shd w:val="clear" w:color="auto" w:fill="auto"/>
            <w:noWrap/>
            <w:vAlign w:val="bottom"/>
            <w:hideMark/>
          </w:tcPr>
          <w:p w14:paraId="58F64451" w14:textId="77777777" w:rsidR="00C3264D" w:rsidRDefault="00707619">
            <w:pPr>
              <w:spacing w:after="0" w:line="240" w:lineRule="auto"/>
              <w:jc w:val="right"/>
              <w:rPr>
                <w:rFonts w:ascii="Times New Roman" w:eastAsia="Times New Roman" w:hAnsi="Times New Roman"/>
                <w:sz w:val="20"/>
                <w:szCs w:val="20"/>
              </w:rPr>
            </w:pPr>
            <w:r>
              <w:rPr>
                <w:rFonts w:ascii="Times New Roman" w:hAnsi="Times New Roman"/>
                <w:sz w:val="20"/>
                <w:szCs w:val="20"/>
              </w:rPr>
              <w:t>3 725</w:t>
            </w:r>
          </w:p>
        </w:tc>
        <w:tc>
          <w:tcPr>
            <w:tcW w:w="3100" w:type="dxa"/>
            <w:shd w:val="clear" w:color="auto" w:fill="auto"/>
            <w:noWrap/>
            <w:vAlign w:val="bottom"/>
            <w:hideMark/>
          </w:tcPr>
          <w:p w14:paraId="7AA7CA4A" w14:textId="77777777" w:rsidR="00C3264D" w:rsidRDefault="00707619">
            <w:pPr>
              <w:spacing w:after="0" w:line="240" w:lineRule="auto"/>
              <w:jc w:val="right"/>
              <w:rPr>
                <w:rFonts w:ascii="Times New Roman" w:eastAsia="Times New Roman" w:hAnsi="Times New Roman"/>
                <w:sz w:val="20"/>
                <w:szCs w:val="20"/>
              </w:rPr>
            </w:pPr>
            <w:r>
              <w:rPr>
                <w:rFonts w:ascii="Times New Roman" w:hAnsi="Times New Roman"/>
                <w:sz w:val="20"/>
                <w:szCs w:val="20"/>
              </w:rPr>
              <w:t>2 484</w:t>
            </w:r>
          </w:p>
        </w:tc>
      </w:tr>
      <w:tr w:rsidR="00C3264D" w14:paraId="466C4BB5" w14:textId="77777777" w:rsidTr="00601A28">
        <w:trPr>
          <w:trHeight w:val="292"/>
        </w:trPr>
        <w:tc>
          <w:tcPr>
            <w:tcW w:w="3102" w:type="dxa"/>
            <w:shd w:val="clear" w:color="auto" w:fill="auto"/>
            <w:noWrap/>
            <w:vAlign w:val="bottom"/>
            <w:hideMark/>
          </w:tcPr>
          <w:p w14:paraId="66F816BE" w14:textId="77777777" w:rsidR="00C3264D" w:rsidRDefault="00707619">
            <w:pPr>
              <w:spacing w:after="0" w:line="240" w:lineRule="auto"/>
              <w:rPr>
                <w:rFonts w:ascii="Times New Roman" w:eastAsia="Times New Roman" w:hAnsi="Times New Roman"/>
                <w:sz w:val="20"/>
                <w:szCs w:val="20"/>
              </w:rPr>
            </w:pPr>
            <w:r>
              <w:rPr>
                <w:rFonts w:ascii="Times New Roman" w:hAnsi="Times New Roman"/>
                <w:sz w:val="20"/>
                <w:szCs w:val="20"/>
              </w:rPr>
              <w:t>Литва</w:t>
            </w:r>
          </w:p>
        </w:tc>
        <w:tc>
          <w:tcPr>
            <w:tcW w:w="3100" w:type="dxa"/>
            <w:shd w:val="clear" w:color="auto" w:fill="auto"/>
            <w:noWrap/>
            <w:vAlign w:val="bottom"/>
            <w:hideMark/>
          </w:tcPr>
          <w:p w14:paraId="568D75A7" w14:textId="77777777" w:rsidR="00C3264D" w:rsidRDefault="00707619">
            <w:pPr>
              <w:spacing w:after="0" w:line="240" w:lineRule="auto"/>
              <w:jc w:val="right"/>
              <w:rPr>
                <w:rFonts w:ascii="Times New Roman" w:eastAsia="Times New Roman" w:hAnsi="Times New Roman"/>
                <w:sz w:val="20"/>
                <w:szCs w:val="20"/>
              </w:rPr>
            </w:pPr>
            <w:r>
              <w:rPr>
                <w:rFonts w:ascii="Times New Roman" w:hAnsi="Times New Roman"/>
                <w:sz w:val="20"/>
                <w:szCs w:val="20"/>
              </w:rPr>
              <w:t>1 792 324</w:t>
            </w:r>
          </w:p>
        </w:tc>
        <w:tc>
          <w:tcPr>
            <w:tcW w:w="3100" w:type="dxa"/>
            <w:shd w:val="clear" w:color="auto" w:fill="auto"/>
            <w:noWrap/>
            <w:vAlign w:val="bottom"/>
            <w:hideMark/>
          </w:tcPr>
          <w:p w14:paraId="0BE76076" w14:textId="77777777" w:rsidR="00C3264D" w:rsidRDefault="00707619">
            <w:pPr>
              <w:spacing w:after="0" w:line="240" w:lineRule="auto"/>
              <w:jc w:val="right"/>
              <w:rPr>
                <w:rFonts w:ascii="Times New Roman" w:eastAsia="Times New Roman" w:hAnsi="Times New Roman"/>
                <w:sz w:val="20"/>
                <w:szCs w:val="20"/>
              </w:rPr>
            </w:pPr>
            <w:r>
              <w:rPr>
                <w:rFonts w:ascii="Times New Roman" w:hAnsi="Times New Roman"/>
                <w:sz w:val="20"/>
                <w:szCs w:val="20"/>
              </w:rPr>
              <w:t>1 195 044</w:t>
            </w:r>
          </w:p>
        </w:tc>
      </w:tr>
      <w:tr w:rsidR="00C3264D" w14:paraId="20F109AB" w14:textId="77777777" w:rsidTr="00601A28">
        <w:trPr>
          <w:trHeight w:val="292"/>
        </w:trPr>
        <w:tc>
          <w:tcPr>
            <w:tcW w:w="3102" w:type="dxa"/>
            <w:shd w:val="clear" w:color="auto" w:fill="auto"/>
            <w:noWrap/>
            <w:vAlign w:val="bottom"/>
            <w:hideMark/>
          </w:tcPr>
          <w:p w14:paraId="43A14B7A" w14:textId="77777777" w:rsidR="00C3264D" w:rsidRDefault="00707619">
            <w:pPr>
              <w:spacing w:after="0" w:line="240" w:lineRule="auto"/>
              <w:rPr>
                <w:rFonts w:ascii="Times New Roman" w:eastAsia="Times New Roman" w:hAnsi="Times New Roman"/>
                <w:sz w:val="20"/>
                <w:szCs w:val="20"/>
              </w:rPr>
            </w:pPr>
            <w:r>
              <w:rPr>
                <w:rFonts w:ascii="Times New Roman" w:hAnsi="Times New Roman"/>
                <w:sz w:val="20"/>
                <w:szCs w:val="20"/>
              </w:rPr>
              <w:t>Люксембург</w:t>
            </w:r>
          </w:p>
        </w:tc>
        <w:tc>
          <w:tcPr>
            <w:tcW w:w="3100" w:type="dxa"/>
            <w:shd w:val="clear" w:color="auto" w:fill="auto"/>
            <w:noWrap/>
            <w:vAlign w:val="bottom"/>
            <w:hideMark/>
          </w:tcPr>
          <w:p w14:paraId="1DD9504E" w14:textId="77777777" w:rsidR="00C3264D" w:rsidRDefault="00707619">
            <w:pPr>
              <w:spacing w:after="0" w:line="240" w:lineRule="auto"/>
              <w:jc w:val="right"/>
              <w:rPr>
                <w:rFonts w:ascii="Times New Roman" w:eastAsia="Times New Roman" w:hAnsi="Times New Roman"/>
                <w:sz w:val="20"/>
                <w:szCs w:val="20"/>
              </w:rPr>
            </w:pPr>
            <w:r>
              <w:rPr>
                <w:rFonts w:ascii="Times New Roman" w:hAnsi="Times New Roman"/>
                <w:sz w:val="20"/>
                <w:szCs w:val="20"/>
              </w:rPr>
              <w:t>467 394</w:t>
            </w:r>
          </w:p>
        </w:tc>
        <w:tc>
          <w:tcPr>
            <w:tcW w:w="3100" w:type="dxa"/>
            <w:shd w:val="clear" w:color="auto" w:fill="auto"/>
            <w:noWrap/>
            <w:vAlign w:val="bottom"/>
            <w:hideMark/>
          </w:tcPr>
          <w:p w14:paraId="34EA70AA" w14:textId="77777777" w:rsidR="00C3264D" w:rsidRDefault="00707619">
            <w:pPr>
              <w:spacing w:after="0" w:line="240" w:lineRule="auto"/>
              <w:jc w:val="right"/>
              <w:rPr>
                <w:rFonts w:ascii="Times New Roman" w:eastAsia="Times New Roman" w:hAnsi="Times New Roman"/>
                <w:sz w:val="20"/>
                <w:szCs w:val="20"/>
              </w:rPr>
            </w:pPr>
            <w:r>
              <w:rPr>
                <w:rFonts w:ascii="Times New Roman" w:hAnsi="Times New Roman"/>
                <w:sz w:val="20"/>
                <w:szCs w:val="20"/>
              </w:rPr>
              <w:t>311 638</w:t>
            </w:r>
          </w:p>
        </w:tc>
      </w:tr>
      <w:tr w:rsidR="00C3264D" w14:paraId="2E0EF27F" w14:textId="77777777" w:rsidTr="00601A28">
        <w:trPr>
          <w:trHeight w:val="292"/>
        </w:trPr>
        <w:tc>
          <w:tcPr>
            <w:tcW w:w="3102" w:type="dxa"/>
            <w:shd w:val="clear" w:color="auto" w:fill="auto"/>
            <w:noWrap/>
            <w:vAlign w:val="bottom"/>
            <w:hideMark/>
          </w:tcPr>
          <w:p w14:paraId="5A0CABC7" w14:textId="77777777" w:rsidR="00C3264D" w:rsidRDefault="00707619">
            <w:pPr>
              <w:spacing w:after="0" w:line="240" w:lineRule="auto"/>
              <w:rPr>
                <w:rFonts w:ascii="Times New Roman" w:eastAsia="Times New Roman" w:hAnsi="Times New Roman"/>
                <w:sz w:val="20"/>
                <w:szCs w:val="20"/>
              </w:rPr>
            </w:pPr>
            <w:r>
              <w:rPr>
                <w:rFonts w:ascii="Times New Roman" w:hAnsi="Times New Roman"/>
                <w:sz w:val="20"/>
                <w:szCs w:val="20"/>
              </w:rPr>
              <w:t>Малта</w:t>
            </w:r>
          </w:p>
        </w:tc>
        <w:tc>
          <w:tcPr>
            <w:tcW w:w="3100" w:type="dxa"/>
            <w:shd w:val="clear" w:color="auto" w:fill="auto"/>
            <w:noWrap/>
            <w:vAlign w:val="bottom"/>
            <w:hideMark/>
          </w:tcPr>
          <w:p w14:paraId="3326D626" w14:textId="77777777" w:rsidR="00C3264D" w:rsidRDefault="00707619">
            <w:pPr>
              <w:spacing w:after="0" w:line="240" w:lineRule="auto"/>
              <w:jc w:val="right"/>
              <w:rPr>
                <w:rFonts w:ascii="Times New Roman" w:eastAsia="Times New Roman" w:hAnsi="Times New Roman"/>
                <w:sz w:val="20"/>
                <w:szCs w:val="20"/>
              </w:rPr>
            </w:pPr>
            <w:r>
              <w:rPr>
                <w:rFonts w:ascii="Times New Roman" w:hAnsi="Times New Roman"/>
                <w:sz w:val="20"/>
                <w:szCs w:val="20"/>
              </w:rPr>
              <w:t>354 798</w:t>
            </w:r>
          </w:p>
        </w:tc>
        <w:tc>
          <w:tcPr>
            <w:tcW w:w="3100" w:type="dxa"/>
            <w:shd w:val="clear" w:color="auto" w:fill="auto"/>
            <w:noWrap/>
            <w:vAlign w:val="bottom"/>
            <w:hideMark/>
          </w:tcPr>
          <w:p w14:paraId="73F23602" w14:textId="77777777" w:rsidR="00C3264D" w:rsidRDefault="00707619">
            <w:pPr>
              <w:spacing w:after="0" w:line="240" w:lineRule="auto"/>
              <w:jc w:val="right"/>
              <w:rPr>
                <w:rFonts w:ascii="Times New Roman" w:eastAsia="Times New Roman" w:hAnsi="Times New Roman"/>
                <w:sz w:val="20"/>
                <w:szCs w:val="20"/>
              </w:rPr>
            </w:pPr>
            <w:r>
              <w:rPr>
                <w:rFonts w:ascii="Times New Roman" w:hAnsi="Times New Roman"/>
                <w:sz w:val="20"/>
                <w:szCs w:val="20"/>
              </w:rPr>
              <w:t>236 564</w:t>
            </w:r>
          </w:p>
        </w:tc>
      </w:tr>
      <w:tr w:rsidR="00C3264D" w14:paraId="7D3CD558" w14:textId="77777777" w:rsidTr="00601A28">
        <w:trPr>
          <w:trHeight w:val="292"/>
        </w:trPr>
        <w:tc>
          <w:tcPr>
            <w:tcW w:w="3102" w:type="dxa"/>
            <w:shd w:val="clear" w:color="auto" w:fill="auto"/>
            <w:noWrap/>
            <w:vAlign w:val="bottom"/>
            <w:hideMark/>
          </w:tcPr>
          <w:p w14:paraId="0E79D113" w14:textId="77777777" w:rsidR="00C3264D" w:rsidRDefault="00707619">
            <w:pPr>
              <w:spacing w:after="0" w:line="240" w:lineRule="auto"/>
              <w:rPr>
                <w:rFonts w:ascii="Times New Roman" w:eastAsia="Times New Roman" w:hAnsi="Times New Roman"/>
                <w:sz w:val="20"/>
                <w:szCs w:val="20"/>
              </w:rPr>
            </w:pPr>
            <w:r>
              <w:rPr>
                <w:rFonts w:ascii="Times New Roman" w:hAnsi="Times New Roman"/>
                <w:sz w:val="20"/>
                <w:szCs w:val="20"/>
              </w:rPr>
              <w:t>Нидерландия</w:t>
            </w:r>
          </w:p>
        </w:tc>
        <w:tc>
          <w:tcPr>
            <w:tcW w:w="3100" w:type="dxa"/>
            <w:shd w:val="clear" w:color="auto" w:fill="auto"/>
            <w:noWrap/>
            <w:vAlign w:val="bottom"/>
            <w:hideMark/>
          </w:tcPr>
          <w:p w14:paraId="72567EB2" w14:textId="77777777" w:rsidR="00C3264D" w:rsidRDefault="00707619">
            <w:pPr>
              <w:spacing w:after="0" w:line="240" w:lineRule="auto"/>
              <w:jc w:val="right"/>
              <w:rPr>
                <w:rFonts w:ascii="Times New Roman" w:eastAsia="Times New Roman" w:hAnsi="Times New Roman"/>
                <w:sz w:val="20"/>
                <w:szCs w:val="20"/>
              </w:rPr>
            </w:pPr>
            <w:r>
              <w:rPr>
                <w:rFonts w:ascii="Times New Roman" w:hAnsi="Times New Roman"/>
                <w:sz w:val="20"/>
                <w:szCs w:val="20"/>
              </w:rPr>
              <w:t>14 291 411</w:t>
            </w:r>
          </w:p>
        </w:tc>
        <w:tc>
          <w:tcPr>
            <w:tcW w:w="3100" w:type="dxa"/>
            <w:shd w:val="clear" w:color="auto" w:fill="auto"/>
            <w:noWrap/>
            <w:vAlign w:val="bottom"/>
            <w:hideMark/>
          </w:tcPr>
          <w:p w14:paraId="7B4766BA" w14:textId="77777777" w:rsidR="00C3264D" w:rsidRDefault="00707619">
            <w:pPr>
              <w:spacing w:after="0" w:line="240" w:lineRule="auto"/>
              <w:jc w:val="right"/>
              <w:rPr>
                <w:rFonts w:ascii="Times New Roman" w:eastAsia="Times New Roman" w:hAnsi="Times New Roman"/>
                <w:sz w:val="20"/>
                <w:szCs w:val="20"/>
              </w:rPr>
            </w:pPr>
            <w:r>
              <w:rPr>
                <w:rFonts w:ascii="Times New Roman" w:hAnsi="Times New Roman"/>
                <w:sz w:val="20"/>
                <w:szCs w:val="20"/>
              </w:rPr>
              <w:t>9 528 894</w:t>
            </w:r>
          </w:p>
        </w:tc>
      </w:tr>
      <w:tr w:rsidR="00C3264D" w14:paraId="0F3D8F27" w14:textId="77777777" w:rsidTr="00601A28">
        <w:trPr>
          <w:trHeight w:val="292"/>
        </w:trPr>
        <w:tc>
          <w:tcPr>
            <w:tcW w:w="3102" w:type="dxa"/>
            <w:shd w:val="clear" w:color="auto" w:fill="auto"/>
            <w:noWrap/>
            <w:vAlign w:val="bottom"/>
            <w:hideMark/>
          </w:tcPr>
          <w:p w14:paraId="21D180D7" w14:textId="77777777" w:rsidR="00C3264D" w:rsidRDefault="00707619">
            <w:pPr>
              <w:spacing w:after="0" w:line="240" w:lineRule="auto"/>
              <w:rPr>
                <w:rFonts w:ascii="Times New Roman" w:eastAsia="Times New Roman" w:hAnsi="Times New Roman"/>
                <w:sz w:val="20"/>
                <w:szCs w:val="20"/>
              </w:rPr>
            </w:pPr>
            <w:r>
              <w:rPr>
                <w:rFonts w:ascii="Times New Roman" w:hAnsi="Times New Roman"/>
                <w:sz w:val="20"/>
                <w:szCs w:val="20"/>
              </w:rPr>
              <w:t>Норвегия</w:t>
            </w:r>
          </w:p>
        </w:tc>
        <w:tc>
          <w:tcPr>
            <w:tcW w:w="3100" w:type="dxa"/>
            <w:shd w:val="clear" w:color="auto" w:fill="auto"/>
            <w:noWrap/>
            <w:vAlign w:val="bottom"/>
            <w:hideMark/>
          </w:tcPr>
          <w:p w14:paraId="7D4872EC" w14:textId="77777777" w:rsidR="00C3264D" w:rsidRDefault="00707619">
            <w:pPr>
              <w:spacing w:after="0" w:line="240" w:lineRule="auto"/>
              <w:jc w:val="right"/>
              <w:rPr>
                <w:rFonts w:ascii="Times New Roman" w:eastAsia="Times New Roman" w:hAnsi="Times New Roman"/>
                <w:sz w:val="20"/>
                <w:szCs w:val="20"/>
              </w:rPr>
            </w:pPr>
            <w:r>
              <w:rPr>
                <w:rFonts w:ascii="Times New Roman" w:hAnsi="Times New Roman"/>
                <w:sz w:val="20"/>
                <w:szCs w:val="20"/>
              </w:rPr>
              <w:t>3 314 570</w:t>
            </w:r>
          </w:p>
        </w:tc>
        <w:tc>
          <w:tcPr>
            <w:tcW w:w="3100" w:type="dxa"/>
            <w:shd w:val="clear" w:color="auto" w:fill="auto"/>
            <w:noWrap/>
            <w:vAlign w:val="bottom"/>
            <w:hideMark/>
          </w:tcPr>
          <w:p w14:paraId="5F6DB820" w14:textId="77777777" w:rsidR="00C3264D" w:rsidRDefault="00707619">
            <w:pPr>
              <w:spacing w:after="0" w:line="240" w:lineRule="auto"/>
              <w:jc w:val="right"/>
              <w:rPr>
                <w:rFonts w:ascii="Times New Roman" w:eastAsia="Times New Roman" w:hAnsi="Times New Roman"/>
                <w:sz w:val="20"/>
                <w:szCs w:val="20"/>
              </w:rPr>
            </w:pPr>
            <w:r>
              <w:rPr>
                <w:rFonts w:ascii="Times New Roman" w:hAnsi="Times New Roman"/>
                <w:sz w:val="20"/>
                <w:szCs w:val="20"/>
              </w:rPr>
              <w:t>2 210 012</w:t>
            </w:r>
          </w:p>
        </w:tc>
      </w:tr>
      <w:tr w:rsidR="00C3264D" w14:paraId="7DA928EE" w14:textId="77777777" w:rsidTr="00601A28">
        <w:trPr>
          <w:trHeight w:val="292"/>
        </w:trPr>
        <w:tc>
          <w:tcPr>
            <w:tcW w:w="3102" w:type="dxa"/>
            <w:shd w:val="clear" w:color="auto" w:fill="auto"/>
            <w:noWrap/>
            <w:vAlign w:val="bottom"/>
            <w:hideMark/>
          </w:tcPr>
          <w:p w14:paraId="47A97162" w14:textId="77777777" w:rsidR="00C3264D" w:rsidRDefault="00707619">
            <w:pPr>
              <w:spacing w:after="0" w:line="240" w:lineRule="auto"/>
              <w:rPr>
                <w:rFonts w:ascii="Times New Roman" w:eastAsia="Times New Roman" w:hAnsi="Times New Roman"/>
                <w:sz w:val="20"/>
                <w:szCs w:val="20"/>
              </w:rPr>
            </w:pPr>
            <w:r>
              <w:rPr>
                <w:rFonts w:ascii="Times New Roman" w:hAnsi="Times New Roman"/>
                <w:sz w:val="20"/>
                <w:szCs w:val="20"/>
              </w:rPr>
              <w:t>Полша</w:t>
            </w:r>
          </w:p>
        </w:tc>
        <w:tc>
          <w:tcPr>
            <w:tcW w:w="3100" w:type="dxa"/>
            <w:shd w:val="clear" w:color="auto" w:fill="auto"/>
            <w:noWrap/>
            <w:vAlign w:val="bottom"/>
            <w:hideMark/>
          </w:tcPr>
          <w:p w14:paraId="4A6F8881" w14:textId="77777777" w:rsidR="00C3264D" w:rsidRDefault="00707619">
            <w:pPr>
              <w:spacing w:after="0" w:line="240" w:lineRule="auto"/>
              <w:jc w:val="right"/>
              <w:rPr>
                <w:rFonts w:ascii="Times New Roman" w:eastAsia="Times New Roman" w:hAnsi="Times New Roman"/>
                <w:sz w:val="20"/>
                <w:szCs w:val="20"/>
              </w:rPr>
            </w:pPr>
            <w:r>
              <w:rPr>
                <w:rFonts w:ascii="Times New Roman" w:hAnsi="Times New Roman"/>
                <w:sz w:val="20"/>
                <w:szCs w:val="20"/>
              </w:rPr>
              <w:t>39 282 170</w:t>
            </w:r>
          </w:p>
        </w:tc>
        <w:tc>
          <w:tcPr>
            <w:tcW w:w="3100" w:type="dxa"/>
            <w:shd w:val="clear" w:color="auto" w:fill="auto"/>
            <w:noWrap/>
            <w:vAlign w:val="bottom"/>
            <w:hideMark/>
          </w:tcPr>
          <w:p w14:paraId="33D496C7" w14:textId="77777777" w:rsidR="00C3264D" w:rsidRDefault="00707619">
            <w:pPr>
              <w:spacing w:after="0" w:line="240" w:lineRule="auto"/>
              <w:jc w:val="right"/>
              <w:rPr>
                <w:rFonts w:ascii="Times New Roman" w:eastAsia="Times New Roman" w:hAnsi="Times New Roman"/>
                <w:sz w:val="20"/>
                <w:szCs w:val="20"/>
              </w:rPr>
            </w:pPr>
            <w:r>
              <w:rPr>
                <w:rFonts w:ascii="Times New Roman" w:hAnsi="Times New Roman"/>
                <w:sz w:val="20"/>
                <w:szCs w:val="20"/>
              </w:rPr>
              <w:t>26 191 650</w:t>
            </w:r>
          </w:p>
        </w:tc>
      </w:tr>
      <w:tr w:rsidR="00C3264D" w14:paraId="3F22C055" w14:textId="77777777" w:rsidTr="00601A28">
        <w:trPr>
          <w:trHeight w:val="292"/>
        </w:trPr>
        <w:tc>
          <w:tcPr>
            <w:tcW w:w="3102" w:type="dxa"/>
            <w:shd w:val="clear" w:color="auto" w:fill="auto"/>
            <w:noWrap/>
            <w:vAlign w:val="bottom"/>
            <w:hideMark/>
          </w:tcPr>
          <w:p w14:paraId="5D942E17" w14:textId="77777777" w:rsidR="00C3264D" w:rsidRDefault="00707619">
            <w:pPr>
              <w:spacing w:after="0" w:line="240" w:lineRule="auto"/>
              <w:rPr>
                <w:rFonts w:ascii="Times New Roman" w:eastAsia="Times New Roman" w:hAnsi="Times New Roman"/>
                <w:sz w:val="20"/>
                <w:szCs w:val="20"/>
              </w:rPr>
            </w:pPr>
            <w:r>
              <w:rPr>
                <w:rFonts w:ascii="Times New Roman" w:hAnsi="Times New Roman"/>
                <w:sz w:val="20"/>
                <w:szCs w:val="20"/>
              </w:rPr>
              <w:t>Португалия</w:t>
            </w:r>
          </w:p>
        </w:tc>
        <w:tc>
          <w:tcPr>
            <w:tcW w:w="3100" w:type="dxa"/>
            <w:shd w:val="clear" w:color="auto" w:fill="auto"/>
            <w:noWrap/>
            <w:vAlign w:val="bottom"/>
            <w:hideMark/>
          </w:tcPr>
          <w:p w14:paraId="18B91D79" w14:textId="77777777" w:rsidR="00C3264D" w:rsidRDefault="00707619">
            <w:pPr>
              <w:spacing w:after="0" w:line="240" w:lineRule="auto"/>
              <w:jc w:val="right"/>
              <w:rPr>
                <w:rFonts w:ascii="Times New Roman" w:eastAsia="Times New Roman" w:hAnsi="Times New Roman"/>
                <w:sz w:val="20"/>
                <w:szCs w:val="20"/>
              </w:rPr>
            </w:pPr>
            <w:r>
              <w:rPr>
                <w:rFonts w:ascii="Times New Roman" w:hAnsi="Times New Roman"/>
                <w:sz w:val="20"/>
                <w:szCs w:val="20"/>
              </w:rPr>
              <w:t>6 478 775</w:t>
            </w:r>
          </w:p>
        </w:tc>
        <w:tc>
          <w:tcPr>
            <w:tcW w:w="3100" w:type="dxa"/>
            <w:shd w:val="clear" w:color="auto" w:fill="auto"/>
            <w:noWrap/>
            <w:vAlign w:val="bottom"/>
            <w:hideMark/>
          </w:tcPr>
          <w:p w14:paraId="10AC5AC4" w14:textId="77777777" w:rsidR="00C3264D" w:rsidRDefault="00707619">
            <w:pPr>
              <w:spacing w:after="0" w:line="240" w:lineRule="auto"/>
              <w:jc w:val="right"/>
              <w:rPr>
                <w:rFonts w:ascii="Times New Roman" w:eastAsia="Times New Roman" w:hAnsi="Times New Roman"/>
                <w:sz w:val="20"/>
                <w:szCs w:val="20"/>
              </w:rPr>
            </w:pPr>
            <w:r>
              <w:rPr>
                <w:rFonts w:ascii="Times New Roman" w:hAnsi="Times New Roman"/>
                <w:sz w:val="20"/>
                <w:szCs w:val="20"/>
              </w:rPr>
              <w:t>4 319 767</w:t>
            </w:r>
          </w:p>
        </w:tc>
      </w:tr>
      <w:tr w:rsidR="00C3264D" w14:paraId="65281759" w14:textId="77777777" w:rsidTr="00601A28">
        <w:trPr>
          <w:trHeight w:val="292"/>
        </w:trPr>
        <w:tc>
          <w:tcPr>
            <w:tcW w:w="3102" w:type="dxa"/>
            <w:shd w:val="clear" w:color="auto" w:fill="auto"/>
            <w:noWrap/>
            <w:vAlign w:val="bottom"/>
            <w:hideMark/>
          </w:tcPr>
          <w:p w14:paraId="33396063" w14:textId="77777777" w:rsidR="00C3264D" w:rsidRDefault="00707619">
            <w:pPr>
              <w:spacing w:after="0" w:line="240" w:lineRule="auto"/>
              <w:rPr>
                <w:rFonts w:ascii="Times New Roman" w:eastAsia="Times New Roman" w:hAnsi="Times New Roman"/>
                <w:sz w:val="20"/>
                <w:szCs w:val="20"/>
              </w:rPr>
            </w:pPr>
            <w:r>
              <w:rPr>
                <w:rFonts w:ascii="Times New Roman" w:hAnsi="Times New Roman"/>
                <w:sz w:val="20"/>
                <w:szCs w:val="20"/>
              </w:rPr>
              <w:t>Румъния</w:t>
            </w:r>
          </w:p>
        </w:tc>
        <w:tc>
          <w:tcPr>
            <w:tcW w:w="3100" w:type="dxa"/>
            <w:shd w:val="clear" w:color="auto" w:fill="auto"/>
            <w:noWrap/>
            <w:vAlign w:val="bottom"/>
            <w:hideMark/>
          </w:tcPr>
          <w:p w14:paraId="3B3371D5" w14:textId="77777777" w:rsidR="00C3264D" w:rsidRDefault="00707619">
            <w:pPr>
              <w:spacing w:after="0" w:line="240" w:lineRule="auto"/>
              <w:jc w:val="right"/>
              <w:rPr>
                <w:rFonts w:ascii="Times New Roman" w:eastAsia="Times New Roman" w:hAnsi="Times New Roman"/>
                <w:sz w:val="20"/>
                <w:szCs w:val="20"/>
              </w:rPr>
            </w:pPr>
            <w:r>
              <w:rPr>
                <w:rFonts w:ascii="Times New Roman" w:hAnsi="Times New Roman"/>
                <w:sz w:val="20"/>
                <w:szCs w:val="20"/>
              </w:rPr>
              <w:t>14 941 290</w:t>
            </w:r>
          </w:p>
        </w:tc>
        <w:tc>
          <w:tcPr>
            <w:tcW w:w="3100" w:type="dxa"/>
            <w:shd w:val="clear" w:color="auto" w:fill="auto"/>
            <w:noWrap/>
            <w:vAlign w:val="bottom"/>
            <w:hideMark/>
          </w:tcPr>
          <w:p w14:paraId="3FA2D73D" w14:textId="77777777" w:rsidR="00C3264D" w:rsidRDefault="00707619">
            <w:pPr>
              <w:spacing w:after="0" w:line="240" w:lineRule="auto"/>
              <w:jc w:val="right"/>
              <w:rPr>
                <w:rFonts w:ascii="Times New Roman" w:eastAsia="Times New Roman" w:hAnsi="Times New Roman"/>
                <w:sz w:val="20"/>
                <w:szCs w:val="20"/>
              </w:rPr>
            </w:pPr>
            <w:r>
              <w:rPr>
                <w:rFonts w:ascii="Times New Roman" w:hAnsi="Times New Roman"/>
                <w:sz w:val="20"/>
                <w:szCs w:val="20"/>
              </w:rPr>
              <w:t>9 962 205</w:t>
            </w:r>
          </w:p>
        </w:tc>
      </w:tr>
      <w:tr w:rsidR="00C3264D" w14:paraId="664D3594" w14:textId="77777777" w:rsidTr="00601A28">
        <w:trPr>
          <w:trHeight w:val="292"/>
        </w:trPr>
        <w:tc>
          <w:tcPr>
            <w:tcW w:w="3102" w:type="dxa"/>
            <w:shd w:val="clear" w:color="auto" w:fill="auto"/>
            <w:noWrap/>
            <w:vAlign w:val="bottom"/>
            <w:hideMark/>
          </w:tcPr>
          <w:p w14:paraId="4E14A984" w14:textId="77777777" w:rsidR="00C3264D" w:rsidRDefault="00707619">
            <w:pPr>
              <w:spacing w:after="0" w:line="240" w:lineRule="auto"/>
              <w:rPr>
                <w:rFonts w:ascii="Times New Roman" w:eastAsia="Times New Roman" w:hAnsi="Times New Roman"/>
                <w:sz w:val="20"/>
                <w:szCs w:val="20"/>
              </w:rPr>
            </w:pPr>
            <w:r>
              <w:rPr>
                <w:rFonts w:ascii="Times New Roman" w:hAnsi="Times New Roman"/>
                <w:sz w:val="20"/>
                <w:szCs w:val="20"/>
              </w:rPr>
              <w:t>Словакия</w:t>
            </w:r>
          </w:p>
        </w:tc>
        <w:tc>
          <w:tcPr>
            <w:tcW w:w="3100" w:type="dxa"/>
            <w:shd w:val="clear" w:color="auto" w:fill="auto"/>
            <w:noWrap/>
            <w:vAlign w:val="bottom"/>
            <w:hideMark/>
          </w:tcPr>
          <w:p w14:paraId="09B81448" w14:textId="77777777" w:rsidR="00C3264D" w:rsidRDefault="00707619">
            <w:pPr>
              <w:spacing w:after="0" w:line="240" w:lineRule="auto"/>
              <w:jc w:val="right"/>
              <w:rPr>
                <w:rFonts w:ascii="Times New Roman" w:eastAsia="Times New Roman" w:hAnsi="Times New Roman"/>
                <w:sz w:val="20"/>
                <w:szCs w:val="20"/>
              </w:rPr>
            </w:pPr>
            <w:r>
              <w:rPr>
                <w:rFonts w:ascii="Times New Roman" w:hAnsi="Times New Roman"/>
                <w:sz w:val="20"/>
                <w:szCs w:val="20"/>
              </w:rPr>
              <w:t>4 752 513</w:t>
            </w:r>
          </w:p>
        </w:tc>
        <w:tc>
          <w:tcPr>
            <w:tcW w:w="3100" w:type="dxa"/>
            <w:shd w:val="clear" w:color="auto" w:fill="auto"/>
            <w:noWrap/>
            <w:vAlign w:val="bottom"/>
            <w:hideMark/>
          </w:tcPr>
          <w:p w14:paraId="75EED423" w14:textId="77777777" w:rsidR="00C3264D" w:rsidRDefault="00707619">
            <w:pPr>
              <w:spacing w:after="0" w:line="240" w:lineRule="auto"/>
              <w:jc w:val="right"/>
              <w:rPr>
                <w:rFonts w:ascii="Times New Roman" w:eastAsia="Times New Roman" w:hAnsi="Times New Roman"/>
                <w:sz w:val="20"/>
                <w:szCs w:val="20"/>
              </w:rPr>
            </w:pPr>
            <w:r>
              <w:rPr>
                <w:rFonts w:ascii="Times New Roman" w:hAnsi="Times New Roman"/>
                <w:sz w:val="20"/>
                <w:szCs w:val="20"/>
              </w:rPr>
              <w:t>3 168 770</w:t>
            </w:r>
          </w:p>
        </w:tc>
      </w:tr>
      <w:tr w:rsidR="00C3264D" w14:paraId="7DAB0E12" w14:textId="77777777" w:rsidTr="00601A28">
        <w:trPr>
          <w:trHeight w:val="292"/>
        </w:trPr>
        <w:tc>
          <w:tcPr>
            <w:tcW w:w="3102" w:type="dxa"/>
            <w:shd w:val="clear" w:color="auto" w:fill="auto"/>
            <w:noWrap/>
            <w:vAlign w:val="bottom"/>
            <w:hideMark/>
          </w:tcPr>
          <w:p w14:paraId="3B0D5A23" w14:textId="77777777" w:rsidR="00C3264D" w:rsidRDefault="00707619">
            <w:pPr>
              <w:spacing w:after="0" w:line="240" w:lineRule="auto"/>
              <w:rPr>
                <w:rFonts w:ascii="Times New Roman" w:eastAsia="Times New Roman" w:hAnsi="Times New Roman"/>
                <w:sz w:val="20"/>
                <w:szCs w:val="20"/>
              </w:rPr>
            </w:pPr>
            <w:r>
              <w:rPr>
                <w:rFonts w:ascii="Times New Roman" w:hAnsi="Times New Roman"/>
                <w:sz w:val="20"/>
                <w:szCs w:val="20"/>
              </w:rPr>
              <w:t>Словения</w:t>
            </w:r>
          </w:p>
        </w:tc>
        <w:tc>
          <w:tcPr>
            <w:tcW w:w="3100" w:type="dxa"/>
            <w:shd w:val="clear" w:color="auto" w:fill="auto"/>
            <w:noWrap/>
            <w:vAlign w:val="bottom"/>
            <w:hideMark/>
          </w:tcPr>
          <w:p w14:paraId="0A47D5B9" w14:textId="77777777" w:rsidR="00C3264D" w:rsidRDefault="00707619">
            <w:pPr>
              <w:spacing w:after="0" w:line="240" w:lineRule="auto"/>
              <w:jc w:val="right"/>
              <w:rPr>
                <w:rFonts w:ascii="Times New Roman" w:eastAsia="Times New Roman" w:hAnsi="Times New Roman"/>
                <w:sz w:val="20"/>
                <w:szCs w:val="20"/>
              </w:rPr>
            </w:pPr>
            <w:r>
              <w:rPr>
                <w:rFonts w:ascii="Times New Roman" w:hAnsi="Times New Roman"/>
                <w:sz w:val="20"/>
                <w:szCs w:val="20"/>
              </w:rPr>
              <w:t>1 577 714</w:t>
            </w:r>
          </w:p>
        </w:tc>
        <w:tc>
          <w:tcPr>
            <w:tcW w:w="3100" w:type="dxa"/>
            <w:shd w:val="clear" w:color="auto" w:fill="auto"/>
            <w:noWrap/>
            <w:vAlign w:val="bottom"/>
            <w:hideMark/>
          </w:tcPr>
          <w:p w14:paraId="00DEC7FE" w14:textId="77777777" w:rsidR="00C3264D" w:rsidRDefault="00707619">
            <w:pPr>
              <w:spacing w:after="0" w:line="240" w:lineRule="auto"/>
              <w:jc w:val="right"/>
              <w:rPr>
                <w:rFonts w:ascii="Times New Roman" w:eastAsia="Times New Roman" w:hAnsi="Times New Roman"/>
                <w:sz w:val="20"/>
                <w:szCs w:val="20"/>
              </w:rPr>
            </w:pPr>
            <w:r>
              <w:rPr>
                <w:rFonts w:ascii="Times New Roman" w:hAnsi="Times New Roman"/>
                <w:sz w:val="20"/>
                <w:szCs w:val="20"/>
              </w:rPr>
              <w:t>1 051 951</w:t>
            </w:r>
          </w:p>
        </w:tc>
      </w:tr>
      <w:tr w:rsidR="00C3264D" w14:paraId="4CE5242E" w14:textId="77777777" w:rsidTr="00601A28">
        <w:trPr>
          <w:trHeight w:val="292"/>
        </w:trPr>
        <w:tc>
          <w:tcPr>
            <w:tcW w:w="3102" w:type="dxa"/>
            <w:shd w:val="clear" w:color="auto" w:fill="auto"/>
            <w:noWrap/>
            <w:vAlign w:val="bottom"/>
            <w:hideMark/>
          </w:tcPr>
          <w:p w14:paraId="2647CE97" w14:textId="77777777" w:rsidR="00C3264D" w:rsidRDefault="00707619">
            <w:pPr>
              <w:spacing w:after="0" w:line="240" w:lineRule="auto"/>
              <w:rPr>
                <w:rFonts w:ascii="Times New Roman" w:eastAsia="Times New Roman" w:hAnsi="Times New Roman"/>
                <w:sz w:val="20"/>
                <w:szCs w:val="20"/>
              </w:rPr>
            </w:pPr>
            <w:r>
              <w:rPr>
                <w:rFonts w:ascii="Times New Roman" w:hAnsi="Times New Roman"/>
                <w:sz w:val="20"/>
                <w:szCs w:val="20"/>
              </w:rPr>
              <w:t>Испания</w:t>
            </w:r>
          </w:p>
        </w:tc>
        <w:tc>
          <w:tcPr>
            <w:tcW w:w="3100" w:type="dxa"/>
            <w:shd w:val="clear" w:color="auto" w:fill="auto"/>
            <w:noWrap/>
            <w:vAlign w:val="bottom"/>
            <w:hideMark/>
          </w:tcPr>
          <w:p w14:paraId="2BCD3439" w14:textId="77777777" w:rsidR="00C3264D" w:rsidRDefault="00707619">
            <w:pPr>
              <w:spacing w:after="0" w:line="240" w:lineRule="auto"/>
              <w:jc w:val="right"/>
              <w:rPr>
                <w:rFonts w:ascii="Times New Roman" w:eastAsia="Times New Roman" w:hAnsi="Times New Roman"/>
                <w:sz w:val="20"/>
                <w:szCs w:val="20"/>
              </w:rPr>
            </w:pPr>
            <w:r>
              <w:rPr>
                <w:rFonts w:ascii="Times New Roman" w:hAnsi="Times New Roman"/>
                <w:sz w:val="20"/>
                <w:szCs w:val="20"/>
              </w:rPr>
              <w:t>32 660 234</w:t>
            </w:r>
          </w:p>
        </w:tc>
        <w:tc>
          <w:tcPr>
            <w:tcW w:w="3100" w:type="dxa"/>
            <w:shd w:val="clear" w:color="auto" w:fill="auto"/>
            <w:noWrap/>
            <w:vAlign w:val="bottom"/>
            <w:hideMark/>
          </w:tcPr>
          <w:p w14:paraId="7A593F7A" w14:textId="77777777" w:rsidR="00C3264D" w:rsidRDefault="00707619">
            <w:pPr>
              <w:spacing w:after="0" w:line="240" w:lineRule="auto"/>
              <w:jc w:val="right"/>
              <w:rPr>
                <w:rFonts w:ascii="Times New Roman" w:eastAsia="Times New Roman" w:hAnsi="Times New Roman"/>
                <w:sz w:val="20"/>
                <w:szCs w:val="20"/>
              </w:rPr>
            </w:pPr>
            <w:r>
              <w:rPr>
                <w:rFonts w:ascii="Times New Roman" w:hAnsi="Times New Roman"/>
                <w:sz w:val="20"/>
                <w:szCs w:val="20"/>
              </w:rPr>
              <w:t>21 776 430</w:t>
            </w:r>
          </w:p>
        </w:tc>
      </w:tr>
      <w:tr w:rsidR="00C3264D" w14:paraId="59699F23" w14:textId="77777777" w:rsidTr="00601A28">
        <w:trPr>
          <w:trHeight w:val="292"/>
        </w:trPr>
        <w:tc>
          <w:tcPr>
            <w:tcW w:w="3102" w:type="dxa"/>
            <w:shd w:val="clear" w:color="auto" w:fill="auto"/>
            <w:noWrap/>
            <w:vAlign w:val="bottom"/>
            <w:hideMark/>
          </w:tcPr>
          <w:p w14:paraId="0DA9D21B" w14:textId="77777777" w:rsidR="00C3264D" w:rsidRDefault="00707619">
            <w:pPr>
              <w:spacing w:after="0" w:line="240" w:lineRule="auto"/>
              <w:rPr>
                <w:rFonts w:ascii="Times New Roman" w:eastAsia="Times New Roman" w:hAnsi="Times New Roman"/>
                <w:sz w:val="20"/>
                <w:szCs w:val="20"/>
              </w:rPr>
            </w:pPr>
            <w:r>
              <w:rPr>
                <w:rFonts w:ascii="Times New Roman" w:hAnsi="Times New Roman"/>
                <w:sz w:val="20"/>
                <w:szCs w:val="20"/>
              </w:rPr>
              <w:t>Швеция</w:t>
            </w:r>
          </w:p>
        </w:tc>
        <w:tc>
          <w:tcPr>
            <w:tcW w:w="3100" w:type="dxa"/>
            <w:shd w:val="clear" w:color="auto" w:fill="auto"/>
            <w:noWrap/>
            <w:vAlign w:val="bottom"/>
            <w:hideMark/>
          </w:tcPr>
          <w:p w14:paraId="46EDFDAC" w14:textId="77777777" w:rsidR="00C3264D" w:rsidRDefault="00707619">
            <w:pPr>
              <w:spacing w:after="0" w:line="240" w:lineRule="auto"/>
              <w:jc w:val="right"/>
              <w:rPr>
                <w:rFonts w:ascii="Times New Roman" w:eastAsia="Times New Roman" w:hAnsi="Times New Roman"/>
                <w:sz w:val="20"/>
                <w:szCs w:val="20"/>
              </w:rPr>
            </w:pPr>
            <w:r>
              <w:rPr>
                <w:rFonts w:ascii="Times New Roman" w:hAnsi="Times New Roman"/>
                <w:sz w:val="20"/>
                <w:szCs w:val="20"/>
              </w:rPr>
              <w:t>3 457 106</w:t>
            </w:r>
          </w:p>
        </w:tc>
        <w:tc>
          <w:tcPr>
            <w:tcW w:w="3100" w:type="dxa"/>
            <w:shd w:val="clear" w:color="auto" w:fill="auto"/>
            <w:noWrap/>
            <w:vAlign w:val="bottom"/>
            <w:hideMark/>
          </w:tcPr>
          <w:p w14:paraId="33297B3D" w14:textId="77777777" w:rsidR="00C3264D" w:rsidRDefault="00707619">
            <w:pPr>
              <w:spacing w:after="0" w:line="240" w:lineRule="auto"/>
              <w:jc w:val="right"/>
              <w:rPr>
                <w:rFonts w:ascii="Times New Roman" w:eastAsia="Times New Roman" w:hAnsi="Times New Roman"/>
                <w:sz w:val="20"/>
                <w:szCs w:val="20"/>
              </w:rPr>
            </w:pPr>
            <w:r>
              <w:rPr>
                <w:rFonts w:ascii="Times New Roman" w:hAnsi="Times New Roman"/>
                <w:sz w:val="20"/>
                <w:szCs w:val="20"/>
              </w:rPr>
              <w:t>2 305 049</w:t>
            </w:r>
          </w:p>
        </w:tc>
      </w:tr>
      <w:tr w:rsidR="00C3264D" w14:paraId="79F9E881" w14:textId="77777777" w:rsidTr="00601A28">
        <w:trPr>
          <w:trHeight w:val="292"/>
        </w:trPr>
        <w:tc>
          <w:tcPr>
            <w:tcW w:w="3102" w:type="dxa"/>
            <w:shd w:val="clear" w:color="auto" w:fill="auto"/>
            <w:noWrap/>
            <w:vAlign w:val="bottom"/>
            <w:hideMark/>
          </w:tcPr>
          <w:p w14:paraId="440AE299" w14:textId="77777777" w:rsidR="00C3264D" w:rsidRDefault="00707619">
            <w:pPr>
              <w:spacing w:after="0" w:line="240" w:lineRule="auto"/>
              <w:rPr>
                <w:rFonts w:ascii="Times New Roman" w:eastAsia="Times New Roman" w:hAnsi="Times New Roman"/>
                <w:sz w:val="20"/>
                <w:szCs w:val="20"/>
              </w:rPr>
            </w:pPr>
            <w:r>
              <w:rPr>
                <w:rFonts w:ascii="Times New Roman" w:hAnsi="Times New Roman"/>
                <w:sz w:val="20"/>
                <w:szCs w:val="20"/>
              </w:rPr>
              <w:t>Обединено кралство</w:t>
            </w:r>
          </w:p>
        </w:tc>
        <w:tc>
          <w:tcPr>
            <w:tcW w:w="3100" w:type="dxa"/>
            <w:shd w:val="clear" w:color="auto" w:fill="auto"/>
            <w:noWrap/>
            <w:vAlign w:val="bottom"/>
            <w:hideMark/>
          </w:tcPr>
          <w:p w14:paraId="70A3DC19" w14:textId="77777777" w:rsidR="00C3264D" w:rsidRDefault="00707619">
            <w:pPr>
              <w:spacing w:after="0" w:line="240" w:lineRule="auto"/>
              <w:jc w:val="right"/>
              <w:rPr>
                <w:rFonts w:ascii="Times New Roman" w:eastAsia="Times New Roman" w:hAnsi="Times New Roman"/>
                <w:sz w:val="20"/>
                <w:szCs w:val="20"/>
              </w:rPr>
            </w:pPr>
            <w:r>
              <w:rPr>
                <w:rFonts w:ascii="Times New Roman" w:hAnsi="Times New Roman"/>
                <w:sz w:val="20"/>
                <w:szCs w:val="20"/>
              </w:rPr>
              <w:t>44 480 623</w:t>
            </w:r>
          </w:p>
        </w:tc>
        <w:tc>
          <w:tcPr>
            <w:tcW w:w="3100" w:type="dxa"/>
            <w:shd w:val="clear" w:color="auto" w:fill="auto"/>
            <w:noWrap/>
            <w:vAlign w:val="bottom"/>
            <w:hideMark/>
          </w:tcPr>
          <w:p w14:paraId="593FA716" w14:textId="77777777" w:rsidR="00C3264D" w:rsidRDefault="00707619">
            <w:pPr>
              <w:spacing w:after="0" w:line="240" w:lineRule="auto"/>
              <w:jc w:val="right"/>
              <w:rPr>
                <w:rFonts w:ascii="Times New Roman" w:eastAsia="Times New Roman" w:hAnsi="Times New Roman"/>
                <w:sz w:val="20"/>
                <w:szCs w:val="20"/>
              </w:rPr>
            </w:pPr>
            <w:r>
              <w:rPr>
                <w:rFonts w:ascii="Times New Roman" w:hAnsi="Times New Roman"/>
                <w:sz w:val="20"/>
                <w:szCs w:val="20"/>
              </w:rPr>
              <w:t>29 657 753</w:t>
            </w:r>
          </w:p>
        </w:tc>
      </w:tr>
      <w:tr w:rsidR="00C3264D" w14:paraId="40842BFA" w14:textId="77777777" w:rsidTr="00601A28">
        <w:trPr>
          <w:trHeight w:val="292"/>
        </w:trPr>
        <w:tc>
          <w:tcPr>
            <w:tcW w:w="3102" w:type="dxa"/>
            <w:shd w:val="clear" w:color="auto" w:fill="auto"/>
            <w:noWrap/>
            <w:vAlign w:val="bottom"/>
            <w:hideMark/>
          </w:tcPr>
          <w:p w14:paraId="0359A430" w14:textId="77777777" w:rsidR="00C3264D" w:rsidRDefault="00707619">
            <w:pPr>
              <w:spacing w:after="0" w:line="240" w:lineRule="auto"/>
              <w:rPr>
                <w:rFonts w:ascii="Times New Roman" w:eastAsia="Times New Roman" w:hAnsi="Times New Roman"/>
                <w:b/>
                <w:bCs/>
                <w:sz w:val="20"/>
                <w:szCs w:val="20"/>
              </w:rPr>
            </w:pPr>
            <w:r>
              <w:rPr>
                <w:rFonts w:ascii="Times New Roman" w:hAnsi="Times New Roman"/>
                <w:b/>
                <w:bCs/>
                <w:sz w:val="20"/>
                <w:szCs w:val="20"/>
              </w:rPr>
              <w:t>Общо</w:t>
            </w:r>
          </w:p>
        </w:tc>
        <w:tc>
          <w:tcPr>
            <w:tcW w:w="3100" w:type="dxa"/>
            <w:shd w:val="clear" w:color="auto" w:fill="auto"/>
            <w:noWrap/>
            <w:vAlign w:val="bottom"/>
            <w:hideMark/>
          </w:tcPr>
          <w:p w14:paraId="20FC7AB7" w14:textId="77777777" w:rsidR="00C3264D" w:rsidRDefault="00707619">
            <w:pPr>
              <w:spacing w:after="0" w:line="240" w:lineRule="auto"/>
              <w:jc w:val="right"/>
              <w:rPr>
                <w:rFonts w:ascii="Times New Roman" w:eastAsia="Times New Roman" w:hAnsi="Times New Roman"/>
                <w:b/>
                <w:bCs/>
                <w:sz w:val="20"/>
                <w:szCs w:val="20"/>
              </w:rPr>
            </w:pPr>
            <w:r>
              <w:rPr>
                <w:rFonts w:ascii="Times New Roman" w:hAnsi="Times New Roman"/>
                <w:b/>
                <w:bCs/>
                <w:sz w:val="20"/>
                <w:szCs w:val="20"/>
              </w:rPr>
              <w:t>397 124 723</w:t>
            </w:r>
          </w:p>
        </w:tc>
        <w:tc>
          <w:tcPr>
            <w:tcW w:w="3100" w:type="dxa"/>
            <w:shd w:val="clear" w:color="auto" w:fill="auto"/>
            <w:noWrap/>
            <w:vAlign w:val="bottom"/>
            <w:hideMark/>
          </w:tcPr>
          <w:p w14:paraId="10FC7794" w14:textId="77777777" w:rsidR="00C3264D" w:rsidRDefault="00707619">
            <w:pPr>
              <w:spacing w:after="0" w:line="240" w:lineRule="auto"/>
              <w:jc w:val="right"/>
              <w:rPr>
                <w:rFonts w:ascii="Times New Roman" w:eastAsia="Times New Roman" w:hAnsi="Times New Roman"/>
                <w:b/>
                <w:bCs/>
                <w:sz w:val="20"/>
                <w:szCs w:val="20"/>
              </w:rPr>
            </w:pPr>
            <w:r>
              <w:rPr>
                <w:rFonts w:ascii="Times New Roman" w:hAnsi="Times New Roman"/>
                <w:b/>
                <w:bCs/>
                <w:sz w:val="20"/>
                <w:szCs w:val="20"/>
              </w:rPr>
              <w:t>264 785 572</w:t>
            </w:r>
          </w:p>
        </w:tc>
      </w:tr>
    </w:tbl>
    <w:p w14:paraId="2997ED0A" w14:textId="77777777" w:rsidR="00C3264D" w:rsidRDefault="00707619">
      <w:pPr>
        <w:tabs>
          <w:tab w:val="left" w:pos="3491"/>
        </w:tabs>
      </w:pPr>
      <w:r>
        <w:tab/>
      </w:r>
    </w:p>
    <w:p w14:paraId="446D5C98" w14:textId="77777777" w:rsidR="00C3264D" w:rsidRDefault="00862924">
      <w:pPr>
        <w:rPr>
          <w:rFonts w:ascii="Times New Roman" w:hAnsi="Times New Roman"/>
          <w:b/>
        </w:rPr>
      </w:pPr>
      <w:r>
        <w:rPr>
          <w:rFonts w:ascii="Times New Roman" w:hAnsi="Times New Roman"/>
          <w:b/>
        </w:rPr>
        <w:t>Допълнение 9</w:t>
      </w:r>
    </w:p>
    <w:p w14:paraId="32860365" w14:textId="77777777" w:rsidR="00C3264D" w:rsidRDefault="00862924">
      <w:pPr>
        <w:rPr>
          <w:rFonts w:ascii="Times New Roman" w:hAnsi="Times New Roman"/>
          <w:b/>
          <w:sz w:val="20"/>
          <w:szCs w:val="20"/>
        </w:rPr>
      </w:pPr>
      <w:r>
        <w:rPr>
          <w:rFonts w:ascii="Times New Roman" w:hAnsi="Times New Roman"/>
          <w:b/>
          <w:sz w:val="20"/>
          <w:szCs w:val="20"/>
        </w:rPr>
        <w:t>Таблица 9.1: Неизразходвани средства по програма NER 300 в рамките на InnovFin EDP: подкрепяни проекти</w:t>
      </w:r>
    </w:p>
    <w:tbl>
      <w:tblPr>
        <w:tblStyle w:val="TableGrid"/>
        <w:tblW w:w="987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38"/>
        <w:gridCol w:w="2893"/>
        <w:gridCol w:w="4140"/>
      </w:tblGrid>
      <w:tr w:rsidR="00C3264D" w14:paraId="09597A6C" w14:textId="77777777" w:rsidTr="00601A28">
        <w:trPr>
          <w:trHeight w:val="178"/>
        </w:trPr>
        <w:tc>
          <w:tcPr>
            <w:tcW w:w="2838" w:type="dxa"/>
            <w:shd w:val="clear" w:color="auto" w:fill="D9D9D9" w:themeFill="background1" w:themeFillShade="D9"/>
          </w:tcPr>
          <w:p w14:paraId="5A3CFACE" w14:textId="77777777" w:rsidR="00C3264D" w:rsidRDefault="00862924">
            <w:pPr>
              <w:rPr>
                <w:rFonts w:ascii="Times New Roman" w:hAnsi="Times New Roman"/>
                <w:b/>
              </w:rPr>
            </w:pPr>
            <w:r>
              <w:rPr>
                <w:rFonts w:ascii="Times New Roman" w:hAnsi="Times New Roman"/>
                <w:b/>
              </w:rPr>
              <w:t>Наименование на проекта</w:t>
            </w:r>
          </w:p>
        </w:tc>
        <w:tc>
          <w:tcPr>
            <w:tcW w:w="2893" w:type="dxa"/>
            <w:shd w:val="clear" w:color="auto" w:fill="D9D9D9" w:themeFill="background1" w:themeFillShade="D9"/>
          </w:tcPr>
          <w:p w14:paraId="706E84C1" w14:textId="77777777" w:rsidR="00C3264D" w:rsidRDefault="00862924">
            <w:pPr>
              <w:rPr>
                <w:rFonts w:ascii="Times New Roman" w:hAnsi="Times New Roman"/>
                <w:b/>
              </w:rPr>
            </w:pPr>
            <w:r>
              <w:rPr>
                <w:rFonts w:ascii="Times New Roman" w:hAnsi="Times New Roman"/>
                <w:b/>
              </w:rPr>
              <w:t>Описание</w:t>
            </w:r>
          </w:p>
        </w:tc>
        <w:tc>
          <w:tcPr>
            <w:tcW w:w="4140" w:type="dxa"/>
            <w:shd w:val="clear" w:color="auto" w:fill="D9D9D9" w:themeFill="background1" w:themeFillShade="D9"/>
          </w:tcPr>
          <w:p w14:paraId="5AE7CABC" w14:textId="77777777" w:rsidR="00C3264D" w:rsidRDefault="00862924">
            <w:pPr>
              <w:rPr>
                <w:rFonts w:ascii="Times New Roman" w:hAnsi="Times New Roman"/>
                <w:b/>
              </w:rPr>
            </w:pPr>
            <w:r>
              <w:rPr>
                <w:rFonts w:ascii="Times New Roman" w:hAnsi="Times New Roman"/>
                <w:b/>
              </w:rPr>
              <w:t>Изображение</w:t>
            </w:r>
          </w:p>
        </w:tc>
      </w:tr>
      <w:tr w:rsidR="00C3264D" w14:paraId="6A65AE4E" w14:textId="77777777" w:rsidTr="00601A28">
        <w:trPr>
          <w:trHeight w:val="2161"/>
        </w:trPr>
        <w:tc>
          <w:tcPr>
            <w:tcW w:w="2838" w:type="dxa"/>
          </w:tcPr>
          <w:p w14:paraId="48BA38D5" w14:textId="77777777" w:rsidR="00C3264D" w:rsidRDefault="00862924">
            <w:pPr>
              <w:rPr>
                <w:rFonts w:ascii="Times New Roman" w:hAnsi="Times New Roman"/>
              </w:rPr>
            </w:pPr>
            <w:r>
              <w:rPr>
                <w:rFonts w:ascii="Times New Roman" w:hAnsi="Times New Roman"/>
              </w:rPr>
              <w:t>WAVE ROLLER</w:t>
            </w:r>
          </w:p>
        </w:tc>
        <w:tc>
          <w:tcPr>
            <w:tcW w:w="2893" w:type="dxa"/>
          </w:tcPr>
          <w:p w14:paraId="2B2314AD" w14:textId="77777777" w:rsidR="00C3264D" w:rsidRDefault="00862924">
            <w:pPr>
              <w:rPr>
                <w:rFonts w:ascii="Times New Roman" w:hAnsi="Times New Roman"/>
              </w:rPr>
            </w:pPr>
            <w:r>
              <w:rPr>
                <w:rFonts w:ascii="Times New Roman" w:hAnsi="Times New Roman"/>
              </w:rPr>
              <w:t>Проектът „Wave Roller“ има за цел да демонстрира практическата осъществимост на технологията за производство на енергия от морските вълни в мащаб на стопанска реализация, като преодолее несъответствието между демонстрационните проекти и търговското използване на свързания с брега осцилиращ преобразувател на енергия от морските вълни (Oscillating Wave Surge Converter — OWSC), който преобразува енергията на морските вълни в електрическа енергия.</w:t>
            </w:r>
            <w:r>
              <w:t xml:space="preserve"> </w:t>
            </w:r>
            <w:r>
              <w:rPr>
                <w:rFonts w:ascii="Times New Roman" w:hAnsi="Times New Roman"/>
              </w:rPr>
              <w:t>Приносът от NER 300 ще възлезе на 10 милиона евро.</w:t>
            </w:r>
          </w:p>
        </w:tc>
        <w:tc>
          <w:tcPr>
            <w:tcW w:w="4140" w:type="dxa"/>
          </w:tcPr>
          <w:p w14:paraId="7BDD0DC1" w14:textId="77777777" w:rsidR="00C3264D" w:rsidRDefault="00862924">
            <w:pPr>
              <w:jc w:val="center"/>
              <w:rPr>
                <w:rFonts w:ascii="Times New Roman" w:hAnsi="Times New Roman"/>
              </w:rPr>
            </w:pPr>
            <w:r>
              <w:rPr>
                <w:rFonts w:ascii="Times New Roman" w:hAnsi="Times New Roman"/>
                <w:b/>
                <w:noProof/>
                <w:lang w:val="en-GB"/>
              </w:rPr>
              <w:drawing>
                <wp:inline distT="0" distB="0" distL="0" distR="0" wp14:anchorId="19546FE2" wp14:editId="5754F609">
                  <wp:extent cx="2310130" cy="1645526"/>
                  <wp:effectExtent l="0" t="0" r="0" b="0"/>
                  <wp:docPr id="17" name="Picture 17" descr="C:\Users\zmijeag\AppData\Local\Microsoft\Windows\INetCache\Content.Outlook\W4UI1M3B\Waveroller (002)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mijeag\AppData\Local\Microsoft\Windows\INetCache\Content.Outlook\W4UI1M3B\Waveroller (002) (002).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28942" cy="1658926"/>
                          </a:xfrm>
                          <a:prstGeom prst="rect">
                            <a:avLst/>
                          </a:prstGeom>
                          <a:noFill/>
                          <a:ln>
                            <a:noFill/>
                          </a:ln>
                        </pic:spPr>
                      </pic:pic>
                    </a:graphicData>
                  </a:graphic>
                </wp:inline>
              </w:drawing>
            </w:r>
          </w:p>
        </w:tc>
      </w:tr>
      <w:tr w:rsidR="00C3264D" w14:paraId="6C25214E" w14:textId="77777777" w:rsidTr="00601A28">
        <w:trPr>
          <w:trHeight w:val="4681"/>
        </w:trPr>
        <w:tc>
          <w:tcPr>
            <w:tcW w:w="2838" w:type="dxa"/>
          </w:tcPr>
          <w:p w14:paraId="59DCD6A7" w14:textId="77777777" w:rsidR="00C3264D" w:rsidRDefault="00862924">
            <w:pPr>
              <w:rPr>
                <w:rFonts w:ascii="Times New Roman" w:hAnsi="Times New Roman"/>
              </w:rPr>
            </w:pPr>
            <w:r>
              <w:rPr>
                <w:rFonts w:ascii="Times New Roman" w:hAnsi="Times New Roman"/>
              </w:rPr>
              <w:t>WINDFLOAT</w:t>
            </w:r>
          </w:p>
        </w:tc>
        <w:tc>
          <w:tcPr>
            <w:tcW w:w="2893" w:type="dxa"/>
          </w:tcPr>
          <w:p w14:paraId="0823A93A" w14:textId="77777777" w:rsidR="00C3264D" w:rsidRDefault="00862924">
            <w:pPr>
              <w:rPr>
                <w:rFonts w:ascii="Times New Roman" w:hAnsi="Times New Roman"/>
              </w:rPr>
            </w:pPr>
            <w:r>
              <w:rPr>
                <w:rFonts w:ascii="Times New Roman" w:hAnsi="Times New Roman"/>
              </w:rPr>
              <w:t>Проектът „Windfloat“ е иновативна вятърна инсталация с морско разположение, при който се използва плаваща полупотопяема платформа на около 20 km навътре от брега на Португалия. Проектът има за цел да доведе до напреднала фаза технологиите за плаващите подпорни конструкции, като демонстрира възможността за увеличаване на мащаба на концепцията WindFloat за разполагане на по-големи турбини. След това той ще насърчи разгръщането на вятърни инсталации в дълбокоморска среда.</w:t>
            </w:r>
            <w:r>
              <w:t xml:space="preserve"> </w:t>
            </w:r>
            <w:r>
              <w:rPr>
                <w:rFonts w:ascii="Times New Roman" w:hAnsi="Times New Roman"/>
              </w:rPr>
              <w:t>Приносът от NER 300 в рамките на InnovFin EDP ще възлезе на 60 милиона евро. Проектът WindFloat се ползва и от безвъзмездни средства в размер на почти 30 милиона евро по първоначалната програма NER 300.</w:t>
            </w:r>
          </w:p>
        </w:tc>
        <w:tc>
          <w:tcPr>
            <w:tcW w:w="4140" w:type="dxa"/>
          </w:tcPr>
          <w:p w14:paraId="5B1FC067" w14:textId="77777777" w:rsidR="00C3264D" w:rsidRDefault="00862924">
            <w:pPr>
              <w:jc w:val="center"/>
              <w:rPr>
                <w:rFonts w:ascii="Times New Roman" w:hAnsi="Times New Roman"/>
              </w:rPr>
            </w:pPr>
            <w:r>
              <w:rPr>
                <w:rFonts w:ascii="Times New Roman" w:hAnsi="Times New Roman"/>
                <w:b/>
                <w:noProof/>
                <w:lang w:val="en-GB"/>
              </w:rPr>
              <w:drawing>
                <wp:inline distT="0" distB="0" distL="0" distR="0" wp14:anchorId="716F954D" wp14:editId="60BFA99A">
                  <wp:extent cx="2318385" cy="1697126"/>
                  <wp:effectExtent l="0" t="0" r="5715" b="0"/>
                  <wp:docPr id="12" name="Picture 12" descr="C:\Users\zmijeag\AppData\Local\Microsoft\Windows\INetCache\Content.Outlook\W4UI1M3B\windfloat_ copyright principle power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mijeag\AppData\Local\Microsoft\Windows\INetCache\Content.Outlook\W4UI1M3B\windfloat_ copyright principle power (00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52191" cy="1721873"/>
                          </a:xfrm>
                          <a:prstGeom prst="rect">
                            <a:avLst/>
                          </a:prstGeom>
                          <a:noFill/>
                          <a:ln>
                            <a:noFill/>
                          </a:ln>
                        </pic:spPr>
                      </pic:pic>
                    </a:graphicData>
                  </a:graphic>
                </wp:inline>
              </w:drawing>
            </w:r>
          </w:p>
        </w:tc>
      </w:tr>
      <w:tr w:rsidR="00C3264D" w14:paraId="087EE2EC" w14:textId="77777777" w:rsidTr="00601A28">
        <w:trPr>
          <w:trHeight w:val="3604"/>
        </w:trPr>
        <w:tc>
          <w:tcPr>
            <w:tcW w:w="2838" w:type="dxa"/>
          </w:tcPr>
          <w:p w14:paraId="677BB122" w14:textId="77777777" w:rsidR="00C3264D" w:rsidRDefault="00862924">
            <w:pPr>
              <w:rPr>
                <w:rFonts w:ascii="Times New Roman" w:hAnsi="Times New Roman"/>
              </w:rPr>
            </w:pPr>
            <w:r>
              <w:rPr>
                <w:rFonts w:ascii="Times New Roman" w:hAnsi="Times New Roman"/>
              </w:rPr>
              <w:t>Мрежа за зареждане на електромобили GREENWAY</w:t>
            </w:r>
          </w:p>
        </w:tc>
        <w:tc>
          <w:tcPr>
            <w:tcW w:w="2893" w:type="dxa"/>
          </w:tcPr>
          <w:p w14:paraId="0F4752AD" w14:textId="77777777" w:rsidR="00C3264D" w:rsidRDefault="00862924">
            <w:pPr>
              <w:rPr>
                <w:rFonts w:ascii="Times New Roman" w:hAnsi="Times New Roman"/>
              </w:rPr>
            </w:pPr>
            <w:r>
              <w:rPr>
                <w:rFonts w:ascii="Times New Roman" w:hAnsi="Times New Roman"/>
              </w:rPr>
              <w:t>Проектът ще подкрепя ускореното изграждане на инфраструктура за електрически превозни средства. Той демонстрира практическата осъществимост в мащаб на стопанска реализация на станциите за свръхбързо зареждане на електрически превозни средства и пилотната фаза на интегрирана система за съхранение на енергия в акумулатори. Демонстрацията ще бъде осъществена в Словакия, Полша, Чешката република и Балтийските държави.</w:t>
            </w:r>
            <w:r>
              <w:t xml:space="preserve"> </w:t>
            </w:r>
            <w:r>
              <w:rPr>
                <w:rFonts w:ascii="Times New Roman" w:hAnsi="Times New Roman"/>
              </w:rPr>
              <w:t>Финансирането в рамките на InnovFin EDP е в размер на 17 милиона евро, като от тях почти 3 милиона евро са подкрепени от неизразходваните средства от програмата NER 300.</w:t>
            </w:r>
          </w:p>
        </w:tc>
        <w:tc>
          <w:tcPr>
            <w:tcW w:w="4140" w:type="dxa"/>
          </w:tcPr>
          <w:p w14:paraId="3E3B6AD9" w14:textId="77777777" w:rsidR="00C3264D" w:rsidRDefault="00862924">
            <w:pPr>
              <w:jc w:val="center"/>
              <w:rPr>
                <w:rFonts w:ascii="Times New Roman" w:hAnsi="Times New Roman"/>
              </w:rPr>
            </w:pPr>
            <w:r>
              <w:rPr>
                <w:rFonts w:ascii="Times New Roman" w:hAnsi="Times New Roman"/>
                <w:noProof/>
                <w:lang w:val="en-GB"/>
              </w:rPr>
              <w:drawing>
                <wp:inline distT="0" distB="0" distL="0" distR="0" wp14:anchorId="33DA51E3" wp14:editId="59843C3E">
                  <wp:extent cx="2310159" cy="1667510"/>
                  <wp:effectExtent l="0" t="0" r="0" b="8890"/>
                  <wp:docPr id="9" name="Picture 9" descr="C:\Users\zmijeag\AppData\Local\Microsoft\Windows\INetCache\Content.Outlook\W4UI1M3B\greenway copyright greenway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mijeag\AppData\Local\Microsoft\Windows\INetCache\Content.Outlook\W4UI1M3B\greenway copyright greenway (00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41833" cy="1690373"/>
                          </a:xfrm>
                          <a:prstGeom prst="rect">
                            <a:avLst/>
                          </a:prstGeom>
                          <a:noFill/>
                          <a:ln>
                            <a:noFill/>
                          </a:ln>
                        </pic:spPr>
                      </pic:pic>
                    </a:graphicData>
                  </a:graphic>
                </wp:inline>
              </w:drawing>
            </w:r>
          </w:p>
        </w:tc>
      </w:tr>
    </w:tbl>
    <w:p w14:paraId="06D43448" w14:textId="77777777" w:rsidR="00C3264D" w:rsidRPr="00C028EC" w:rsidRDefault="00C3264D">
      <w:pPr>
        <w:rPr>
          <w:rFonts w:ascii="Times New Roman" w:hAnsi="Times New Roman"/>
          <w:sz w:val="20"/>
          <w:szCs w:val="20"/>
        </w:rPr>
      </w:pPr>
    </w:p>
    <w:sectPr w:rsidR="00C3264D" w:rsidRPr="00C028EC" w:rsidSect="002802C4">
      <w:headerReference w:type="even" r:id="rId38"/>
      <w:headerReference w:type="default" r:id="rId39"/>
      <w:footerReference w:type="even" r:id="rId40"/>
      <w:footerReference w:type="default" r:id="rId41"/>
      <w:headerReference w:type="first" r:id="rId42"/>
      <w:footerReference w:type="first" r:id="rId43"/>
      <w:pgSz w:w="11906" w:h="16838"/>
      <w:pgMar w:top="1440" w:right="1440" w:bottom="1440" w:left="1440" w:header="709" w:footer="709"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3E97C30" w16cid:durableId="1D584DA1"/>
  <w16cid:commentId w16cid:paraId="5F4E4608" w16cid:durableId="1D584DA2"/>
  <w16cid:commentId w16cid:paraId="58E17FD7" w16cid:durableId="1D584DA3"/>
  <w16cid:commentId w16cid:paraId="5DF23A43" w16cid:durableId="1D584DA4"/>
  <w16cid:commentId w16cid:paraId="30B21068" w16cid:durableId="1D584DA5"/>
  <w16cid:commentId w16cid:paraId="3A2C271F" w16cid:durableId="1D584DA6"/>
  <w16cid:commentId w16cid:paraId="4AE592B9" w16cid:durableId="1D584DA7"/>
  <w16cid:commentId w16cid:paraId="643AA177" w16cid:durableId="1D584DA8"/>
  <w16cid:commentId w16cid:paraId="38513F67" w16cid:durableId="1D584DA9"/>
  <w16cid:commentId w16cid:paraId="1FFA1ED9" w16cid:durableId="1D584DAA"/>
  <w16cid:commentId w16cid:paraId="597E28CC" w16cid:durableId="1D584DAB"/>
  <w16cid:commentId w16cid:paraId="57EFFC44" w16cid:durableId="1D584DA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CB3ADA" w14:textId="77777777" w:rsidR="00692F99" w:rsidRDefault="00692F99">
      <w:pPr>
        <w:spacing w:after="0" w:line="240" w:lineRule="auto"/>
      </w:pPr>
      <w:r>
        <w:separator/>
      </w:r>
    </w:p>
  </w:endnote>
  <w:endnote w:type="continuationSeparator" w:id="0">
    <w:p w14:paraId="475CE3A1" w14:textId="77777777" w:rsidR="00692F99" w:rsidRDefault="00692F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00A448" w14:textId="77777777" w:rsidR="00C028EC" w:rsidRPr="00C028EC" w:rsidRDefault="00C028EC" w:rsidP="00C028EC">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58DC25" w14:textId="77777777" w:rsidR="00692F99" w:rsidRDefault="00692F99">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0A6729" w14:textId="7395FF6A" w:rsidR="00692F99" w:rsidRDefault="00692F99">
    <w:pPr>
      <w:pStyle w:val="Footer"/>
      <w:jc w:val="center"/>
    </w:pPr>
    <w:r>
      <w:fldChar w:fldCharType="begin"/>
    </w:r>
    <w:r>
      <w:instrText xml:space="preserve"> PAGE   \* MERGEFORMAT </w:instrText>
    </w:r>
    <w:r>
      <w:fldChar w:fldCharType="separate"/>
    </w:r>
    <w:r w:rsidR="00C028EC">
      <w:rPr>
        <w:noProof/>
      </w:rPr>
      <w:t>61</w:t>
    </w:r>
    <w:r>
      <w:fldChar w:fldCharType="end"/>
    </w:r>
  </w:p>
  <w:p w14:paraId="67248155" w14:textId="77777777" w:rsidR="00692F99" w:rsidRDefault="00692F99">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0920FE" w14:textId="77777777" w:rsidR="00692F99" w:rsidRDefault="00692F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06B78E" w14:textId="1863D8F3" w:rsidR="00C028EC" w:rsidRPr="00C028EC" w:rsidRDefault="00C028EC" w:rsidP="00C028EC">
    <w:pPr>
      <w:pStyle w:val="FooterCoverPage"/>
      <w:rPr>
        <w:rFonts w:ascii="Arial" w:hAnsi="Arial" w:cs="Arial"/>
        <w:b/>
        <w:sz w:val="48"/>
      </w:rPr>
    </w:pPr>
    <w:r w:rsidRPr="00C028EC">
      <w:rPr>
        <w:rFonts w:ascii="Arial" w:hAnsi="Arial" w:cs="Arial"/>
        <w:b/>
        <w:sz w:val="48"/>
      </w:rPr>
      <w:t>BG</w:t>
    </w:r>
    <w:r w:rsidRPr="00C028EC">
      <w:rPr>
        <w:rFonts w:ascii="Arial" w:hAnsi="Arial" w:cs="Arial"/>
        <w:b/>
        <w:sz w:val="48"/>
      </w:rPr>
      <w:tab/>
    </w:r>
    <w:r w:rsidRPr="00C028EC">
      <w:rPr>
        <w:rFonts w:ascii="Arial" w:hAnsi="Arial" w:cs="Arial"/>
        <w:b/>
        <w:sz w:val="48"/>
      </w:rPr>
      <w:tab/>
    </w:r>
    <w:r w:rsidRPr="00C028EC">
      <w:tab/>
    </w:r>
    <w:r w:rsidRPr="00C028EC">
      <w:rPr>
        <w:rFonts w:ascii="Arial" w:hAnsi="Arial" w:cs="Arial"/>
        <w:b/>
        <w:sz w:val="48"/>
      </w:rPr>
      <w:t>BG</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EE79E1" w14:textId="77777777" w:rsidR="00C028EC" w:rsidRPr="00C028EC" w:rsidRDefault="00C028EC" w:rsidP="00C028EC">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6F7BF0" w14:textId="77777777" w:rsidR="00692F99" w:rsidRDefault="00692F9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59F087" w14:textId="68836C85" w:rsidR="00692F99" w:rsidRDefault="00692F99">
    <w:pPr>
      <w:pStyle w:val="Footer"/>
      <w:jc w:val="center"/>
    </w:pPr>
    <w:r>
      <w:fldChar w:fldCharType="begin"/>
    </w:r>
    <w:r>
      <w:instrText xml:space="preserve"> PAGE   \* MERGEFORMAT </w:instrText>
    </w:r>
    <w:r>
      <w:fldChar w:fldCharType="separate"/>
    </w:r>
    <w:r w:rsidR="00C028EC">
      <w:rPr>
        <w:noProof/>
      </w:rPr>
      <w:t>33</w:t>
    </w:r>
    <w:r>
      <w:fldChar w:fldCharType="end"/>
    </w:r>
  </w:p>
  <w:p w14:paraId="1D6D3F6A" w14:textId="77777777" w:rsidR="00692F99" w:rsidRDefault="00692F9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A32645" w14:textId="77777777" w:rsidR="00692F99" w:rsidRDefault="00692F9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58AE3A" w14:textId="77777777" w:rsidR="00692F99" w:rsidRDefault="00692F9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6FE87D" w14:textId="2F0F649F" w:rsidR="00692F99" w:rsidRDefault="00692F99">
    <w:pPr>
      <w:pStyle w:val="Footer"/>
      <w:jc w:val="center"/>
    </w:pPr>
    <w:r>
      <w:fldChar w:fldCharType="begin"/>
    </w:r>
    <w:r>
      <w:instrText xml:space="preserve"> PAGE   \* MERGEFORMAT </w:instrText>
    </w:r>
    <w:r>
      <w:fldChar w:fldCharType="separate"/>
    </w:r>
    <w:r w:rsidR="00C028EC">
      <w:rPr>
        <w:noProof/>
      </w:rPr>
      <w:t>52</w:t>
    </w:r>
    <w:r>
      <w:fldChar w:fldCharType="end"/>
    </w:r>
  </w:p>
  <w:p w14:paraId="6536D18F" w14:textId="77777777" w:rsidR="00692F99" w:rsidRDefault="00692F99">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8F3D22" w14:textId="77777777" w:rsidR="00692F99" w:rsidRDefault="00692F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CB36A9" w14:textId="77777777" w:rsidR="00692F99" w:rsidRDefault="00692F99">
      <w:pPr>
        <w:spacing w:after="0" w:line="240" w:lineRule="auto"/>
      </w:pPr>
      <w:r>
        <w:separator/>
      </w:r>
    </w:p>
  </w:footnote>
  <w:footnote w:type="continuationSeparator" w:id="0">
    <w:p w14:paraId="30DAD5DC" w14:textId="77777777" w:rsidR="00692F99" w:rsidRDefault="00692F99">
      <w:pPr>
        <w:spacing w:after="0" w:line="240" w:lineRule="auto"/>
      </w:pPr>
      <w:r>
        <w:continuationSeparator/>
      </w:r>
    </w:p>
  </w:footnote>
  <w:footnote w:id="1">
    <w:p w14:paraId="2C3470E2" w14:textId="77777777" w:rsidR="00692F99" w:rsidRDefault="00692F99">
      <w:pPr>
        <w:pStyle w:val="FootnoteText"/>
      </w:pPr>
      <w:r>
        <w:rPr>
          <w:rStyle w:val="FootnoteReference"/>
        </w:rPr>
        <w:footnoteRef/>
      </w:r>
      <w:r>
        <w:t xml:space="preserve"> https://ec.europa.eu/commission/sites/beta-political/files/political-guidelines-next-commission_bg_1.pdf</w:t>
      </w:r>
    </w:p>
  </w:footnote>
  <w:footnote w:id="2">
    <w:p w14:paraId="72DB6577" w14:textId="77777777" w:rsidR="00692F99" w:rsidRDefault="00692F99">
      <w:pPr>
        <w:pStyle w:val="FootnoteText"/>
      </w:pPr>
      <w:r>
        <w:rPr>
          <w:rStyle w:val="FootnoteReference"/>
        </w:rPr>
        <w:footnoteRef/>
      </w:r>
      <w:r>
        <w:t xml:space="preserve"> Директива (ЕС) 2018/410 на Европейския парламент и на Съвета от 14 март 2018 г. за изменение на Директива 2003/87/ЕО с цел засилване на разходоефективните намаления на емисии и на нисковъглеродните инвестиции, и на Решение (ЕС) 2015/1814, ОВ L 76, 19.3.2018 г., стр. 3</w:t>
      </w:r>
    </w:p>
  </w:footnote>
  <w:footnote w:id="3">
    <w:p w14:paraId="65D07E7D" w14:textId="77777777" w:rsidR="00692F99" w:rsidRDefault="00692F99">
      <w:pPr>
        <w:pStyle w:val="FootnoteText"/>
        <w:jc w:val="both"/>
      </w:pPr>
      <w:r>
        <w:rPr>
          <w:rStyle w:val="FootnoteReference"/>
        </w:rPr>
        <w:footnoteRef/>
      </w:r>
      <w:r>
        <w:t xml:space="preserve"> Директива 2003/87/ЕО на Европейския парламент и на Съвета от 13 октомври 2003 г. за установяване на система за търговия с квоти за емисии на парникови газове в рамките на Съюза и за изменение на Директива 96/61/ЕО на Съвета, ОВ L 275, 25.10.2003 г., стp. 32.</w:t>
      </w:r>
    </w:p>
  </w:footnote>
  <w:footnote w:id="4">
    <w:p w14:paraId="0A916FC8" w14:textId="77777777" w:rsidR="00692F99" w:rsidRDefault="00692F99">
      <w:pPr>
        <w:pStyle w:val="FootnoteText"/>
        <w:jc w:val="both"/>
      </w:pPr>
      <w:r>
        <w:rPr>
          <w:rStyle w:val="FootnoteReference"/>
        </w:rPr>
        <w:footnoteRef/>
      </w:r>
      <w:r>
        <w:t xml:space="preserve"> Последното актуализиране е на 28 юни 2019 г. </w:t>
      </w:r>
    </w:p>
  </w:footnote>
  <w:footnote w:id="5">
    <w:p w14:paraId="087A147E" w14:textId="77777777" w:rsidR="00692F99" w:rsidRDefault="00692F99">
      <w:pPr>
        <w:pStyle w:val="FootnoteText"/>
      </w:pPr>
      <w:r>
        <w:rPr>
          <w:rStyle w:val="FootnoteReference"/>
        </w:rPr>
        <w:footnoteRef/>
      </w:r>
      <w:r>
        <w:t xml:space="preserve"> При позоваването на докладите по член 21 понятието „участващи държави“ или просто „държави“ включва 28-те държави — членки на ЕС, плюс държавите от ЕИП (Исландия, Норвегия и Лихтенщайн).</w:t>
      </w:r>
    </w:p>
  </w:footnote>
  <w:footnote w:id="6">
    <w:p w14:paraId="4E70C82A" w14:textId="77777777" w:rsidR="00692F99" w:rsidRDefault="00692F99">
      <w:pPr>
        <w:pStyle w:val="FootnoteText"/>
        <w:jc w:val="both"/>
      </w:pPr>
      <w:r>
        <w:rPr>
          <w:rStyle w:val="FootnoteReference"/>
        </w:rPr>
        <w:footnoteRef/>
      </w:r>
      <w:r>
        <w:t xml:space="preserve"> В рамките на СТЕ на ЕС емисионният фактор за биомаса е заложен като нула, ако е спазено определението за понятието „биомаса“ и при условие че са изпълнени — ако става въпрос за биогорива или течни биогорива от биомаса— критериите за устойчивост съгласно член 17, параграф 1 от Директива 2009/28/ЕО (Директивата за енергия от възобновяеми източници). Не се отпускат квоти за емисии с нулеви ставки. В докладите по член 21, подадени през 2019 г., три участващи държави (Дания, Латвия и Литва) са докладвали само енергийното съдържание на биомаса с нулеви ставки, а не действителните емисии. Поради това техните емисии не са взети предвид в посочения общ размер. </w:t>
      </w:r>
    </w:p>
  </w:footnote>
  <w:footnote w:id="7">
    <w:p w14:paraId="57BBDB68" w14:textId="77777777" w:rsidR="00692F99" w:rsidRDefault="00692F99">
      <w:pPr>
        <w:pStyle w:val="FootnoteText"/>
        <w:jc w:val="both"/>
      </w:pPr>
      <w:r>
        <w:rPr>
          <w:rStyle w:val="FootnoteReference"/>
        </w:rPr>
        <w:footnoteRef/>
      </w:r>
      <w:r>
        <w:t xml:space="preserve"> Емисиите на инсталациите от категория В са над 500 000 тона CO</w:t>
      </w:r>
      <w:r>
        <w:rPr>
          <w:vertAlign w:val="subscript"/>
        </w:rPr>
        <w:t>2</w:t>
      </w:r>
      <w:r>
        <w:t>екв. годишно, емисиите на инсталациите от категория Б са между 500 000 и 50 000 тона CO</w:t>
      </w:r>
      <w:r>
        <w:rPr>
          <w:vertAlign w:val="subscript"/>
        </w:rPr>
        <w:t>2</w:t>
      </w:r>
      <w:r>
        <w:t>екв. годишно и емисиите на инсталациите от категория А са под 50 000 тона CO</w:t>
      </w:r>
      <w:r>
        <w:rPr>
          <w:vertAlign w:val="subscript"/>
        </w:rPr>
        <w:t>2</w:t>
      </w:r>
      <w:r>
        <w:t>екв. годишно. Вж. Регламент (ЕС) № 601/2012 на Комисията от 21 юни 2012 г. относно мониторинга и докладването на емисиите на парникови газове съгласно Директива 2003/87/ЕО на Европейския парламент и на Съвета, ОВ L 181, 12.7.2012 г., стр. 30.</w:t>
      </w:r>
    </w:p>
  </w:footnote>
  <w:footnote w:id="8">
    <w:p w14:paraId="5CDD110D" w14:textId="16CF3687" w:rsidR="00692F99" w:rsidRDefault="00692F99">
      <w:pPr>
        <w:pStyle w:val="FootnoteText"/>
        <w:jc w:val="both"/>
      </w:pPr>
      <w:r>
        <w:rPr>
          <w:rStyle w:val="FootnoteReference"/>
        </w:rPr>
        <w:footnoteRef/>
      </w:r>
      <w:r>
        <w:t xml:space="preserve"> „Инсталациите с малки емисии“ са подкатегория на инсталациите от категория А и отделят по-малко от 25 000 тона CO</w:t>
      </w:r>
      <w:r>
        <w:rPr>
          <w:vertAlign w:val="subscript"/>
        </w:rPr>
        <w:t>2</w:t>
      </w:r>
      <w:r>
        <w:t xml:space="preserve">екв. годишно (вж. член 47, параграф 2 от Регламент (ЕС) № 601/2012). </w:t>
      </w:r>
    </w:p>
  </w:footnote>
  <w:footnote w:id="9">
    <w:p w14:paraId="27E40B9F" w14:textId="77777777" w:rsidR="00692F99" w:rsidRDefault="00692F99">
      <w:pPr>
        <w:pStyle w:val="FootnoteText"/>
        <w:jc w:val="both"/>
      </w:pPr>
      <w:r>
        <w:rPr>
          <w:rStyle w:val="FootnoteReference"/>
        </w:rPr>
        <w:footnoteRef/>
      </w:r>
      <w:r>
        <w:t xml:space="preserve"> Регламент (ЕС) № 601/2012 на Комисията от 21 юни 2012 г. относно мониторинга и докладването на емисиите на парникови газове съгласно Директива 2003/87/ЕО на Европейския парламент и на Съвета, ОВ L 181, 12.7.2012 г., стр. 30.</w:t>
      </w:r>
    </w:p>
  </w:footnote>
  <w:footnote w:id="10">
    <w:p w14:paraId="729E9BD0" w14:textId="77777777" w:rsidR="00692F99" w:rsidRDefault="00692F99">
      <w:pPr>
        <w:pStyle w:val="FootnoteText"/>
        <w:jc w:val="both"/>
      </w:pPr>
      <w:r>
        <w:rPr>
          <w:rStyle w:val="FootnoteReference"/>
        </w:rPr>
        <w:footnoteRef/>
      </w:r>
      <w:r>
        <w:t xml:space="preserve"> Пример за търговски оператор на въздухоплавателно средство е пътническа авиокомпания, предоставяща услуги на широката общественост. Пример за нетърговски оператор на въздухоплавателно средство е въздухоплавателно средство, което е частна собственост.</w:t>
      </w:r>
    </w:p>
  </w:footnote>
  <w:footnote w:id="11">
    <w:p w14:paraId="49CC7E96" w14:textId="77777777" w:rsidR="00692F99" w:rsidRDefault="00692F99">
      <w:pPr>
        <w:pStyle w:val="FootnoteText"/>
        <w:jc w:val="both"/>
      </w:pPr>
      <w:r>
        <w:rPr>
          <w:rStyle w:val="FootnoteReference"/>
        </w:rPr>
        <w:footnoteRef/>
      </w:r>
      <w:r>
        <w:t xml:space="preserve"> Решение (C(2018) 8707) на Комисията от 17 декември 2018 г. относно даване на указания на централния администратор за временно спиране на приемането от Дневника на ЕС за трансакциите на съответните обработвания за Обединеното кралство, свързани с безплатното разпределяне, тръжната продажба и обмена на международни кредити. </w:t>
      </w:r>
    </w:p>
  </w:footnote>
  <w:footnote w:id="12">
    <w:p w14:paraId="45211C6E" w14:textId="77777777" w:rsidR="00692F99" w:rsidRDefault="00692F99">
      <w:pPr>
        <w:pStyle w:val="FootnoteText"/>
        <w:jc w:val="both"/>
      </w:pPr>
      <w:r>
        <w:rPr>
          <w:rStyle w:val="FootnoteReference"/>
        </w:rPr>
        <w:footnoteRef/>
      </w:r>
      <w:r>
        <w:t xml:space="preserve"> Регламент (ЕС) 2018/208 на Комисията от 12 февруари 2018 г. за изменение на Регламент (ЕС) № 389/2013 за създаване на Регистър на ЕС, ОВ L 39/3, 13.2.2018 г., стр. 3.</w:t>
      </w:r>
    </w:p>
  </w:footnote>
  <w:footnote w:id="13">
    <w:p w14:paraId="224C7CEF" w14:textId="5649F3E2" w:rsidR="00692F99" w:rsidRDefault="00692F99">
      <w:pPr>
        <w:pStyle w:val="FootnoteText"/>
        <w:jc w:val="both"/>
      </w:pPr>
      <w:r>
        <w:rPr>
          <w:rStyle w:val="FootnoteReference"/>
        </w:rPr>
        <w:footnoteRef/>
      </w:r>
      <w:r>
        <w:t xml:space="preserve"> Делегиран регламент (ЕС) 2019/1122 на Комисията от 12 март 2019 г. за допълване на Директива 2003/87/ЕО на Европейския парламент и на Съвета по отношение на функционирането на Регистъра на ЕС, OВ L 177, 2.7.2019 г., стр. 3.</w:t>
      </w:r>
    </w:p>
  </w:footnote>
  <w:footnote w:id="14">
    <w:p w14:paraId="6B618F8C" w14:textId="73396692" w:rsidR="00692F99" w:rsidRDefault="00692F99">
      <w:pPr>
        <w:pStyle w:val="FootnoteText"/>
      </w:pPr>
      <w:r>
        <w:rPr>
          <w:rStyle w:val="FootnoteReference"/>
        </w:rPr>
        <w:footnoteRef/>
      </w:r>
      <w:r>
        <w:t xml:space="preserve"> Директива 2014/65/EС на Европейския парламент и на Съвета от 15 май 2014 г. относно пазарите на финансови инструменти и за изменение на Директива 2002/92/ЕО и на Директива 2011/61/ЕС</w:t>
      </w:r>
      <w:r w:rsidR="005A13C7">
        <w:t>,</w:t>
      </w:r>
      <w:r w:rsidR="005A13C7" w:rsidRPr="00A61B78">
        <w:t xml:space="preserve"> </w:t>
      </w:r>
      <w:r w:rsidR="005A13C7">
        <w:t>ОВ</w:t>
      </w:r>
      <w:r w:rsidR="005A13C7" w:rsidRPr="00A61B78">
        <w:t xml:space="preserve"> L 173, 12.6.2014</w:t>
      </w:r>
      <w:r w:rsidR="005A13C7">
        <w:t> г.</w:t>
      </w:r>
      <w:r w:rsidR="005A13C7" w:rsidRPr="00A61B78">
        <w:t xml:space="preserve">, </w:t>
      </w:r>
      <w:r w:rsidR="005A13C7">
        <w:t>стр</w:t>
      </w:r>
      <w:r w:rsidR="005A13C7" w:rsidRPr="00A61B78">
        <w:t>. 349</w:t>
      </w:r>
      <w:r>
        <w:t>.</w:t>
      </w:r>
    </w:p>
  </w:footnote>
  <w:footnote w:id="15">
    <w:p w14:paraId="18CCECF1" w14:textId="77777777" w:rsidR="00692F99" w:rsidRDefault="00692F99">
      <w:pPr>
        <w:pStyle w:val="FootnoteText"/>
        <w:jc w:val="both"/>
      </w:pPr>
      <w:r>
        <w:rPr>
          <w:rStyle w:val="FootnoteReference"/>
        </w:rPr>
        <w:footnoteRef/>
      </w:r>
      <w:r>
        <w:t xml:space="preserve"> Броят на квотите за авиационни емисии, пуснати в обръщение след 2013 г., е резултат от прилагане на подход отдолу нагоре, като се започне от безплатно разпределяне (определено въз основа на критерии за дейността на операторите в рамките на ЕИП). Броят на квотите, предназначени за тръжна продажба, се определя след това въз основа на факта, че безплатното разпределяне (включително специален резерв за по-късно разпределяне на бързо развиващи се оператори на въздухоплавателни средства и нови участници) следва да бъде 85 %, а тръжната продажба — 15 % от общия брой.</w:t>
      </w:r>
    </w:p>
  </w:footnote>
  <w:footnote w:id="16">
    <w:p w14:paraId="08AA8F6E" w14:textId="77777777" w:rsidR="00692F99" w:rsidRDefault="00692F99">
      <w:pPr>
        <w:pStyle w:val="FootnoteText"/>
        <w:jc w:val="both"/>
      </w:pPr>
      <w:r>
        <w:rPr>
          <w:rStyle w:val="FootnoteReference"/>
        </w:rPr>
        <w:footnoteRef/>
      </w:r>
      <w:r>
        <w:t xml:space="preserve"> Актуализираните стойности включват обмен на международни кредити, наред с безплатното предоставяне на квоти и продаваните на търг количества. </w:t>
      </w:r>
    </w:p>
  </w:footnote>
  <w:footnote w:id="17">
    <w:p w14:paraId="124D1314" w14:textId="77777777" w:rsidR="00692F99" w:rsidRDefault="00692F99">
      <w:pPr>
        <w:pStyle w:val="FootnoteText"/>
        <w:jc w:val="both"/>
      </w:pPr>
      <w:r>
        <w:rPr>
          <w:rStyle w:val="FootnoteReference"/>
        </w:rPr>
        <w:footnoteRef/>
      </w:r>
      <w:r>
        <w:t xml:space="preserve"> Включва информация от авиационния тръжен календар за 2019 г. Не са включени данни за Обединеното кралство за 2019 г. поради защитните мерки, приети от Комисията с цел да се запази целостта на СТЕ на ЕС в областта на околната среда в случаите, когато правото на ЕС престава да се прилага за държава членка, която се отделя от ЕС (вж. глава 2.2).</w:t>
      </w:r>
    </w:p>
  </w:footnote>
  <w:footnote w:id="18">
    <w:p w14:paraId="31E1AEDF" w14:textId="77777777" w:rsidR="00692F99" w:rsidRDefault="00692F99">
      <w:pPr>
        <w:pStyle w:val="FootnoteText"/>
      </w:pPr>
      <w:r>
        <w:rPr>
          <w:rStyle w:val="FootnoteReference"/>
        </w:rPr>
        <w:footnoteRef/>
      </w:r>
      <w:r>
        <w:t xml:space="preserve"> Цифрите включват данните от нотификациите от държавите членки, получени до юни 2019 г., и в тях може да настъпят промени във връзка със следващи нотификации.</w:t>
      </w:r>
    </w:p>
  </w:footnote>
  <w:footnote w:id="19">
    <w:p w14:paraId="39FE7B3A" w14:textId="77777777" w:rsidR="00692F99" w:rsidRDefault="00692F99">
      <w:pPr>
        <w:pStyle w:val="FootnoteText"/>
      </w:pPr>
      <w:r>
        <w:rPr>
          <w:rStyle w:val="FootnoteReference"/>
        </w:rPr>
        <w:footnoteRef/>
      </w:r>
      <w:r>
        <w:t xml:space="preserve"> Първоначални количества, преди намаленията, посочени по-долу. </w:t>
      </w:r>
    </w:p>
  </w:footnote>
  <w:footnote w:id="20">
    <w:p w14:paraId="72CA2E38" w14:textId="77777777" w:rsidR="00692F99" w:rsidRDefault="00692F99">
      <w:pPr>
        <w:pStyle w:val="FootnoteText"/>
        <w:jc w:val="both"/>
      </w:pPr>
      <w:r>
        <w:rPr>
          <w:rStyle w:val="FootnoteReference"/>
        </w:rPr>
        <w:footnoteRef/>
      </w:r>
      <w:r>
        <w:t xml:space="preserve"> Разпределянето на квоти за Обединеното кралство (48,0 милиона квоти от общия брой за 2019 г.) бе преустановено поради защитните мерки, приети от Комисията с цел да се запази целостта на СТЕ на ЕС в областта на околната среда в случаите, когато правото на ЕС престава да се прилага за държава членка, която се отделя от ЕС (вж. глава 2.2).</w:t>
      </w:r>
    </w:p>
  </w:footnote>
  <w:footnote w:id="21">
    <w:p w14:paraId="515C057E" w14:textId="77777777" w:rsidR="00692F99" w:rsidRDefault="00692F99">
      <w:pPr>
        <w:pStyle w:val="FootnoteText"/>
        <w:jc w:val="both"/>
      </w:pPr>
      <w:r>
        <w:rPr>
          <w:rStyle w:val="FootnoteReference"/>
        </w:rPr>
        <w:footnoteRef/>
      </w:r>
      <w:r>
        <w:t xml:space="preserve"> Решение 2013/448/EС на Комисията, OВ L 240, 7.9.2013 г., стр. 27.</w:t>
      </w:r>
    </w:p>
  </w:footnote>
  <w:footnote w:id="22">
    <w:p w14:paraId="524B8305" w14:textId="77777777" w:rsidR="00692F99" w:rsidRDefault="00692F99">
      <w:pPr>
        <w:pStyle w:val="FootnoteText"/>
        <w:jc w:val="both"/>
      </w:pPr>
      <w:r>
        <w:rPr>
          <w:rStyle w:val="FootnoteReference"/>
        </w:rPr>
        <w:footnoteRef/>
      </w:r>
      <w:r>
        <w:t xml:space="preserve"> Решение 2017/126/EС на Комисията, OВ L 19, 25.1.2017 г., стр. 93.</w:t>
      </w:r>
    </w:p>
  </w:footnote>
  <w:footnote w:id="23">
    <w:p w14:paraId="35EE4543" w14:textId="77777777" w:rsidR="00692F99" w:rsidRDefault="00692F99">
      <w:pPr>
        <w:pStyle w:val="FootnoteText"/>
        <w:jc w:val="both"/>
      </w:pPr>
      <w:r>
        <w:rPr>
          <w:rStyle w:val="FootnoteReference"/>
        </w:rPr>
        <w:footnoteRef/>
      </w:r>
      <w:r>
        <w:t xml:space="preserve"> Делегирано решение (ЕС) 2019/708 на Комисията, https://eur-lex.europa.eu/legal-content/bg/TXT/PDF/?uri=OJ:L:2019:120:FULL&amp;from=bg</w:t>
      </w:r>
    </w:p>
  </w:footnote>
  <w:footnote w:id="24">
    <w:p w14:paraId="10E3EB24" w14:textId="77777777" w:rsidR="00692F99" w:rsidRDefault="00692F99">
      <w:pPr>
        <w:pStyle w:val="FootnoteText"/>
      </w:pPr>
      <w:r>
        <w:rPr>
          <w:rStyle w:val="FootnoteReference"/>
        </w:rPr>
        <w:footnoteRef/>
      </w:r>
      <w:r>
        <w:t xml:space="preserve"> Делегиран регламент (EC) 2019/331 на Комисията, https://eur-lex.europa.eu/legal-content/bg/TXT/PDF/?uri=OJ:L:2019:059:FULL&amp;from=bg</w:t>
      </w:r>
    </w:p>
  </w:footnote>
  <w:footnote w:id="25">
    <w:p w14:paraId="12C088B7" w14:textId="77777777" w:rsidR="00692F99" w:rsidRDefault="00692F99">
      <w:pPr>
        <w:pStyle w:val="FootnoteText"/>
      </w:pPr>
      <w:r>
        <w:rPr>
          <w:rStyle w:val="FootnoteReference"/>
        </w:rPr>
        <w:footnoteRef/>
      </w:r>
      <w:r>
        <w:t xml:space="preserve"> Решение (ЕС) 2017/2172 на Комисията от 20 ноември 2017 г. за изменение на Решение № 2010/670/ЕС по отношение на използването на неизплатени приходи от първия кръг от покани за представяне на предложения.</w:t>
      </w:r>
    </w:p>
  </w:footnote>
  <w:footnote w:id="26">
    <w:p w14:paraId="7F4996A3" w14:textId="77777777" w:rsidR="00692F99" w:rsidRDefault="00692F99">
      <w:pPr>
        <w:pStyle w:val="FootnoteText"/>
        <w:jc w:val="both"/>
      </w:pPr>
      <w:r>
        <w:rPr>
          <w:rStyle w:val="FootnoteReference"/>
        </w:rPr>
        <w:footnoteRef/>
      </w:r>
      <w:r>
        <w:t xml:space="preserve"> В съответствие с Решение 2010/670/ЕС на Комисията за избраните по първата покана проекти окончателни инвестиционни решения трябваше да бъдат взети до края на 2016 г., докато за проектите, избрани по втората покана, решенията трябваше да бъдат взети до края на юни 2018 г.</w:t>
      </w:r>
    </w:p>
  </w:footnote>
  <w:footnote w:id="27">
    <w:p w14:paraId="4524FA54" w14:textId="77777777" w:rsidR="00692F99" w:rsidRDefault="00692F99">
      <w:pPr>
        <w:pStyle w:val="FootnoteText"/>
        <w:jc w:val="both"/>
      </w:pPr>
      <w:r>
        <w:rPr>
          <w:rStyle w:val="FootnoteReference"/>
        </w:rPr>
        <w:footnoteRef/>
      </w:r>
      <w:r>
        <w:t xml:space="preserve"> Стойността на 450-те милиона квоти, предоставени за фонда, ще зависи от цената на въглеродните емисии. При средна цена от 25 евро на квота ресурсите за фонда биха възлезли на 11,3 милиарда евро. </w:t>
      </w:r>
    </w:p>
  </w:footnote>
  <w:footnote w:id="28">
    <w:p w14:paraId="36A43FF5" w14:textId="77777777" w:rsidR="00692F99" w:rsidRDefault="00692F99">
      <w:pPr>
        <w:pStyle w:val="FootnoteText"/>
        <w:jc w:val="both"/>
      </w:pPr>
      <w:r>
        <w:rPr>
          <w:rStyle w:val="FootnoteReference"/>
        </w:rPr>
        <w:footnoteRef/>
      </w:r>
      <w:r>
        <w:t xml:space="preserve"> Делегиран регламент (ЕС) 2019/856 на Комисията от 26 февруари 2019 г. за допълнение на Директива 2003/87/ЕО на Европейския парламент и на Съвета по отношение на функционирането на Фонда за иновации, OВ L 140, 28.5.2019 г., стр. 6—17.</w:t>
      </w:r>
    </w:p>
  </w:footnote>
  <w:footnote w:id="29">
    <w:p w14:paraId="563672DE" w14:textId="77777777" w:rsidR="00692F99" w:rsidRDefault="00692F99">
      <w:pPr>
        <w:pStyle w:val="FootnoteText"/>
      </w:pPr>
      <w:r>
        <w:rPr>
          <w:rStyle w:val="FootnoteReference"/>
        </w:rPr>
        <w:footnoteRef/>
      </w:r>
      <w:r>
        <w:t xml:space="preserve"> Освен това бяха приети модификации по френската и испанската схема.</w:t>
      </w:r>
    </w:p>
  </w:footnote>
  <w:footnote w:id="30">
    <w:p w14:paraId="01E198D3" w14:textId="77777777" w:rsidR="00692F99" w:rsidRDefault="00692F99">
      <w:pPr>
        <w:pStyle w:val="FootnoteText"/>
      </w:pPr>
      <w:r>
        <w:rPr>
          <w:rStyle w:val="FootnoteReference"/>
        </w:rPr>
        <w:footnoteRef/>
      </w:r>
      <w:r>
        <w:t xml:space="preserve"> Информацията относно изплатените компенсации и броя на бенефициерите се основава на задължението за докладване съгласно член 10а, параграф 6 от Директива (ЕС) 2018/410.</w:t>
      </w:r>
    </w:p>
  </w:footnote>
  <w:footnote w:id="31">
    <w:p w14:paraId="46B098E4" w14:textId="77777777" w:rsidR="00692F99" w:rsidRDefault="00692F99">
      <w:pPr>
        <w:pStyle w:val="FootnoteText"/>
      </w:pPr>
      <w:r>
        <w:rPr>
          <w:rStyle w:val="FootnoteReference"/>
        </w:rPr>
        <w:footnoteRef/>
      </w:r>
      <w:r>
        <w:t xml:space="preserve"> 19,7 млн. британски лири (за НР, направени през 2018 г.), на база средния обменен курс от 1,1355 GBP/EUR.</w:t>
      </w:r>
    </w:p>
  </w:footnote>
  <w:footnote w:id="32">
    <w:p w14:paraId="7FE62C2F" w14:textId="77777777" w:rsidR="00692F99" w:rsidRDefault="00692F99">
      <w:pPr>
        <w:pStyle w:val="FootnoteText"/>
      </w:pPr>
      <w:r>
        <w:rPr>
          <w:rStyle w:val="FootnoteReference"/>
        </w:rPr>
        <w:footnoteRef/>
      </w:r>
      <w:r>
        <w:t xml:space="preserve"> Обединеното кралство е докладвало не инсталации, а предприятия.</w:t>
      </w:r>
    </w:p>
  </w:footnote>
  <w:footnote w:id="33">
    <w:p w14:paraId="3C39F140" w14:textId="77777777" w:rsidR="00692F99" w:rsidRDefault="00692F99">
      <w:pPr>
        <w:pStyle w:val="FootnoteText"/>
      </w:pPr>
      <w:r>
        <w:rPr>
          <w:rStyle w:val="FootnoteReference"/>
        </w:rPr>
        <w:footnoteRef/>
      </w:r>
      <w:r>
        <w:t xml:space="preserve"> Следва да се обърне внимание, че Обединеното кралство е изплатило подкрепа през 2019 г. за непреки разходи, направени през 2018 г. Поради това за Обединеното кралство са показани приходите от тръжни продажби от 2018 г. </w:t>
      </w:r>
    </w:p>
  </w:footnote>
  <w:footnote w:id="34">
    <w:p w14:paraId="15E8E690" w14:textId="77777777" w:rsidR="00692F99" w:rsidRDefault="00692F99">
      <w:pPr>
        <w:pStyle w:val="FootnoteText"/>
      </w:pPr>
      <w:r>
        <w:rPr>
          <w:rStyle w:val="FootnoteReference"/>
        </w:rPr>
        <w:footnoteRef/>
      </w:r>
      <w:r>
        <w:t xml:space="preserve"> Полша не е включена тук, тъй като през 2020 г. тя ще започне изплащане на подкрепа за непреки разходи, направени през 2019 г.</w:t>
      </w:r>
    </w:p>
  </w:footnote>
  <w:footnote w:id="35">
    <w:p w14:paraId="22E1F2A3" w14:textId="77777777" w:rsidR="00692F99" w:rsidRDefault="00692F99">
      <w:pPr>
        <w:pStyle w:val="FootnoteText"/>
      </w:pPr>
      <w:r>
        <w:rPr>
          <w:rStyle w:val="FootnoteReference"/>
        </w:rPr>
        <w:footnoteRef/>
      </w:r>
      <w:r>
        <w:t xml:space="preserve"> Причината за съпоставка между плащанията през 2018 г. и приходите от тръжни продажби през 2017 г. е, че плащанията от 2018 г. по принцип съставляват компенсация за непреките разходи на потребителите през календарната 2017 година. </w:t>
      </w:r>
    </w:p>
  </w:footnote>
  <w:footnote w:id="36">
    <w:p w14:paraId="51262643" w14:textId="77777777" w:rsidR="00692F99" w:rsidRDefault="00692F99">
      <w:pPr>
        <w:pStyle w:val="FootnoteText"/>
      </w:pPr>
      <w:r>
        <w:rPr>
          <w:rStyle w:val="FootnoteReference"/>
        </w:rPr>
        <w:footnoteRef/>
      </w:r>
      <w:r>
        <w:t xml:space="preserve"> Делегиран регламент (ЕС) 2019/7 на Комисията от 30 октомври 2018 г. за изменение на Регламент (ЕС) № 1031/2010 във връзка с тръжната продажба на 50 милиона неразпределени квоти от резерва за стабилност на пазара за фонда за иновации и за вписване на тръжна платформа, която трябва да бъде избрана от Германия, ОВ L 2, 4.1.2019 г., стр. 1—5.</w:t>
      </w:r>
    </w:p>
  </w:footnote>
  <w:footnote w:id="37">
    <w:p w14:paraId="3F96CA62" w14:textId="77777777" w:rsidR="00692F99" w:rsidRDefault="00692F99">
      <w:pPr>
        <w:pStyle w:val="FootnoteText"/>
      </w:pPr>
      <w:r>
        <w:rPr>
          <w:rStyle w:val="FootnoteReference"/>
        </w:rPr>
        <w:footnoteRef/>
      </w:r>
      <w:r>
        <w:t xml:space="preserve"> Обемите на общите квоти са определени, като е взето под внимание Решение № 1359/2013/ЕС. Обемите на квотите за авиационни емисии са определени, като са взети под внимание Решение № 377/2013/ЕС и Регламент (ЕС) № 421/2014.</w:t>
      </w:r>
    </w:p>
  </w:footnote>
  <w:footnote w:id="38">
    <w:p w14:paraId="16DED69D" w14:textId="77777777" w:rsidR="00692F99" w:rsidRDefault="00692F99">
      <w:pPr>
        <w:pStyle w:val="FootnoteText"/>
      </w:pPr>
      <w:r>
        <w:rPr>
          <w:rStyle w:val="FootnoteReference"/>
        </w:rPr>
        <w:footnoteRef/>
      </w:r>
      <w:r>
        <w:rPr>
          <w:rStyle w:val="FootnoteReference"/>
        </w:rPr>
        <w:t xml:space="preserve"> </w:t>
      </w:r>
      <w:r>
        <w:t>През 2012 г. бяха проведени ранни търгове на квоти по фаза 3 с оглед на широко разпространената търговска практика в електроенергийния сектор за форуърдна продажба на електроенергия и съответно купуване на необходимите входящи стоки (включително квоти) при продажбата на продукта.</w:t>
      </w:r>
    </w:p>
  </w:footnote>
  <w:footnote w:id="39">
    <w:p w14:paraId="7DDC03AC" w14:textId="77777777" w:rsidR="00692F99" w:rsidRDefault="00692F99">
      <w:pPr>
        <w:pStyle w:val="FootnoteText"/>
      </w:pPr>
      <w:r>
        <w:rPr>
          <w:rStyle w:val="FootnoteReference"/>
        </w:rPr>
        <w:footnoteRef/>
      </w:r>
      <w:r>
        <w:t xml:space="preserve"> Не са включени данни за Обединеното кралство за 2019 г. поради защитните мерки, приети от Комисията с цел да се запази целостта на СТЕ на ЕС в областта на околната среда в случаите, когато правото на ЕС престава да се прилага за държава членка, която се отделя от ЕС (вж. глава 2.2).</w:t>
      </w:r>
    </w:p>
  </w:footnote>
  <w:footnote w:id="40">
    <w:p w14:paraId="7C85D7FD" w14:textId="77777777" w:rsidR="00692F99" w:rsidRDefault="00692F99">
      <w:pPr>
        <w:pStyle w:val="FootnoteText"/>
      </w:pPr>
      <w:r>
        <w:rPr>
          <w:rStyle w:val="FootnoteReference"/>
        </w:rPr>
        <w:footnoteRef/>
      </w:r>
      <w:r>
        <w:t xml:space="preserve"> </w:t>
      </w:r>
      <w:hyperlink r:id="rId1" w:history="1">
        <w:r>
          <w:rPr>
            <w:rStyle w:val="Hyperlink"/>
          </w:rPr>
          <w:t>http://ec.europa.eu/clima/policies/ets/auctioning/documentation_en.htm</w:t>
        </w:r>
      </w:hyperlink>
    </w:p>
  </w:footnote>
  <w:footnote w:id="41">
    <w:p w14:paraId="35BC0484" w14:textId="77777777" w:rsidR="00692F99" w:rsidRDefault="00692F99">
      <w:pPr>
        <w:pStyle w:val="FootnoteText"/>
      </w:pPr>
      <w:r>
        <w:rPr>
          <w:rStyle w:val="FootnoteReference"/>
        </w:rPr>
        <w:footnoteRef/>
      </w:r>
      <w:r>
        <w:t xml:space="preserve"> Цифрите включват количествата, предназначени за тръжна продажба, от тръжния календар за 2019 г., така че са отразени 55,8-те милиона неразпределени квоти, които Полша е поискала да разпредели чрез тръжна продажба през 2019 г.</w:t>
      </w:r>
    </w:p>
  </w:footnote>
  <w:footnote w:id="42">
    <w:p w14:paraId="0905FC52" w14:textId="1AD71895" w:rsidR="00692F99" w:rsidRDefault="00692F99">
      <w:pPr>
        <w:pStyle w:val="FootnoteText"/>
      </w:pPr>
      <w:r>
        <w:rPr>
          <w:rStyle w:val="FootnoteReference"/>
        </w:rPr>
        <w:footnoteRef/>
      </w:r>
      <w:r>
        <w:t xml:space="preserve"> Цифрите включват количествата, предназначени за тръжна продажба, от тръжния календар за 2019 г. (от годините на разпределяне 2013—2018 г.). </w:t>
      </w:r>
    </w:p>
  </w:footnote>
  <w:footnote w:id="43">
    <w:p w14:paraId="45AD8A64" w14:textId="77777777" w:rsidR="00692F99" w:rsidRDefault="00692F99">
      <w:pPr>
        <w:pStyle w:val="FootnoteText"/>
      </w:pPr>
      <w:r>
        <w:rPr>
          <w:rStyle w:val="FootnoteReference"/>
        </w:rPr>
        <w:footnoteRef/>
      </w:r>
      <w:r>
        <w:t xml:space="preserve"> Класифицирането в категориите „производство на електрическа и топлинна енергия“ и „промишленост“, използвани в таблица 7, е в съответствие с класификацията по NACE за фаза 4, използвана за създаването на списъка за изместване на въглеродни емисии, приложим за следващия период на търгуване.</w:t>
      </w:r>
    </w:p>
  </w:footnote>
  <w:footnote w:id="44">
    <w:p w14:paraId="2DA2E570" w14:textId="77777777" w:rsidR="00692F99" w:rsidRDefault="00692F99">
      <w:pPr>
        <w:pStyle w:val="FootnoteText"/>
        <w:jc w:val="both"/>
      </w:pPr>
      <w:r>
        <w:rPr>
          <w:rStyle w:val="FootnoteReference"/>
        </w:rPr>
        <w:footnoteRef/>
      </w:r>
      <w:r>
        <w:t xml:space="preserve"> Решение (ЕС) 2015/1814 на Европейския парламент и на Съвета от 6 октомври 2015 г. относно създаването и функционирането на резерв за стабилност на пазара към схемата на Съюза за търговия с емисии на парникови газове и за изменение на Директива 2003/87/ЕО, ОВ L 264, 9.10.2015 г., стр. 1.</w:t>
      </w:r>
    </w:p>
  </w:footnote>
  <w:footnote w:id="45">
    <w:p w14:paraId="5D48BB9F" w14:textId="77777777" w:rsidR="00692F99" w:rsidRDefault="00692F99">
      <w:pPr>
        <w:pStyle w:val="FootnoteText"/>
        <w:jc w:val="both"/>
      </w:pPr>
      <w:r>
        <w:rPr>
          <w:rStyle w:val="FootnoteReference"/>
        </w:rPr>
        <w:footnoteRef/>
      </w:r>
      <w:r>
        <w:t xml:space="preserve"> Директива (ЕС) 2018/410 на Европейския парламент и на Съвета от 14 март 2018 г. за изменение на Директива 2003/87/ЕО с цел засилване на разходоефективните намаления на емисии и на нисковъглеродните инвестиции, и на Решение (ЕС) 2015/1814, ОВ L 76, 19.3.2018 г., стр. 3; на разположение на адрес: </w:t>
      </w:r>
      <w:hyperlink r:id="rId2" w:history="1">
        <w:r>
          <w:rPr>
            <w:rStyle w:val="Hyperlink"/>
          </w:rPr>
          <w:t>http://eur-lex.europa.eu/legal-content/EN/TXT/?uri=uriserv:OJ.L_.2018.076.01.0003.01.ENG&amp;toc=OJ:L:2018:076:TOC</w:t>
        </w:r>
      </w:hyperlink>
      <w:r>
        <w:t xml:space="preserve"> </w:t>
      </w:r>
    </w:p>
  </w:footnote>
  <w:footnote w:id="46">
    <w:p w14:paraId="4A52BCF8" w14:textId="77777777" w:rsidR="00692F99" w:rsidRDefault="00692F99">
      <w:pPr>
        <w:pStyle w:val="Default"/>
        <w:rPr>
          <w:color w:val="auto"/>
          <w:sz w:val="18"/>
          <w:szCs w:val="18"/>
        </w:rPr>
      </w:pPr>
      <w:r>
        <w:rPr>
          <w:rStyle w:val="FootnoteReference"/>
          <w:sz w:val="20"/>
          <w:szCs w:val="20"/>
        </w:rPr>
        <w:footnoteRef/>
      </w:r>
      <w:r>
        <w:rPr>
          <w:sz w:val="20"/>
          <w:szCs w:val="20"/>
        </w:rPr>
        <w:t xml:space="preserve"> </w:t>
      </w:r>
      <w:r>
        <w:rPr>
          <w:sz w:val="18"/>
          <w:szCs w:val="18"/>
        </w:rPr>
        <w:t>C(2019) 3288 final, https://ec.europa.eu/clima/sites/clima/files/ets/reform/docs/c_2019_3288_en.pdf</w:t>
      </w:r>
    </w:p>
  </w:footnote>
  <w:footnote w:id="47">
    <w:p w14:paraId="632859BF" w14:textId="77777777" w:rsidR="00692F99" w:rsidRDefault="00692F99">
      <w:pPr>
        <w:pStyle w:val="FootnoteText"/>
        <w:jc w:val="both"/>
      </w:pPr>
      <w:r>
        <w:rPr>
          <w:rStyle w:val="FootnoteReference"/>
        </w:rPr>
        <w:footnoteRef/>
      </w:r>
      <w:r>
        <w:t xml:space="preserve"> C(2017) 3228 final, https://ec.europa.eu/clima/sites/clima/files/ets/reform/docs/c_2017_3228_en.pdf</w:t>
      </w:r>
    </w:p>
  </w:footnote>
  <w:footnote w:id="48">
    <w:p w14:paraId="1E07E48F" w14:textId="77777777" w:rsidR="00692F99" w:rsidRDefault="00692F99">
      <w:pPr>
        <w:pStyle w:val="FootnoteText"/>
        <w:jc w:val="both"/>
      </w:pPr>
      <w:r>
        <w:rPr>
          <w:rStyle w:val="FootnoteReference"/>
        </w:rPr>
        <w:footnoteRef/>
      </w:r>
      <w:r>
        <w:t xml:space="preserve"> C(2019) 3288 final, https://ec.europa.eu/clima/sites/clima/files/ets/reform/docs/c_2019_3288_en.pdf</w:t>
      </w:r>
    </w:p>
  </w:footnote>
  <w:footnote w:id="49">
    <w:p w14:paraId="2FD7F234" w14:textId="77777777" w:rsidR="00692F99" w:rsidRDefault="00692F99">
      <w:pPr>
        <w:pStyle w:val="FootnoteText"/>
        <w:jc w:val="both"/>
      </w:pPr>
      <w:r>
        <w:rPr>
          <w:rStyle w:val="FootnoteReference"/>
        </w:rPr>
        <w:footnoteRef/>
      </w:r>
      <w:r>
        <w:t xml:space="preserve"> Количеството, което следва да бъде добавено към MSR за периода 1 януари — 31 август 2020 г., беше определено въз основа на публикувания през 2019 г. показател за излишъка и възлиза на близо 265 милиона квоти. Останалите количества, които следва да бъдат добавени към MSR през 2020 г., ще бъдат определени въз основа на показателя за излишъка, публикуван през 2020 г.</w:t>
      </w:r>
    </w:p>
  </w:footnote>
  <w:footnote w:id="50">
    <w:p w14:paraId="0A738DD6" w14:textId="77777777" w:rsidR="00692F99" w:rsidRDefault="00692F99">
      <w:pPr>
        <w:pStyle w:val="FootnoteText"/>
        <w:jc w:val="both"/>
      </w:pPr>
      <w:r>
        <w:rPr>
          <w:rStyle w:val="FootnoteReference"/>
        </w:rPr>
        <w:footnoteRef/>
      </w:r>
      <w:r>
        <w:t xml:space="preserve"> Като се отбележи, че действителните количества на тръжните продажби зависят и от други фактори, като тръжната продажба на останалите квоти от дерогацията по член 10в и участието на държавите от ЕИП/ЕАСТ в СТЕ на ЕС.</w:t>
      </w:r>
    </w:p>
  </w:footnote>
  <w:footnote w:id="51">
    <w:p w14:paraId="0E14EF29" w14:textId="77777777" w:rsidR="00692F99" w:rsidRDefault="00692F99">
      <w:pPr>
        <w:pStyle w:val="FootnoteText"/>
        <w:jc w:val="both"/>
      </w:pPr>
      <w:r>
        <w:rPr>
          <w:rStyle w:val="FootnoteReference"/>
        </w:rPr>
        <w:footnoteRef/>
      </w:r>
      <w:r>
        <w:t xml:space="preserve"> Като се вземе предвид, че количествата на тръжните продажби от януари до август 2019 г. вече са били намалени от MSR въз основа на данните за излишъка за 2017 г.</w:t>
      </w:r>
    </w:p>
  </w:footnote>
  <w:footnote w:id="52">
    <w:p w14:paraId="5427B602" w14:textId="77777777" w:rsidR="00692F99" w:rsidRDefault="00692F99">
      <w:pPr>
        <w:pStyle w:val="FootnoteText"/>
        <w:jc w:val="both"/>
      </w:pPr>
      <w:r>
        <w:rPr>
          <w:rStyle w:val="FootnoteReference"/>
        </w:rPr>
        <w:footnoteRef/>
      </w:r>
      <w:r>
        <w:t xml:space="preserve"> Тези цифри не отчитат всички прекратили дейност оператори на въздухоплавателни средства.</w:t>
      </w:r>
    </w:p>
  </w:footnote>
  <w:footnote w:id="53">
    <w:p w14:paraId="127E5AD3" w14:textId="77777777" w:rsidR="00692F99" w:rsidRDefault="00692F99">
      <w:pPr>
        <w:pStyle w:val="FootnoteText"/>
        <w:jc w:val="both"/>
      </w:pPr>
      <w:r>
        <w:rPr>
          <w:rStyle w:val="FootnoteReference"/>
        </w:rPr>
        <w:footnoteRef/>
      </w:r>
      <w:r>
        <w:t xml:space="preserve"> Разпределянето на квоти за Обединеното кралство (4,31 милиона квоти от общия брой за 2019 г.) бе преустановено поради защитните мерки, приети от Комисията с цел да се запази целостта на СТЕ на ЕС в областта на околната среда в случаите, когато правото на ЕС престава да се прилага за държава членка, която се отделя от ЕС (вж. глава 2.2).</w:t>
      </w:r>
    </w:p>
  </w:footnote>
  <w:footnote w:id="54">
    <w:p w14:paraId="146EF9F1" w14:textId="77777777" w:rsidR="00692F99" w:rsidRDefault="00692F99">
      <w:pPr>
        <w:pStyle w:val="FootnoteText"/>
        <w:jc w:val="both"/>
      </w:pPr>
      <w:r>
        <w:rPr>
          <w:rStyle w:val="FootnoteReference"/>
        </w:rPr>
        <w:footnoteRef/>
      </w:r>
      <w:r>
        <w:t xml:space="preserve"> До края на юни 2019 г.</w:t>
      </w:r>
    </w:p>
  </w:footnote>
  <w:footnote w:id="55">
    <w:p w14:paraId="00774941" w14:textId="77777777" w:rsidR="00692F99" w:rsidRDefault="00692F99">
      <w:pPr>
        <w:pStyle w:val="FootnoteText"/>
        <w:jc w:val="both"/>
      </w:pPr>
      <w:r>
        <w:rPr>
          <w:rStyle w:val="FootnoteReference"/>
        </w:rPr>
        <w:footnoteRef/>
      </w:r>
      <w:r>
        <w:t xml:space="preserve"> Решение № 377/2013/ЕС на Европейския парламент и на Съвета от 24 април 2013 г. за временна дерогация от Директива 2003/87/ЕО за установяване на схема за търговия с квоти за емисии на парникови газове в рамките на Общността, текст от значение за ЕИП, OВ L 113, 25.4.2013 г., стр. 1.</w:t>
      </w:r>
    </w:p>
  </w:footnote>
  <w:footnote w:id="56">
    <w:p w14:paraId="7B41E6A7" w14:textId="77777777" w:rsidR="00692F99" w:rsidRDefault="00692F99">
      <w:pPr>
        <w:pStyle w:val="FootnoteText"/>
        <w:jc w:val="both"/>
      </w:pPr>
      <w:r>
        <w:rPr>
          <w:rStyle w:val="FootnoteReference"/>
        </w:rPr>
        <w:footnoteRef/>
      </w:r>
      <w:r>
        <w:t xml:space="preserve"> https://www.icao.int/environmental-protection/CORSIA/Pages/SARPs-Annex-16-Volume-IV.aspx</w:t>
      </w:r>
    </w:p>
  </w:footnote>
  <w:footnote w:id="57">
    <w:p w14:paraId="2A3A7CAC" w14:textId="77777777" w:rsidR="00692F99" w:rsidRDefault="00692F99">
      <w:pPr>
        <w:pStyle w:val="FootnoteText"/>
        <w:jc w:val="both"/>
      </w:pPr>
      <w:r>
        <w:rPr>
          <w:rStyle w:val="FootnoteReference"/>
        </w:rPr>
        <w:footnoteRef/>
      </w:r>
      <w:r>
        <w:t xml:space="preserve"> Решение (ЕС) 2018/2027 на Съвета от 29 ноември 2018 г. относно позицията, която трябва да се заеме от името на Европейския съюз в рамките на Международната организация за гражданско въздухоплаване по отношение на първото издание на Международни стандарти и препоръчителни практики за опазването на околната среда — Схема за компенсиране и намаляване на въглеродните емисии в международното въздухоплаване (CORSIA), ОВ L 325, 20.12.2018 г., стр. 25—28.</w:t>
      </w:r>
    </w:p>
  </w:footnote>
  <w:footnote w:id="58">
    <w:p w14:paraId="20CD95FF" w14:textId="77777777" w:rsidR="00692F99" w:rsidRDefault="00692F99">
      <w:pPr>
        <w:pStyle w:val="FootnoteText"/>
        <w:jc w:val="both"/>
      </w:pPr>
      <w:r>
        <w:rPr>
          <w:rStyle w:val="FootnoteReference"/>
        </w:rPr>
        <w:footnoteRef/>
      </w:r>
      <w:r>
        <w:t xml:space="preserve"> Всички данни са взети от месечните доклади на общата тръжна платформа (CAP2) до Комисията.</w:t>
      </w:r>
    </w:p>
  </w:footnote>
  <w:footnote w:id="59">
    <w:p w14:paraId="0A00245E" w14:textId="77777777" w:rsidR="00692F99" w:rsidRDefault="00692F99">
      <w:pPr>
        <w:pStyle w:val="FootnoteText"/>
        <w:jc w:val="both"/>
      </w:pPr>
      <w:r>
        <w:rPr>
          <w:rStyle w:val="FootnoteReference"/>
        </w:rPr>
        <w:footnoteRef/>
      </w:r>
      <w:r>
        <w:t xml:space="preserve"> Съгласно член 18, параграф 2 от Регламента за тръжната продажба.</w:t>
      </w:r>
    </w:p>
  </w:footnote>
  <w:footnote w:id="60">
    <w:p w14:paraId="427FDDA0" w14:textId="77777777" w:rsidR="00692F99" w:rsidRDefault="00692F99">
      <w:pPr>
        <w:pStyle w:val="FootnoteText"/>
        <w:jc w:val="both"/>
      </w:pPr>
      <w:r>
        <w:rPr>
          <w:rStyle w:val="FootnoteReference"/>
        </w:rPr>
        <w:footnoteRef/>
      </w:r>
      <w:r>
        <w:t xml:space="preserve"> Списъкът на националните компетентни органи е на разположение на адрес: https://ec.europa.eu/info/system/files/mar-2014-596-art-22-list_en.pdf  </w:t>
      </w:r>
    </w:p>
  </w:footnote>
  <w:footnote w:id="61">
    <w:p w14:paraId="3E6614CC" w14:textId="482FF0E9" w:rsidR="00692F99" w:rsidRDefault="00692F99">
      <w:pPr>
        <w:pStyle w:val="FootnoteText"/>
        <w:jc w:val="both"/>
      </w:pPr>
      <w:r>
        <w:rPr>
          <w:rStyle w:val="FootnoteReference"/>
        </w:rPr>
        <w:footnoteRef/>
      </w:r>
      <w:r>
        <w:t xml:space="preserve"> Съгласно член 26 от Регламент (ЕС) № 600/2014 на Европейския парламент и на Съвета от </w:t>
      </w:r>
      <w:r w:rsidR="005A13C7">
        <w:t xml:space="preserve">15 </w:t>
      </w:r>
      <w:r>
        <w:t>май 2014 г. относно пазарите на финансови инструменти (РПФИ) местата на търговия и инвестиционните посредници трябва да докладват подробни данни относно трансакциите с квоти и техните деривати на компетентните органи.</w:t>
      </w:r>
    </w:p>
  </w:footnote>
  <w:footnote w:id="62">
    <w:p w14:paraId="6D38AF7F" w14:textId="77777777" w:rsidR="00692F99" w:rsidRDefault="00692F99">
      <w:pPr>
        <w:pStyle w:val="FootnoteText"/>
        <w:jc w:val="both"/>
      </w:pPr>
      <w:r>
        <w:rPr>
          <w:rStyle w:val="FootnoteReference"/>
        </w:rPr>
        <w:footnoteRef/>
      </w:r>
      <w:r>
        <w:t xml:space="preserve"> Целта на задължението за докладване на позициите съгласно член 58 от ДПФИ II е да се спомогне за наблюдението на позициите, държани от лица от различни категории по отношение на квотите за емисии.</w:t>
      </w:r>
    </w:p>
  </w:footnote>
  <w:footnote w:id="63">
    <w:p w14:paraId="32B18FBA" w14:textId="77777777" w:rsidR="00692F99" w:rsidRDefault="00692F99">
      <w:pPr>
        <w:pStyle w:val="FootnoteText"/>
        <w:jc w:val="both"/>
      </w:pPr>
      <w:r>
        <w:rPr>
          <w:rStyle w:val="FootnoteReference"/>
        </w:rPr>
        <w:footnoteRef/>
      </w:r>
      <w:r>
        <w:t xml:space="preserve"> Режимът на прозрачност преди/след сключването на сделките, установен в членове 8, 10 и 21 от РПФИ, има за цел да гарантира, че участниците на пазара разполагат с по-надеждна и достъпна информация относно възможностите за търговия и цените.</w:t>
      </w:r>
    </w:p>
  </w:footnote>
  <w:footnote w:id="64">
    <w:p w14:paraId="60E39E52" w14:textId="19786A34" w:rsidR="00692F99" w:rsidRDefault="00692F99">
      <w:pPr>
        <w:pStyle w:val="FootnoteText"/>
        <w:jc w:val="both"/>
      </w:pPr>
      <w:r>
        <w:rPr>
          <w:rStyle w:val="FootnoteReference"/>
        </w:rPr>
        <w:footnoteRef/>
      </w:r>
      <w:r>
        <w:t xml:space="preserve"> Публично достъпните седмични доклади относно позициите осигуряват прозрачност по отношение на становищата относно пазара, които някои категории търговци могат да изразят.</w:t>
      </w:r>
    </w:p>
  </w:footnote>
  <w:footnote w:id="65">
    <w:p w14:paraId="173DA222" w14:textId="77777777" w:rsidR="00692F99" w:rsidRDefault="00692F99">
      <w:pPr>
        <w:pStyle w:val="FootnoteText"/>
        <w:jc w:val="both"/>
      </w:pPr>
      <w:r>
        <w:rPr>
          <w:rStyle w:val="FootnoteReference"/>
        </w:rPr>
        <w:footnoteRef/>
      </w:r>
      <w:r>
        <w:t xml:space="preserve"> Проучването е достъпно на адрес: https://op.europa.eu/bg/publication-detail/-/publication/9d985256-a6a9-11e9-9d01-01aa75ed71a1</w:t>
      </w:r>
    </w:p>
  </w:footnote>
  <w:footnote w:id="66">
    <w:p w14:paraId="3281ACDF" w14:textId="77777777" w:rsidR="00692F99" w:rsidRDefault="00692F99">
      <w:pPr>
        <w:pStyle w:val="FootnoteText"/>
        <w:jc w:val="both"/>
        <w:rPr>
          <w:sz w:val="16"/>
          <w:szCs w:val="16"/>
        </w:rPr>
      </w:pPr>
      <w:r>
        <w:rPr>
          <w:rStyle w:val="FootnoteReference"/>
        </w:rPr>
        <w:footnoteRef/>
      </w:r>
      <w:r>
        <w:t xml:space="preserve"> Директива 2014/65/ЕС на Европейския парламент и на Съвета от 15 май 2014 г. относно пазарите на финансови инструменти и за изменение на Директива 2002/92/ЕО и на Директива 2011/61/ЕС, OВ L 173, 12.6.2014 г., стр. 349. На разположение на адрес: </w:t>
      </w:r>
      <w:hyperlink r:id="rId3" w:history="1">
        <w:r>
          <w:rPr>
            <w:rStyle w:val="Hyperlink"/>
            <w:sz w:val="16"/>
            <w:szCs w:val="16"/>
          </w:rPr>
          <w:t>https://eur-lex.europa.eu/legal-content/EN/TXT/?qid=1536584176375&amp;uri=CELEX:02014L0065-20160701</w:t>
        </w:r>
      </w:hyperlink>
    </w:p>
  </w:footnote>
  <w:footnote w:id="67">
    <w:p w14:paraId="33D1BB88" w14:textId="77777777" w:rsidR="00692F99" w:rsidRDefault="00692F99">
      <w:pPr>
        <w:pStyle w:val="FootnoteText"/>
        <w:jc w:val="both"/>
      </w:pPr>
      <w:r>
        <w:rPr>
          <w:rStyle w:val="FootnoteReference"/>
        </w:rPr>
        <w:footnoteRef/>
      </w:r>
      <w:r>
        <w:t xml:space="preserve"> Директива (ЕС) 2018/1695 на Съвета 2018/1695 от 6 ноември 2018 г. за изменение на Директива 2006/112/ЕО за изменение на Директива 2006/112/ЕО относно общата система на данъка върху добавената стойност по отношение на срока на прилагане на незадължителния механизъм за обратно начисляване във връзка с доставките на някои стоки и услуги, при които съществува риск от измами, и на механизма за бързо реагиране срещу измамите с ДДС, ОВ L 282, 12.11.2018 г., стр. 5—7.</w:t>
      </w:r>
    </w:p>
  </w:footnote>
  <w:footnote w:id="68">
    <w:p w14:paraId="1014260D" w14:textId="77777777" w:rsidR="00692F99" w:rsidRDefault="00692F99">
      <w:pPr>
        <w:pStyle w:val="FootnoteText"/>
        <w:jc w:val="both"/>
      </w:pPr>
      <w:r>
        <w:rPr>
          <w:rStyle w:val="FootnoteReference"/>
        </w:rPr>
        <w:footnoteRef/>
      </w:r>
      <w:r>
        <w:t xml:space="preserve"> Регламент за изпълнение (ЕС) 2018/2066 на Комисията от 19 декември 2018 г. относно мониторинга и докладването на емисиите на парникови газове съгласно Директива 2003/87/ЕО на Европейския парламент и на Съвета и за изменение на Регламент (ЕС) № 601/2012 на Комисията, ОВ L 334, 31.12.2018 г., стр. 1—93</w:t>
      </w:r>
    </w:p>
  </w:footnote>
  <w:footnote w:id="69">
    <w:p w14:paraId="70048BCC" w14:textId="77777777" w:rsidR="00692F99" w:rsidRDefault="00692F99">
      <w:pPr>
        <w:pStyle w:val="FootnoteText"/>
        <w:jc w:val="both"/>
      </w:pPr>
      <w:r>
        <w:rPr>
          <w:rStyle w:val="FootnoteReference"/>
        </w:rPr>
        <w:footnoteRef/>
      </w:r>
      <w:r>
        <w:t xml:space="preserve"> Регламент за изпълнение (ЕС) 2018/2067 на Комисията от 19 декември 2018 г. за проверка на данните и за акредитация на проверяващите органи съгласно Директива 2003/87/ЕО на Европейския парламент и на Съвета ОВ L 334, 31.12.2018 г., стр. 94—134</w:t>
      </w:r>
    </w:p>
  </w:footnote>
  <w:footnote w:id="70">
    <w:p w14:paraId="79741175" w14:textId="77777777" w:rsidR="00692F99" w:rsidRDefault="00692F99">
      <w:pPr>
        <w:pStyle w:val="FootnoteText"/>
        <w:jc w:val="both"/>
      </w:pPr>
      <w:r>
        <w:rPr>
          <w:rStyle w:val="FootnoteReference"/>
        </w:rPr>
        <w:footnoteRef/>
      </w:r>
      <w:r>
        <w:t xml:space="preserve"> Основната причина за това е, че методиката, базираща се на измервания, включва използването на значителни ресурси и ноу-хау за непрекъснатото измерване на концентрацията на съответните ПГ, с каквито много от по-малките оператори не разполагат.</w:t>
      </w:r>
    </w:p>
  </w:footnote>
  <w:footnote w:id="71">
    <w:p w14:paraId="74CEBB8C" w14:textId="77777777" w:rsidR="00692F99" w:rsidRDefault="00692F99">
      <w:pPr>
        <w:pStyle w:val="FootnoteText"/>
        <w:jc w:val="both"/>
      </w:pPr>
      <w:r>
        <w:rPr>
          <w:rStyle w:val="FootnoteReference"/>
        </w:rPr>
        <w:footnoteRef/>
      </w:r>
      <w:r>
        <w:t xml:space="preserve"> В Регламент (EС) № 601/2012 се въвежда задължение за всички оператори да спазват известни минимално допустими нива на изисквания, като предприятията с по-големи емисии трябва да спазват по-високи нива на изисквания (предполагащи по-надеждно качество на данните), а за по-малките източници на емисии, от съображения за разходна ефективност, са валидни не толкова строги изисквания.</w:t>
      </w:r>
    </w:p>
  </w:footnote>
  <w:footnote w:id="72">
    <w:p w14:paraId="39FDE86A" w14:textId="77777777" w:rsidR="00692F99" w:rsidRDefault="00692F99">
      <w:pPr>
        <w:pStyle w:val="FootnoteText"/>
        <w:jc w:val="both"/>
      </w:pPr>
      <w:r>
        <w:rPr>
          <w:rStyle w:val="FootnoteReference"/>
        </w:rPr>
        <w:footnoteRef/>
      </w:r>
      <w:r>
        <w:t xml:space="preserve"> Списък на Европейската организация за акредитация, съдържащ точки за достъп до националните органи по акредитация, които акредитират проверяващи органи за СТЕ на ЕС: https://european-accreditation.org/national-accreditation-bodies-having-successfully-undergone-peer-evaluation-by-ea/</w:t>
      </w:r>
    </w:p>
  </w:footnote>
  <w:footnote w:id="73">
    <w:p w14:paraId="5CC9FC67" w14:textId="7F82D2B7" w:rsidR="00692F99" w:rsidRDefault="00692F99">
      <w:pPr>
        <w:pStyle w:val="FootnoteText"/>
        <w:jc w:val="both"/>
      </w:pPr>
      <w:r>
        <w:rPr>
          <w:rStyle w:val="FootnoteReference"/>
        </w:rPr>
        <w:footnoteRef/>
      </w:r>
      <w:r>
        <w:t xml:space="preserve"> В някои случаи държавите може да докладват за голям брой регионални/местни органи, образуващи един компетентен орган.</w:t>
      </w:r>
    </w:p>
  </w:footnote>
  <w:footnote w:id="74">
    <w:p w14:paraId="4BE4E9B6" w14:textId="77777777" w:rsidR="00692F99" w:rsidRDefault="00692F99">
      <w:pPr>
        <w:pStyle w:val="FootnoteText"/>
      </w:pPr>
      <w:r>
        <w:rPr>
          <w:rStyle w:val="FootnoteReference"/>
        </w:rPr>
        <w:footnoteRef/>
      </w:r>
      <w:r>
        <w:t xml:space="preserve"> Тази обща стойност не включва глоби, наложени на сектора на въздухоплаването в Португалия, тъй като стойностите на глобите все още не са определени поради текущи процеси за налагане на санкции. </w:t>
      </w:r>
    </w:p>
  </w:footnote>
  <w:footnote w:id="75">
    <w:p w14:paraId="27E6D358" w14:textId="77777777" w:rsidR="00692F99" w:rsidRDefault="00692F99">
      <w:pPr>
        <w:pStyle w:val="FootnoteText"/>
      </w:pPr>
      <w:r>
        <w:rPr>
          <w:rStyle w:val="FootnoteReference"/>
        </w:rPr>
        <w:footnoteRef/>
      </w:r>
      <w:r>
        <w:t xml:space="preserve"> Унгария е използвала дерогацията по член 10в само през 2013 г. </w:t>
      </w:r>
    </w:p>
  </w:footnote>
  <w:footnote w:id="76">
    <w:p w14:paraId="5D46A3D8" w14:textId="77777777" w:rsidR="00692F99" w:rsidRDefault="00692F99">
      <w:pPr>
        <w:pStyle w:val="FootnoteText"/>
      </w:pPr>
      <w:r>
        <w:rPr>
          <w:rStyle w:val="FootnoteReference"/>
        </w:rPr>
        <w:footnoteRef/>
      </w:r>
      <w:r>
        <w:t xml:space="preserve"> През 2013 г. и 2014 г. не са продадени на търг неизползвани квоти по член 10в.</w:t>
      </w:r>
    </w:p>
  </w:footnote>
  <w:footnote w:id="77">
    <w:p w14:paraId="7A087D3E" w14:textId="77777777" w:rsidR="00692F99" w:rsidRDefault="00692F99">
      <w:pPr>
        <w:pStyle w:val="FootnoteText"/>
      </w:pPr>
      <w:r>
        <w:rPr>
          <w:rStyle w:val="FootnoteReference"/>
        </w:rPr>
        <w:footnoteRef/>
      </w:r>
      <w:r>
        <w:t xml:space="preserve"> Източник: ЕЕХ</w:t>
      </w:r>
    </w:p>
  </w:footnote>
  <w:footnote w:id="78">
    <w:p w14:paraId="32B9A351" w14:textId="77777777" w:rsidR="00692F99" w:rsidRDefault="00692F99">
      <w:pPr>
        <w:pStyle w:val="FootnoteText"/>
      </w:pPr>
      <w:r>
        <w:rPr>
          <w:rStyle w:val="FootnoteReference"/>
        </w:rPr>
        <w:footnoteRef/>
      </w:r>
      <w:r>
        <w:t xml:space="preserve"> В таблици 3.1 и 3.2 не са включени данни за Обединеното кралство за 2019 г. поради защитните мерки, приети от Комисията с цел да се запази целостта на СТЕ на ЕС в областта на околната среда в случаите, когато правото на ЕС престава да се прилага за държава членка, която се отделя от ЕС (вж. глава 2.2).</w:t>
      </w:r>
    </w:p>
  </w:footnote>
  <w:footnote w:id="79">
    <w:p w14:paraId="16BB3491" w14:textId="77777777" w:rsidR="00692F99" w:rsidRDefault="00692F99">
      <w:pPr>
        <w:pStyle w:val="FootnoteText"/>
      </w:pPr>
      <w:r>
        <w:rPr>
          <w:rStyle w:val="FootnoteReference"/>
        </w:rPr>
        <w:footnoteRef/>
      </w:r>
      <w:r>
        <w:t xml:space="preserve"> Данните за спазването на изискванията за предходните години могат да бъдат коригирани със задна дата, например поради късно представяне.</w:t>
      </w:r>
    </w:p>
  </w:footnote>
  <w:footnote w:id="80">
    <w:p w14:paraId="26DC65DC" w14:textId="77777777" w:rsidR="00692F99" w:rsidRDefault="00692F99">
      <w:pPr>
        <w:pStyle w:val="FootnoteText"/>
        <w:jc w:val="both"/>
      </w:pPr>
      <w:r>
        <w:rPr>
          <w:rStyle w:val="FootnoteReference"/>
        </w:rPr>
        <w:footnoteRef/>
      </w:r>
      <w:r>
        <w:t xml:space="preserve"> За някои инсталации в Регистъра на ЕС емисиите на </w:t>
      </w:r>
      <w:r>
        <w:rPr>
          <w:bCs/>
          <w:color w:val="262626"/>
        </w:rPr>
        <w:t>N</w:t>
      </w:r>
      <w:r>
        <w:rPr>
          <w:bCs/>
          <w:color w:val="262626"/>
          <w:bdr w:val="none" w:sz="0" w:space="0" w:color="auto" w:frame="1"/>
          <w:vertAlign w:val="subscript"/>
        </w:rPr>
        <w:t>2</w:t>
      </w:r>
      <w:r>
        <w:rPr>
          <w:bCs/>
          <w:color w:val="262626"/>
        </w:rPr>
        <w:t>O</w:t>
      </w:r>
      <w:r>
        <w:t xml:space="preserve"> или на перфлуоровъглероди (PFC) може да не са докладвани отделно, а вместо това да са докладвани общите емисии в тонове еквивалент на </w:t>
      </w:r>
      <w:r>
        <w:rPr>
          <w:bCs/>
          <w:color w:val="262626"/>
        </w:rPr>
        <w:t>CO</w:t>
      </w:r>
      <w:r>
        <w:rPr>
          <w:bCs/>
          <w:color w:val="262626"/>
          <w:bdr w:val="none" w:sz="0" w:space="0" w:color="auto" w:frame="1"/>
          <w:vertAlign w:val="subscript"/>
        </w:rPr>
        <w:t>2</w:t>
      </w:r>
      <w:r>
        <w:t xml:space="preserve">. Данните в таблицата отразяват разбивката на емисиите по ПГ на разположение в Регистъра на ЕС. Считано от фаза 2 (от 2008 г.) емисиите на </w:t>
      </w:r>
      <w:r>
        <w:rPr>
          <w:bCs/>
          <w:color w:val="262626"/>
        </w:rPr>
        <w:t>N</w:t>
      </w:r>
      <w:r>
        <w:rPr>
          <w:bCs/>
          <w:color w:val="262626"/>
          <w:bdr w:val="none" w:sz="0" w:space="0" w:color="auto" w:frame="1"/>
          <w:vertAlign w:val="subscript"/>
        </w:rPr>
        <w:t>2</w:t>
      </w:r>
      <w:r>
        <w:rPr>
          <w:bCs/>
          <w:color w:val="262626"/>
        </w:rPr>
        <w:t>O бяха включени доброволно в СТЕ на ЕС от някои държави членки, а считано от фаза 3 (от 2013 г.), заедно с емисиите на перфлуоровъглероди (PFC), включването им в схемата стана задължително.</w:t>
      </w:r>
    </w:p>
  </w:footnote>
  <w:footnote w:id="81">
    <w:p w14:paraId="703C71D3" w14:textId="77777777" w:rsidR="00692F99" w:rsidRDefault="00692F99">
      <w:pPr>
        <w:pStyle w:val="FootnoteText"/>
      </w:pPr>
      <w:r>
        <w:rPr>
          <w:rStyle w:val="FootnoteReference"/>
        </w:rPr>
        <w:footnoteRef/>
      </w:r>
      <w:r>
        <w:t>https://eur-lex.europa.eu/legal-content/EN/TXT/PDF/?uri=OJ:L:2019:120:FULL&amp;from=EN</w:t>
      </w:r>
    </w:p>
  </w:footnote>
  <w:footnote w:id="82">
    <w:p w14:paraId="59E7A1BD" w14:textId="77777777" w:rsidR="00692F99" w:rsidRDefault="00692F99">
      <w:pPr>
        <w:pStyle w:val="FootnoteText"/>
      </w:pPr>
      <w:r>
        <w:rPr>
          <w:rStyle w:val="FootnoteReference"/>
        </w:rPr>
        <w:footnoteRef/>
      </w:r>
      <w:r>
        <w:t>https://eur-lex.europa.eu/legal-content/bg/TXT/PDF/?uri=CELEX:32019R0331&amp;from=bg</w:t>
      </w:r>
    </w:p>
  </w:footnote>
  <w:footnote w:id="83">
    <w:p w14:paraId="2634B3B1" w14:textId="77777777" w:rsidR="00692F99" w:rsidRDefault="00692F99">
      <w:pPr>
        <w:pStyle w:val="FootnoteText"/>
      </w:pPr>
      <w:r>
        <w:rPr>
          <w:rStyle w:val="FootnoteReference"/>
        </w:rPr>
        <w:footnoteRef/>
      </w:r>
      <w:r>
        <w:t>https://eur-lex.europa.eu/legal-content/bg/TXT/PDF/?uri=CELEX:32019R0856&amp;from=bg</w:t>
      </w:r>
    </w:p>
  </w:footnote>
  <w:footnote w:id="84">
    <w:p w14:paraId="4EDE5395" w14:textId="77777777" w:rsidR="00692F99" w:rsidRDefault="00692F99">
      <w:pPr>
        <w:pStyle w:val="FootnoteText"/>
      </w:pPr>
      <w:r>
        <w:rPr>
          <w:rStyle w:val="FootnoteReference"/>
        </w:rPr>
        <w:footnoteRef/>
      </w:r>
      <w:r>
        <w:t xml:space="preserve"> https://eur-lex.europa.eu/legal-content/bg/TXT/PDF/?uri=CELEX:32019R1122&amp;from=bg</w:t>
      </w:r>
    </w:p>
  </w:footnote>
  <w:footnote w:id="85">
    <w:p w14:paraId="42396381" w14:textId="77777777" w:rsidR="00692F99" w:rsidRDefault="00692F99">
      <w:pPr>
        <w:pStyle w:val="FootnoteText"/>
      </w:pPr>
      <w:r>
        <w:rPr>
          <w:rStyle w:val="FootnoteReference"/>
        </w:rPr>
        <w:footnoteRef/>
      </w:r>
      <w:r>
        <w:t xml:space="preserve"> https://eur-lex.europa.eu/legal-content/bg/TXT/PDF/?uri=CELEX:32019R0007</w:t>
      </w:r>
    </w:p>
  </w:footnote>
  <w:footnote w:id="86">
    <w:p w14:paraId="2EAB26AE" w14:textId="77777777" w:rsidR="00692F99" w:rsidRDefault="00692F99">
      <w:pPr>
        <w:pStyle w:val="FootnoteText"/>
      </w:pPr>
      <w:r>
        <w:rPr>
          <w:rStyle w:val="FootnoteReference"/>
        </w:rPr>
        <w:footnoteRef/>
      </w:r>
      <w:r>
        <w:t xml:space="preserve"> https://eur-lex.europa.eu/legal-content/bg/TXT/PDF/?uri=CELEX:32018R2066</w:t>
      </w:r>
    </w:p>
  </w:footnote>
  <w:footnote w:id="87">
    <w:p w14:paraId="76F79A61" w14:textId="77777777" w:rsidR="00692F99" w:rsidRDefault="00692F99">
      <w:pPr>
        <w:pStyle w:val="FootnoteText"/>
      </w:pPr>
      <w:r>
        <w:rPr>
          <w:rStyle w:val="FootnoteReference"/>
        </w:rPr>
        <w:footnoteRef/>
      </w:r>
      <w:r>
        <w:t xml:space="preserve"> https://eur-lex.europa.eu/legal-content/EN/TXT/PDF/?uri=CELEX:32018R2067&amp;from=EN</w:t>
      </w:r>
    </w:p>
  </w:footnote>
  <w:footnote w:id="88">
    <w:p w14:paraId="13EA6BC9" w14:textId="77777777" w:rsidR="00692F99" w:rsidRDefault="00692F99">
      <w:pPr>
        <w:pStyle w:val="FootnoteText"/>
      </w:pPr>
      <w:r>
        <w:rPr>
          <w:rStyle w:val="FootnoteReference"/>
        </w:rPr>
        <w:footnoteRef/>
      </w:r>
      <w:r>
        <w:t xml:space="preserve"> За периода януари — август 2019 г. данните се основават на Съобщение на Комисията C(2018) 2801 final от 15 май 2018 г., на разположение на адрес  </w:t>
      </w:r>
      <w:hyperlink r:id="rId4" w:history="1">
        <w:r>
          <w:rPr>
            <w:rStyle w:val="Hyperlink"/>
          </w:rPr>
          <w:t>https://ec.europa.eu/clima/sites/clima/files/ets/reform/docs/c_2018_2801_en.pdf</w:t>
        </w:r>
      </w:hyperlink>
      <w:r>
        <w:t xml:space="preserve">  </w:t>
      </w:r>
    </w:p>
  </w:footnote>
  <w:footnote w:id="89">
    <w:p w14:paraId="2335AAE7" w14:textId="77777777" w:rsidR="00692F99" w:rsidRDefault="00692F99">
      <w:pPr>
        <w:pStyle w:val="FootnoteText"/>
      </w:pPr>
      <w:r>
        <w:rPr>
          <w:rStyle w:val="FootnoteReference"/>
        </w:rPr>
        <w:footnoteRef/>
      </w:r>
      <w:r>
        <w:t xml:space="preserve"> За периода септември — декември 2019 г. и януари — август 2020 г. данните се основават на Съобщение на Комисията C(2019) 3288 final, на разположение на адрес </w:t>
      </w:r>
      <w:hyperlink r:id="rId5" w:history="1">
        <w:r>
          <w:rPr>
            <w:rStyle w:val="Hyperlink"/>
          </w:rPr>
          <w:t>https://ec.europa.eu/clima/sites/clima/files/ets/reform/docs/c_2019_3288_en.pdf</w:t>
        </w:r>
      </w:hyperlink>
      <w:r>
        <w:t xml:space="preserve"> </w:t>
      </w:r>
    </w:p>
  </w:footnote>
  <w:footnote w:id="90">
    <w:p w14:paraId="5CEA3230" w14:textId="77777777" w:rsidR="00692F99" w:rsidRDefault="00692F99">
      <w:pPr>
        <w:pStyle w:val="FootnoteText"/>
      </w:pPr>
      <w:r>
        <w:rPr>
          <w:rStyle w:val="FootnoteReference"/>
        </w:rPr>
        <w:footnoteRef/>
      </w:r>
      <w:r>
        <w:t xml:space="preserve"> Част от вноските на държавите членки към MSR през 2020 г. ще бъдат определени след публикуването на показателя за излишъка през 2020 г.</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09B4B" w14:textId="77777777" w:rsidR="00C028EC" w:rsidRPr="00C028EC" w:rsidRDefault="00C028EC" w:rsidP="00C028E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16C90" w14:textId="77777777" w:rsidR="00692F99" w:rsidRDefault="00692F99">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1E41F3" w14:textId="77777777" w:rsidR="00692F99" w:rsidRDefault="00692F99">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44F1BA" w14:textId="77777777" w:rsidR="00692F99" w:rsidRDefault="00692F9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265828" w14:textId="77777777" w:rsidR="00C028EC" w:rsidRPr="00C028EC" w:rsidRDefault="00C028EC" w:rsidP="00C028EC">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02F9AA" w14:textId="77777777" w:rsidR="00C028EC" w:rsidRPr="00C028EC" w:rsidRDefault="00C028EC" w:rsidP="00C028EC">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CED9FA" w14:textId="77777777" w:rsidR="00692F99" w:rsidRDefault="00692F9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208593" w14:textId="77777777" w:rsidR="00692F99" w:rsidRDefault="00692F9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044A4C" w14:textId="77777777" w:rsidR="00692F99" w:rsidRDefault="00692F9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ED8819" w14:textId="77777777" w:rsidR="00692F99" w:rsidRDefault="00692F9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62BCFA" w14:textId="77777777" w:rsidR="00692F99" w:rsidRDefault="00692F9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E66449" w14:textId="77777777" w:rsidR="00692F99" w:rsidRDefault="00692F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1"/>
    <w:lvl w:ilvl="0">
      <w:start w:val="1"/>
      <w:numFmt w:val="bullet"/>
      <w:lvlText w:val=""/>
      <w:lvlJc w:val="left"/>
      <w:pPr>
        <w:tabs>
          <w:tab w:val="num" w:pos="0"/>
        </w:tabs>
        <w:ind w:left="360" w:hanging="360"/>
      </w:pPr>
      <w:rPr>
        <w:rFonts w:ascii="Symbol" w:hAnsi="Symbol" w:cs="Symbol"/>
      </w:rPr>
    </w:lvl>
  </w:abstractNum>
  <w:abstractNum w:abstractNumId="1" w15:restartNumberingAfterBreak="0">
    <w:nsid w:val="00000003"/>
    <w:multiLevelType w:val="singleLevel"/>
    <w:tmpl w:val="00000003"/>
    <w:name w:val="WW8Num2"/>
    <w:lvl w:ilvl="0">
      <w:start w:val="1"/>
      <w:numFmt w:val="bullet"/>
      <w:lvlText w:val="o"/>
      <w:lvlJc w:val="left"/>
      <w:pPr>
        <w:tabs>
          <w:tab w:val="num" w:pos="0"/>
        </w:tabs>
        <w:ind w:left="720" w:hanging="360"/>
      </w:pPr>
      <w:rPr>
        <w:rFonts w:ascii="Courier New" w:hAnsi="Courier New" w:cs="Courier New"/>
      </w:rPr>
    </w:lvl>
  </w:abstractNum>
  <w:abstractNum w:abstractNumId="2" w15:restartNumberingAfterBreak="0">
    <w:nsid w:val="00586663"/>
    <w:multiLevelType w:val="hybridMultilevel"/>
    <w:tmpl w:val="636E0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0F4A9C"/>
    <w:multiLevelType w:val="multilevel"/>
    <w:tmpl w:val="F4760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9E1EF7"/>
    <w:multiLevelType w:val="hybridMultilevel"/>
    <w:tmpl w:val="3E6C0D5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1535361B"/>
    <w:multiLevelType w:val="hybridMultilevel"/>
    <w:tmpl w:val="F02433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9F46418"/>
    <w:multiLevelType w:val="hybridMultilevel"/>
    <w:tmpl w:val="82B4D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AB37AA"/>
    <w:multiLevelType w:val="multilevel"/>
    <w:tmpl w:val="AB602AF8"/>
    <w:lvl w:ilvl="0">
      <w:start w:val="2"/>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cs="Times New Roman" w:hint="default"/>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E54362E"/>
    <w:multiLevelType w:val="hybridMultilevel"/>
    <w:tmpl w:val="6018E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7173E9"/>
    <w:multiLevelType w:val="hybridMultilevel"/>
    <w:tmpl w:val="39EA262A"/>
    <w:lvl w:ilvl="0" w:tplc="924A8FE2">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7651550"/>
    <w:multiLevelType w:val="hybridMultilevel"/>
    <w:tmpl w:val="90964D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2F3C02"/>
    <w:multiLevelType w:val="hybridMultilevel"/>
    <w:tmpl w:val="B83E919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42987CC0"/>
    <w:multiLevelType w:val="hybridMultilevel"/>
    <w:tmpl w:val="48FA1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CF1B1C"/>
    <w:multiLevelType w:val="hybridMultilevel"/>
    <w:tmpl w:val="61D0F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1B1D46"/>
    <w:multiLevelType w:val="multilevel"/>
    <w:tmpl w:val="9F0E4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2D97B9D"/>
    <w:multiLevelType w:val="hybridMultilevel"/>
    <w:tmpl w:val="14823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0C4B58"/>
    <w:multiLevelType w:val="hybridMultilevel"/>
    <w:tmpl w:val="78524F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5FD65E1"/>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rPr>
        <w:rFonts w:cs="Times New Roman"/>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8277188"/>
    <w:multiLevelType w:val="multilevel"/>
    <w:tmpl w:val="6F66F5B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251656F"/>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rPr>
        <w:rFonts w:cs="Times New Roman"/>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359678A"/>
    <w:multiLevelType w:val="hybridMultilevel"/>
    <w:tmpl w:val="B7304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9E75877"/>
    <w:multiLevelType w:val="hybridMultilevel"/>
    <w:tmpl w:val="F57C4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D351DAB"/>
    <w:multiLevelType w:val="hybridMultilevel"/>
    <w:tmpl w:val="CD70F27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4"/>
  </w:num>
  <w:num w:numId="3">
    <w:abstractNumId w:val="8"/>
  </w:num>
  <w:num w:numId="4">
    <w:abstractNumId w:val="20"/>
  </w:num>
  <w:num w:numId="5">
    <w:abstractNumId w:val="10"/>
  </w:num>
  <w:num w:numId="6">
    <w:abstractNumId w:val="19"/>
  </w:num>
  <w:num w:numId="7">
    <w:abstractNumId w:val="22"/>
  </w:num>
  <w:num w:numId="8">
    <w:abstractNumId w:val="13"/>
  </w:num>
  <w:num w:numId="9">
    <w:abstractNumId w:val="9"/>
  </w:num>
  <w:num w:numId="10">
    <w:abstractNumId w:val="16"/>
  </w:num>
  <w:num w:numId="11">
    <w:abstractNumId w:val="17"/>
  </w:num>
  <w:num w:numId="12">
    <w:abstractNumId w:val="6"/>
  </w:num>
  <w:num w:numId="13">
    <w:abstractNumId w:val="12"/>
  </w:num>
  <w:num w:numId="14">
    <w:abstractNumId w:val="21"/>
  </w:num>
  <w:num w:numId="15">
    <w:abstractNumId w:val="2"/>
  </w:num>
  <w:num w:numId="16">
    <w:abstractNumId w:val="3"/>
  </w:num>
  <w:num w:numId="17">
    <w:abstractNumId w:val="14"/>
  </w:num>
  <w:num w:numId="18">
    <w:abstractNumId w:val="18"/>
  </w:num>
  <w:num w:numId="19">
    <w:abstractNumId w:val="12"/>
  </w:num>
  <w:num w:numId="20">
    <w:abstractNumId w:val="21"/>
  </w:num>
  <w:num w:numId="21">
    <w:abstractNumId w:val="15"/>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hyphenationZone w:val="283"/>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CORRIGENDUM_x000b_This document corrects document COM/2019/557 final of 31.10.2019._x000b_Concerns all language versions._x000b_Corrections to the following clerical mistakes have been made:_x000b_- Correction of the title of Directive 2003/87/EC on p. 6, footnote 3;_x000b_- Addition of Spain to the list of Member States which have EU ETS installations emitting PFCs and N2O on p. 8; _x000b_- Addition of reference to the OJ publication of Directive 2014/65/EU on p. 10, footnote 14;_x000b_- Correction of the inconsistent and incorrect use of decimal commas and points in Tables 4 and 7;_x000b_- Correction of the number of total cancelled auctions on p. 21;_x000b_- Correction of the publication date of Regulation (EU) No 600/2014 on p. 34, footnote 61;_x000b_- Correction of the title of DG Climate Action in Figures 2, 3, 4, and 5, in Tables 6 and 8, as well as in Tables 1.1., 1.2 and 1.3 of Annex 1, and Table 4.1. of Annex 4._x000b_The text shall read as follows:"/>
    <w:docVar w:name="LW_COVERPAGE_EXISTS" w:val="True"/>
    <w:docVar w:name="LW_COVERPAGE_GUID" w:val="D8F1BC9B-8EEE-485D-B85B-12482A0BD59C"/>
    <w:docVar w:name="LW_COVERPAGE_TYPE" w:val="1"/>
    <w:docVar w:name="LW_CROSSREFERENCE" w:val="&lt;UNUSED&gt;"/>
    <w:docVar w:name="LW_DocType" w:val="NORMAL"/>
    <w:docVar w:name="LW_EMISSION" w:val="16.1.2020"/>
    <w:docVar w:name="LW_EMISSION_ISODATE" w:val="2020-01-16"/>
    <w:docVar w:name="LW_EMISSION_LOCATION" w:val="BRX"/>
    <w:docVar w:name="LW_EMISSION_PREFIX" w:val="\u1041?\u1088?\u1102?\u1082?\u1089?\u1077?\u1083?, "/>
    <w:docVar w:name="LW_EMISSION_SUFFIX" w:val=" \u1075?."/>
    <w:docVar w:name="LW_ID_DOCTYPE_NONLW" w:val="CP-006"/>
    <w:docVar w:name="LW_LANGUE" w:val="BG"/>
    <w:docVar w:name="LW_LEVEL_OF_SENSITIVITY" w:val="Standard treatment"/>
    <w:docVar w:name="LW_NOM.INST" w:val="\u1045?\u1042?\u1056?\u1054?\u1055?\u1045?\u1049?\u1057?\u1050?\u1040? \u1050?\u1054?\u1052?\u1048?\u1057?\u1048?\u1071?"/>
    <w:docVar w:name="LW_NOM.INST_JOINTDOC" w:val="&lt;EMPTY&gt;"/>
    <w:docVar w:name="LW_PART_NBR" w:val="1"/>
    <w:docVar w:name="LW_PART_NBR_TOTAL" w:val="1"/>
    <w:docVar w:name="LW_REF.INST.NEW" w:val="COM"/>
    <w:docVar w:name="LW_REF.INST.NEW_ADOPTED" w:val="final/2"/>
    <w:docVar w:name="LW_REF.INST.NEW_TEXT" w:val="(2019) 557"/>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OUS.TITRE.OBJ.CP" w:val="&lt;UNUSED&gt;"/>
    <w:docVar w:name="LW_SUPERTITRE" w:val="&lt;UNUSED&gt;"/>
    <w:docVar w:name="LW_TITRE.OBJ.CP" w:val="\u1044?\u1086?\u1082?\u1083?\u1072?\u1076? \u1079?\u1072? \u1092?\u1091?\u1085?\u1082?\u1094?\u1080?\u1086?\u1085?\u1080?\u1088?\u1072?\u1085?\u1077?\u1090?\u1086? \u1085?\u1072? \u1077?\u1074?\u1088?\u1086?\u1087?\u1077?\u1081?\u1089?\u1082?\u1080?\u1103? \u1087?\u1072?\u1079?\u1072?\u1088? \u1085?\u1072? \u1074?\u1098?\u1075?\u1083?\u1077?\u1088?\u1086?\u1076?\u1085?\u1080? \u1077?\u1084?\u1080?\u1089?\u1080?\u1080?"/>
    <w:docVar w:name="LW_TYPE.DOC.CP" w:val="\u1044?\u1054?\u1050?\u1051?\u1040?\u1044? \u1053?\u1040? \u1050?\u1054?\u1052?\u1048?\u1057?\u1048?\u1071?\u1058?\u1040? \u1044?\u1054? \u1045?\u1042?\u1056?\u1054?\u1055?\u1045?\u1049?\u1057?\u1050?\u1048?\u1071? \u1055?\u1040?\u1056?\u1051?\u1040?\u1052?\u1045?\u1053?\u1058? \u1048? \u1057?\u1066?\u1042?\u1045?\u1058?\u1040?"/>
  </w:docVars>
  <w:rsids>
    <w:rsidRoot w:val="005F6BD0"/>
    <w:rsid w:val="00000FE6"/>
    <w:rsid w:val="00007933"/>
    <w:rsid w:val="00013E53"/>
    <w:rsid w:val="00024429"/>
    <w:rsid w:val="0004122A"/>
    <w:rsid w:val="0004344A"/>
    <w:rsid w:val="000453E7"/>
    <w:rsid w:val="000468E7"/>
    <w:rsid w:val="00055907"/>
    <w:rsid w:val="00067B35"/>
    <w:rsid w:val="00071A92"/>
    <w:rsid w:val="00073948"/>
    <w:rsid w:val="00076507"/>
    <w:rsid w:val="00076795"/>
    <w:rsid w:val="00080803"/>
    <w:rsid w:val="0008149F"/>
    <w:rsid w:val="00081E9A"/>
    <w:rsid w:val="000836BF"/>
    <w:rsid w:val="000847E3"/>
    <w:rsid w:val="00090912"/>
    <w:rsid w:val="00093351"/>
    <w:rsid w:val="00096C9D"/>
    <w:rsid w:val="000971D6"/>
    <w:rsid w:val="00097F99"/>
    <w:rsid w:val="000A114B"/>
    <w:rsid w:val="000A1686"/>
    <w:rsid w:val="000A23BB"/>
    <w:rsid w:val="000A5510"/>
    <w:rsid w:val="000B0169"/>
    <w:rsid w:val="000B2E37"/>
    <w:rsid w:val="000B542C"/>
    <w:rsid w:val="000B5602"/>
    <w:rsid w:val="000B563A"/>
    <w:rsid w:val="000B7105"/>
    <w:rsid w:val="000D5EB8"/>
    <w:rsid w:val="000D76F7"/>
    <w:rsid w:val="000E17BF"/>
    <w:rsid w:val="000E1D3A"/>
    <w:rsid w:val="000E2B06"/>
    <w:rsid w:val="000E34D9"/>
    <w:rsid w:val="000E4949"/>
    <w:rsid w:val="000E5992"/>
    <w:rsid w:val="000E5BB1"/>
    <w:rsid w:val="000E76D9"/>
    <w:rsid w:val="000E7891"/>
    <w:rsid w:val="000F340A"/>
    <w:rsid w:val="000F5D4A"/>
    <w:rsid w:val="00103EEF"/>
    <w:rsid w:val="001055F0"/>
    <w:rsid w:val="00107E43"/>
    <w:rsid w:val="00112F06"/>
    <w:rsid w:val="001179D2"/>
    <w:rsid w:val="001179FA"/>
    <w:rsid w:val="00117A8A"/>
    <w:rsid w:val="00123B11"/>
    <w:rsid w:val="001334A3"/>
    <w:rsid w:val="001379D6"/>
    <w:rsid w:val="001425D7"/>
    <w:rsid w:val="00143C3B"/>
    <w:rsid w:val="001508F1"/>
    <w:rsid w:val="00151ABC"/>
    <w:rsid w:val="00154103"/>
    <w:rsid w:val="00155185"/>
    <w:rsid w:val="001554C6"/>
    <w:rsid w:val="0015759E"/>
    <w:rsid w:val="00161F92"/>
    <w:rsid w:val="00163AE0"/>
    <w:rsid w:val="00163FD4"/>
    <w:rsid w:val="00167EEC"/>
    <w:rsid w:val="00171CDC"/>
    <w:rsid w:val="00183216"/>
    <w:rsid w:val="001A0E42"/>
    <w:rsid w:val="001A5FBE"/>
    <w:rsid w:val="001B2D80"/>
    <w:rsid w:val="001B4818"/>
    <w:rsid w:val="001B7FD9"/>
    <w:rsid w:val="001C09BD"/>
    <w:rsid w:val="001D30E4"/>
    <w:rsid w:val="001D4175"/>
    <w:rsid w:val="001D5A68"/>
    <w:rsid w:val="001D7CEB"/>
    <w:rsid w:val="001E0B39"/>
    <w:rsid w:val="001E289A"/>
    <w:rsid w:val="001E305B"/>
    <w:rsid w:val="001F0457"/>
    <w:rsid w:val="001F1235"/>
    <w:rsid w:val="001F1888"/>
    <w:rsid w:val="001F507B"/>
    <w:rsid w:val="001F66C2"/>
    <w:rsid w:val="002028F1"/>
    <w:rsid w:val="00203778"/>
    <w:rsid w:val="00213AB4"/>
    <w:rsid w:val="00220BC1"/>
    <w:rsid w:val="002221CF"/>
    <w:rsid w:val="002228B7"/>
    <w:rsid w:val="00231101"/>
    <w:rsid w:val="00232561"/>
    <w:rsid w:val="00232E4F"/>
    <w:rsid w:val="0023458A"/>
    <w:rsid w:val="00235970"/>
    <w:rsid w:val="00236AB2"/>
    <w:rsid w:val="00240B9A"/>
    <w:rsid w:val="00240E82"/>
    <w:rsid w:val="00246919"/>
    <w:rsid w:val="00247798"/>
    <w:rsid w:val="00250CD2"/>
    <w:rsid w:val="00254074"/>
    <w:rsid w:val="002546AC"/>
    <w:rsid w:val="002554A7"/>
    <w:rsid w:val="00264CAF"/>
    <w:rsid w:val="00267386"/>
    <w:rsid w:val="00270A06"/>
    <w:rsid w:val="00271E0D"/>
    <w:rsid w:val="00273A5E"/>
    <w:rsid w:val="00273ED1"/>
    <w:rsid w:val="00276918"/>
    <w:rsid w:val="002800C8"/>
    <w:rsid w:val="002802C4"/>
    <w:rsid w:val="00282C36"/>
    <w:rsid w:val="00294A8C"/>
    <w:rsid w:val="002A225D"/>
    <w:rsid w:val="002A3783"/>
    <w:rsid w:val="002A46DE"/>
    <w:rsid w:val="002A6473"/>
    <w:rsid w:val="002B2B9A"/>
    <w:rsid w:val="002B31DD"/>
    <w:rsid w:val="002C021B"/>
    <w:rsid w:val="002C2541"/>
    <w:rsid w:val="002C3142"/>
    <w:rsid w:val="002C43D3"/>
    <w:rsid w:val="002D2BCA"/>
    <w:rsid w:val="002E287F"/>
    <w:rsid w:val="00305A3E"/>
    <w:rsid w:val="00310AEE"/>
    <w:rsid w:val="0031283C"/>
    <w:rsid w:val="00313E82"/>
    <w:rsid w:val="00321560"/>
    <w:rsid w:val="00324F32"/>
    <w:rsid w:val="0032559C"/>
    <w:rsid w:val="00326996"/>
    <w:rsid w:val="00332674"/>
    <w:rsid w:val="003403B3"/>
    <w:rsid w:val="00341982"/>
    <w:rsid w:val="003424FE"/>
    <w:rsid w:val="0034758D"/>
    <w:rsid w:val="00350319"/>
    <w:rsid w:val="0035088E"/>
    <w:rsid w:val="00352418"/>
    <w:rsid w:val="003603DF"/>
    <w:rsid w:val="00362D29"/>
    <w:rsid w:val="00365008"/>
    <w:rsid w:val="003755E1"/>
    <w:rsid w:val="00375C63"/>
    <w:rsid w:val="00375FAD"/>
    <w:rsid w:val="00376A62"/>
    <w:rsid w:val="00396CBF"/>
    <w:rsid w:val="003972C7"/>
    <w:rsid w:val="003A0CD7"/>
    <w:rsid w:val="003A348D"/>
    <w:rsid w:val="003B1976"/>
    <w:rsid w:val="003B578B"/>
    <w:rsid w:val="003B73EF"/>
    <w:rsid w:val="003C06B3"/>
    <w:rsid w:val="003D2688"/>
    <w:rsid w:val="003D2CB4"/>
    <w:rsid w:val="003D3D7A"/>
    <w:rsid w:val="003D3E6C"/>
    <w:rsid w:val="003D7CEC"/>
    <w:rsid w:val="003E3302"/>
    <w:rsid w:val="003F30A8"/>
    <w:rsid w:val="004009B8"/>
    <w:rsid w:val="0041035E"/>
    <w:rsid w:val="00414972"/>
    <w:rsid w:val="00414F0F"/>
    <w:rsid w:val="00415B88"/>
    <w:rsid w:val="00417A4C"/>
    <w:rsid w:val="00420790"/>
    <w:rsid w:val="0042672C"/>
    <w:rsid w:val="00427EEB"/>
    <w:rsid w:val="00430B6B"/>
    <w:rsid w:val="00430F7D"/>
    <w:rsid w:val="00431A0C"/>
    <w:rsid w:val="00432B47"/>
    <w:rsid w:val="004351EA"/>
    <w:rsid w:val="00436204"/>
    <w:rsid w:val="00447BD5"/>
    <w:rsid w:val="00450852"/>
    <w:rsid w:val="0045349F"/>
    <w:rsid w:val="0045466C"/>
    <w:rsid w:val="0045664F"/>
    <w:rsid w:val="004572E5"/>
    <w:rsid w:val="0046000B"/>
    <w:rsid w:val="004611B0"/>
    <w:rsid w:val="0046130B"/>
    <w:rsid w:val="00462E7F"/>
    <w:rsid w:val="00467859"/>
    <w:rsid w:val="004724FA"/>
    <w:rsid w:val="004727F3"/>
    <w:rsid w:val="0047312E"/>
    <w:rsid w:val="00474813"/>
    <w:rsid w:val="00474859"/>
    <w:rsid w:val="004809DF"/>
    <w:rsid w:val="00482F44"/>
    <w:rsid w:val="00487626"/>
    <w:rsid w:val="00490892"/>
    <w:rsid w:val="00491E4C"/>
    <w:rsid w:val="00492E10"/>
    <w:rsid w:val="00493C65"/>
    <w:rsid w:val="004952C2"/>
    <w:rsid w:val="00495FC8"/>
    <w:rsid w:val="004A192A"/>
    <w:rsid w:val="004A322E"/>
    <w:rsid w:val="004A6FE8"/>
    <w:rsid w:val="004B05D2"/>
    <w:rsid w:val="004B22AA"/>
    <w:rsid w:val="004B446A"/>
    <w:rsid w:val="004B4F5B"/>
    <w:rsid w:val="004B68E8"/>
    <w:rsid w:val="004C0390"/>
    <w:rsid w:val="004C116F"/>
    <w:rsid w:val="004C18B2"/>
    <w:rsid w:val="004C3C2E"/>
    <w:rsid w:val="004C3EAB"/>
    <w:rsid w:val="004C64C5"/>
    <w:rsid w:val="004D266B"/>
    <w:rsid w:val="004D64EF"/>
    <w:rsid w:val="004D7FF1"/>
    <w:rsid w:val="004F62FA"/>
    <w:rsid w:val="004F7E89"/>
    <w:rsid w:val="00503830"/>
    <w:rsid w:val="00511F9D"/>
    <w:rsid w:val="00513707"/>
    <w:rsid w:val="00513F37"/>
    <w:rsid w:val="005153FF"/>
    <w:rsid w:val="00516F65"/>
    <w:rsid w:val="0052086E"/>
    <w:rsid w:val="00521214"/>
    <w:rsid w:val="00522018"/>
    <w:rsid w:val="005220A0"/>
    <w:rsid w:val="00524AA2"/>
    <w:rsid w:val="00526348"/>
    <w:rsid w:val="00531A9D"/>
    <w:rsid w:val="00531B04"/>
    <w:rsid w:val="00535EF1"/>
    <w:rsid w:val="0054214B"/>
    <w:rsid w:val="00544382"/>
    <w:rsid w:val="005446C1"/>
    <w:rsid w:val="00545994"/>
    <w:rsid w:val="00546BFF"/>
    <w:rsid w:val="0055008A"/>
    <w:rsid w:val="0055016B"/>
    <w:rsid w:val="00564618"/>
    <w:rsid w:val="00572D1B"/>
    <w:rsid w:val="0057434D"/>
    <w:rsid w:val="00587058"/>
    <w:rsid w:val="00593BC0"/>
    <w:rsid w:val="005A13C7"/>
    <w:rsid w:val="005A3492"/>
    <w:rsid w:val="005A3899"/>
    <w:rsid w:val="005A4F64"/>
    <w:rsid w:val="005B7436"/>
    <w:rsid w:val="005C0D84"/>
    <w:rsid w:val="005C19DA"/>
    <w:rsid w:val="005C40E5"/>
    <w:rsid w:val="005C54C3"/>
    <w:rsid w:val="005C667A"/>
    <w:rsid w:val="005D1F30"/>
    <w:rsid w:val="005D3412"/>
    <w:rsid w:val="005E0796"/>
    <w:rsid w:val="005E3731"/>
    <w:rsid w:val="005E5E7D"/>
    <w:rsid w:val="005F547A"/>
    <w:rsid w:val="005F57E7"/>
    <w:rsid w:val="005F6BD0"/>
    <w:rsid w:val="005F7426"/>
    <w:rsid w:val="00601A28"/>
    <w:rsid w:val="00604EC7"/>
    <w:rsid w:val="00605E73"/>
    <w:rsid w:val="0061725C"/>
    <w:rsid w:val="00620C74"/>
    <w:rsid w:val="00622FFB"/>
    <w:rsid w:val="006232B0"/>
    <w:rsid w:val="006239BE"/>
    <w:rsid w:val="00626D3C"/>
    <w:rsid w:val="00630CB3"/>
    <w:rsid w:val="006434B2"/>
    <w:rsid w:val="00647DE9"/>
    <w:rsid w:val="00650419"/>
    <w:rsid w:val="00650B14"/>
    <w:rsid w:val="00650F07"/>
    <w:rsid w:val="006529AB"/>
    <w:rsid w:val="006530AB"/>
    <w:rsid w:val="006576A6"/>
    <w:rsid w:val="00663ABF"/>
    <w:rsid w:val="00670DCE"/>
    <w:rsid w:val="00674F18"/>
    <w:rsid w:val="0067520F"/>
    <w:rsid w:val="00676CF0"/>
    <w:rsid w:val="00677B4F"/>
    <w:rsid w:val="006867CA"/>
    <w:rsid w:val="00687848"/>
    <w:rsid w:val="00692F99"/>
    <w:rsid w:val="00693A53"/>
    <w:rsid w:val="0069589D"/>
    <w:rsid w:val="006964C8"/>
    <w:rsid w:val="00696C1E"/>
    <w:rsid w:val="006A1212"/>
    <w:rsid w:val="006A69C6"/>
    <w:rsid w:val="006B0912"/>
    <w:rsid w:val="006B29CE"/>
    <w:rsid w:val="006B33D0"/>
    <w:rsid w:val="006C1CE4"/>
    <w:rsid w:val="006C33FB"/>
    <w:rsid w:val="006C7AF2"/>
    <w:rsid w:val="006C7E2B"/>
    <w:rsid w:val="006D15F4"/>
    <w:rsid w:val="006D1DAA"/>
    <w:rsid w:val="006D7DAA"/>
    <w:rsid w:val="006E0EB4"/>
    <w:rsid w:val="006E35B0"/>
    <w:rsid w:val="006E4040"/>
    <w:rsid w:val="006E6706"/>
    <w:rsid w:val="006E6ABC"/>
    <w:rsid w:val="006E77EE"/>
    <w:rsid w:val="006F08AB"/>
    <w:rsid w:val="006F1C1A"/>
    <w:rsid w:val="006F24C1"/>
    <w:rsid w:val="006F2D6B"/>
    <w:rsid w:val="0070741D"/>
    <w:rsid w:val="00707619"/>
    <w:rsid w:val="00710A2D"/>
    <w:rsid w:val="00711C2B"/>
    <w:rsid w:val="0071246D"/>
    <w:rsid w:val="00715C11"/>
    <w:rsid w:val="00723364"/>
    <w:rsid w:val="007313F8"/>
    <w:rsid w:val="00743ED3"/>
    <w:rsid w:val="007450E6"/>
    <w:rsid w:val="00750C8E"/>
    <w:rsid w:val="007552C1"/>
    <w:rsid w:val="00764777"/>
    <w:rsid w:val="007653E9"/>
    <w:rsid w:val="007708E7"/>
    <w:rsid w:val="00770B96"/>
    <w:rsid w:val="007748C6"/>
    <w:rsid w:val="007770F8"/>
    <w:rsid w:val="00777DC1"/>
    <w:rsid w:val="007840DE"/>
    <w:rsid w:val="0078606D"/>
    <w:rsid w:val="00794E5D"/>
    <w:rsid w:val="00796CB0"/>
    <w:rsid w:val="007A047B"/>
    <w:rsid w:val="007A13AC"/>
    <w:rsid w:val="007A20FC"/>
    <w:rsid w:val="007A50C0"/>
    <w:rsid w:val="007B4315"/>
    <w:rsid w:val="007B526B"/>
    <w:rsid w:val="007B6379"/>
    <w:rsid w:val="007B6B06"/>
    <w:rsid w:val="007B7BDD"/>
    <w:rsid w:val="007C14CE"/>
    <w:rsid w:val="007C478C"/>
    <w:rsid w:val="007C5853"/>
    <w:rsid w:val="007C76F9"/>
    <w:rsid w:val="007D07C5"/>
    <w:rsid w:val="007D74C8"/>
    <w:rsid w:val="007E1F8B"/>
    <w:rsid w:val="007E289C"/>
    <w:rsid w:val="007F41FA"/>
    <w:rsid w:val="007F5B1E"/>
    <w:rsid w:val="0080112A"/>
    <w:rsid w:val="00801F4F"/>
    <w:rsid w:val="00801F90"/>
    <w:rsid w:val="0081348D"/>
    <w:rsid w:val="00820E4C"/>
    <w:rsid w:val="008259B3"/>
    <w:rsid w:val="00825DBF"/>
    <w:rsid w:val="00826298"/>
    <w:rsid w:val="00826FBA"/>
    <w:rsid w:val="00845A09"/>
    <w:rsid w:val="0085272D"/>
    <w:rsid w:val="00852E0F"/>
    <w:rsid w:val="00853FF0"/>
    <w:rsid w:val="00862924"/>
    <w:rsid w:val="00863670"/>
    <w:rsid w:val="00865854"/>
    <w:rsid w:val="00872FA3"/>
    <w:rsid w:val="008755F7"/>
    <w:rsid w:val="00880101"/>
    <w:rsid w:val="00880749"/>
    <w:rsid w:val="00886FE8"/>
    <w:rsid w:val="008872EF"/>
    <w:rsid w:val="00897B8F"/>
    <w:rsid w:val="008A5D9B"/>
    <w:rsid w:val="008C2194"/>
    <w:rsid w:val="008D0DEA"/>
    <w:rsid w:val="008D0F40"/>
    <w:rsid w:val="008D4A4D"/>
    <w:rsid w:val="008E412B"/>
    <w:rsid w:val="008E46B6"/>
    <w:rsid w:val="008E69DA"/>
    <w:rsid w:val="008F18A0"/>
    <w:rsid w:val="008F1C88"/>
    <w:rsid w:val="008F796B"/>
    <w:rsid w:val="00901490"/>
    <w:rsid w:val="00903EA2"/>
    <w:rsid w:val="00907E99"/>
    <w:rsid w:val="009167F7"/>
    <w:rsid w:val="0091734F"/>
    <w:rsid w:val="00920F62"/>
    <w:rsid w:val="00923ABD"/>
    <w:rsid w:val="00924594"/>
    <w:rsid w:val="0092568D"/>
    <w:rsid w:val="00926127"/>
    <w:rsid w:val="00935219"/>
    <w:rsid w:val="00936E0E"/>
    <w:rsid w:val="00937242"/>
    <w:rsid w:val="00943DA5"/>
    <w:rsid w:val="00946F79"/>
    <w:rsid w:val="00952A42"/>
    <w:rsid w:val="00956B5A"/>
    <w:rsid w:val="00957173"/>
    <w:rsid w:val="00964AD1"/>
    <w:rsid w:val="00967BB6"/>
    <w:rsid w:val="00970B92"/>
    <w:rsid w:val="00970C68"/>
    <w:rsid w:val="00971AA1"/>
    <w:rsid w:val="00973D0E"/>
    <w:rsid w:val="009743AF"/>
    <w:rsid w:val="00975138"/>
    <w:rsid w:val="00975465"/>
    <w:rsid w:val="00981142"/>
    <w:rsid w:val="00986C32"/>
    <w:rsid w:val="00986DBE"/>
    <w:rsid w:val="00995D11"/>
    <w:rsid w:val="0099667F"/>
    <w:rsid w:val="00997359"/>
    <w:rsid w:val="009A6369"/>
    <w:rsid w:val="009A7259"/>
    <w:rsid w:val="009A79C3"/>
    <w:rsid w:val="009B1349"/>
    <w:rsid w:val="009B1CC8"/>
    <w:rsid w:val="009B58A9"/>
    <w:rsid w:val="009C2DCE"/>
    <w:rsid w:val="009C2F61"/>
    <w:rsid w:val="009D0411"/>
    <w:rsid w:val="009D1D9B"/>
    <w:rsid w:val="009D4740"/>
    <w:rsid w:val="009D6C7E"/>
    <w:rsid w:val="009E0578"/>
    <w:rsid w:val="009E2F76"/>
    <w:rsid w:val="009E30B4"/>
    <w:rsid w:val="009E7D2F"/>
    <w:rsid w:val="009F1DEA"/>
    <w:rsid w:val="009F7A8D"/>
    <w:rsid w:val="00A01487"/>
    <w:rsid w:val="00A01F53"/>
    <w:rsid w:val="00A063FC"/>
    <w:rsid w:val="00A07445"/>
    <w:rsid w:val="00A12A60"/>
    <w:rsid w:val="00A15287"/>
    <w:rsid w:val="00A1580F"/>
    <w:rsid w:val="00A16C99"/>
    <w:rsid w:val="00A21F92"/>
    <w:rsid w:val="00A309B8"/>
    <w:rsid w:val="00A324A5"/>
    <w:rsid w:val="00A341C7"/>
    <w:rsid w:val="00A3452C"/>
    <w:rsid w:val="00A37088"/>
    <w:rsid w:val="00A40886"/>
    <w:rsid w:val="00A4186B"/>
    <w:rsid w:val="00A42B5E"/>
    <w:rsid w:val="00A47C7B"/>
    <w:rsid w:val="00A52292"/>
    <w:rsid w:val="00A52F4C"/>
    <w:rsid w:val="00A55C5F"/>
    <w:rsid w:val="00A65E8D"/>
    <w:rsid w:val="00A67F00"/>
    <w:rsid w:val="00A729A2"/>
    <w:rsid w:val="00A75105"/>
    <w:rsid w:val="00A76825"/>
    <w:rsid w:val="00A80F28"/>
    <w:rsid w:val="00A81A13"/>
    <w:rsid w:val="00A838C0"/>
    <w:rsid w:val="00A85CA7"/>
    <w:rsid w:val="00A871C2"/>
    <w:rsid w:val="00A90AE4"/>
    <w:rsid w:val="00A90D9A"/>
    <w:rsid w:val="00A92C10"/>
    <w:rsid w:val="00A9462E"/>
    <w:rsid w:val="00A95247"/>
    <w:rsid w:val="00A95C71"/>
    <w:rsid w:val="00A97B86"/>
    <w:rsid w:val="00AA1C54"/>
    <w:rsid w:val="00AA2E4B"/>
    <w:rsid w:val="00AA45F2"/>
    <w:rsid w:val="00AA6C77"/>
    <w:rsid w:val="00AA763C"/>
    <w:rsid w:val="00AA7749"/>
    <w:rsid w:val="00AC45A3"/>
    <w:rsid w:val="00AC49C7"/>
    <w:rsid w:val="00AC71FC"/>
    <w:rsid w:val="00AD25A8"/>
    <w:rsid w:val="00AD3A74"/>
    <w:rsid w:val="00AD3BCF"/>
    <w:rsid w:val="00AD6E42"/>
    <w:rsid w:val="00AE6522"/>
    <w:rsid w:val="00AF188E"/>
    <w:rsid w:val="00AF41CE"/>
    <w:rsid w:val="00AF42BE"/>
    <w:rsid w:val="00AF696E"/>
    <w:rsid w:val="00AF6D56"/>
    <w:rsid w:val="00B014E1"/>
    <w:rsid w:val="00B065B2"/>
    <w:rsid w:val="00B0756E"/>
    <w:rsid w:val="00B13763"/>
    <w:rsid w:val="00B2073D"/>
    <w:rsid w:val="00B27C40"/>
    <w:rsid w:val="00B3113B"/>
    <w:rsid w:val="00B330E6"/>
    <w:rsid w:val="00B34FE0"/>
    <w:rsid w:val="00B36364"/>
    <w:rsid w:val="00B444B8"/>
    <w:rsid w:val="00B47A9B"/>
    <w:rsid w:val="00B508EC"/>
    <w:rsid w:val="00B554D5"/>
    <w:rsid w:val="00B6391E"/>
    <w:rsid w:val="00B7144C"/>
    <w:rsid w:val="00B736F4"/>
    <w:rsid w:val="00B75E76"/>
    <w:rsid w:val="00B774C9"/>
    <w:rsid w:val="00B77E70"/>
    <w:rsid w:val="00B83449"/>
    <w:rsid w:val="00B84FD2"/>
    <w:rsid w:val="00B85598"/>
    <w:rsid w:val="00B86FD5"/>
    <w:rsid w:val="00B951E0"/>
    <w:rsid w:val="00B96804"/>
    <w:rsid w:val="00BB32B4"/>
    <w:rsid w:val="00BB416E"/>
    <w:rsid w:val="00BB5E18"/>
    <w:rsid w:val="00BD381F"/>
    <w:rsid w:val="00BE16E5"/>
    <w:rsid w:val="00BE291F"/>
    <w:rsid w:val="00BE6633"/>
    <w:rsid w:val="00BF0600"/>
    <w:rsid w:val="00BF4C1D"/>
    <w:rsid w:val="00C028EC"/>
    <w:rsid w:val="00C04BC3"/>
    <w:rsid w:val="00C062A7"/>
    <w:rsid w:val="00C1282D"/>
    <w:rsid w:val="00C1460B"/>
    <w:rsid w:val="00C15793"/>
    <w:rsid w:val="00C206EB"/>
    <w:rsid w:val="00C24BD9"/>
    <w:rsid w:val="00C31FEB"/>
    <w:rsid w:val="00C3264D"/>
    <w:rsid w:val="00C34412"/>
    <w:rsid w:val="00C3474B"/>
    <w:rsid w:val="00C35710"/>
    <w:rsid w:val="00C43666"/>
    <w:rsid w:val="00C45021"/>
    <w:rsid w:val="00C505AB"/>
    <w:rsid w:val="00C63D34"/>
    <w:rsid w:val="00C67962"/>
    <w:rsid w:val="00C73274"/>
    <w:rsid w:val="00C761C5"/>
    <w:rsid w:val="00C805C9"/>
    <w:rsid w:val="00C80F63"/>
    <w:rsid w:val="00C81DE8"/>
    <w:rsid w:val="00C8227C"/>
    <w:rsid w:val="00C827A2"/>
    <w:rsid w:val="00C82E25"/>
    <w:rsid w:val="00C84C9A"/>
    <w:rsid w:val="00C92807"/>
    <w:rsid w:val="00C94487"/>
    <w:rsid w:val="00C9448A"/>
    <w:rsid w:val="00C9568F"/>
    <w:rsid w:val="00C95B98"/>
    <w:rsid w:val="00CA734B"/>
    <w:rsid w:val="00CB6B3B"/>
    <w:rsid w:val="00CB78DF"/>
    <w:rsid w:val="00CC6DFF"/>
    <w:rsid w:val="00CC705C"/>
    <w:rsid w:val="00CD0154"/>
    <w:rsid w:val="00CD2FAE"/>
    <w:rsid w:val="00CD3438"/>
    <w:rsid w:val="00CD611D"/>
    <w:rsid w:val="00CD7EDD"/>
    <w:rsid w:val="00CE42E1"/>
    <w:rsid w:val="00CE582B"/>
    <w:rsid w:val="00CE7544"/>
    <w:rsid w:val="00CF459D"/>
    <w:rsid w:val="00D066A2"/>
    <w:rsid w:val="00D1163B"/>
    <w:rsid w:val="00D153B1"/>
    <w:rsid w:val="00D15FE5"/>
    <w:rsid w:val="00D20456"/>
    <w:rsid w:val="00D221C6"/>
    <w:rsid w:val="00D24B99"/>
    <w:rsid w:val="00D264AF"/>
    <w:rsid w:val="00D26A90"/>
    <w:rsid w:val="00D3027D"/>
    <w:rsid w:val="00D30645"/>
    <w:rsid w:val="00D33DAD"/>
    <w:rsid w:val="00D34827"/>
    <w:rsid w:val="00D357D7"/>
    <w:rsid w:val="00D3719C"/>
    <w:rsid w:val="00D40294"/>
    <w:rsid w:val="00D40B51"/>
    <w:rsid w:val="00D4406F"/>
    <w:rsid w:val="00D45E17"/>
    <w:rsid w:val="00D52704"/>
    <w:rsid w:val="00D54ABE"/>
    <w:rsid w:val="00D655D9"/>
    <w:rsid w:val="00D71CE6"/>
    <w:rsid w:val="00D72C70"/>
    <w:rsid w:val="00D75B42"/>
    <w:rsid w:val="00D7734A"/>
    <w:rsid w:val="00D802D9"/>
    <w:rsid w:val="00D812BF"/>
    <w:rsid w:val="00D83605"/>
    <w:rsid w:val="00D843E7"/>
    <w:rsid w:val="00D863AF"/>
    <w:rsid w:val="00D90329"/>
    <w:rsid w:val="00D91E57"/>
    <w:rsid w:val="00DA06E4"/>
    <w:rsid w:val="00DA23BD"/>
    <w:rsid w:val="00DA3E53"/>
    <w:rsid w:val="00DA667D"/>
    <w:rsid w:val="00DB415D"/>
    <w:rsid w:val="00DC0206"/>
    <w:rsid w:val="00DC3851"/>
    <w:rsid w:val="00DC781B"/>
    <w:rsid w:val="00DD0ECB"/>
    <w:rsid w:val="00DD1C04"/>
    <w:rsid w:val="00DE4B3D"/>
    <w:rsid w:val="00DE75EA"/>
    <w:rsid w:val="00DF31D4"/>
    <w:rsid w:val="00DF6D22"/>
    <w:rsid w:val="00E04C26"/>
    <w:rsid w:val="00E0629F"/>
    <w:rsid w:val="00E07823"/>
    <w:rsid w:val="00E12E60"/>
    <w:rsid w:val="00E13678"/>
    <w:rsid w:val="00E162AE"/>
    <w:rsid w:val="00E166BE"/>
    <w:rsid w:val="00E1692F"/>
    <w:rsid w:val="00E20A97"/>
    <w:rsid w:val="00E20FAC"/>
    <w:rsid w:val="00E21B3E"/>
    <w:rsid w:val="00E2275C"/>
    <w:rsid w:val="00E32AE3"/>
    <w:rsid w:val="00E360E0"/>
    <w:rsid w:val="00E362A3"/>
    <w:rsid w:val="00E41CBA"/>
    <w:rsid w:val="00E47213"/>
    <w:rsid w:val="00E47391"/>
    <w:rsid w:val="00E47B87"/>
    <w:rsid w:val="00E5087C"/>
    <w:rsid w:val="00E54FAD"/>
    <w:rsid w:val="00E55173"/>
    <w:rsid w:val="00E57C35"/>
    <w:rsid w:val="00E622CD"/>
    <w:rsid w:val="00E628E7"/>
    <w:rsid w:val="00E63E09"/>
    <w:rsid w:val="00E6737F"/>
    <w:rsid w:val="00E71363"/>
    <w:rsid w:val="00E72EF9"/>
    <w:rsid w:val="00E772FE"/>
    <w:rsid w:val="00E9293A"/>
    <w:rsid w:val="00E94C4B"/>
    <w:rsid w:val="00EA091E"/>
    <w:rsid w:val="00EA1081"/>
    <w:rsid w:val="00EB4AF8"/>
    <w:rsid w:val="00EC4E52"/>
    <w:rsid w:val="00ED1A3A"/>
    <w:rsid w:val="00ED62D2"/>
    <w:rsid w:val="00EE0933"/>
    <w:rsid w:val="00EE1C77"/>
    <w:rsid w:val="00EE5825"/>
    <w:rsid w:val="00EE5DB7"/>
    <w:rsid w:val="00EE7A6D"/>
    <w:rsid w:val="00EF05DE"/>
    <w:rsid w:val="00EF3553"/>
    <w:rsid w:val="00F06259"/>
    <w:rsid w:val="00F1044A"/>
    <w:rsid w:val="00F105F2"/>
    <w:rsid w:val="00F14010"/>
    <w:rsid w:val="00F16486"/>
    <w:rsid w:val="00F20DF9"/>
    <w:rsid w:val="00F21EEC"/>
    <w:rsid w:val="00F24CFE"/>
    <w:rsid w:val="00F24E42"/>
    <w:rsid w:val="00F40DB0"/>
    <w:rsid w:val="00F41F50"/>
    <w:rsid w:val="00F442D1"/>
    <w:rsid w:val="00F47B94"/>
    <w:rsid w:val="00F50389"/>
    <w:rsid w:val="00F55E46"/>
    <w:rsid w:val="00F604A7"/>
    <w:rsid w:val="00F62E0F"/>
    <w:rsid w:val="00F66FF8"/>
    <w:rsid w:val="00F74E2C"/>
    <w:rsid w:val="00F75C7F"/>
    <w:rsid w:val="00F92EFD"/>
    <w:rsid w:val="00F97003"/>
    <w:rsid w:val="00FA3C63"/>
    <w:rsid w:val="00FA48CF"/>
    <w:rsid w:val="00FA4E9C"/>
    <w:rsid w:val="00FA53A8"/>
    <w:rsid w:val="00FA645E"/>
    <w:rsid w:val="00FB120A"/>
    <w:rsid w:val="00FB28EB"/>
    <w:rsid w:val="00FB4235"/>
    <w:rsid w:val="00FB44F4"/>
    <w:rsid w:val="00FB6544"/>
    <w:rsid w:val="00FC1AE0"/>
    <w:rsid w:val="00FC2F1F"/>
    <w:rsid w:val="00FD386D"/>
    <w:rsid w:val="00FD4C61"/>
    <w:rsid w:val="00FE4E64"/>
    <w:rsid w:val="00FE6183"/>
    <w:rsid w:val="00FE6D66"/>
    <w:rsid w:val="00FF474E"/>
    <w:rsid w:val="00FF5DD8"/>
    <w:rsid w:val="00FF62C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6B8258C7"/>
  <w15:docId w15:val="{E7C9CAE8-D30B-4133-93C7-CA3E180A3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Times New Roman"/>
    </w:rPr>
  </w:style>
  <w:style w:type="paragraph" w:styleId="Heading1">
    <w:name w:val="heading 1"/>
    <w:basedOn w:val="Normal"/>
    <w:next w:val="Normal"/>
    <w:link w:val="Heading1Char"/>
    <w:uiPriority w:val="9"/>
    <w:qFormat/>
    <w:pPr>
      <w:keepNext/>
      <w:spacing w:before="240" w:after="60"/>
      <w:outlineLvl w:val="0"/>
    </w:pPr>
    <w:rPr>
      <w:rFonts w:ascii="Times New Roman" w:eastAsia="Times New Roman" w:hAnsi="Times New Roman"/>
      <w:b/>
      <w:bCs/>
      <w:kern w:val="32"/>
      <w:sz w:val="24"/>
      <w:szCs w:val="32"/>
    </w:rPr>
  </w:style>
  <w:style w:type="paragraph" w:styleId="Heading2">
    <w:name w:val="heading 2"/>
    <w:basedOn w:val="Normal"/>
    <w:next w:val="Normal"/>
    <w:link w:val="Heading2Char"/>
    <w:uiPriority w:val="9"/>
    <w:unhideWhenUsed/>
    <w:qFormat/>
    <w:pPr>
      <w:keepNext/>
      <w:spacing w:before="240" w:after="60"/>
      <w:outlineLvl w:val="1"/>
    </w:pPr>
    <w:rPr>
      <w:rFonts w:ascii="Times New Roman" w:eastAsia="Times New Roman" w:hAnsi="Times New Roman"/>
      <w:b/>
      <w:bCs/>
      <w:i/>
      <w:iCs/>
      <w:sz w:val="24"/>
      <w:szCs w:val="28"/>
    </w:rPr>
  </w:style>
  <w:style w:type="paragraph" w:styleId="Heading3">
    <w:name w:val="heading 3"/>
    <w:basedOn w:val="Normal"/>
    <w:next w:val="Normal"/>
    <w:link w:val="Heading3Char"/>
    <w:uiPriority w:val="9"/>
    <w:unhideWhenUsed/>
    <w:qFormat/>
    <w:pPr>
      <w:keepNext/>
      <w:spacing w:before="240" w:after="60"/>
      <w:outlineLvl w:val="2"/>
    </w:pPr>
    <w:rPr>
      <w:rFonts w:ascii="Times New Roman" w:eastAsia="Times New Roman" w:hAnsi="Times New Roman"/>
      <w:b/>
      <w:bCs/>
      <w:sz w:val="24"/>
      <w:szCs w:val="26"/>
    </w:rPr>
  </w:style>
  <w:style w:type="paragraph" w:styleId="Heading4">
    <w:name w:val="heading 4"/>
    <w:basedOn w:val="Normal"/>
    <w:next w:val="Normal"/>
    <w:link w:val="Heading4Char"/>
    <w:uiPriority w:val="9"/>
    <w:unhideWhenUsed/>
    <w:qFormat/>
    <w:pPr>
      <w:keepNext/>
      <w:spacing w:before="240" w:after="60"/>
      <w:outlineLvl w:val="3"/>
    </w:pPr>
    <w:rPr>
      <w:rFonts w:ascii="Times New Roman" w:eastAsia="Times New Roman" w:hAnsi="Times New Roman"/>
      <w:bCs/>
      <w:i/>
      <w:sz w:val="24"/>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imes New Roman" w:eastAsia="Times New Roman" w:hAnsi="Times New Roman" w:cs="Times New Roman"/>
      <w:b/>
      <w:bCs/>
      <w:kern w:val="32"/>
      <w:sz w:val="24"/>
      <w:szCs w:val="32"/>
    </w:rPr>
  </w:style>
  <w:style w:type="character" w:customStyle="1" w:styleId="Heading2Char">
    <w:name w:val="Heading 2 Char"/>
    <w:basedOn w:val="DefaultParagraphFont"/>
    <w:link w:val="Heading2"/>
    <w:uiPriority w:val="9"/>
    <w:rPr>
      <w:rFonts w:ascii="Times New Roman" w:eastAsia="Times New Roman" w:hAnsi="Times New Roman" w:cs="Times New Roman"/>
      <w:b/>
      <w:bCs/>
      <w:i/>
      <w:iCs/>
      <w:sz w:val="24"/>
      <w:szCs w:val="28"/>
    </w:rPr>
  </w:style>
  <w:style w:type="character" w:customStyle="1" w:styleId="Heading3Char">
    <w:name w:val="Heading 3 Char"/>
    <w:basedOn w:val="DefaultParagraphFont"/>
    <w:link w:val="Heading3"/>
    <w:uiPriority w:val="9"/>
    <w:rPr>
      <w:rFonts w:ascii="Times New Roman" w:eastAsia="Times New Roman" w:hAnsi="Times New Roman" w:cs="Times New Roman"/>
      <w:b/>
      <w:bCs/>
      <w:sz w:val="24"/>
      <w:szCs w:val="26"/>
    </w:rPr>
  </w:style>
  <w:style w:type="character" w:customStyle="1" w:styleId="Heading4Char">
    <w:name w:val="Heading 4 Char"/>
    <w:basedOn w:val="DefaultParagraphFont"/>
    <w:link w:val="Heading4"/>
    <w:uiPriority w:val="9"/>
    <w:rPr>
      <w:rFonts w:ascii="Times New Roman" w:eastAsia="Times New Roman" w:hAnsi="Times New Roman" w:cs="Times New Roman"/>
      <w:bCs/>
      <w:i/>
      <w:sz w:val="24"/>
      <w:szCs w:val="28"/>
    </w:rPr>
  </w:style>
  <w:style w:type="paragraph" w:styleId="BalloonText">
    <w:name w:val="Balloon Text"/>
    <w:basedOn w:val="Normal"/>
    <w:link w:val="BalloonTextChar"/>
    <w:uiPriority w:val="99"/>
    <w:semiHidden/>
    <w:unhideWhenUsed/>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Pr>
      <w:rFonts w:ascii="Tahoma" w:eastAsia="Calibri" w:hAnsi="Tahoma" w:cs="Times New Roman"/>
      <w:sz w:val="16"/>
      <w:szCs w:val="16"/>
      <w:lang w:val="bg-BG"/>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Calibri" w:eastAsia="Calibri" w:hAnsi="Calibri" w:cs="Times New Roman"/>
      <w:sz w:val="20"/>
      <w:szCs w:val="20"/>
      <w:lang w:val="bg-BG"/>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eastAsia="Calibri" w:hAnsi="Calibri" w:cs="Times New Roman"/>
      <w:b/>
      <w:bCs/>
      <w:sz w:val="20"/>
      <w:szCs w:val="20"/>
      <w:lang w:val="bg-BG"/>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sz w:val="24"/>
      <w:szCs w:val="24"/>
      <w:lang w:eastAsia="en-GB"/>
    </w:rPr>
  </w:style>
  <w:style w:type="character" w:styleId="Hyperlink">
    <w:name w:val="Hyperlink"/>
    <w:uiPriority w:val="99"/>
    <w:unhideWhenUsed/>
    <w:rPr>
      <w:color w:val="0000FF"/>
      <w:u w:val="single"/>
    </w:rPr>
  </w:style>
  <w:style w:type="paragraph" w:styleId="FootnoteText">
    <w:name w:val="footnote text"/>
    <w:aliases w:val="Fußnotentextf,RSK-FT,RSK-FT1,RSK-FT2"/>
    <w:basedOn w:val="Normal"/>
    <w:link w:val="FootnoteTextChar"/>
    <w:autoRedefine/>
    <w:uiPriority w:val="99"/>
    <w:unhideWhenUsed/>
    <w:qFormat/>
    <w:rsid w:val="001055F0"/>
    <w:pPr>
      <w:spacing w:after="0" w:line="240" w:lineRule="auto"/>
    </w:pPr>
    <w:rPr>
      <w:rFonts w:ascii="Times New Roman" w:hAnsi="Times New Roman"/>
      <w:sz w:val="18"/>
      <w:szCs w:val="18"/>
    </w:rPr>
  </w:style>
  <w:style w:type="character" w:customStyle="1" w:styleId="FootnoteTextChar">
    <w:name w:val="Footnote Text Char"/>
    <w:aliases w:val="Fußnotentextf Char,RSK-FT Char,RSK-FT1 Char,RSK-FT2 Char"/>
    <w:basedOn w:val="DefaultParagraphFont"/>
    <w:link w:val="FootnoteText"/>
    <w:uiPriority w:val="99"/>
    <w:rsid w:val="001055F0"/>
    <w:rPr>
      <w:rFonts w:ascii="Times New Roman" w:eastAsia="Calibri" w:hAnsi="Times New Roman" w:cs="Times New Roman"/>
      <w:sz w:val="18"/>
      <w:szCs w:val="18"/>
    </w:rPr>
  </w:style>
  <w:style w:type="character" w:styleId="FootnoteReference">
    <w:name w:val="footnote reference"/>
    <w:aliases w:val="Footnote Refernece,BVI fnr,callout,16 Point,Superscript 6 Point,Odwołanie przypisu,Footnote symbol,Footnote Reference Number,Footnote Reference Superscript,SUPERS,Times 10 Point,Exposant 3 Point,Ref,de nota al pie,number, BVI fnr"/>
    <w:uiPriority w:val="99"/>
    <w:unhideWhenUsed/>
    <w:qFormat/>
    <w:rPr>
      <w:vertAlign w:val="superscript"/>
    </w:rPr>
  </w:style>
  <w:style w:type="paragraph" w:styleId="Header">
    <w:name w:val="header"/>
    <w:basedOn w:val="Normal"/>
    <w:link w:val="HeaderChar"/>
    <w:uiPriority w:val="99"/>
    <w:unhideWhenUsed/>
    <w:pPr>
      <w:tabs>
        <w:tab w:val="center" w:pos="4536"/>
        <w:tab w:val="right" w:pos="9072"/>
      </w:tabs>
    </w:pPr>
  </w:style>
  <w:style w:type="character" w:customStyle="1" w:styleId="HeaderChar">
    <w:name w:val="Header Char"/>
    <w:basedOn w:val="DefaultParagraphFont"/>
    <w:link w:val="Header"/>
    <w:uiPriority w:val="99"/>
    <w:rPr>
      <w:rFonts w:ascii="Calibri" w:eastAsia="Calibri" w:hAnsi="Calibri" w:cs="Times New Roman"/>
    </w:rPr>
  </w:style>
  <w:style w:type="paragraph" w:styleId="Footer">
    <w:name w:val="footer"/>
    <w:basedOn w:val="Normal"/>
    <w:link w:val="FooterChar"/>
    <w:uiPriority w:val="99"/>
    <w:unhideWhenUsed/>
    <w:pPr>
      <w:tabs>
        <w:tab w:val="center" w:pos="4536"/>
        <w:tab w:val="right" w:pos="9072"/>
      </w:tabs>
    </w:pPr>
  </w:style>
  <w:style w:type="character" w:customStyle="1" w:styleId="FooterChar">
    <w:name w:val="Footer Char"/>
    <w:basedOn w:val="DefaultParagraphFont"/>
    <w:link w:val="Footer"/>
    <w:uiPriority w:val="99"/>
    <w:rPr>
      <w:rFonts w:ascii="Calibri" w:eastAsia="Calibri" w:hAnsi="Calibri" w:cs="Times New Roman"/>
    </w:rPr>
  </w:style>
  <w:style w:type="paragraph" w:customStyle="1" w:styleId="a3520normalp11">
    <w:name w:val="a__35__20_normal_p11"/>
    <w:basedOn w:val="Normal"/>
    <w:pPr>
      <w:spacing w:after="120" w:line="240" w:lineRule="auto"/>
      <w:ind w:right="57"/>
      <w:jc w:val="both"/>
    </w:pPr>
    <w:rPr>
      <w:rFonts w:ascii="Times New Roman" w:eastAsia="Times New Roman" w:hAnsi="Times New Roman"/>
      <w:sz w:val="24"/>
      <w:szCs w:val="24"/>
      <w:lang w:eastAsia="en-GB"/>
    </w:rPr>
  </w:style>
  <w:style w:type="paragraph" w:customStyle="1" w:styleId="5normal">
    <w:name w:val="5normal"/>
    <w:basedOn w:val="Normal"/>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hps">
    <w:name w:val="hps"/>
  </w:style>
  <w:style w:type="paragraph" w:styleId="ListParagraph">
    <w:name w:val="List Paragraph"/>
    <w:basedOn w:val="Normal"/>
    <w:uiPriority w:val="34"/>
    <w:qFormat/>
    <w:pPr>
      <w:spacing w:after="160" w:line="259" w:lineRule="auto"/>
      <w:ind w:left="720"/>
      <w:contextualSpacing/>
    </w:pPr>
  </w:style>
  <w:style w:type="character" w:styleId="Strong">
    <w:name w:val="Strong"/>
    <w:uiPriority w:val="22"/>
    <w:qFormat/>
    <w:rPr>
      <w:b/>
      <w:bCs/>
    </w:rPr>
  </w:style>
  <w:style w:type="paragraph" w:customStyle="1" w:styleId="ECStandard">
    <w:name w:val="EC Standard"/>
    <w:basedOn w:val="Normal"/>
    <w:link w:val="ECStandardZchn"/>
    <w:qFormat/>
    <w:pPr>
      <w:spacing w:after="120" w:line="240" w:lineRule="auto"/>
      <w:jc w:val="both"/>
    </w:pPr>
    <w:rPr>
      <w:rFonts w:ascii="Times New Roman" w:eastAsia="Times New Roman" w:hAnsi="Times New Roman"/>
      <w:sz w:val="24"/>
      <w:szCs w:val="24"/>
      <w:lang w:eastAsia="de-DE"/>
    </w:rPr>
  </w:style>
  <w:style w:type="character" w:customStyle="1" w:styleId="ECStandardZchn">
    <w:name w:val="EC Standard Zchn"/>
    <w:link w:val="ECStandard"/>
    <w:rPr>
      <w:rFonts w:ascii="Times New Roman" w:eastAsia="Times New Roman" w:hAnsi="Times New Roman" w:cs="Times New Roman"/>
      <w:sz w:val="24"/>
      <w:szCs w:val="24"/>
      <w:lang w:eastAsia="de-DE"/>
    </w:rPr>
  </w:style>
  <w:style w:type="paragraph" w:styleId="Revision">
    <w:name w:val="Revision"/>
    <w:hidden/>
    <w:uiPriority w:val="99"/>
    <w:semiHidden/>
    <w:pPr>
      <w:spacing w:after="0" w:line="240" w:lineRule="auto"/>
    </w:pPr>
    <w:rPr>
      <w:rFonts w:ascii="Calibri" w:eastAsia="Calibri" w:hAnsi="Calibri" w:cs="Times New Roman"/>
    </w:rPr>
  </w:style>
  <w:style w:type="paragraph" w:customStyle="1" w:styleId="5Normal0">
    <w:name w:val="5 Normal"/>
    <w:basedOn w:val="Normal"/>
    <w:link w:val="5NormalChar"/>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line="240" w:lineRule="auto"/>
      <w:ind w:right="57"/>
      <w:jc w:val="both"/>
    </w:pPr>
    <w:rPr>
      <w:rFonts w:ascii="Verdana" w:eastAsia="Times New Roman" w:hAnsi="Verdana"/>
      <w:spacing w:val="-2"/>
      <w:sz w:val="20"/>
      <w:szCs w:val="24"/>
      <w:lang w:eastAsia="en-GB"/>
    </w:rPr>
  </w:style>
  <w:style w:type="character" w:customStyle="1" w:styleId="5NormalChar">
    <w:name w:val="5 Normal Char"/>
    <w:link w:val="5Normal0"/>
    <w:locked/>
    <w:rPr>
      <w:rFonts w:ascii="Verdana" w:eastAsia="Times New Roman" w:hAnsi="Verdana" w:cs="Times New Roman"/>
      <w:spacing w:val="-2"/>
      <w:sz w:val="20"/>
      <w:szCs w:val="24"/>
      <w:lang w:eastAsia="en-GB"/>
    </w:rPr>
  </w:style>
  <w:style w:type="table" w:styleId="TableGrid">
    <w:name w:val="Table Grid"/>
    <w:basedOn w:val="TableNormal"/>
    <w:uiPriority w:val="5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link w:val="TOCHeadingChar"/>
    <w:uiPriority w:val="39"/>
    <w:unhideWhenUsed/>
    <w:qFormat/>
    <w:pPr>
      <w:keepLines/>
      <w:spacing w:before="480" w:after="0"/>
      <w:outlineLvl w:val="9"/>
    </w:pPr>
    <w:rPr>
      <w:rFonts w:ascii="Cambria" w:hAnsi="Cambria"/>
      <w:color w:val="365F91"/>
      <w:kern w:val="0"/>
      <w:sz w:val="28"/>
      <w:szCs w:val="28"/>
      <w:lang w:eastAsia="ja-JP"/>
    </w:rPr>
  </w:style>
  <w:style w:type="paragraph" w:styleId="TOC1">
    <w:name w:val="toc 1"/>
    <w:basedOn w:val="Normal"/>
    <w:next w:val="Normal"/>
    <w:autoRedefine/>
    <w:uiPriority w:val="39"/>
    <w:unhideWhenUsed/>
    <w:qFormat/>
    <w:pPr>
      <w:tabs>
        <w:tab w:val="right" w:leader="dot" w:pos="9016"/>
      </w:tabs>
    </w:pPr>
  </w:style>
  <w:style w:type="paragraph" w:styleId="TOC2">
    <w:name w:val="toc 2"/>
    <w:basedOn w:val="Normal"/>
    <w:next w:val="Normal"/>
    <w:autoRedefine/>
    <w:uiPriority w:val="39"/>
    <w:unhideWhenUsed/>
    <w:qFormat/>
    <w:pPr>
      <w:ind w:left="220"/>
    </w:pPr>
  </w:style>
  <w:style w:type="paragraph" w:styleId="TOC3">
    <w:name w:val="toc 3"/>
    <w:basedOn w:val="Normal"/>
    <w:next w:val="Normal"/>
    <w:autoRedefine/>
    <w:uiPriority w:val="39"/>
    <w:unhideWhenUsed/>
    <w:qFormat/>
    <w:pPr>
      <w:ind w:left="440"/>
    </w:pPr>
  </w:style>
  <w:style w:type="paragraph" w:styleId="Caption">
    <w:name w:val="caption"/>
    <w:basedOn w:val="Normal"/>
    <w:next w:val="Normal"/>
    <w:uiPriority w:val="35"/>
    <w:unhideWhenUsed/>
    <w:qFormat/>
    <w:rPr>
      <w:b/>
      <w:bCs/>
      <w:sz w:val="20"/>
      <w:szCs w:val="20"/>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eastAsiaTheme="minorHAnsi" w:hAnsi="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sz w:val="24"/>
    </w:rPr>
  </w:style>
  <w:style w:type="character" w:customStyle="1" w:styleId="FooterCoverPageChar">
    <w:name w:val="Footer Cover Page Char"/>
    <w:basedOn w:val="DefaultParagraphFont"/>
    <w:link w:val="FooterCoverPage"/>
    <w:rPr>
      <w:rFonts w:ascii="Times New Roman" w:eastAsia="Calibri"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sz w:val="24"/>
    </w:rPr>
  </w:style>
  <w:style w:type="character" w:customStyle="1" w:styleId="HeaderCoverPageChar">
    <w:name w:val="Header Cover Page Char"/>
    <w:basedOn w:val="DefaultParagraphFont"/>
    <w:link w:val="HeaderCoverPage"/>
    <w:rPr>
      <w:rFonts w:ascii="Times New Roman" w:eastAsia="Calibri" w:hAnsi="Times New Roman" w:cs="Times New Roman"/>
      <w:sz w:val="24"/>
    </w:rPr>
  </w:style>
  <w:style w:type="paragraph" w:styleId="TOC4">
    <w:name w:val="toc 4"/>
    <w:basedOn w:val="Normal"/>
    <w:next w:val="Normal"/>
    <w:autoRedefine/>
    <w:uiPriority w:val="39"/>
    <w:unhideWhenUsed/>
    <w:pPr>
      <w:spacing w:after="100"/>
      <w:ind w:left="660"/>
    </w:pPr>
  </w:style>
  <w:style w:type="paragraph" w:styleId="NoSpacing">
    <w:name w:val="No Spacing"/>
    <w:uiPriority w:val="1"/>
    <w:qFormat/>
    <w:pPr>
      <w:spacing w:after="0" w:line="240" w:lineRule="auto"/>
    </w:pPr>
    <w:rPr>
      <w:rFonts w:ascii="Calibri" w:eastAsia="Calibri" w:hAnsi="Calibri" w:cs="Times New Roman"/>
    </w:rPr>
  </w:style>
  <w:style w:type="character" w:styleId="CommentReference">
    <w:name w:val="annotation reference"/>
    <w:uiPriority w:val="99"/>
    <w:semiHidden/>
    <w:unhideWhenUsed/>
    <w:rPr>
      <w:sz w:val="16"/>
      <w:szCs w:val="16"/>
    </w:rPr>
  </w:style>
  <w:style w:type="character" w:customStyle="1" w:styleId="clear">
    <w:name w:val="clear"/>
    <w:basedOn w:val="DefaultParagraphFont"/>
  </w:style>
  <w:style w:type="character" w:styleId="FollowedHyperlink">
    <w:name w:val="FollowedHyperlink"/>
    <w:basedOn w:val="DefaultParagraphFont"/>
    <w:uiPriority w:val="99"/>
    <w:semiHidden/>
    <w:unhideWhenUsed/>
    <w:rPr>
      <w:color w:val="800080" w:themeColor="followedHyperlink"/>
      <w:u w:val="single"/>
    </w:rPr>
  </w:style>
  <w:style w:type="table" w:customStyle="1" w:styleId="TableGrid1">
    <w:name w:val="Table Grid1"/>
    <w:basedOn w:val="TableNormal"/>
    <w:next w:val="TableGrid"/>
    <w:uiPriority w:val="5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Grid3">
    <w:name w:val="Table Grid3"/>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b/>
      <w:sz w:val="32"/>
    </w:rPr>
  </w:style>
  <w:style w:type="character" w:customStyle="1" w:styleId="TOCHeadingChar">
    <w:name w:val="TOC Heading Char"/>
    <w:basedOn w:val="Heading1Char"/>
    <w:link w:val="TOCHeading"/>
    <w:uiPriority w:val="39"/>
    <w:rPr>
      <w:rFonts w:ascii="Cambria" w:eastAsia="Times New Roman" w:hAnsi="Cambria" w:cs="Times New Roman"/>
      <w:b/>
      <w:bCs/>
      <w:color w:val="365F91"/>
      <w:kern w:val="32"/>
      <w:sz w:val="28"/>
      <w:szCs w:val="28"/>
      <w:lang w:val="bg-BG" w:eastAsia="ja-JP"/>
    </w:rPr>
  </w:style>
  <w:style w:type="character" w:customStyle="1" w:styleId="FooterSensitivityChar">
    <w:name w:val="Footer Sensitivity Char"/>
    <w:basedOn w:val="TOCHeadingChar"/>
    <w:link w:val="FooterSensitivity"/>
    <w:rPr>
      <w:rFonts w:ascii="Times New Roman" w:eastAsia="Calibri" w:hAnsi="Times New Roman" w:cs="Times New Roman"/>
      <w:b/>
      <w:bCs w:val="0"/>
      <w:color w:val="365F91"/>
      <w:kern w:val="32"/>
      <w:sz w:val="32"/>
      <w:szCs w:val="28"/>
      <w:lang w:val="bg-BG" w:eastAsia="ja-JP"/>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b/>
      <w:sz w:val="32"/>
    </w:rPr>
  </w:style>
  <w:style w:type="character" w:customStyle="1" w:styleId="HeaderSensitivityChar">
    <w:name w:val="Header Sensitivity Char"/>
    <w:basedOn w:val="TOCHeadingChar"/>
    <w:link w:val="HeaderSensitivity"/>
    <w:rPr>
      <w:rFonts w:ascii="Times New Roman" w:eastAsia="Calibri" w:hAnsi="Times New Roman" w:cs="Times New Roman"/>
      <w:b/>
      <w:bCs w:val="0"/>
      <w:color w:val="365F91"/>
      <w:kern w:val="32"/>
      <w:sz w:val="32"/>
      <w:szCs w:val="28"/>
      <w:lang w:val="bg-BG" w:eastAsia="ja-JP"/>
    </w:rPr>
  </w:style>
  <w:style w:type="table" w:customStyle="1" w:styleId="TableGrid5">
    <w:name w:val="Table Grid5"/>
    <w:basedOn w:val="TableNormal"/>
    <w:next w:val="TableGrid"/>
    <w:uiPriority w:val="5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46785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urityMarking">
    <w:name w:val="SecurityMarking"/>
    <w:basedOn w:val="Normal"/>
    <w:rsid w:val="006B33D0"/>
    <w:pPr>
      <w:spacing w:after="0"/>
      <w:ind w:left="5103"/>
    </w:pPr>
    <w:rPr>
      <w:rFonts w:ascii="Times New Roman" w:eastAsiaTheme="minorHAnsi" w:hAnsi="Times New Roman"/>
      <w:sz w:val="28"/>
    </w:rPr>
  </w:style>
  <w:style w:type="paragraph" w:customStyle="1" w:styleId="DateMarking">
    <w:name w:val="DateMarking"/>
    <w:basedOn w:val="Normal"/>
    <w:rsid w:val="006B33D0"/>
    <w:pPr>
      <w:spacing w:after="0"/>
      <w:ind w:left="5103"/>
    </w:pPr>
    <w:rPr>
      <w:rFonts w:ascii="Times New Roman" w:eastAsiaTheme="minorHAnsi" w:hAnsi="Times New Roman"/>
      <w:i/>
      <w:sz w:val="28"/>
    </w:rPr>
  </w:style>
  <w:style w:type="paragraph" w:customStyle="1" w:styleId="ReleasableTo">
    <w:name w:val="ReleasableTo"/>
    <w:basedOn w:val="Normal"/>
    <w:rsid w:val="006B33D0"/>
    <w:pPr>
      <w:spacing w:after="0"/>
      <w:ind w:left="5103"/>
    </w:pPr>
    <w:rPr>
      <w:rFonts w:ascii="Times New Roman" w:eastAsiaTheme="minorHAnsi" w:hAnsi="Times New Roman"/>
      <w:i/>
      <w:sz w:val="28"/>
    </w:rPr>
  </w:style>
  <w:style w:type="paragraph" w:customStyle="1" w:styleId="HeaderSensitivityRight">
    <w:name w:val="Header Sensitivity Right"/>
    <w:basedOn w:val="Normal"/>
    <w:rsid w:val="006B33D0"/>
    <w:pPr>
      <w:spacing w:after="120" w:line="240" w:lineRule="auto"/>
      <w:jc w:val="right"/>
    </w:pPr>
    <w:rPr>
      <w:rFonts w:ascii="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361495">
      <w:bodyDiv w:val="1"/>
      <w:marLeft w:val="0"/>
      <w:marRight w:val="0"/>
      <w:marTop w:val="0"/>
      <w:marBottom w:val="0"/>
      <w:divBdr>
        <w:top w:val="none" w:sz="0" w:space="0" w:color="auto"/>
        <w:left w:val="none" w:sz="0" w:space="0" w:color="auto"/>
        <w:bottom w:val="none" w:sz="0" w:space="0" w:color="auto"/>
        <w:right w:val="none" w:sz="0" w:space="0" w:color="auto"/>
      </w:divBdr>
    </w:div>
    <w:div w:id="93596496">
      <w:bodyDiv w:val="1"/>
      <w:marLeft w:val="0"/>
      <w:marRight w:val="0"/>
      <w:marTop w:val="0"/>
      <w:marBottom w:val="0"/>
      <w:divBdr>
        <w:top w:val="none" w:sz="0" w:space="0" w:color="auto"/>
        <w:left w:val="none" w:sz="0" w:space="0" w:color="auto"/>
        <w:bottom w:val="none" w:sz="0" w:space="0" w:color="auto"/>
        <w:right w:val="none" w:sz="0" w:space="0" w:color="auto"/>
      </w:divBdr>
    </w:div>
    <w:div w:id="133959825">
      <w:bodyDiv w:val="1"/>
      <w:marLeft w:val="0"/>
      <w:marRight w:val="0"/>
      <w:marTop w:val="0"/>
      <w:marBottom w:val="0"/>
      <w:divBdr>
        <w:top w:val="none" w:sz="0" w:space="0" w:color="auto"/>
        <w:left w:val="none" w:sz="0" w:space="0" w:color="auto"/>
        <w:bottom w:val="none" w:sz="0" w:space="0" w:color="auto"/>
        <w:right w:val="none" w:sz="0" w:space="0" w:color="auto"/>
      </w:divBdr>
    </w:div>
    <w:div w:id="255866945">
      <w:bodyDiv w:val="1"/>
      <w:marLeft w:val="0"/>
      <w:marRight w:val="0"/>
      <w:marTop w:val="0"/>
      <w:marBottom w:val="0"/>
      <w:divBdr>
        <w:top w:val="none" w:sz="0" w:space="0" w:color="auto"/>
        <w:left w:val="none" w:sz="0" w:space="0" w:color="auto"/>
        <w:bottom w:val="none" w:sz="0" w:space="0" w:color="auto"/>
        <w:right w:val="none" w:sz="0" w:space="0" w:color="auto"/>
      </w:divBdr>
    </w:div>
    <w:div w:id="275797483">
      <w:bodyDiv w:val="1"/>
      <w:marLeft w:val="0"/>
      <w:marRight w:val="0"/>
      <w:marTop w:val="0"/>
      <w:marBottom w:val="0"/>
      <w:divBdr>
        <w:top w:val="none" w:sz="0" w:space="0" w:color="auto"/>
        <w:left w:val="none" w:sz="0" w:space="0" w:color="auto"/>
        <w:bottom w:val="none" w:sz="0" w:space="0" w:color="auto"/>
        <w:right w:val="none" w:sz="0" w:space="0" w:color="auto"/>
      </w:divBdr>
    </w:div>
    <w:div w:id="290207403">
      <w:bodyDiv w:val="1"/>
      <w:marLeft w:val="0"/>
      <w:marRight w:val="0"/>
      <w:marTop w:val="0"/>
      <w:marBottom w:val="0"/>
      <w:divBdr>
        <w:top w:val="none" w:sz="0" w:space="0" w:color="auto"/>
        <w:left w:val="none" w:sz="0" w:space="0" w:color="auto"/>
        <w:bottom w:val="none" w:sz="0" w:space="0" w:color="auto"/>
        <w:right w:val="none" w:sz="0" w:space="0" w:color="auto"/>
      </w:divBdr>
    </w:div>
    <w:div w:id="364062195">
      <w:bodyDiv w:val="1"/>
      <w:marLeft w:val="0"/>
      <w:marRight w:val="0"/>
      <w:marTop w:val="0"/>
      <w:marBottom w:val="0"/>
      <w:divBdr>
        <w:top w:val="none" w:sz="0" w:space="0" w:color="auto"/>
        <w:left w:val="none" w:sz="0" w:space="0" w:color="auto"/>
        <w:bottom w:val="none" w:sz="0" w:space="0" w:color="auto"/>
        <w:right w:val="none" w:sz="0" w:space="0" w:color="auto"/>
      </w:divBdr>
      <w:divsChild>
        <w:div w:id="1461415837">
          <w:marLeft w:val="0"/>
          <w:marRight w:val="0"/>
          <w:marTop w:val="0"/>
          <w:marBottom w:val="0"/>
          <w:divBdr>
            <w:top w:val="none" w:sz="0" w:space="0" w:color="auto"/>
            <w:left w:val="none" w:sz="0" w:space="0" w:color="auto"/>
            <w:bottom w:val="none" w:sz="0" w:space="0" w:color="auto"/>
            <w:right w:val="none" w:sz="0" w:space="0" w:color="auto"/>
          </w:divBdr>
        </w:div>
      </w:divsChild>
    </w:div>
    <w:div w:id="372270018">
      <w:bodyDiv w:val="1"/>
      <w:marLeft w:val="0"/>
      <w:marRight w:val="0"/>
      <w:marTop w:val="0"/>
      <w:marBottom w:val="0"/>
      <w:divBdr>
        <w:top w:val="none" w:sz="0" w:space="0" w:color="auto"/>
        <w:left w:val="none" w:sz="0" w:space="0" w:color="auto"/>
        <w:bottom w:val="none" w:sz="0" w:space="0" w:color="auto"/>
        <w:right w:val="none" w:sz="0" w:space="0" w:color="auto"/>
      </w:divBdr>
      <w:divsChild>
        <w:div w:id="2046782589">
          <w:marLeft w:val="0"/>
          <w:marRight w:val="0"/>
          <w:marTop w:val="0"/>
          <w:marBottom w:val="0"/>
          <w:divBdr>
            <w:top w:val="none" w:sz="0" w:space="0" w:color="auto"/>
            <w:left w:val="none" w:sz="0" w:space="0" w:color="auto"/>
            <w:bottom w:val="none" w:sz="0" w:space="0" w:color="auto"/>
            <w:right w:val="none" w:sz="0" w:space="0" w:color="auto"/>
          </w:divBdr>
        </w:div>
        <w:div w:id="302003568">
          <w:marLeft w:val="0"/>
          <w:marRight w:val="0"/>
          <w:marTop w:val="0"/>
          <w:marBottom w:val="0"/>
          <w:divBdr>
            <w:top w:val="none" w:sz="0" w:space="0" w:color="auto"/>
            <w:left w:val="none" w:sz="0" w:space="0" w:color="auto"/>
            <w:bottom w:val="none" w:sz="0" w:space="0" w:color="auto"/>
            <w:right w:val="none" w:sz="0" w:space="0" w:color="auto"/>
          </w:divBdr>
        </w:div>
        <w:div w:id="805123812">
          <w:marLeft w:val="0"/>
          <w:marRight w:val="0"/>
          <w:marTop w:val="0"/>
          <w:marBottom w:val="0"/>
          <w:divBdr>
            <w:top w:val="none" w:sz="0" w:space="0" w:color="auto"/>
            <w:left w:val="none" w:sz="0" w:space="0" w:color="auto"/>
            <w:bottom w:val="none" w:sz="0" w:space="0" w:color="auto"/>
            <w:right w:val="none" w:sz="0" w:space="0" w:color="auto"/>
          </w:divBdr>
        </w:div>
        <w:div w:id="1823505275">
          <w:marLeft w:val="0"/>
          <w:marRight w:val="0"/>
          <w:marTop w:val="0"/>
          <w:marBottom w:val="0"/>
          <w:divBdr>
            <w:top w:val="none" w:sz="0" w:space="0" w:color="auto"/>
            <w:left w:val="none" w:sz="0" w:space="0" w:color="auto"/>
            <w:bottom w:val="none" w:sz="0" w:space="0" w:color="auto"/>
            <w:right w:val="none" w:sz="0" w:space="0" w:color="auto"/>
          </w:divBdr>
        </w:div>
        <w:div w:id="975600029">
          <w:marLeft w:val="0"/>
          <w:marRight w:val="0"/>
          <w:marTop w:val="0"/>
          <w:marBottom w:val="0"/>
          <w:divBdr>
            <w:top w:val="none" w:sz="0" w:space="0" w:color="auto"/>
            <w:left w:val="none" w:sz="0" w:space="0" w:color="auto"/>
            <w:bottom w:val="none" w:sz="0" w:space="0" w:color="auto"/>
            <w:right w:val="none" w:sz="0" w:space="0" w:color="auto"/>
          </w:divBdr>
        </w:div>
      </w:divsChild>
    </w:div>
    <w:div w:id="382825163">
      <w:bodyDiv w:val="1"/>
      <w:marLeft w:val="0"/>
      <w:marRight w:val="0"/>
      <w:marTop w:val="0"/>
      <w:marBottom w:val="0"/>
      <w:divBdr>
        <w:top w:val="none" w:sz="0" w:space="0" w:color="auto"/>
        <w:left w:val="none" w:sz="0" w:space="0" w:color="auto"/>
        <w:bottom w:val="none" w:sz="0" w:space="0" w:color="auto"/>
        <w:right w:val="none" w:sz="0" w:space="0" w:color="auto"/>
      </w:divBdr>
      <w:divsChild>
        <w:div w:id="1072195181">
          <w:marLeft w:val="0"/>
          <w:marRight w:val="0"/>
          <w:marTop w:val="0"/>
          <w:marBottom w:val="0"/>
          <w:divBdr>
            <w:top w:val="none" w:sz="0" w:space="0" w:color="auto"/>
            <w:left w:val="none" w:sz="0" w:space="0" w:color="auto"/>
            <w:bottom w:val="none" w:sz="0" w:space="0" w:color="auto"/>
            <w:right w:val="none" w:sz="0" w:space="0" w:color="auto"/>
          </w:divBdr>
          <w:divsChild>
            <w:div w:id="1886259599">
              <w:marLeft w:val="0"/>
              <w:marRight w:val="0"/>
              <w:marTop w:val="0"/>
              <w:marBottom w:val="0"/>
              <w:divBdr>
                <w:top w:val="none" w:sz="0" w:space="0" w:color="auto"/>
                <w:left w:val="none" w:sz="0" w:space="0" w:color="auto"/>
                <w:bottom w:val="none" w:sz="0" w:space="0" w:color="auto"/>
                <w:right w:val="none" w:sz="0" w:space="0" w:color="auto"/>
              </w:divBdr>
              <w:divsChild>
                <w:div w:id="1709329333">
                  <w:marLeft w:val="0"/>
                  <w:marRight w:val="0"/>
                  <w:marTop w:val="0"/>
                  <w:marBottom w:val="0"/>
                  <w:divBdr>
                    <w:top w:val="none" w:sz="0" w:space="0" w:color="auto"/>
                    <w:left w:val="none" w:sz="0" w:space="0" w:color="auto"/>
                    <w:bottom w:val="none" w:sz="0" w:space="0" w:color="auto"/>
                    <w:right w:val="none" w:sz="0" w:space="0" w:color="auto"/>
                  </w:divBdr>
                  <w:divsChild>
                    <w:div w:id="1583679908">
                      <w:marLeft w:val="0"/>
                      <w:marRight w:val="0"/>
                      <w:marTop w:val="0"/>
                      <w:marBottom w:val="0"/>
                      <w:divBdr>
                        <w:top w:val="none" w:sz="0" w:space="0" w:color="auto"/>
                        <w:left w:val="none" w:sz="0" w:space="0" w:color="auto"/>
                        <w:bottom w:val="none" w:sz="0" w:space="0" w:color="auto"/>
                        <w:right w:val="none" w:sz="0" w:space="0" w:color="auto"/>
                      </w:divBdr>
                      <w:divsChild>
                        <w:div w:id="1452434118">
                          <w:marLeft w:val="0"/>
                          <w:marRight w:val="0"/>
                          <w:marTop w:val="0"/>
                          <w:marBottom w:val="0"/>
                          <w:divBdr>
                            <w:top w:val="none" w:sz="0" w:space="0" w:color="auto"/>
                            <w:left w:val="none" w:sz="0" w:space="0" w:color="auto"/>
                            <w:bottom w:val="none" w:sz="0" w:space="0" w:color="auto"/>
                            <w:right w:val="none" w:sz="0" w:space="0" w:color="auto"/>
                          </w:divBdr>
                          <w:divsChild>
                            <w:div w:id="1843818149">
                              <w:marLeft w:val="0"/>
                              <w:marRight w:val="0"/>
                              <w:marTop w:val="0"/>
                              <w:marBottom w:val="0"/>
                              <w:divBdr>
                                <w:top w:val="none" w:sz="0" w:space="0" w:color="auto"/>
                                <w:left w:val="none" w:sz="0" w:space="0" w:color="auto"/>
                                <w:bottom w:val="none" w:sz="0" w:space="0" w:color="auto"/>
                                <w:right w:val="none" w:sz="0" w:space="0" w:color="auto"/>
                              </w:divBdr>
                              <w:divsChild>
                                <w:div w:id="757288114">
                                  <w:marLeft w:val="0"/>
                                  <w:marRight w:val="0"/>
                                  <w:marTop w:val="0"/>
                                  <w:marBottom w:val="0"/>
                                  <w:divBdr>
                                    <w:top w:val="none" w:sz="0" w:space="0" w:color="auto"/>
                                    <w:left w:val="none" w:sz="0" w:space="0" w:color="auto"/>
                                    <w:bottom w:val="none" w:sz="0" w:space="0" w:color="auto"/>
                                    <w:right w:val="none" w:sz="0" w:space="0" w:color="auto"/>
                                  </w:divBdr>
                                  <w:divsChild>
                                    <w:div w:id="79837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6711484">
      <w:bodyDiv w:val="1"/>
      <w:marLeft w:val="0"/>
      <w:marRight w:val="0"/>
      <w:marTop w:val="0"/>
      <w:marBottom w:val="0"/>
      <w:divBdr>
        <w:top w:val="none" w:sz="0" w:space="0" w:color="auto"/>
        <w:left w:val="none" w:sz="0" w:space="0" w:color="auto"/>
        <w:bottom w:val="none" w:sz="0" w:space="0" w:color="auto"/>
        <w:right w:val="none" w:sz="0" w:space="0" w:color="auto"/>
      </w:divBdr>
    </w:div>
    <w:div w:id="414322125">
      <w:bodyDiv w:val="1"/>
      <w:marLeft w:val="0"/>
      <w:marRight w:val="0"/>
      <w:marTop w:val="0"/>
      <w:marBottom w:val="0"/>
      <w:divBdr>
        <w:top w:val="none" w:sz="0" w:space="0" w:color="auto"/>
        <w:left w:val="none" w:sz="0" w:space="0" w:color="auto"/>
        <w:bottom w:val="none" w:sz="0" w:space="0" w:color="auto"/>
        <w:right w:val="none" w:sz="0" w:space="0" w:color="auto"/>
      </w:divBdr>
    </w:div>
    <w:div w:id="414471705">
      <w:bodyDiv w:val="1"/>
      <w:marLeft w:val="0"/>
      <w:marRight w:val="0"/>
      <w:marTop w:val="0"/>
      <w:marBottom w:val="0"/>
      <w:divBdr>
        <w:top w:val="none" w:sz="0" w:space="0" w:color="auto"/>
        <w:left w:val="none" w:sz="0" w:space="0" w:color="auto"/>
        <w:bottom w:val="none" w:sz="0" w:space="0" w:color="auto"/>
        <w:right w:val="none" w:sz="0" w:space="0" w:color="auto"/>
      </w:divBdr>
    </w:div>
    <w:div w:id="457072976">
      <w:bodyDiv w:val="1"/>
      <w:marLeft w:val="0"/>
      <w:marRight w:val="0"/>
      <w:marTop w:val="0"/>
      <w:marBottom w:val="0"/>
      <w:divBdr>
        <w:top w:val="none" w:sz="0" w:space="0" w:color="auto"/>
        <w:left w:val="none" w:sz="0" w:space="0" w:color="auto"/>
        <w:bottom w:val="none" w:sz="0" w:space="0" w:color="auto"/>
        <w:right w:val="none" w:sz="0" w:space="0" w:color="auto"/>
      </w:divBdr>
    </w:div>
    <w:div w:id="484980193">
      <w:bodyDiv w:val="1"/>
      <w:marLeft w:val="0"/>
      <w:marRight w:val="0"/>
      <w:marTop w:val="0"/>
      <w:marBottom w:val="0"/>
      <w:divBdr>
        <w:top w:val="none" w:sz="0" w:space="0" w:color="auto"/>
        <w:left w:val="none" w:sz="0" w:space="0" w:color="auto"/>
        <w:bottom w:val="none" w:sz="0" w:space="0" w:color="auto"/>
        <w:right w:val="none" w:sz="0" w:space="0" w:color="auto"/>
      </w:divBdr>
    </w:div>
    <w:div w:id="503974906">
      <w:bodyDiv w:val="1"/>
      <w:marLeft w:val="0"/>
      <w:marRight w:val="0"/>
      <w:marTop w:val="0"/>
      <w:marBottom w:val="0"/>
      <w:divBdr>
        <w:top w:val="none" w:sz="0" w:space="0" w:color="auto"/>
        <w:left w:val="none" w:sz="0" w:space="0" w:color="auto"/>
        <w:bottom w:val="none" w:sz="0" w:space="0" w:color="auto"/>
        <w:right w:val="none" w:sz="0" w:space="0" w:color="auto"/>
      </w:divBdr>
    </w:div>
    <w:div w:id="653223400">
      <w:bodyDiv w:val="1"/>
      <w:marLeft w:val="0"/>
      <w:marRight w:val="0"/>
      <w:marTop w:val="0"/>
      <w:marBottom w:val="0"/>
      <w:divBdr>
        <w:top w:val="none" w:sz="0" w:space="0" w:color="auto"/>
        <w:left w:val="none" w:sz="0" w:space="0" w:color="auto"/>
        <w:bottom w:val="none" w:sz="0" w:space="0" w:color="auto"/>
        <w:right w:val="none" w:sz="0" w:space="0" w:color="auto"/>
      </w:divBdr>
    </w:div>
    <w:div w:id="690716501">
      <w:bodyDiv w:val="1"/>
      <w:marLeft w:val="0"/>
      <w:marRight w:val="0"/>
      <w:marTop w:val="0"/>
      <w:marBottom w:val="0"/>
      <w:divBdr>
        <w:top w:val="none" w:sz="0" w:space="0" w:color="auto"/>
        <w:left w:val="none" w:sz="0" w:space="0" w:color="auto"/>
        <w:bottom w:val="none" w:sz="0" w:space="0" w:color="auto"/>
        <w:right w:val="none" w:sz="0" w:space="0" w:color="auto"/>
      </w:divBdr>
    </w:div>
    <w:div w:id="752094506">
      <w:bodyDiv w:val="1"/>
      <w:marLeft w:val="0"/>
      <w:marRight w:val="0"/>
      <w:marTop w:val="0"/>
      <w:marBottom w:val="0"/>
      <w:divBdr>
        <w:top w:val="none" w:sz="0" w:space="0" w:color="auto"/>
        <w:left w:val="none" w:sz="0" w:space="0" w:color="auto"/>
        <w:bottom w:val="none" w:sz="0" w:space="0" w:color="auto"/>
        <w:right w:val="none" w:sz="0" w:space="0" w:color="auto"/>
      </w:divBdr>
    </w:div>
    <w:div w:id="797643879">
      <w:bodyDiv w:val="1"/>
      <w:marLeft w:val="0"/>
      <w:marRight w:val="0"/>
      <w:marTop w:val="0"/>
      <w:marBottom w:val="0"/>
      <w:divBdr>
        <w:top w:val="none" w:sz="0" w:space="0" w:color="auto"/>
        <w:left w:val="none" w:sz="0" w:space="0" w:color="auto"/>
        <w:bottom w:val="none" w:sz="0" w:space="0" w:color="auto"/>
        <w:right w:val="none" w:sz="0" w:space="0" w:color="auto"/>
      </w:divBdr>
    </w:div>
    <w:div w:id="942765932">
      <w:bodyDiv w:val="1"/>
      <w:marLeft w:val="0"/>
      <w:marRight w:val="0"/>
      <w:marTop w:val="0"/>
      <w:marBottom w:val="0"/>
      <w:divBdr>
        <w:top w:val="none" w:sz="0" w:space="0" w:color="auto"/>
        <w:left w:val="none" w:sz="0" w:space="0" w:color="auto"/>
        <w:bottom w:val="none" w:sz="0" w:space="0" w:color="auto"/>
        <w:right w:val="none" w:sz="0" w:space="0" w:color="auto"/>
      </w:divBdr>
    </w:div>
    <w:div w:id="946347997">
      <w:bodyDiv w:val="1"/>
      <w:marLeft w:val="0"/>
      <w:marRight w:val="0"/>
      <w:marTop w:val="0"/>
      <w:marBottom w:val="0"/>
      <w:divBdr>
        <w:top w:val="none" w:sz="0" w:space="0" w:color="auto"/>
        <w:left w:val="none" w:sz="0" w:space="0" w:color="auto"/>
        <w:bottom w:val="none" w:sz="0" w:space="0" w:color="auto"/>
        <w:right w:val="none" w:sz="0" w:space="0" w:color="auto"/>
      </w:divBdr>
    </w:div>
    <w:div w:id="1109006879">
      <w:bodyDiv w:val="1"/>
      <w:marLeft w:val="0"/>
      <w:marRight w:val="0"/>
      <w:marTop w:val="0"/>
      <w:marBottom w:val="0"/>
      <w:divBdr>
        <w:top w:val="none" w:sz="0" w:space="0" w:color="auto"/>
        <w:left w:val="none" w:sz="0" w:space="0" w:color="auto"/>
        <w:bottom w:val="none" w:sz="0" w:space="0" w:color="auto"/>
        <w:right w:val="none" w:sz="0" w:space="0" w:color="auto"/>
      </w:divBdr>
    </w:div>
    <w:div w:id="1168448656">
      <w:bodyDiv w:val="1"/>
      <w:marLeft w:val="0"/>
      <w:marRight w:val="0"/>
      <w:marTop w:val="0"/>
      <w:marBottom w:val="0"/>
      <w:divBdr>
        <w:top w:val="none" w:sz="0" w:space="0" w:color="auto"/>
        <w:left w:val="none" w:sz="0" w:space="0" w:color="auto"/>
        <w:bottom w:val="none" w:sz="0" w:space="0" w:color="auto"/>
        <w:right w:val="none" w:sz="0" w:space="0" w:color="auto"/>
      </w:divBdr>
    </w:div>
    <w:div w:id="1230732294">
      <w:bodyDiv w:val="1"/>
      <w:marLeft w:val="0"/>
      <w:marRight w:val="0"/>
      <w:marTop w:val="0"/>
      <w:marBottom w:val="0"/>
      <w:divBdr>
        <w:top w:val="none" w:sz="0" w:space="0" w:color="auto"/>
        <w:left w:val="none" w:sz="0" w:space="0" w:color="auto"/>
        <w:bottom w:val="none" w:sz="0" w:space="0" w:color="auto"/>
        <w:right w:val="none" w:sz="0" w:space="0" w:color="auto"/>
      </w:divBdr>
    </w:div>
    <w:div w:id="1268191800">
      <w:bodyDiv w:val="1"/>
      <w:marLeft w:val="0"/>
      <w:marRight w:val="0"/>
      <w:marTop w:val="0"/>
      <w:marBottom w:val="0"/>
      <w:divBdr>
        <w:top w:val="none" w:sz="0" w:space="0" w:color="auto"/>
        <w:left w:val="none" w:sz="0" w:space="0" w:color="auto"/>
        <w:bottom w:val="none" w:sz="0" w:space="0" w:color="auto"/>
        <w:right w:val="none" w:sz="0" w:space="0" w:color="auto"/>
      </w:divBdr>
    </w:div>
    <w:div w:id="1344358518">
      <w:bodyDiv w:val="1"/>
      <w:marLeft w:val="0"/>
      <w:marRight w:val="0"/>
      <w:marTop w:val="0"/>
      <w:marBottom w:val="0"/>
      <w:divBdr>
        <w:top w:val="none" w:sz="0" w:space="0" w:color="auto"/>
        <w:left w:val="none" w:sz="0" w:space="0" w:color="auto"/>
        <w:bottom w:val="none" w:sz="0" w:space="0" w:color="auto"/>
        <w:right w:val="none" w:sz="0" w:space="0" w:color="auto"/>
      </w:divBdr>
    </w:div>
    <w:div w:id="1436095905">
      <w:bodyDiv w:val="1"/>
      <w:marLeft w:val="0"/>
      <w:marRight w:val="0"/>
      <w:marTop w:val="0"/>
      <w:marBottom w:val="0"/>
      <w:divBdr>
        <w:top w:val="none" w:sz="0" w:space="0" w:color="auto"/>
        <w:left w:val="none" w:sz="0" w:space="0" w:color="auto"/>
        <w:bottom w:val="none" w:sz="0" w:space="0" w:color="auto"/>
        <w:right w:val="none" w:sz="0" w:space="0" w:color="auto"/>
      </w:divBdr>
    </w:div>
    <w:div w:id="1444837507">
      <w:bodyDiv w:val="1"/>
      <w:marLeft w:val="0"/>
      <w:marRight w:val="0"/>
      <w:marTop w:val="0"/>
      <w:marBottom w:val="0"/>
      <w:divBdr>
        <w:top w:val="none" w:sz="0" w:space="0" w:color="auto"/>
        <w:left w:val="none" w:sz="0" w:space="0" w:color="auto"/>
        <w:bottom w:val="none" w:sz="0" w:space="0" w:color="auto"/>
        <w:right w:val="none" w:sz="0" w:space="0" w:color="auto"/>
      </w:divBdr>
    </w:div>
    <w:div w:id="1589078938">
      <w:bodyDiv w:val="1"/>
      <w:marLeft w:val="0"/>
      <w:marRight w:val="0"/>
      <w:marTop w:val="0"/>
      <w:marBottom w:val="0"/>
      <w:divBdr>
        <w:top w:val="none" w:sz="0" w:space="0" w:color="auto"/>
        <w:left w:val="none" w:sz="0" w:space="0" w:color="auto"/>
        <w:bottom w:val="none" w:sz="0" w:space="0" w:color="auto"/>
        <w:right w:val="none" w:sz="0" w:space="0" w:color="auto"/>
      </w:divBdr>
    </w:div>
    <w:div w:id="1713337364">
      <w:bodyDiv w:val="1"/>
      <w:marLeft w:val="0"/>
      <w:marRight w:val="0"/>
      <w:marTop w:val="0"/>
      <w:marBottom w:val="0"/>
      <w:divBdr>
        <w:top w:val="none" w:sz="0" w:space="0" w:color="auto"/>
        <w:left w:val="none" w:sz="0" w:space="0" w:color="auto"/>
        <w:bottom w:val="none" w:sz="0" w:space="0" w:color="auto"/>
        <w:right w:val="none" w:sz="0" w:space="0" w:color="auto"/>
      </w:divBdr>
    </w:div>
    <w:div w:id="1733575401">
      <w:bodyDiv w:val="1"/>
      <w:marLeft w:val="0"/>
      <w:marRight w:val="0"/>
      <w:marTop w:val="0"/>
      <w:marBottom w:val="0"/>
      <w:divBdr>
        <w:top w:val="none" w:sz="0" w:space="0" w:color="auto"/>
        <w:left w:val="none" w:sz="0" w:space="0" w:color="auto"/>
        <w:bottom w:val="none" w:sz="0" w:space="0" w:color="auto"/>
        <w:right w:val="none" w:sz="0" w:space="0" w:color="auto"/>
      </w:divBdr>
    </w:div>
    <w:div w:id="1739478285">
      <w:bodyDiv w:val="1"/>
      <w:marLeft w:val="0"/>
      <w:marRight w:val="0"/>
      <w:marTop w:val="0"/>
      <w:marBottom w:val="0"/>
      <w:divBdr>
        <w:top w:val="none" w:sz="0" w:space="0" w:color="auto"/>
        <w:left w:val="none" w:sz="0" w:space="0" w:color="auto"/>
        <w:bottom w:val="none" w:sz="0" w:space="0" w:color="auto"/>
        <w:right w:val="none" w:sz="0" w:space="0" w:color="auto"/>
      </w:divBdr>
    </w:div>
    <w:div w:id="1745953170">
      <w:bodyDiv w:val="1"/>
      <w:marLeft w:val="0"/>
      <w:marRight w:val="0"/>
      <w:marTop w:val="0"/>
      <w:marBottom w:val="0"/>
      <w:divBdr>
        <w:top w:val="none" w:sz="0" w:space="0" w:color="auto"/>
        <w:left w:val="none" w:sz="0" w:space="0" w:color="auto"/>
        <w:bottom w:val="none" w:sz="0" w:space="0" w:color="auto"/>
        <w:right w:val="none" w:sz="0" w:space="0" w:color="auto"/>
      </w:divBdr>
    </w:div>
    <w:div w:id="1765101787">
      <w:bodyDiv w:val="1"/>
      <w:marLeft w:val="0"/>
      <w:marRight w:val="0"/>
      <w:marTop w:val="0"/>
      <w:marBottom w:val="0"/>
      <w:divBdr>
        <w:top w:val="none" w:sz="0" w:space="0" w:color="auto"/>
        <w:left w:val="none" w:sz="0" w:space="0" w:color="auto"/>
        <w:bottom w:val="none" w:sz="0" w:space="0" w:color="auto"/>
        <w:right w:val="none" w:sz="0" w:space="0" w:color="auto"/>
      </w:divBdr>
    </w:div>
    <w:div w:id="1765104420">
      <w:bodyDiv w:val="1"/>
      <w:marLeft w:val="0"/>
      <w:marRight w:val="0"/>
      <w:marTop w:val="0"/>
      <w:marBottom w:val="0"/>
      <w:divBdr>
        <w:top w:val="none" w:sz="0" w:space="0" w:color="auto"/>
        <w:left w:val="none" w:sz="0" w:space="0" w:color="auto"/>
        <w:bottom w:val="none" w:sz="0" w:space="0" w:color="auto"/>
        <w:right w:val="none" w:sz="0" w:space="0" w:color="auto"/>
      </w:divBdr>
    </w:div>
    <w:div w:id="1793939123">
      <w:bodyDiv w:val="1"/>
      <w:marLeft w:val="0"/>
      <w:marRight w:val="0"/>
      <w:marTop w:val="0"/>
      <w:marBottom w:val="0"/>
      <w:divBdr>
        <w:top w:val="none" w:sz="0" w:space="0" w:color="auto"/>
        <w:left w:val="none" w:sz="0" w:space="0" w:color="auto"/>
        <w:bottom w:val="none" w:sz="0" w:space="0" w:color="auto"/>
        <w:right w:val="none" w:sz="0" w:space="0" w:color="auto"/>
      </w:divBdr>
    </w:div>
    <w:div w:id="1859201110">
      <w:bodyDiv w:val="1"/>
      <w:marLeft w:val="0"/>
      <w:marRight w:val="0"/>
      <w:marTop w:val="0"/>
      <w:marBottom w:val="0"/>
      <w:divBdr>
        <w:top w:val="none" w:sz="0" w:space="0" w:color="auto"/>
        <w:left w:val="none" w:sz="0" w:space="0" w:color="auto"/>
        <w:bottom w:val="none" w:sz="0" w:space="0" w:color="auto"/>
        <w:right w:val="none" w:sz="0" w:space="0" w:color="auto"/>
      </w:divBdr>
      <w:divsChild>
        <w:div w:id="1262105219">
          <w:marLeft w:val="0"/>
          <w:marRight w:val="0"/>
          <w:marTop w:val="0"/>
          <w:marBottom w:val="0"/>
          <w:divBdr>
            <w:top w:val="none" w:sz="0" w:space="0" w:color="auto"/>
            <w:left w:val="none" w:sz="0" w:space="0" w:color="auto"/>
            <w:bottom w:val="none" w:sz="0" w:space="0" w:color="auto"/>
            <w:right w:val="none" w:sz="0" w:space="0" w:color="auto"/>
          </w:divBdr>
          <w:divsChild>
            <w:div w:id="1047146044">
              <w:marLeft w:val="0"/>
              <w:marRight w:val="0"/>
              <w:marTop w:val="0"/>
              <w:marBottom w:val="0"/>
              <w:divBdr>
                <w:top w:val="none" w:sz="0" w:space="0" w:color="auto"/>
                <w:left w:val="none" w:sz="0" w:space="0" w:color="auto"/>
                <w:bottom w:val="none" w:sz="0" w:space="0" w:color="auto"/>
                <w:right w:val="none" w:sz="0" w:space="0" w:color="auto"/>
              </w:divBdr>
              <w:divsChild>
                <w:div w:id="809054003">
                  <w:marLeft w:val="0"/>
                  <w:marRight w:val="0"/>
                  <w:marTop w:val="0"/>
                  <w:marBottom w:val="0"/>
                  <w:divBdr>
                    <w:top w:val="none" w:sz="0" w:space="0" w:color="auto"/>
                    <w:left w:val="none" w:sz="0" w:space="0" w:color="auto"/>
                    <w:bottom w:val="none" w:sz="0" w:space="0" w:color="auto"/>
                    <w:right w:val="none" w:sz="0" w:space="0" w:color="auto"/>
                  </w:divBdr>
                  <w:divsChild>
                    <w:div w:id="1645574807">
                      <w:marLeft w:val="0"/>
                      <w:marRight w:val="0"/>
                      <w:marTop w:val="0"/>
                      <w:marBottom w:val="0"/>
                      <w:divBdr>
                        <w:top w:val="none" w:sz="0" w:space="0" w:color="auto"/>
                        <w:left w:val="none" w:sz="0" w:space="0" w:color="auto"/>
                        <w:bottom w:val="none" w:sz="0" w:space="0" w:color="auto"/>
                        <w:right w:val="none" w:sz="0" w:space="0" w:color="auto"/>
                      </w:divBdr>
                      <w:divsChild>
                        <w:div w:id="980187837">
                          <w:marLeft w:val="0"/>
                          <w:marRight w:val="0"/>
                          <w:marTop w:val="0"/>
                          <w:marBottom w:val="0"/>
                          <w:divBdr>
                            <w:top w:val="none" w:sz="0" w:space="0" w:color="auto"/>
                            <w:left w:val="none" w:sz="0" w:space="0" w:color="auto"/>
                            <w:bottom w:val="none" w:sz="0" w:space="0" w:color="auto"/>
                            <w:right w:val="none" w:sz="0" w:space="0" w:color="auto"/>
                          </w:divBdr>
                          <w:divsChild>
                            <w:div w:id="600185095">
                              <w:marLeft w:val="0"/>
                              <w:marRight w:val="0"/>
                              <w:marTop w:val="0"/>
                              <w:marBottom w:val="0"/>
                              <w:divBdr>
                                <w:top w:val="none" w:sz="0" w:space="0" w:color="auto"/>
                                <w:left w:val="none" w:sz="0" w:space="0" w:color="auto"/>
                                <w:bottom w:val="none" w:sz="0" w:space="0" w:color="auto"/>
                                <w:right w:val="none" w:sz="0" w:space="0" w:color="auto"/>
                              </w:divBdr>
                              <w:divsChild>
                                <w:div w:id="421731457">
                                  <w:marLeft w:val="0"/>
                                  <w:marRight w:val="0"/>
                                  <w:marTop w:val="0"/>
                                  <w:marBottom w:val="0"/>
                                  <w:divBdr>
                                    <w:top w:val="none" w:sz="0" w:space="0" w:color="auto"/>
                                    <w:left w:val="none" w:sz="0" w:space="0" w:color="auto"/>
                                    <w:bottom w:val="none" w:sz="0" w:space="0" w:color="auto"/>
                                    <w:right w:val="none" w:sz="0" w:space="0" w:color="auto"/>
                                  </w:divBdr>
                                  <w:divsChild>
                                    <w:div w:id="1216620166">
                                      <w:marLeft w:val="0"/>
                                      <w:marRight w:val="0"/>
                                      <w:marTop w:val="0"/>
                                      <w:marBottom w:val="0"/>
                                      <w:divBdr>
                                        <w:top w:val="none" w:sz="0" w:space="0" w:color="auto"/>
                                        <w:left w:val="none" w:sz="0" w:space="0" w:color="auto"/>
                                        <w:bottom w:val="none" w:sz="0" w:space="0" w:color="auto"/>
                                        <w:right w:val="none" w:sz="0" w:space="0" w:color="auto"/>
                                      </w:divBdr>
                                    </w:div>
                                    <w:div w:id="1953970728">
                                      <w:marLeft w:val="0"/>
                                      <w:marRight w:val="0"/>
                                      <w:marTop w:val="0"/>
                                      <w:marBottom w:val="0"/>
                                      <w:divBdr>
                                        <w:top w:val="none" w:sz="0" w:space="0" w:color="auto"/>
                                        <w:left w:val="none" w:sz="0" w:space="0" w:color="auto"/>
                                        <w:bottom w:val="none" w:sz="0" w:space="0" w:color="auto"/>
                                        <w:right w:val="none" w:sz="0" w:space="0" w:color="auto"/>
                                      </w:divBdr>
                                      <w:divsChild>
                                        <w:div w:id="10985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1808309">
      <w:bodyDiv w:val="1"/>
      <w:marLeft w:val="0"/>
      <w:marRight w:val="0"/>
      <w:marTop w:val="0"/>
      <w:marBottom w:val="0"/>
      <w:divBdr>
        <w:top w:val="none" w:sz="0" w:space="0" w:color="auto"/>
        <w:left w:val="none" w:sz="0" w:space="0" w:color="auto"/>
        <w:bottom w:val="none" w:sz="0" w:space="0" w:color="auto"/>
        <w:right w:val="none" w:sz="0" w:space="0" w:color="auto"/>
      </w:divBdr>
    </w:div>
    <w:div w:id="2016879733">
      <w:bodyDiv w:val="1"/>
      <w:marLeft w:val="0"/>
      <w:marRight w:val="0"/>
      <w:marTop w:val="0"/>
      <w:marBottom w:val="0"/>
      <w:divBdr>
        <w:top w:val="none" w:sz="0" w:space="0" w:color="auto"/>
        <w:left w:val="none" w:sz="0" w:space="0" w:color="auto"/>
        <w:bottom w:val="none" w:sz="0" w:space="0" w:color="auto"/>
        <w:right w:val="none" w:sz="0" w:space="0" w:color="auto"/>
      </w:divBdr>
    </w:div>
    <w:div w:id="2020963727">
      <w:bodyDiv w:val="1"/>
      <w:marLeft w:val="0"/>
      <w:marRight w:val="0"/>
      <w:marTop w:val="0"/>
      <w:marBottom w:val="0"/>
      <w:divBdr>
        <w:top w:val="none" w:sz="0" w:space="0" w:color="auto"/>
        <w:left w:val="none" w:sz="0" w:space="0" w:color="auto"/>
        <w:bottom w:val="none" w:sz="0" w:space="0" w:color="auto"/>
        <w:right w:val="none" w:sz="0" w:space="0" w:color="auto"/>
      </w:divBdr>
    </w:div>
    <w:div w:id="2024278107">
      <w:bodyDiv w:val="1"/>
      <w:marLeft w:val="0"/>
      <w:marRight w:val="0"/>
      <w:marTop w:val="0"/>
      <w:marBottom w:val="0"/>
      <w:divBdr>
        <w:top w:val="none" w:sz="0" w:space="0" w:color="auto"/>
        <w:left w:val="none" w:sz="0" w:space="0" w:color="auto"/>
        <w:bottom w:val="none" w:sz="0" w:space="0" w:color="auto"/>
        <w:right w:val="none" w:sz="0" w:space="0" w:color="auto"/>
      </w:divBdr>
    </w:div>
    <w:div w:id="2098013947">
      <w:bodyDiv w:val="1"/>
      <w:marLeft w:val="0"/>
      <w:marRight w:val="0"/>
      <w:marTop w:val="0"/>
      <w:marBottom w:val="0"/>
      <w:divBdr>
        <w:top w:val="none" w:sz="0" w:space="0" w:color="auto"/>
        <w:left w:val="none" w:sz="0" w:space="0" w:color="auto"/>
        <w:bottom w:val="none" w:sz="0" w:space="0" w:color="auto"/>
        <w:right w:val="none" w:sz="0" w:space="0" w:color="auto"/>
      </w:divBdr>
    </w:div>
    <w:div w:id="2120753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18" Type="http://schemas.openxmlformats.org/officeDocument/2006/relationships/hyperlink" Target="http://epp.eurostat.ec.europa.eu/tgm/table.do?tab=table&amp;init=1&amp;plugin=1&amp;language=en&amp;pcode=tec00115" TargetMode="External"/><Relationship Id="rId26" Type="http://schemas.openxmlformats.org/officeDocument/2006/relationships/footer" Target="footer5.xml"/><Relationship Id="rId39" Type="http://schemas.openxmlformats.org/officeDocument/2006/relationships/header" Target="header11.xml"/><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footer" Target="footer9.xml"/><Relationship Id="rId42" Type="http://schemas.openxmlformats.org/officeDocument/2006/relationships/header" Target="header12.xml"/><Relationship Id="rId47" Type="http://schemas.microsoft.com/office/2016/09/relationships/commentsIds" Target="commentsId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footer" Target="footer4.xml"/><Relationship Id="rId33" Type="http://schemas.openxmlformats.org/officeDocument/2006/relationships/header" Target="header9.xml"/><Relationship Id="rId38"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chart" Target="charts/chart1.xml"/><Relationship Id="rId29" Type="http://schemas.openxmlformats.org/officeDocument/2006/relationships/header" Target="header7.xml"/><Relationship Id="rId41"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footer" Target="footer8.xml"/><Relationship Id="rId37" Type="http://schemas.openxmlformats.org/officeDocument/2006/relationships/image" Target="media/image9.jpeg"/><Relationship Id="rId40" Type="http://schemas.openxmlformats.org/officeDocument/2006/relationships/footer" Target="footer10.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4.xml"/><Relationship Id="rId28" Type="http://schemas.openxmlformats.org/officeDocument/2006/relationships/footer" Target="footer6.xml"/><Relationship Id="rId36" Type="http://schemas.openxmlformats.org/officeDocument/2006/relationships/image" Target="media/image8.jpeg"/><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footer" Target="footer7.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header" Target="header6.xml"/><Relationship Id="rId30" Type="http://schemas.openxmlformats.org/officeDocument/2006/relationships/header" Target="header8.xml"/><Relationship Id="rId35" Type="http://schemas.openxmlformats.org/officeDocument/2006/relationships/image" Target="media/image7.png"/><Relationship Id="rId43" Type="http://schemas.openxmlformats.org/officeDocument/2006/relationships/footer" Target="footer12.xml"/></Relationships>
</file>

<file path=word/_rels/footnotes.xml.rels><?xml version="1.0" encoding="UTF-8" standalone="yes"?>
<Relationships xmlns="http://schemas.openxmlformats.org/package/2006/relationships"><Relationship Id="rId3" Type="http://schemas.openxmlformats.org/officeDocument/2006/relationships/hyperlink" Target="https://eur-lex.europa.eu/legal-content/BG/TXT/?qid=1536584176375&amp;uri=CELEX:02014L0065-20160701" TargetMode="External"/><Relationship Id="rId2" Type="http://schemas.openxmlformats.org/officeDocument/2006/relationships/hyperlink" Target="https://eur-lex.europa.eu/legal-content/BG/TXT/?qid=1572091171470&amp;uri=CELEX:32018L0410" TargetMode="External"/><Relationship Id="rId1" Type="http://schemas.openxmlformats.org/officeDocument/2006/relationships/hyperlink" Target="http://ec.europa.eu/clima/policies/ets/auctioning/documentation_en.htm" TargetMode="External"/><Relationship Id="rId5" Type="http://schemas.openxmlformats.org/officeDocument/2006/relationships/hyperlink" Target="https://ec.europa.eu/clima/sites/clima/files/ets/reform/docs/c_2019_3288_en.pdf" TargetMode="External"/><Relationship Id="rId4" Type="http://schemas.openxmlformats.org/officeDocument/2006/relationships/hyperlink" Target="https://ec.europa.eu/clima/sites/clima/files/ets/reform/docs/c_2018_2801_en.pdf"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5"/>
          <c:order val="0"/>
          <c:tx>
            <c:strRef>
              <c:f>'MSR composition'!$A$7</c:f>
              <c:strCache>
                <c:ptCount val="1"/>
                <c:pt idx="0">
                  <c:v>NER 300 monetisation by EIB</c:v>
                </c:pt>
              </c:strCache>
            </c:strRef>
          </c:tx>
          <c:spPr>
            <a:solidFill>
              <a:schemeClr val="accent6"/>
            </a:solidFill>
            <a:ln>
              <a:noFill/>
            </a:ln>
            <a:effectLst/>
          </c:spPr>
          <c:invertIfNegative val="0"/>
          <c:val>
            <c:numRef>
              <c:f>'MSR composition'!$B$7</c:f>
              <c:numCache>
                <c:formatCode>#,##0</c:formatCode>
                <c:ptCount val="1"/>
                <c:pt idx="0">
                  <c:v>300000000</c:v>
                </c:pt>
              </c:numCache>
            </c:numRef>
          </c:val>
          <c:extLst>
            <c:ext xmlns:c16="http://schemas.microsoft.com/office/drawing/2014/chart" uri="{C3380CC4-5D6E-409C-BE32-E72D297353CC}">
              <c16:uniqueId val="{00000000-9912-4BFD-8E82-9FBB85F3FD61}"/>
            </c:ext>
          </c:extLst>
        </c:ser>
        <c:ser>
          <c:idx val="7"/>
          <c:order val="1"/>
          <c:tx>
            <c:strRef>
              <c:f>'MSR composition'!$A$9</c:f>
              <c:strCache>
                <c:ptCount val="1"/>
                <c:pt idx="0">
                  <c:v>Early auctions</c:v>
                </c:pt>
              </c:strCache>
            </c:strRef>
          </c:tx>
          <c:spPr>
            <a:solidFill>
              <a:schemeClr val="accent2">
                <a:lumMod val="60000"/>
              </a:schemeClr>
            </a:solidFill>
            <a:ln>
              <a:noFill/>
            </a:ln>
            <a:effectLst/>
          </c:spPr>
          <c:invertIfNegative val="0"/>
          <c:val>
            <c:numRef>
              <c:f>'MSR composition'!$B$9</c:f>
              <c:numCache>
                <c:formatCode>_-* #,##0\ _€_-;\-* #,##0\ _€_-;_-* "-"??\ _€_-;_-@_-</c:formatCode>
                <c:ptCount val="1"/>
                <c:pt idx="0">
                  <c:v>89701500</c:v>
                </c:pt>
              </c:numCache>
            </c:numRef>
          </c:val>
          <c:extLst>
            <c:ext xmlns:c16="http://schemas.microsoft.com/office/drawing/2014/chart" uri="{C3380CC4-5D6E-409C-BE32-E72D297353CC}">
              <c16:uniqueId val="{00000001-9912-4BFD-8E82-9FBB85F3FD61}"/>
            </c:ext>
          </c:extLst>
        </c:ser>
        <c:ser>
          <c:idx val="0"/>
          <c:order val="2"/>
          <c:tx>
            <c:strRef>
              <c:f>'MSR composition'!$A$2</c:f>
              <c:strCache>
                <c:ptCount val="1"/>
                <c:pt idx="0">
                  <c:v>Banking from phase 2</c:v>
                </c:pt>
              </c:strCache>
            </c:strRef>
          </c:tx>
          <c:spPr>
            <a:solidFill>
              <a:schemeClr val="accent1"/>
            </a:solidFill>
            <a:ln>
              <a:noFill/>
            </a:ln>
            <a:effectLst/>
          </c:spPr>
          <c:invertIfNegative val="0"/>
          <c:val>
            <c:numRef>
              <c:f>'MSR composition'!$B$2</c:f>
              <c:numCache>
                <c:formatCode>#,##0</c:formatCode>
                <c:ptCount val="1"/>
                <c:pt idx="0">
                  <c:v>1749540826</c:v>
                </c:pt>
              </c:numCache>
            </c:numRef>
          </c:val>
          <c:extLst>
            <c:ext xmlns:c16="http://schemas.microsoft.com/office/drawing/2014/chart" uri="{C3380CC4-5D6E-409C-BE32-E72D297353CC}">
              <c16:uniqueId val="{00000002-9912-4BFD-8E82-9FBB85F3FD61}"/>
            </c:ext>
          </c:extLst>
        </c:ser>
        <c:ser>
          <c:idx val="6"/>
          <c:order val="3"/>
          <c:tx>
            <c:strRef>
              <c:f>'MSR composition'!$A$8</c:f>
              <c:strCache>
                <c:ptCount val="1"/>
                <c:pt idx="0">
                  <c:v>International credits exchanged</c:v>
                </c:pt>
              </c:strCache>
            </c:strRef>
          </c:tx>
          <c:spPr>
            <a:solidFill>
              <a:schemeClr val="accent1">
                <a:lumMod val="60000"/>
              </a:schemeClr>
            </a:solidFill>
            <a:ln>
              <a:noFill/>
            </a:ln>
            <a:effectLst/>
          </c:spPr>
          <c:invertIfNegative val="0"/>
          <c:val>
            <c:numRef>
              <c:f>'MSR composition'!$B$8</c:f>
              <c:numCache>
                <c:formatCode>#,##0</c:formatCode>
                <c:ptCount val="1"/>
                <c:pt idx="0">
                  <c:v>434049616</c:v>
                </c:pt>
              </c:numCache>
            </c:numRef>
          </c:val>
          <c:extLst>
            <c:ext xmlns:c16="http://schemas.microsoft.com/office/drawing/2014/chart" uri="{C3380CC4-5D6E-409C-BE32-E72D297353CC}">
              <c16:uniqueId val="{00000003-9912-4BFD-8E82-9FBB85F3FD61}"/>
            </c:ext>
          </c:extLst>
        </c:ser>
        <c:ser>
          <c:idx val="1"/>
          <c:order val="4"/>
          <c:tx>
            <c:strRef>
              <c:f>'MSR composition'!$A$3</c:f>
              <c:strCache>
                <c:ptCount val="1"/>
                <c:pt idx="0">
                  <c:v>Free allocation</c:v>
                </c:pt>
              </c:strCache>
            </c:strRef>
          </c:tx>
          <c:spPr>
            <a:solidFill>
              <a:schemeClr val="accent2"/>
            </a:solidFill>
            <a:ln>
              <a:noFill/>
            </a:ln>
            <a:effectLst/>
          </c:spPr>
          <c:invertIfNegative val="0"/>
          <c:val>
            <c:numRef>
              <c:f>'MSR composition'!$B$3</c:f>
              <c:numCache>
                <c:formatCode>General</c:formatCode>
                <c:ptCount val="1"/>
                <c:pt idx="0">
                  <c:v>4606725157</c:v>
                </c:pt>
              </c:numCache>
            </c:numRef>
          </c:val>
          <c:extLst>
            <c:ext xmlns:c16="http://schemas.microsoft.com/office/drawing/2014/chart" uri="{C3380CC4-5D6E-409C-BE32-E72D297353CC}">
              <c16:uniqueId val="{00000004-9912-4BFD-8E82-9FBB85F3FD61}"/>
            </c:ext>
          </c:extLst>
        </c:ser>
        <c:ser>
          <c:idx val="2"/>
          <c:order val="5"/>
          <c:tx>
            <c:strRef>
              <c:f>'MSR composition'!$A$4</c:f>
              <c:strCache>
                <c:ptCount val="1"/>
                <c:pt idx="0">
                  <c:v>Free allocation (NER)</c:v>
                </c:pt>
              </c:strCache>
            </c:strRef>
          </c:tx>
          <c:spPr>
            <a:solidFill>
              <a:schemeClr val="accent3"/>
            </a:solidFill>
            <a:ln>
              <a:noFill/>
            </a:ln>
            <a:effectLst/>
          </c:spPr>
          <c:invertIfNegative val="0"/>
          <c:val>
            <c:numRef>
              <c:f>'MSR composition'!$B$4</c:f>
              <c:numCache>
                <c:formatCode>General</c:formatCode>
                <c:ptCount val="1"/>
                <c:pt idx="0">
                  <c:v>113573605</c:v>
                </c:pt>
              </c:numCache>
            </c:numRef>
          </c:val>
          <c:extLst>
            <c:ext xmlns:c16="http://schemas.microsoft.com/office/drawing/2014/chart" uri="{C3380CC4-5D6E-409C-BE32-E72D297353CC}">
              <c16:uniqueId val="{00000005-9912-4BFD-8E82-9FBB85F3FD61}"/>
            </c:ext>
          </c:extLst>
        </c:ser>
        <c:ser>
          <c:idx val="3"/>
          <c:order val="6"/>
          <c:tx>
            <c:strRef>
              <c:f>'MSR composition'!$A$5</c:f>
              <c:strCache>
                <c:ptCount val="1"/>
                <c:pt idx="0">
                  <c:v>Free allocation (10c)</c:v>
                </c:pt>
              </c:strCache>
            </c:strRef>
          </c:tx>
          <c:spPr>
            <a:solidFill>
              <a:schemeClr val="accent4"/>
            </a:solidFill>
            <a:ln>
              <a:noFill/>
            </a:ln>
            <a:effectLst/>
          </c:spPr>
          <c:invertIfNegative val="0"/>
          <c:val>
            <c:numRef>
              <c:f>'MSR composition'!$B$5</c:f>
              <c:numCache>
                <c:formatCode>General</c:formatCode>
                <c:ptCount val="1"/>
                <c:pt idx="0">
                  <c:v>441724736</c:v>
                </c:pt>
              </c:numCache>
            </c:numRef>
          </c:val>
          <c:extLst>
            <c:ext xmlns:c16="http://schemas.microsoft.com/office/drawing/2014/chart" uri="{C3380CC4-5D6E-409C-BE32-E72D297353CC}">
              <c16:uniqueId val="{00000006-9912-4BFD-8E82-9FBB85F3FD61}"/>
            </c:ext>
          </c:extLst>
        </c:ser>
        <c:ser>
          <c:idx val="4"/>
          <c:order val="7"/>
          <c:tx>
            <c:strRef>
              <c:f>'MSR composition'!$A$6</c:f>
              <c:strCache>
                <c:ptCount val="1"/>
                <c:pt idx="0">
                  <c:v>Auctioned allowances</c:v>
                </c:pt>
              </c:strCache>
            </c:strRef>
          </c:tx>
          <c:spPr>
            <a:solidFill>
              <a:schemeClr val="accent5"/>
            </a:solidFill>
            <a:ln>
              <a:noFill/>
            </a:ln>
            <a:effectLst/>
          </c:spPr>
          <c:invertIfNegative val="0"/>
          <c:val>
            <c:numRef>
              <c:f>'MSR composition'!$B$6</c:f>
              <c:numCache>
                <c:formatCode>#,##0</c:formatCode>
                <c:ptCount val="1"/>
                <c:pt idx="0">
                  <c:v>4551506500</c:v>
                </c:pt>
              </c:numCache>
            </c:numRef>
          </c:val>
          <c:extLst>
            <c:ext xmlns:c16="http://schemas.microsoft.com/office/drawing/2014/chart" uri="{C3380CC4-5D6E-409C-BE32-E72D297353CC}">
              <c16:uniqueId val="{00000007-9912-4BFD-8E82-9FBB85F3FD61}"/>
            </c:ext>
          </c:extLst>
        </c:ser>
        <c:dLbls>
          <c:showLegendKey val="0"/>
          <c:showVal val="0"/>
          <c:showCatName val="0"/>
          <c:showSerName val="0"/>
          <c:showPercent val="0"/>
          <c:showBubbleSize val="0"/>
        </c:dLbls>
        <c:gapWidth val="75"/>
        <c:overlap val="100"/>
        <c:axId val="308982528"/>
        <c:axId val="308984064"/>
      </c:barChart>
      <c:catAx>
        <c:axId val="308982528"/>
        <c:scaling>
          <c:orientation val="minMax"/>
        </c:scaling>
        <c:delete val="1"/>
        <c:axPos val="b"/>
        <c:numFmt formatCode="General" sourceLinked="1"/>
        <c:majorTickMark val="none"/>
        <c:minorTickMark val="none"/>
        <c:tickLblPos val="nextTo"/>
        <c:crossAx val="308984064"/>
        <c:crosses val="autoZero"/>
        <c:auto val="1"/>
        <c:lblAlgn val="ctr"/>
        <c:lblOffset val="100"/>
        <c:noMultiLvlLbl val="0"/>
      </c:catAx>
      <c:valAx>
        <c:axId val="3089840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8982528"/>
        <c:crosses val="autoZero"/>
        <c:crossBetween val="between"/>
        <c:dispUnits>
          <c:builtInUnit val="million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'MSR composition'!$A$14</c:f>
              <c:strCache>
                <c:ptCount val="1"/>
                <c:pt idx="0">
                  <c:v>Verified emissions</c:v>
                </c:pt>
              </c:strCache>
            </c:strRef>
          </c:tx>
          <c:spPr>
            <a:solidFill>
              <a:schemeClr val="accent1"/>
            </a:solidFill>
            <a:ln>
              <a:noFill/>
            </a:ln>
            <a:effectLst/>
          </c:spPr>
          <c:invertIfNegative val="0"/>
          <c:val>
            <c:numRef>
              <c:f>'MSR composition'!$B$14</c:f>
              <c:numCache>
                <c:formatCode>#,##0</c:formatCode>
                <c:ptCount val="1"/>
                <c:pt idx="0">
                  <c:v>10631597033</c:v>
                </c:pt>
              </c:numCache>
            </c:numRef>
          </c:val>
          <c:extLst>
            <c:ext xmlns:c16="http://schemas.microsoft.com/office/drawing/2014/chart" uri="{C3380CC4-5D6E-409C-BE32-E72D297353CC}">
              <c16:uniqueId val="{00000000-89A6-4A8F-A8DA-E72B095DDE62}"/>
            </c:ext>
          </c:extLst>
        </c:ser>
        <c:ser>
          <c:idx val="1"/>
          <c:order val="1"/>
          <c:tx>
            <c:strRef>
              <c:f>'MSR composition'!$A$15</c:f>
              <c:strCache>
                <c:ptCount val="1"/>
                <c:pt idx="0">
                  <c:v>Cancellations</c:v>
                </c:pt>
              </c:strCache>
            </c:strRef>
          </c:tx>
          <c:spPr>
            <a:solidFill>
              <a:schemeClr val="accent3"/>
            </a:solidFill>
            <a:ln>
              <a:noFill/>
            </a:ln>
            <a:effectLst/>
          </c:spPr>
          <c:invertIfNegative val="0"/>
          <c:val>
            <c:numRef>
              <c:f>'MSR composition'!$B$15</c:f>
              <c:numCache>
                <c:formatCode>#,##0</c:formatCode>
                <c:ptCount val="1"/>
                <c:pt idx="0">
                  <c:v>315083</c:v>
                </c:pt>
              </c:numCache>
            </c:numRef>
          </c:val>
          <c:extLst>
            <c:ext xmlns:c16="http://schemas.microsoft.com/office/drawing/2014/chart" uri="{C3380CC4-5D6E-409C-BE32-E72D297353CC}">
              <c16:uniqueId val="{00000001-89A6-4A8F-A8DA-E72B095DDE62}"/>
            </c:ext>
          </c:extLst>
        </c:ser>
        <c:dLbls>
          <c:showLegendKey val="0"/>
          <c:showVal val="0"/>
          <c:showCatName val="0"/>
          <c:showSerName val="0"/>
          <c:showPercent val="0"/>
          <c:showBubbleSize val="0"/>
        </c:dLbls>
        <c:gapWidth val="75"/>
        <c:overlap val="100"/>
        <c:axId val="332016640"/>
        <c:axId val="332034816"/>
      </c:barChart>
      <c:catAx>
        <c:axId val="332016640"/>
        <c:scaling>
          <c:orientation val="minMax"/>
        </c:scaling>
        <c:delete val="1"/>
        <c:axPos val="b"/>
        <c:numFmt formatCode="General" sourceLinked="1"/>
        <c:majorTickMark val="none"/>
        <c:minorTickMark val="none"/>
        <c:tickLblPos val="nextTo"/>
        <c:crossAx val="332034816"/>
        <c:crosses val="autoZero"/>
        <c:auto val="1"/>
        <c:lblAlgn val="ctr"/>
        <c:lblOffset val="100"/>
        <c:noMultiLvlLbl val="0"/>
      </c:catAx>
      <c:valAx>
        <c:axId val="332034816"/>
        <c:scaling>
          <c:orientation val="minMax"/>
          <c:max val="140000000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2016640"/>
        <c:crosses val="autoZero"/>
        <c:crossBetween val="between"/>
        <c:dispUnits>
          <c:builtInUnit val="million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chemeClr val="bg1">
            <a:lumMod val="85000"/>
          </a:schemeClr>
        </a:solidFill>
        <a:ln w="9525">
          <a:solidFill>
            <a:srgbClr val="000000"/>
          </a:solid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BA5629-D9C4-4876-B424-B5E89D9D9E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62</Pages>
  <Words>13058</Words>
  <Characters>68033</Characters>
  <Application>Microsoft Office Word</Application>
  <DocSecurity>0</DocSecurity>
  <Lines>3239</Lines>
  <Paragraphs>1977</Paragraphs>
  <ScaleCrop>false</ScaleCrop>
  <HeadingPairs>
    <vt:vector size="6" baseType="variant">
      <vt:variant>
        <vt:lpstr>Title</vt:lpstr>
      </vt:variant>
      <vt:variant>
        <vt:i4>1</vt:i4>
      </vt:variant>
      <vt:variant>
        <vt:lpstr>Titel</vt:lpstr>
      </vt:variant>
      <vt:variant>
        <vt:i4>1</vt:i4>
      </vt:variant>
      <vt:variant>
        <vt:lpstr>Titolo</vt:lpstr>
      </vt:variant>
      <vt:variant>
        <vt:i4>1</vt:i4>
      </vt:variant>
    </vt:vector>
  </HeadingPairs>
  <TitlesOfParts>
    <vt:vector size="3" baseType="lpstr">
      <vt:lpstr/>
      <vt:lpstr/>
      <vt:lpstr/>
    </vt:vector>
  </TitlesOfParts>
  <Manager/>
  <Company/>
  <LinksUpToDate>false</LinksUpToDate>
  <CharactersWithSpaces>79114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TORRE UNGUREANU Ana-Claudia (SG)</cp:lastModifiedBy>
  <cp:revision>17</cp:revision>
  <cp:lastPrinted>2018-11-08T09:30:00Z</cp:lastPrinted>
  <dcterms:created xsi:type="dcterms:W3CDTF">2019-10-25T13:22:00Z</dcterms:created>
  <dcterms:modified xsi:type="dcterms:W3CDTF">2020-01-16T08:14:00Z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DocStatus">
    <vt:lpwstr>Green</vt:lpwstr>
  </property>
  <property fmtid="{D5CDD505-2E9C-101B-9397-08002B2CF9AE}" pid="5" name="Level of sensitivity">
    <vt:lpwstr>Standard treatment</vt:lpwstr>
  </property>
  <property fmtid="{D5CDD505-2E9C-101B-9397-08002B2CF9AE}" pid="6" name="Last edited using">
    <vt:lpwstr>LW 7.0, Build 20190717</vt:lpwstr>
  </property>
  <property fmtid="{D5CDD505-2E9C-101B-9397-08002B2CF9AE}" pid="7" name="_DocHome">
    <vt:i4>-1319363200</vt:i4>
  </property>
  <property fmtid="{D5CDD505-2E9C-101B-9397-08002B2CF9AE}" pid="8" name="Created using">
    <vt:lpwstr>LW 6.0.1, Build 20180503</vt:lpwstr>
  </property>
  <property fmtid="{D5CDD505-2E9C-101B-9397-08002B2CF9AE}" pid="9" name="CPTemplateID">
    <vt:lpwstr>CP-006</vt:lpwstr>
  </property>
</Properties>
</file>