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9F" w:rsidRDefault="00246BD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B1A6771-38A2-452D-89D1-E719E57ABAE2" style="width:450.25pt;height:456.7pt">
            <v:imagedata r:id="rId8" o:title=""/>
          </v:shape>
        </w:pict>
      </w:r>
    </w:p>
    <w:bookmarkEnd w:id="0"/>
    <w:p w:rsidR="0059459F" w:rsidRDefault="0059459F">
      <w:pPr>
        <w:pStyle w:val="Pagedecouverture"/>
        <w:rPr>
          <w:noProof/>
        </w:rPr>
        <w:sectPr w:rsidR="0059459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9459F" w:rsidRDefault="00246BD0">
      <w:pPr>
        <w:pStyle w:val="Heading1"/>
        <w:spacing w:before="240" w:after="240"/>
        <w:rPr>
          <w:noProof/>
        </w:rPr>
      </w:pPr>
      <w:r>
        <w:rPr>
          <w:noProof/>
        </w:rPr>
        <w:lastRenderedPageBreak/>
        <w:t xml:space="preserve">Въведение </w:t>
      </w:r>
    </w:p>
    <w:p w:rsidR="0059459F" w:rsidRDefault="00246BD0">
      <w:pPr>
        <w:spacing w:after="240"/>
        <w:jc w:val="both"/>
        <w:rPr>
          <w:rFonts w:ascii="Times New Roman" w:hAnsi="Times New Roman"/>
          <w:noProof/>
          <w:spacing w:val="-4"/>
          <w:sz w:val="24"/>
          <w:szCs w:val="24"/>
        </w:rPr>
      </w:pPr>
      <w:r>
        <w:rPr>
          <w:rFonts w:ascii="Times New Roman" w:hAnsi="Times New Roman"/>
          <w:b/>
          <w:noProof/>
          <w:spacing w:val="-4"/>
          <w:sz w:val="24"/>
          <w:szCs w:val="24"/>
        </w:rPr>
        <w:t xml:space="preserve">Европейският зелен пакт е отговорът на Европейския съюз на предизвикателствата, свързани с климата и околната среда — най-важната задача, стояща пред това поколение. </w:t>
      </w:r>
      <w:r>
        <w:rPr>
          <w:rFonts w:ascii="Times New Roman" w:hAnsi="Times New Roman"/>
          <w:noProof/>
          <w:spacing w:val="-4"/>
          <w:sz w:val="24"/>
          <w:szCs w:val="24"/>
        </w:rPr>
        <w:t>Това е нова стратегия за растеж, която има за цел превръщането на ЕС в справедливо и благо</w:t>
      </w:r>
      <w:r>
        <w:rPr>
          <w:rFonts w:ascii="Times New Roman" w:hAnsi="Times New Roman"/>
          <w:noProof/>
          <w:spacing w:val="-4"/>
          <w:sz w:val="24"/>
          <w:szCs w:val="24"/>
        </w:rPr>
        <w:t>денстващо общество с модерна и конкурентоспособна икономика, с ефективно използване на ресурсите, в която през 2050 г. няма нетни емисии на парникови газове, околната среда и здравето на гражданите са защитени, а икономическият растеж не е зависим от изпол</w:t>
      </w:r>
      <w:r>
        <w:rPr>
          <w:rFonts w:ascii="Times New Roman" w:hAnsi="Times New Roman"/>
          <w:noProof/>
          <w:spacing w:val="-4"/>
          <w:sz w:val="24"/>
          <w:szCs w:val="24"/>
        </w:rPr>
        <w:t xml:space="preserve">зването на ресурси.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Планът за инвестиции за устойчива Европа е инвестиционният стълб на Европейския зелен пакт.</w:t>
      </w:r>
      <w:r>
        <w:rPr>
          <w:rFonts w:ascii="Times New Roman" w:hAnsi="Times New Roman"/>
          <w:noProof/>
          <w:sz w:val="24"/>
          <w:szCs w:val="24"/>
        </w:rPr>
        <w:t xml:space="preserve"> Една устойчива Европа се нуждае от значителни инвестиции във всички сектори на икономиката. За постигането на целите в областта на климата и ен</w:t>
      </w:r>
      <w:r>
        <w:rPr>
          <w:rFonts w:ascii="Times New Roman" w:hAnsi="Times New Roman"/>
          <w:noProof/>
          <w:sz w:val="24"/>
          <w:szCs w:val="24"/>
        </w:rPr>
        <w:t>ергетиката</w:t>
      </w:r>
      <w:r>
        <w:rPr>
          <w:rStyle w:val="FootnoteReference"/>
          <w:rFonts w:ascii="Times New Roman" w:hAnsi="Times New Roman"/>
          <w:noProof/>
        </w:rPr>
        <w:footnoteReference w:id="1"/>
      </w:r>
      <w:r>
        <w:rPr>
          <w:rFonts w:ascii="Times New Roman" w:hAnsi="Times New Roman"/>
          <w:noProof/>
          <w:sz w:val="24"/>
          <w:szCs w:val="24"/>
        </w:rPr>
        <w:t xml:space="preserve"> за 2030 г. ще са необходими допълнителни инвестиции в размер на 260 милиарда евро годишно до 2030 г.</w:t>
      </w:r>
      <w:r>
        <w:rPr>
          <w:rStyle w:val="FootnoteReference"/>
          <w:rFonts w:ascii="Times New Roman" w:hAnsi="Times New Roman"/>
          <w:noProof/>
        </w:rPr>
        <w:footnoteReference w:id="2"/>
      </w:r>
      <w:r>
        <w:rPr>
          <w:rFonts w:ascii="Times New Roman" w:hAnsi="Times New Roman"/>
          <w:noProof/>
          <w:sz w:val="24"/>
          <w:szCs w:val="24"/>
        </w:rPr>
        <w:t xml:space="preserve"> Комисията вече обяви намерението си да представи план с оценка на въздействието, с който да увеличи още повече амбициите на ЕС в областта на к</w:t>
      </w:r>
      <w:r>
        <w:rPr>
          <w:rFonts w:ascii="Times New Roman" w:hAnsi="Times New Roman"/>
          <w:noProof/>
          <w:sz w:val="24"/>
          <w:szCs w:val="24"/>
        </w:rPr>
        <w:t>лимата за 2030 г., като ще бъдат необходими допълнителни инвестиции за постигане на по-общите екологични и социални цели, които си е поставил ЕС</w:t>
      </w:r>
      <w:r>
        <w:rPr>
          <w:rStyle w:val="FootnoteReference"/>
          <w:rFonts w:ascii="Times New Roman" w:hAnsi="Times New Roman"/>
          <w:noProof/>
        </w:rPr>
        <w:footnoteReference w:id="3"/>
      </w:r>
      <w:r>
        <w:rPr>
          <w:rFonts w:ascii="Times New Roman" w:hAnsi="Times New Roman"/>
          <w:noProof/>
          <w:sz w:val="24"/>
          <w:szCs w:val="24"/>
        </w:rPr>
        <w:t xml:space="preserve">.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Нараства инвеститорският интерес към възможности за инвестиции в устойчивостта с измеримо въздействие.</w:t>
      </w:r>
      <w:r>
        <w:rPr>
          <w:rFonts w:ascii="Times New Roman" w:hAnsi="Times New Roman"/>
          <w:noProof/>
          <w:sz w:val="24"/>
          <w:szCs w:val="24"/>
        </w:rPr>
        <w:t xml:space="preserve"> Съгла</w:t>
      </w:r>
      <w:r>
        <w:rPr>
          <w:rFonts w:ascii="Times New Roman" w:hAnsi="Times New Roman"/>
          <w:noProof/>
          <w:sz w:val="24"/>
          <w:szCs w:val="24"/>
        </w:rPr>
        <w:t>сно последните прогнози годишното глобално емитиране на „зелени“ облигации се е утроило от 2016 г. насам, достигайки около 225 милиарда евро през 2019 г. Нужна е рамка, която да послужи като средство за преодоляване на разминаването между политическите цел</w:t>
      </w:r>
      <w:r>
        <w:rPr>
          <w:rFonts w:ascii="Times New Roman" w:hAnsi="Times New Roman"/>
          <w:noProof/>
          <w:sz w:val="24"/>
          <w:szCs w:val="24"/>
        </w:rPr>
        <w:t xml:space="preserve">и и наличните значителни частни финансови ресурси.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Планът за инвестиции за устойчива Европа ще мобилизира чрез бюджета на ЕС и свързаните с него инструменти публични и частни устойчиви инвестиции от най-малко 1 трилион евро през следващото десетилетие.</w:t>
      </w:r>
      <w:r>
        <w:rPr>
          <w:rFonts w:ascii="Times New Roman" w:hAnsi="Times New Roman"/>
          <w:noProof/>
          <w:sz w:val="24"/>
          <w:szCs w:val="24"/>
        </w:rPr>
        <w:t xml:space="preserve"> С </w:t>
      </w:r>
      <w:r>
        <w:rPr>
          <w:rFonts w:ascii="Times New Roman" w:hAnsi="Times New Roman"/>
          <w:noProof/>
          <w:sz w:val="24"/>
          <w:szCs w:val="24"/>
        </w:rPr>
        <w:t xml:space="preserve">него се предлага всеобхватна рамка за прехода към устойчивост навсякъде в ЕС. Тази рамка ще бъде насочена към инвестиции в областта на климата, околната среда и социалната сфера, доколкото те са свързани с устойчивия преход. </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При все това са необходими пов</w:t>
      </w:r>
      <w:r>
        <w:rPr>
          <w:rFonts w:ascii="Times New Roman" w:hAnsi="Times New Roman"/>
          <w:noProof/>
          <w:sz w:val="24"/>
          <w:szCs w:val="24"/>
        </w:rPr>
        <w:t>ече усилия, за да се справим с предстоящите предизвикателства. Частните участници ще трябва да осигурят необходимия мащаб. Като обединява в рамките на единна рамка на политиката набор от нови политически инициативи със засилени ангажименти по текущите инст</w:t>
      </w:r>
      <w:r>
        <w:rPr>
          <w:rFonts w:ascii="Times New Roman" w:hAnsi="Times New Roman"/>
          <w:noProof/>
          <w:sz w:val="24"/>
          <w:szCs w:val="24"/>
        </w:rPr>
        <w:t xml:space="preserve">рументи, Комисията дава нов тласък на политиката в тази област и гарантира по-голямо въздействие и съгласуваност </w:t>
      </w:r>
      <w:r>
        <w:rPr>
          <w:rFonts w:ascii="Times New Roman" w:hAnsi="Times New Roman"/>
          <w:noProof/>
          <w:sz w:val="24"/>
          <w:szCs w:val="24"/>
        </w:rPr>
        <w:lastRenderedPageBreak/>
        <w:t>на рамката на ЕС за устойчиви инвестиции.</w:t>
      </w:r>
      <w:r>
        <w:rPr>
          <w:rFonts w:ascii="Times New Roman" w:hAnsi="Times New Roman"/>
          <w:i/>
          <w:noProof/>
          <w:sz w:val="24"/>
          <w:szCs w:val="24"/>
        </w:rPr>
        <w:t xml:space="preserve"> </w:t>
      </w:r>
      <w:r>
        <w:rPr>
          <w:rFonts w:ascii="Times New Roman" w:hAnsi="Times New Roman"/>
          <w:noProof/>
          <w:sz w:val="24"/>
          <w:szCs w:val="24"/>
        </w:rPr>
        <w:t>Комисията ще продължи да работи по това как да мобилизира допълнителни ресурси за постигане на целите</w:t>
      </w:r>
      <w:r>
        <w:rPr>
          <w:rFonts w:ascii="Times New Roman" w:hAnsi="Times New Roman"/>
          <w:noProof/>
          <w:sz w:val="24"/>
          <w:szCs w:val="24"/>
        </w:rPr>
        <w:t xml:space="preserve"> на Зеления пакт.</w:t>
      </w:r>
    </w:p>
    <w:p w:rsidR="0059459F" w:rsidRDefault="00246BD0">
      <w:pPr>
        <w:spacing w:after="240"/>
        <w:jc w:val="center"/>
        <w:rPr>
          <w:rFonts w:ascii="Times New Roman" w:hAnsi="Times New Roman"/>
          <w:b/>
          <w:noProof/>
          <w:sz w:val="24"/>
          <w:szCs w:val="24"/>
        </w:rPr>
      </w:pPr>
      <w:r>
        <w:rPr>
          <w:rFonts w:ascii="Times New Roman" w:hAnsi="Times New Roman"/>
          <w:b/>
          <w:noProof/>
          <w:sz w:val="24"/>
          <w:szCs w:val="24"/>
        </w:rPr>
        <w:t>Фигура 1. Планът за инвестиции в рамките на Европейския зелен пакт.</w:t>
      </w:r>
    </w:p>
    <w:p w:rsidR="0059459F" w:rsidRDefault="00246BD0">
      <w:pPr>
        <w:spacing w:after="240"/>
        <w:jc w:val="center"/>
        <w:rPr>
          <w:rFonts w:ascii="Times New Roman" w:hAnsi="Times New Roman"/>
          <w:noProof/>
          <w:sz w:val="24"/>
          <w:szCs w:val="24"/>
        </w:rPr>
      </w:pPr>
      <w:r>
        <w:rPr>
          <w:noProof/>
          <w:lang w:val="fr-BE" w:eastAsia="fr-BE"/>
        </w:rPr>
        <w:drawing>
          <wp:inline distT="0" distB="0" distL="0" distR="0">
            <wp:extent cx="5760720" cy="3664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664585"/>
                    </a:xfrm>
                    <a:prstGeom prst="rect">
                      <a:avLst/>
                    </a:prstGeom>
                  </pic:spPr>
                </pic:pic>
              </a:graphicData>
            </a:graphic>
          </wp:inline>
        </w:drawing>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Планът за инвестиции за устойчива Европа ще способства за прехода към неутрална по отношение на климата, зелена икономика по следните три направления:</w:t>
      </w:r>
    </w:p>
    <w:p w:rsidR="0059459F" w:rsidRDefault="00246BD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Първо, посредством плана ще бъдат мобилизирани най-малко 1 трилион евро за устойчиви инвестиции през следващото десетилетие чрез бюджета на ЕС. </w:t>
      </w:r>
      <w:r>
        <w:rPr>
          <w:rFonts w:ascii="Times New Roman" w:hAnsi="Times New Roman"/>
          <w:noProof/>
          <w:sz w:val="24"/>
          <w:szCs w:val="24"/>
        </w:rPr>
        <w:t xml:space="preserve">В бюджета на ЕС по-голям от всякога дял от публичните разходи ще бъде предназначен за климата и околната среда. </w:t>
      </w:r>
      <w:r>
        <w:rPr>
          <w:rFonts w:ascii="Times New Roman" w:hAnsi="Times New Roman"/>
          <w:noProof/>
          <w:sz w:val="24"/>
          <w:szCs w:val="24"/>
        </w:rPr>
        <w:t xml:space="preserve">Така бюджетът ще привлече частно финансиране чрез гаранции и ще спомогне за това преходът да бъде справедлив, като улеснява инвестициите на публичния сектор в най-силно засегнатите от прехода региони посредством Механизма за справедлив преход. </w:t>
      </w:r>
    </w:p>
    <w:p w:rsidR="0059459F" w:rsidRDefault="00246BD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Второ, с бю</w:t>
      </w:r>
      <w:r>
        <w:rPr>
          <w:rFonts w:ascii="Times New Roman" w:hAnsi="Times New Roman"/>
          <w:b/>
          <w:noProof/>
          <w:sz w:val="24"/>
          <w:szCs w:val="24"/>
        </w:rPr>
        <w:t xml:space="preserve">джета ще се създаде благоприятна рамка за частните инвеститори и публичния сектор. </w:t>
      </w:r>
      <w:r>
        <w:rPr>
          <w:rFonts w:ascii="Times New Roman" w:hAnsi="Times New Roman"/>
          <w:noProof/>
          <w:sz w:val="24"/>
          <w:szCs w:val="24"/>
        </w:rPr>
        <w:t>Той ще има за цел да осигури икономически ефективен, справедлив, както и социално балансиран преход. Финансовите институции и частните инвеститори трябва да разполагат с инс</w:t>
      </w:r>
      <w:r>
        <w:rPr>
          <w:rFonts w:ascii="Times New Roman" w:hAnsi="Times New Roman"/>
          <w:noProof/>
          <w:sz w:val="24"/>
          <w:szCs w:val="24"/>
        </w:rPr>
        <w:t>трументите за правилно идентифициране на устойчивите инвестиции. По-специално таксономията на ЕС, принципът за поставяне на енергийната ефективност на първо място и проверката на устойчивостта ще бъдат от ключово значение за увеличаване на техния капацитет</w:t>
      </w:r>
      <w:r>
        <w:rPr>
          <w:rFonts w:ascii="Times New Roman" w:hAnsi="Times New Roman"/>
          <w:noProof/>
          <w:sz w:val="24"/>
          <w:szCs w:val="24"/>
        </w:rPr>
        <w:t>. Що се отнася до публичния сектор, европейският семестър, прегледът на изпълнението на политиките в областта на околната среда, националните планове в областта на енергетиката и климата в рамките на Енергийния съюз и плановете, изисквани съгласно секторно</w:t>
      </w:r>
      <w:r>
        <w:rPr>
          <w:rFonts w:ascii="Times New Roman" w:hAnsi="Times New Roman"/>
          <w:noProof/>
          <w:sz w:val="24"/>
          <w:szCs w:val="24"/>
        </w:rPr>
        <w:t>то законодателство в областта на околната среда (например относно отпадъците, водите, биологичното разнообразие и въздуха), ще позволят да се набележат по съответен начин нуждите от инвестиции.</w:t>
      </w:r>
      <w:r>
        <w:rPr>
          <w:noProof/>
          <w:sz w:val="24"/>
          <w:szCs w:val="24"/>
        </w:rPr>
        <w:t xml:space="preserve"> </w:t>
      </w:r>
    </w:p>
    <w:p w:rsidR="0059459F" w:rsidRDefault="00246BD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lastRenderedPageBreak/>
        <w:t xml:space="preserve">Трето, планът ще предостави съобразена с нуждите подкрепа на </w:t>
      </w:r>
      <w:r>
        <w:rPr>
          <w:rFonts w:ascii="Times New Roman" w:hAnsi="Times New Roman"/>
          <w:b/>
          <w:noProof/>
          <w:sz w:val="24"/>
          <w:szCs w:val="24"/>
        </w:rPr>
        <w:t xml:space="preserve">публичните администрации и организаторите на проекти при идентифицирането, структурирането и изпълнението на устойчиви проекти. </w:t>
      </w:r>
      <w:r>
        <w:rPr>
          <w:rFonts w:ascii="Times New Roman" w:hAnsi="Times New Roman"/>
          <w:noProof/>
          <w:sz w:val="24"/>
          <w:szCs w:val="24"/>
        </w:rPr>
        <w:t>Ще бъде засилена подкрепата за публичните органи за оценка на финансовите нужди и за планиране на последващите инвестиции, както</w:t>
      </w:r>
      <w:r>
        <w:rPr>
          <w:rFonts w:ascii="Times New Roman" w:hAnsi="Times New Roman"/>
          <w:noProof/>
          <w:sz w:val="24"/>
          <w:szCs w:val="24"/>
        </w:rPr>
        <w:t xml:space="preserve"> и за директното подпомагане на организаторите на проекти от публичния и частния сектор. </w:t>
      </w:r>
    </w:p>
    <w:p w:rsidR="0059459F" w:rsidRDefault="00246BD0">
      <w:pPr>
        <w:spacing w:after="240"/>
        <w:contextualSpacing/>
        <w:jc w:val="center"/>
        <w:rPr>
          <w:rFonts w:ascii="Times New Roman" w:hAnsi="Times New Roman"/>
          <w:b/>
          <w:noProof/>
          <w:sz w:val="28"/>
          <w:szCs w:val="24"/>
        </w:rPr>
      </w:pPr>
      <w:r>
        <w:rPr>
          <w:rFonts w:ascii="Times New Roman" w:hAnsi="Times New Roman"/>
          <w:b/>
          <w:noProof/>
          <w:sz w:val="24"/>
        </w:rPr>
        <w:t>Фигура 2. Планът за инвестиции за устойчива Европа</w:t>
      </w:r>
    </w:p>
    <w:p w:rsidR="0059459F" w:rsidRDefault="0059459F">
      <w:pPr>
        <w:spacing w:after="120"/>
        <w:jc w:val="center"/>
        <w:rPr>
          <w:rFonts w:ascii="Times New Roman" w:hAnsi="Times New Roman"/>
          <w:noProof/>
          <w:sz w:val="24"/>
          <w:szCs w:val="24"/>
        </w:rPr>
      </w:pPr>
    </w:p>
    <w:p w:rsidR="0059459F" w:rsidRDefault="00246BD0">
      <w:pPr>
        <w:spacing w:after="240"/>
        <w:jc w:val="center"/>
        <w:rPr>
          <w:rFonts w:ascii="Times New Roman" w:hAnsi="Times New Roman"/>
          <w:noProof/>
          <w:sz w:val="24"/>
          <w:szCs w:val="24"/>
        </w:rPr>
      </w:pPr>
      <w:r>
        <w:rPr>
          <w:noProof/>
          <w:lang w:val="fr-BE" w:eastAsia="fr-BE"/>
        </w:rPr>
        <w:drawing>
          <wp:inline distT="0" distB="0" distL="0" distR="0">
            <wp:extent cx="5760720" cy="426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269740"/>
                    </a:xfrm>
                    <a:prstGeom prst="rect">
                      <a:avLst/>
                    </a:prstGeom>
                  </pic:spPr>
                </pic:pic>
              </a:graphicData>
            </a:graphic>
          </wp:inline>
        </w:drawing>
      </w:r>
    </w:p>
    <w:p w:rsidR="0059459F" w:rsidRDefault="00246BD0">
      <w:pPr>
        <w:spacing w:after="240"/>
        <w:jc w:val="both"/>
        <w:rPr>
          <w:rFonts w:ascii="Times New Roman" w:hAnsi="Times New Roman"/>
          <w:noProof/>
          <w:sz w:val="28"/>
          <w:szCs w:val="24"/>
        </w:rPr>
      </w:pPr>
      <w:r>
        <w:rPr>
          <w:rFonts w:ascii="Times New Roman" w:hAnsi="Times New Roman"/>
          <w:b/>
          <w:noProof/>
          <w:sz w:val="24"/>
        </w:rPr>
        <w:t>Планът за инвестиции за устойчива Европа допринася за изпълнението на целите за устойчиво развитие.</w:t>
      </w:r>
      <w:r>
        <w:rPr>
          <w:rFonts w:ascii="Times New Roman" w:hAnsi="Times New Roman"/>
          <w:noProof/>
          <w:sz w:val="24"/>
        </w:rPr>
        <w:t xml:space="preserve"> Това е в съо</w:t>
      </w:r>
      <w:r>
        <w:rPr>
          <w:rFonts w:ascii="Times New Roman" w:hAnsi="Times New Roman"/>
          <w:noProof/>
          <w:sz w:val="24"/>
        </w:rPr>
        <w:t>тветствие с ангажимента, поет в съобщението за Европейския зелен пакт, за поставяне на целите за устойчиво развитие в центъра на политиките и действията на ЕС.</w:t>
      </w:r>
    </w:p>
    <w:p w:rsidR="0059459F" w:rsidRDefault="00246BD0">
      <w:pPr>
        <w:pStyle w:val="Heading1"/>
        <w:spacing w:before="240" w:after="240"/>
        <w:rPr>
          <w:noProof/>
        </w:rPr>
      </w:pPr>
      <w:r>
        <w:rPr>
          <w:noProof/>
        </w:rPr>
        <w:t xml:space="preserve">Предизвикателството във връзка с инвестициите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Преходът към икономика, която е неутрална по отно</w:t>
      </w:r>
      <w:r>
        <w:rPr>
          <w:rFonts w:ascii="Times New Roman" w:hAnsi="Times New Roman"/>
          <w:b/>
          <w:noProof/>
          <w:sz w:val="24"/>
          <w:szCs w:val="24"/>
        </w:rPr>
        <w:t>шение на климата, устойчива на неговото изменение, както и екологично устойчива, ще изисква значителни инвестиции</w:t>
      </w:r>
      <w:r>
        <w:rPr>
          <w:rFonts w:ascii="Times New Roman" w:hAnsi="Times New Roman"/>
          <w:noProof/>
          <w:sz w:val="24"/>
          <w:szCs w:val="24"/>
        </w:rPr>
        <w:t>. За постигането на текущите цели в областта на климата и енергетиката до 2030 г. са необходими 260 милиарда евро допълнителни инвестиции годиш</w:t>
      </w:r>
      <w:r>
        <w:rPr>
          <w:rFonts w:ascii="Times New Roman" w:hAnsi="Times New Roman"/>
          <w:noProof/>
          <w:sz w:val="24"/>
          <w:szCs w:val="24"/>
        </w:rPr>
        <w:t>но</w:t>
      </w:r>
      <w:r>
        <w:rPr>
          <w:rStyle w:val="FootnoteReference"/>
          <w:rFonts w:ascii="Times New Roman" w:hAnsi="Times New Roman"/>
          <w:noProof/>
        </w:rPr>
        <w:footnoteReference w:id="4"/>
      </w:r>
      <w:r>
        <w:rPr>
          <w:rFonts w:ascii="Times New Roman" w:hAnsi="Times New Roman"/>
          <w:noProof/>
          <w:sz w:val="24"/>
          <w:szCs w:val="24"/>
        </w:rPr>
        <w:t>. Тази сума включва главно инвестиции, свързани с енергетиката, сгради и част от транспортния сектор (превозни средства)</w:t>
      </w:r>
      <w:r>
        <w:rPr>
          <w:rStyle w:val="FootnoteReference"/>
          <w:rFonts w:ascii="Times New Roman" w:hAnsi="Times New Roman"/>
          <w:noProof/>
        </w:rPr>
        <w:footnoteReference w:id="5"/>
      </w:r>
      <w:r>
        <w:rPr>
          <w:rFonts w:ascii="Times New Roman" w:hAnsi="Times New Roman"/>
          <w:noProof/>
          <w:sz w:val="24"/>
          <w:szCs w:val="24"/>
        </w:rPr>
        <w:t>. Необходимите средни инвестиции по сектори</w:t>
      </w:r>
      <w:r>
        <w:rPr>
          <w:rStyle w:val="FootnoteReference"/>
          <w:rFonts w:ascii="Times New Roman" w:hAnsi="Times New Roman"/>
          <w:noProof/>
        </w:rPr>
        <w:footnoteReference w:id="6"/>
      </w:r>
      <w:r>
        <w:rPr>
          <w:rFonts w:ascii="Times New Roman" w:hAnsi="Times New Roman"/>
          <w:noProof/>
          <w:sz w:val="24"/>
          <w:szCs w:val="24"/>
        </w:rPr>
        <w:t xml:space="preserve"> са най-значителни при санирането на сгради. Тези инвестиционни потоци ще трябва да бъда</w:t>
      </w:r>
      <w:r>
        <w:rPr>
          <w:rFonts w:ascii="Times New Roman" w:hAnsi="Times New Roman"/>
          <w:noProof/>
          <w:sz w:val="24"/>
          <w:szCs w:val="24"/>
        </w:rPr>
        <w:t xml:space="preserve">т постоянни във времето. </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 xml:space="preserve">Ще бъдат необходими значителни инвестиции и в други сектори, по-специално в селското стопанство, за справяне с по-широките екологични предизвикателства, включително загубата на биологично разнообразие и замърсяването, защитата на </w:t>
      </w:r>
      <w:r>
        <w:rPr>
          <w:rFonts w:ascii="Times New Roman" w:hAnsi="Times New Roman"/>
          <w:noProof/>
          <w:sz w:val="24"/>
          <w:szCs w:val="24"/>
        </w:rPr>
        <w:t>природния капитал и подкрепата за кръговата и синята икономика, както и за инвестициите в човешки капитал и социалните инвестиции, свързани с прехода.</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Цифровизацията е основен фактор, способстващ за Зеления пакт. Значителните инвестиции в стратегически циф</w:t>
      </w:r>
      <w:r>
        <w:rPr>
          <w:rFonts w:ascii="Times New Roman" w:hAnsi="Times New Roman"/>
          <w:noProof/>
          <w:sz w:val="24"/>
          <w:szCs w:val="24"/>
        </w:rPr>
        <w:t>ров капацитет на Европа, както и в разработването и широкото внедряване на авангардни цифрови технологии ще осигурят интелигентни, новаторски и специализирани решения за справяне с проблемите, свързани с климата.</w:t>
      </w:r>
    </w:p>
    <w:p w:rsidR="0059459F" w:rsidRDefault="00246BD0">
      <w:pPr>
        <w:spacing w:after="240"/>
        <w:jc w:val="both"/>
        <w:rPr>
          <w:rFonts w:ascii="Times New Roman" w:hAnsi="Times New Roman"/>
          <w:b/>
          <w:noProof/>
          <w:sz w:val="24"/>
          <w:szCs w:val="24"/>
        </w:rPr>
      </w:pPr>
      <w:r>
        <w:rPr>
          <w:rFonts w:ascii="Times New Roman" w:hAnsi="Times New Roman"/>
          <w:b/>
          <w:noProof/>
          <w:sz w:val="24"/>
          <w:szCs w:val="24"/>
        </w:rPr>
        <w:t>Планът, обявен в рамките на Европейския зел</w:t>
      </w:r>
      <w:r>
        <w:rPr>
          <w:rFonts w:ascii="Times New Roman" w:hAnsi="Times New Roman"/>
          <w:b/>
          <w:noProof/>
          <w:sz w:val="24"/>
          <w:szCs w:val="24"/>
        </w:rPr>
        <w:t>ен пакт, за повишаване на целта на ЕС за намаляване на емисиите на парникови газове за 2030 г. ще доведе до още по-големи нужди от инвестиции.</w:t>
      </w:r>
      <w:r>
        <w:rPr>
          <w:rFonts w:ascii="Times New Roman" w:hAnsi="Times New Roman"/>
          <w:noProof/>
          <w:sz w:val="24"/>
          <w:szCs w:val="24"/>
        </w:rPr>
        <w:t xml:space="preserve"> В задълбочения анализ в подкрепа на дългосрочната стратегическа визия на Комисията за неутрална по отношение на к</w:t>
      </w:r>
      <w:r>
        <w:rPr>
          <w:rFonts w:ascii="Times New Roman" w:hAnsi="Times New Roman"/>
          <w:noProof/>
          <w:sz w:val="24"/>
          <w:szCs w:val="24"/>
        </w:rPr>
        <w:t>лимата икономика на ЕС вече беше посочено, че преходът към нисковъглеродна икономика може да изисква допълнителни инвестиции до 2 % от БВП до 2040 г. Може да се наложи темпото да бъде ускорено, за да се постигнат по-високи амбиции още до 2030 г.</w:t>
      </w:r>
    </w:p>
    <w:p w:rsidR="0059459F" w:rsidRDefault="0059459F">
      <w:pPr>
        <w:spacing w:after="240"/>
        <w:jc w:val="center"/>
        <w:rPr>
          <w:rFonts w:ascii="Times New Roman" w:hAnsi="Times New Roman"/>
          <w:noProof/>
          <w:sz w:val="24"/>
          <w:szCs w:val="24"/>
        </w:rPr>
      </w:pPr>
    </w:p>
    <w:p w:rsidR="0059459F" w:rsidRDefault="00246BD0">
      <w:pPr>
        <w:pStyle w:val="Heading1"/>
        <w:spacing w:after="240"/>
        <w:rPr>
          <w:noProof/>
        </w:rPr>
      </w:pPr>
      <w:r>
        <w:rPr>
          <w:noProof/>
        </w:rPr>
        <w:t xml:space="preserve">Фонд: </w:t>
      </w:r>
      <w:r>
        <w:rPr>
          <w:noProof/>
        </w:rPr>
        <w:t>мобилизиране на устойчиви инвестиции от всички източници</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Като инвестиционен стълб на Европейския зелен пакт Планът за инвестиции за устойчива Европа ще мобилизира най-малко 1 трилион евро устойчиви инвестиции през следващото десетилетие.</w:t>
      </w:r>
      <w:r>
        <w:rPr>
          <w:rFonts w:ascii="Times New Roman" w:hAnsi="Times New Roman"/>
          <w:noProof/>
          <w:sz w:val="24"/>
          <w:szCs w:val="24"/>
        </w:rPr>
        <w:t xml:space="preserve"> Този размер на фин</w:t>
      </w:r>
      <w:r>
        <w:rPr>
          <w:rFonts w:ascii="Times New Roman" w:hAnsi="Times New Roman"/>
          <w:noProof/>
          <w:sz w:val="24"/>
          <w:szCs w:val="24"/>
        </w:rPr>
        <w:t>ансиране за зеления преход се постига чрез изразходване на средства от дългосрочния бюджет на ЕС, една четвърт от който ще бъде насочена към цели, свързани с климата, и включване на приблизително 39 милиарда евро за разходи за опазване на околната среда. О</w:t>
      </w:r>
      <w:r>
        <w:rPr>
          <w:rFonts w:ascii="Times New Roman" w:hAnsi="Times New Roman"/>
          <w:noProof/>
          <w:sz w:val="24"/>
          <w:szCs w:val="24"/>
        </w:rPr>
        <w:t xml:space="preserve">свен това Планът ще привлече допълнително частно финансиране чрез мобилизиране на гаранцията от бюджета на ЕС в рамките на програмата InvestEU. </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В допълнение към разходите на ЕС, свързани с действията в областта на климата и политиката по отношение на окол</w:t>
      </w:r>
      <w:r>
        <w:rPr>
          <w:rFonts w:ascii="Times New Roman" w:hAnsi="Times New Roman"/>
          <w:noProof/>
          <w:sz w:val="24"/>
          <w:szCs w:val="24"/>
        </w:rPr>
        <w:t xml:space="preserve">ната среда, Планът за инвестиции за устойчива Европа обхваща също така сумите, използвани по линия на Механизма за справедлив преход, които ще подпомагат най-засегнатите региони, преминаващи през прехода. </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 xml:space="preserve">Европейската инвестиционна банка ще стане банката </w:t>
      </w:r>
      <w:r>
        <w:rPr>
          <w:rFonts w:ascii="Times New Roman" w:hAnsi="Times New Roman"/>
          <w:noProof/>
          <w:sz w:val="24"/>
          <w:szCs w:val="24"/>
        </w:rPr>
        <w:t>на Съюза по въпросите на климата. Банката обяви, че ще увеличи постепенно дела на финансирането си, предназначено за действия в областта на климата и екологична устойчивост, за да достигне 50 % от операциите ѝ през 2025 г. Сътрудничеството с други финансов</w:t>
      </w:r>
      <w:r>
        <w:rPr>
          <w:rFonts w:ascii="Times New Roman" w:hAnsi="Times New Roman"/>
          <w:noProof/>
          <w:sz w:val="24"/>
          <w:szCs w:val="24"/>
        </w:rPr>
        <w:t xml:space="preserve">и институции също ще бъде от решаващо значение. </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Въпреки че този принос показва ангажимента на ЕС за финансиране на Зеления пакт, той сам по себе си няма да бъде достатъчен, за да се отключат необходимите инвестиции. Ще е необходим значителен принос от нац</w:t>
      </w:r>
      <w:r>
        <w:rPr>
          <w:rFonts w:ascii="Times New Roman" w:hAnsi="Times New Roman"/>
          <w:noProof/>
          <w:sz w:val="24"/>
          <w:szCs w:val="24"/>
        </w:rPr>
        <w:t>ионалните бюджети и от частния сектор.</w:t>
      </w:r>
    </w:p>
    <w:p w:rsidR="0059459F" w:rsidRDefault="00246BD0">
      <w:pPr>
        <w:tabs>
          <w:tab w:val="left" w:pos="2127"/>
        </w:tabs>
        <w:spacing w:after="240"/>
        <w:jc w:val="center"/>
        <w:rPr>
          <w:rFonts w:ascii="Times New Roman" w:hAnsi="Times New Roman"/>
          <w:b/>
          <w:noProof/>
          <w:sz w:val="24"/>
          <w:szCs w:val="24"/>
        </w:rPr>
      </w:pPr>
      <w:r>
        <w:rPr>
          <w:rFonts w:ascii="Times New Roman" w:hAnsi="Times New Roman"/>
          <w:b/>
          <w:noProof/>
          <w:sz w:val="24"/>
          <w:szCs w:val="24"/>
        </w:rPr>
        <w:t>Фигура 3: Финансови елементи, съставляващи поне 1 трилион евро през следващото десетилетие</w:t>
      </w:r>
      <w:r>
        <w:rPr>
          <w:rStyle w:val="FootnoteReference"/>
          <w:rFonts w:ascii="Times New Roman" w:hAnsi="Times New Roman"/>
          <w:b/>
          <w:noProof/>
          <w:sz w:val="24"/>
          <w:szCs w:val="24"/>
        </w:rPr>
        <w:footnoteReference w:id="7"/>
      </w:r>
      <w:r>
        <w:rPr>
          <w:rFonts w:ascii="Times New Roman" w:hAnsi="Times New Roman"/>
          <w:b/>
          <w:noProof/>
          <w:sz w:val="24"/>
          <w:szCs w:val="24"/>
        </w:rPr>
        <w:t xml:space="preserve"> по линия на Плана за инвестиции за устойчива Европа</w:t>
      </w:r>
    </w:p>
    <w:p w:rsidR="0059459F" w:rsidRDefault="0059459F">
      <w:pPr>
        <w:tabs>
          <w:tab w:val="left" w:pos="2127"/>
        </w:tabs>
        <w:spacing w:after="240"/>
        <w:jc w:val="right"/>
        <w:rPr>
          <w:rFonts w:ascii="Times New Roman" w:hAnsi="Times New Roman"/>
          <w:b/>
          <w:noProof/>
          <w:sz w:val="24"/>
          <w:szCs w:val="24"/>
          <w:lang w:val="ru-RU"/>
        </w:rPr>
      </w:pPr>
    </w:p>
    <w:p w:rsidR="0059459F" w:rsidRDefault="00246BD0">
      <w:pPr>
        <w:tabs>
          <w:tab w:val="left" w:pos="2127"/>
        </w:tabs>
        <w:spacing w:after="240"/>
        <w:jc w:val="center"/>
        <w:rPr>
          <w:rFonts w:ascii="Times New Roman" w:hAnsi="Times New Roman"/>
          <w:b/>
          <w:noProof/>
          <w:sz w:val="24"/>
          <w:szCs w:val="24"/>
        </w:rPr>
      </w:pPr>
      <w:r>
        <w:rPr>
          <w:rFonts w:ascii="Times New Roman" w:hAnsi="Times New Roman"/>
          <w:b/>
          <w:noProof/>
          <w:sz w:val="24"/>
          <w:szCs w:val="24"/>
          <w:lang w:val="fr-BE" w:eastAsia="fr-BE"/>
        </w:rPr>
        <w:drawing>
          <wp:inline distT="0" distB="0" distL="0" distR="0">
            <wp:extent cx="5635923" cy="4226943"/>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6197" cy="4242148"/>
                    </a:xfrm>
                    <a:prstGeom prst="rect">
                      <a:avLst/>
                    </a:prstGeom>
                  </pic:spPr>
                </pic:pic>
              </a:graphicData>
            </a:graphic>
          </wp:inline>
        </w:drawing>
      </w:r>
    </w:p>
    <w:p w:rsidR="0059459F" w:rsidRDefault="00246BD0">
      <w:pPr>
        <w:rPr>
          <w:rFonts w:ascii="Times New Roman" w:hAnsi="Times New Roman"/>
          <w:b/>
          <w:noProof/>
          <w:sz w:val="24"/>
          <w:szCs w:val="24"/>
        </w:rPr>
      </w:pPr>
      <w:r>
        <w:rPr>
          <w:noProof/>
        </w:rPr>
        <w:br w:type="page"/>
      </w:r>
    </w:p>
    <w:p w:rsidR="0059459F" w:rsidRDefault="0059459F">
      <w:pPr>
        <w:spacing w:after="240"/>
        <w:rPr>
          <w:rFonts w:ascii="Times New Roman" w:hAnsi="Times New Roman"/>
          <w:b/>
          <w:noProof/>
          <w:sz w:val="24"/>
          <w:szCs w:val="24"/>
        </w:rPr>
      </w:pPr>
    </w:p>
    <w:p w:rsidR="0059459F" w:rsidRDefault="00246BD0">
      <w:pPr>
        <w:pBdr>
          <w:top w:val="single" w:sz="4" w:space="1" w:color="auto"/>
          <w:left w:val="single" w:sz="4" w:space="4" w:color="auto"/>
          <w:bottom w:val="single" w:sz="4" w:space="1" w:color="auto"/>
          <w:right w:val="single" w:sz="4" w:space="4" w:color="auto"/>
        </w:pBdr>
        <w:spacing w:after="240"/>
        <w:rPr>
          <w:rFonts w:ascii="Times New Roman" w:hAnsi="Times New Roman"/>
          <w:b/>
          <w:i/>
          <w:noProof/>
          <w:sz w:val="24"/>
          <w:szCs w:val="24"/>
        </w:rPr>
      </w:pPr>
      <w:r>
        <w:rPr>
          <w:rFonts w:ascii="Times New Roman" w:hAnsi="Times New Roman"/>
          <w:b/>
          <w:i/>
          <w:noProof/>
          <w:sz w:val="24"/>
          <w:szCs w:val="24"/>
        </w:rPr>
        <w:t xml:space="preserve">По какъв начин бюджетът на ЕС ще мобилизира най-малко 1 трилион </w:t>
      </w:r>
      <w:r>
        <w:rPr>
          <w:rFonts w:ascii="Times New Roman" w:hAnsi="Times New Roman"/>
          <w:b/>
          <w:i/>
          <w:noProof/>
          <w:sz w:val="24"/>
          <w:szCs w:val="24"/>
        </w:rPr>
        <w:t>евро през следващото десетилетие?</w:t>
      </w:r>
    </w:p>
    <w:p w:rsidR="0059459F" w:rsidRDefault="00246BD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 xml:space="preserve">Мобилизирането на най-малко 1 трилион евро през следващото десетилетие изисква комбинация от средства, предоставени от бюджета на ЕС, предложен от Комисията, и генерирани от тях допълнителни публични и частни инвестиции. </w:t>
      </w:r>
    </w:p>
    <w:p w:rsidR="0059459F" w:rsidRDefault="00246BD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bCs/>
          <w:noProof/>
          <w:sz w:val="24"/>
          <w:szCs w:val="24"/>
        </w:rPr>
        <w:t>Разходите, свързани с климата и околната среда, в рамките на бюджета на ЕС ще осигурят 503 милиарда евро</w:t>
      </w:r>
      <w:r>
        <w:rPr>
          <w:rFonts w:ascii="Times New Roman" w:hAnsi="Times New Roman"/>
          <w:noProof/>
          <w:sz w:val="24"/>
          <w:szCs w:val="24"/>
        </w:rPr>
        <w:t xml:space="preserve"> за периода 2021—2030 г. в съответствие с целта за интегриране на 25 % от средствата в политиките в областта на климата, предложена за многогодишната фи</w:t>
      </w:r>
      <w:r>
        <w:rPr>
          <w:rFonts w:ascii="Times New Roman" w:hAnsi="Times New Roman"/>
          <w:noProof/>
          <w:sz w:val="24"/>
          <w:szCs w:val="24"/>
        </w:rPr>
        <w:t>нансова рамка (МФР) за периода 2021—2027 г. и включително разходите за околната среда във всички програми</w:t>
      </w:r>
      <w:r>
        <w:rPr>
          <w:rStyle w:val="FootnoteReference"/>
          <w:rFonts w:ascii="Times New Roman" w:hAnsi="Times New Roman"/>
          <w:noProof/>
        </w:rPr>
        <w:footnoteReference w:id="8"/>
      </w:r>
      <w:r>
        <w:rPr>
          <w:rFonts w:ascii="Times New Roman" w:hAnsi="Times New Roman"/>
          <w:noProof/>
          <w:sz w:val="20"/>
          <w:szCs w:val="20"/>
        </w:rPr>
        <w:t>.</w:t>
      </w:r>
      <w:r>
        <w:rPr>
          <w:rFonts w:ascii="Times New Roman" w:hAnsi="Times New Roman"/>
          <w:noProof/>
          <w:sz w:val="24"/>
          <w:szCs w:val="24"/>
        </w:rPr>
        <w:t xml:space="preserve"> </w:t>
      </w:r>
      <w:r>
        <w:rPr>
          <w:rFonts w:ascii="Times New Roman" w:hAnsi="Times New Roman"/>
          <w:b/>
          <w:bCs/>
          <w:noProof/>
          <w:sz w:val="24"/>
          <w:szCs w:val="24"/>
        </w:rPr>
        <w:t>Това ще доведе до допълнително национално съфинансиране в размер на 114 милиарда евро</w:t>
      </w:r>
      <w:r>
        <w:rPr>
          <w:rFonts w:ascii="Times New Roman" w:hAnsi="Times New Roman"/>
          <w:noProof/>
          <w:sz w:val="24"/>
          <w:szCs w:val="24"/>
        </w:rPr>
        <w:t xml:space="preserve"> за този период от време в областта на климата и околната среда. </w:t>
      </w:r>
    </w:p>
    <w:p w:rsidR="0059459F" w:rsidRDefault="00246BD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noProof/>
          <w:sz w:val="24"/>
          <w:szCs w:val="24"/>
        </w:rPr>
        <w:t>Фондът InvestEU ще мобилизира около 277 милиарда евро</w:t>
      </w:r>
      <w:r>
        <w:rPr>
          <w:rFonts w:ascii="Times New Roman" w:hAnsi="Times New Roman"/>
          <w:noProof/>
          <w:sz w:val="24"/>
          <w:szCs w:val="24"/>
        </w:rPr>
        <w:t xml:space="preserve"> частни и публични инвестиции в областта на климата и околната среда за периода 2021—2030 г., като предостави гаранция от бюджета на ЕС з</w:t>
      </w:r>
      <w:r>
        <w:rPr>
          <w:rFonts w:ascii="Times New Roman" w:hAnsi="Times New Roman"/>
          <w:noProof/>
          <w:sz w:val="24"/>
          <w:szCs w:val="24"/>
        </w:rPr>
        <w:t>а намаляване на риска при операциите по финансиране и инвестиране.</w:t>
      </w:r>
    </w:p>
    <w:p w:rsidR="0059459F" w:rsidRDefault="00246BD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 xml:space="preserve">С цел никой да не бъде изоставен, </w:t>
      </w:r>
      <w:r>
        <w:rPr>
          <w:rFonts w:ascii="Times New Roman" w:hAnsi="Times New Roman"/>
          <w:b/>
          <w:bCs/>
          <w:noProof/>
          <w:sz w:val="24"/>
          <w:szCs w:val="24"/>
        </w:rPr>
        <w:t>Механизмът за справедлив преход</w:t>
      </w:r>
      <w:r>
        <w:rPr>
          <w:rFonts w:ascii="Times New Roman" w:hAnsi="Times New Roman"/>
          <w:noProof/>
          <w:sz w:val="24"/>
          <w:szCs w:val="24"/>
        </w:rPr>
        <w:t xml:space="preserve"> ще включва финансиране от бюджета на ЕС, съфинансиране от държавите членки, както и принос от InvestEU и ЕИБ, така че да бъ</w:t>
      </w:r>
      <w:r>
        <w:rPr>
          <w:rFonts w:ascii="Times New Roman" w:hAnsi="Times New Roman"/>
          <w:noProof/>
          <w:sz w:val="24"/>
          <w:szCs w:val="24"/>
        </w:rPr>
        <w:t xml:space="preserve">дат </w:t>
      </w:r>
      <w:r>
        <w:rPr>
          <w:rFonts w:ascii="Times New Roman" w:hAnsi="Times New Roman"/>
          <w:b/>
          <w:bCs/>
          <w:noProof/>
          <w:sz w:val="24"/>
          <w:szCs w:val="24"/>
        </w:rPr>
        <w:t>мобилизирани инвестиции от 100 милиарда евро</w:t>
      </w:r>
      <w:r>
        <w:rPr>
          <w:rFonts w:ascii="Times New Roman" w:hAnsi="Times New Roman"/>
          <w:noProof/>
          <w:sz w:val="24"/>
          <w:szCs w:val="24"/>
        </w:rPr>
        <w:t xml:space="preserve"> </w:t>
      </w:r>
      <w:r>
        <w:rPr>
          <w:rFonts w:ascii="Times New Roman" w:hAnsi="Times New Roman"/>
          <w:b/>
          <w:bCs/>
          <w:noProof/>
          <w:sz w:val="24"/>
          <w:szCs w:val="24"/>
        </w:rPr>
        <w:t>за периода 2021—2027 г.</w:t>
      </w:r>
      <w:r>
        <w:rPr>
          <w:rFonts w:ascii="Times New Roman" w:hAnsi="Times New Roman"/>
          <w:noProof/>
          <w:sz w:val="24"/>
          <w:szCs w:val="24"/>
        </w:rPr>
        <w:t xml:space="preserve">, които, екстраполирани за 10 години, ще достигнат 143 милиарда евро, за да се гарантира справедлив преход. </w:t>
      </w:r>
    </w:p>
    <w:p w:rsidR="0059459F" w:rsidRDefault="00246BD0">
      <w:pPr>
        <w:pBdr>
          <w:top w:val="single" w:sz="4" w:space="1" w:color="auto"/>
          <w:left w:val="single" w:sz="4" w:space="4" w:color="auto"/>
          <w:bottom w:val="single" w:sz="4" w:space="1" w:color="auto"/>
          <w:right w:val="single" w:sz="4" w:space="4" w:color="auto"/>
        </w:pBdr>
        <w:spacing w:after="240"/>
        <w:jc w:val="both"/>
        <w:rPr>
          <w:rFonts w:ascii="Times New Roman" w:hAnsi="Times New Roman"/>
          <w:b/>
          <w:noProof/>
          <w:sz w:val="24"/>
          <w:szCs w:val="24"/>
        </w:rPr>
      </w:pPr>
      <w:r>
        <w:rPr>
          <w:rFonts w:ascii="Times New Roman" w:hAnsi="Times New Roman"/>
          <w:b/>
          <w:bCs/>
          <w:noProof/>
          <w:sz w:val="24"/>
          <w:szCs w:val="24"/>
        </w:rPr>
        <w:t>Фондът за иновации и Модернизационният фонд</w:t>
      </w:r>
      <w:r>
        <w:rPr>
          <w:rFonts w:ascii="Times New Roman" w:hAnsi="Times New Roman"/>
          <w:noProof/>
          <w:sz w:val="24"/>
          <w:szCs w:val="24"/>
        </w:rPr>
        <w:t>, които не са част от бюджета на</w:t>
      </w:r>
      <w:r>
        <w:rPr>
          <w:rFonts w:ascii="Times New Roman" w:hAnsi="Times New Roman"/>
          <w:noProof/>
          <w:sz w:val="24"/>
          <w:szCs w:val="24"/>
        </w:rPr>
        <w:t xml:space="preserve"> ЕС, но се финансират чрез част от приходите от търговете за квоти за емисии на парникови газове в рамките на схемата за търговия с емисии, </w:t>
      </w:r>
      <w:r>
        <w:rPr>
          <w:rFonts w:ascii="Times New Roman" w:hAnsi="Times New Roman"/>
          <w:b/>
          <w:bCs/>
          <w:noProof/>
          <w:sz w:val="24"/>
          <w:szCs w:val="24"/>
        </w:rPr>
        <w:t>ще осигурят поне около 25 милиарда евро</w:t>
      </w:r>
      <w:r>
        <w:rPr>
          <w:rFonts w:ascii="Times New Roman" w:hAnsi="Times New Roman"/>
          <w:noProof/>
          <w:sz w:val="24"/>
          <w:szCs w:val="24"/>
        </w:rPr>
        <w:t xml:space="preserve"> за прехода на ЕС към неутралност по отношение на климата.</w:t>
      </w:r>
    </w:p>
    <w:p w:rsidR="0059459F" w:rsidRDefault="00246BD0">
      <w:pPr>
        <w:pStyle w:val="Heading2"/>
        <w:spacing w:after="240"/>
        <w:rPr>
          <w:noProof/>
        </w:rPr>
      </w:pPr>
      <w:r>
        <w:rPr>
          <w:noProof/>
        </w:rPr>
        <w:t>По-амбициозни цели</w:t>
      </w:r>
      <w:r>
        <w:rPr>
          <w:noProof/>
        </w:rPr>
        <w:t xml:space="preserve"> на бюджета на ЕС и свързаните с него програми</w:t>
      </w:r>
    </w:p>
    <w:p w:rsidR="0059459F" w:rsidRDefault="00246BD0">
      <w:pPr>
        <w:spacing w:after="240"/>
        <w:jc w:val="both"/>
        <w:rPr>
          <w:rFonts w:ascii="Times New Roman" w:hAnsi="Times New Roman"/>
          <w:noProof/>
          <w:sz w:val="24"/>
          <w:szCs w:val="24"/>
        </w:rPr>
      </w:pPr>
      <w:r>
        <w:rPr>
          <w:rFonts w:ascii="Times New Roman" w:hAnsi="Times New Roman"/>
          <w:b/>
          <w:bCs/>
          <w:noProof/>
          <w:sz w:val="24"/>
          <w:szCs w:val="24"/>
        </w:rPr>
        <w:t>В рамките на предложението си за следващата многогодишна финансова рамка на ЕС Комисията предложи да се увеличи амбицията във връзка с климата до 25 %</w:t>
      </w:r>
      <w:r>
        <w:rPr>
          <w:rFonts w:ascii="Times New Roman" w:hAnsi="Times New Roman"/>
          <w:noProof/>
          <w:sz w:val="24"/>
          <w:szCs w:val="24"/>
        </w:rPr>
        <w:t xml:space="preserve">. Комисията призовава Европейския парламент и Съвета да не </w:t>
      </w:r>
      <w:r>
        <w:rPr>
          <w:rFonts w:ascii="Times New Roman" w:hAnsi="Times New Roman"/>
          <w:noProof/>
          <w:sz w:val="24"/>
          <w:szCs w:val="24"/>
        </w:rPr>
        <w:t>спадат под това равнище на амбиция в текущите преговори.</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Различните програми, предложени от Комисията за следващата многогодишна финансова рамка на ЕС, ще включват конкретни мерки за засилване на връзката между изпълнението на бюджета на ЕС и целта за по-е</w:t>
      </w:r>
      <w:r>
        <w:rPr>
          <w:rFonts w:ascii="Times New Roman" w:hAnsi="Times New Roman"/>
          <w:b/>
          <w:noProof/>
          <w:sz w:val="24"/>
          <w:szCs w:val="24"/>
        </w:rPr>
        <w:t>кологосъобразна Европа без въглеродни емисии, например:</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Очаква се Кохезионният фонд и Европейският фонд за регионално развитие да инвестират най-малко 108 милиарда евро в проекти, свързани с климата и околната среда, през следващите 7 години (2021—2027 г.)</w:t>
      </w:r>
      <w:r>
        <w:rPr>
          <w:rFonts w:ascii="Times New Roman" w:hAnsi="Times New Roman"/>
          <w:noProof/>
          <w:sz w:val="24"/>
          <w:szCs w:val="24"/>
        </w:rPr>
        <w:t xml:space="preserve">, което представлява повече от 30 % от общия пакет. </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Бъдещата обща селскостопанска политика ще насочи 40 % от общия си пакет в подкрепа на цели, свързани с климата. Всички директни плащания ще бъдат обвързани със спазването на завишени изисквания по отноше</w:t>
      </w:r>
      <w:r>
        <w:rPr>
          <w:rFonts w:ascii="Times New Roman" w:hAnsi="Times New Roman"/>
          <w:noProof/>
          <w:sz w:val="24"/>
          <w:szCs w:val="24"/>
        </w:rPr>
        <w:t xml:space="preserve">ние на околната среда и климата. </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Най-малко 35 % от бюджета на „Хоризонт Европа“ (който се очаква да достигне 35 милиарда евро) ще бъдат в подкрепа на целите в областта на климата. Освен това през последната година от изпълнението на „Хоризонт 2020“ Комиси</w:t>
      </w:r>
      <w:r>
        <w:rPr>
          <w:rFonts w:ascii="Times New Roman" w:hAnsi="Times New Roman"/>
          <w:noProof/>
          <w:sz w:val="24"/>
          <w:szCs w:val="24"/>
        </w:rPr>
        <w:t>ята подготвя допълнителна покана за представяне на предложения за около 1 милиард евро, предназначени за приоритетите на Зеления пакт, в допълнение към съществуващите отпуснати средства в размер на 1,35 милиард евро през 2020 г.</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 xml:space="preserve">Пакетът на програмата LIFE </w:t>
      </w:r>
      <w:r>
        <w:rPr>
          <w:rFonts w:ascii="Times New Roman" w:hAnsi="Times New Roman"/>
          <w:noProof/>
          <w:sz w:val="24"/>
          <w:szCs w:val="24"/>
        </w:rPr>
        <w:t>ще се увеличи с 72 % в сравнение с периода 2014—2020 г. до 5,4 милиарда евро. Над 60 % от нейния пакет ще преследват свързани с климата цели, включително 0,95 милиарда евро за действия в областта на климата, 1 милиард евро за прехода към чиста енергия и 2,</w:t>
      </w:r>
      <w:r>
        <w:rPr>
          <w:rFonts w:ascii="Times New Roman" w:hAnsi="Times New Roman"/>
          <w:noProof/>
          <w:sz w:val="24"/>
          <w:szCs w:val="24"/>
        </w:rPr>
        <w:t>15 милиарда евро за природата и биологичното разнообразие.</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Най-малко 60 % от бюджета на Механизма за свързване на Европа (подпомагащ транспорта, енергетиката и цифровите инфраструктури) ще бъдат насочени в подкрепа на целите в областта на климата.</w:t>
      </w:r>
    </w:p>
    <w:p w:rsidR="0059459F" w:rsidRDefault="00246BD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Според п</w:t>
      </w:r>
      <w:r>
        <w:rPr>
          <w:rFonts w:ascii="Times New Roman" w:hAnsi="Times New Roman"/>
          <w:noProof/>
          <w:sz w:val="24"/>
          <w:szCs w:val="24"/>
        </w:rPr>
        <w:t>рогнозите Европейският социален фонд + ще подкрепи повишаването на квалификацията и преквалификацията на 5 милиона души, за да могат да заемат екологосъобразни работни места в зелената икономика.</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 xml:space="preserve">Бюджетът на ЕС ще допринесе за постигането на целите в </w:t>
      </w:r>
      <w:r>
        <w:rPr>
          <w:rFonts w:ascii="Times New Roman" w:hAnsi="Times New Roman"/>
          <w:b/>
          <w:noProof/>
          <w:sz w:val="24"/>
          <w:szCs w:val="24"/>
        </w:rPr>
        <w:t>областта на климата и чрез приходната си част</w:t>
      </w:r>
      <w:r>
        <w:rPr>
          <w:rFonts w:ascii="Times New Roman" w:hAnsi="Times New Roman"/>
          <w:noProof/>
          <w:sz w:val="24"/>
          <w:szCs w:val="24"/>
        </w:rPr>
        <w:t>. През май 2018 г. Комисията представи предложение за решение за собствените ресурси, включващо набор от нови собствени ресурси. Един от основните му елементи е собственият ресурс от нерециклирани отпадъци от пл</w:t>
      </w:r>
      <w:r>
        <w:rPr>
          <w:rFonts w:ascii="Times New Roman" w:hAnsi="Times New Roman"/>
          <w:noProof/>
          <w:sz w:val="24"/>
          <w:szCs w:val="24"/>
        </w:rPr>
        <w:t xml:space="preserve">астмасови опаковки, който ще допринесе за постигането на общите за ЕС цели, определени в стратегията за отпадъците. Освен това съгласно предложението на Комисията 20 % от приходите от търговете по схемата на ЕС за търговия с емисии (СТЕ) ще бъдат включени </w:t>
      </w:r>
      <w:r>
        <w:rPr>
          <w:rFonts w:ascii="Times New Roman" w:hAnsi="Times New Roman"/>
          <w:noProof/>
          <w:sz w:val="24"/>
          <w:szCs w:val="24"/>
        </w:rPr>
        <w:t>в бюджета на ЕС като собствен ресурс.</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Освен това Фондът за модернизиране на схемата на ЕС за търговия с емисии и Фондът за иновации, които се финансират извън дългосрочния бюджет на ЕС, ще насочат допълнителни средства към зеления преход.</w:t>
      </w:r>
      <w:r>
        <w:rPr>
          <w:rFonts w:ascii="Times New Roman" w:hAnsi="Times New Roman"/>
          <w:noProof/>
          <w:sz w:val="24"/>
          <w:szCs w:val="24"/>
        </w:rPr>
        <w:t xml:space="preserve"> Фондът за иноваци</w:t>
      </w:r>
      <w:r>
        <w:rPr>
          <w:rFonts w:ascii="Times New Roman" w:hAnsi="Times New Roman"/>
          <w:noProof/>
          <w:sz w:val="24"/>
          <w:szCs w:val="24"/>
        </w:rPr>
        <w:t>и ще подпомага инвестициите в мащабното внедряване на повратни нисковъглеродни технологии и процеси в енергията от възобновяеми източници и енергоемките отрасли, включително улавянето, използването и съхранението на въглероден диоксид, както и съхранението</w:t>
      </w:r>
      <w:r>
        <w:rPr>
          <w:rFonts w:ascii="Times New Roman" w:hAnsi="Times New Roman"/>
          <w:noProof/>
          <w:sz w:val="24"/>
          <w:szCs w:val="24"/>
        </w:rPr>
        <w:t xml:space="preserve"> на енергия. Целта е да се сподели иновационният риск с организаторите на проекти, за да се подкрепят новаторски проекти, които са първи по рода си, и да се превърне европейската промишленост в световен лидер в тези чисти технологии. В момента Комисията по</w:t>
      </w:r>
      <w:r>
        <w:rPr>
          <w:rFonts w:ascii="Times New Roman" w:hAnsi="Times New Roman"/>
          <w:noProof/>
          <w:sz w:val="24"/>
          <w:szCs w:val="24"/>
        </w:rPr>
        <w:t>дготвя първата покана за представяне на предложения за Фонда за иновации, на която следва да бъде даден ход в средата на 2020 г., в размер от 1 милиард евро. През следващите месеци ще се проведат няколко работни срещи за информиране на организаторите на пр</w:t>
      </w:r>
      <w:r>
        <w:rPr>
          <w:rFonts w:ascii="Times New Roman" w:hAnsi="Times New Roman"/>
          <w:noProof/>
          <w:sz w:val="24"/>
          <w:szCs w:val="24"/>
        </w:rPr>
        <w:t>оекти и други частни и публични инвеститори с цел разработване на набор от ефективни критерии за подбор. Модернизационният фонд ще подкрепя инвестициите в модернизирането на електроенергийния сектор и енергетиката като цяло, като подобри енергийната ефекти</w:t>
      </w:r>
      <w:r>
        <w:rPr>
          <w:rFonts w:ascii="Times New Roman" w:hAnsi="Times New Roman"/>
          <w:noProof/>
          <w:sz w:val="24"/>
          <w:szCs w:val="24"/>
        </w:rPr>
        <w:t>вност в 10 държави членки с по-ниски доходи. Той може също така да подкрепи преквалификацията и повишаването на квалификацията на засегнатите лица.</w:t>
      </w:r>
      <w:r>
        <w:rPr>
          <w:rFonts w:ascii="Times New Roman" w:hAnsi="Times New Roman"/>
          <w:b/>
          <w:noProof/>
          <w:sz w:val="24"/>
          <w:szCs w:val="24"/>
        </w:rPr>
        <w:t xml:space="preserve"> </w:t>
      </w:r>
      <w:r>
        <w:rPr>
          <w:rFonts w:ascii="Times New Roman" w:hAnsi="Times New Roman"/>
          <w:noProof/>
          <w:sz w:val="24"/>
          <w:szCs w:val="24"/>
        </w:rPr>
        <w:t>Комисията скоро ще проведе консултация относно правилата за прилагане на Модернизационния фонд. Комисията ще</w:t>
      </w:r>
      <w:r>
        <w:rPr>
          <w:rFonts w:ascii="Times New Roman" w:hAnsi="Times New Roman"/>
          <w:noProof/>
          <w:sz w:val="24"/>
          <w:szCs w:val="24"/>
        </w:rPr>
        <w:t xml:space="preserve"> направи преглед на двата инструмента като част от преразглеждането на схемата на ЕС за търговия с емисии и ще разгледа възможността за отпускане на допълнителни приходи за бюджета на ЕС, за да се засили финансирането на справедливия преход.</w:t>
      </w:r>
    </w:p>
    <w:p w:rsidR="0059459F" w:rsidRDefault="00246BD0">
      <w:pPr>
        <w:spacing w:after="240"/>
        <w:jc w:val="both"/>
        <w:rPr>
          <w:rFonts w:ascii="Times New Roman" w:hAnsi="Times New Roman"/>
          <w:noProof/>
          <w:sz w:val="24"/>
          <w:szCs w:val="24"/>
        </w:rPr>
      </w:pPr>
      <w:r>
        <w:rPr>
          <w:rFonts w:ascii="Times New Roman" w:hAnsi="Times New Roman"/>
          <w:b/>
          <w:bCs/>
          <w:noProof/>
          <w:sz w:val="24"/>
          <w:szCs w:val="24"/>
        </w:rPr>
        <w:t>В съответствие</w:t>
      </w:r>
      <w:r>
        <w:rPr>
          <w:rFonts w:ascii="Times New Roman" w:hAnsi="Times New Roman"/>
          <w:b/>
          <w:bCs/>
          <w:noProof/>
          <w:sz w:val="24"/>
          <w:szCs w:val="24"/>
        </w:rPr>
        <w:t xml:space="preserve"> със съобщението относно Зеления пакт Комисията ще представи до лятото на 2020 г. план с оценка на въздействието с цел да се повишат целите на ЕС за намаляване на емисиите на парникови газове до 2030 г.</w:t>
      </w:r>
      <w:r>
        <w:rPr>
          <w:rFonts w:ascii="Times New Roman" w:hAnsi="Times New Roman"/>
          <w:noProof/>
          <w:sz w:val="24"/>
          <w:szCs w:val="24"/>
        </w:rPr>
        <w:t>, включително анализ на нуждите от инвестиции. В завис</w:t>
      </w:r>
      <w:r>
        <w:rPr>
          <w:rFonts w:ascii="Times New Roman" w:hAnsi="Times New Roman"/>
          <w:noProof/>
          <w:sz w:val="24"/>
          <w:szCs w:val="24"/>
        </w:rPr>
        <w:t>имост от резултата от тази оценка може да е целесъобразно в следващата многогодишна финансова рамка да се предвидят евентуални промени в целите, свързани с климата.</w:t>
      </w:r>
    </w:p>
    <w:p w:rsidR="0059459F" w:rsidRDefault="0059459F">
      <w:pPr>
        <w:spacing w:after="240"/>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jc w:val="both"/>
              <w:rPr>
                <w:rFonts w:ascii="Times New Roman" w:hAnsi="Times New Roman"/>
                <w:b/>
                <w:noProof/>
                <w:sz w:val="24"/>
                <w:szCs w:val="24"/>
              </w:rPr>
            </w:pPr>
            <w:r>
              <w:rPr>
                <w:rFonts w:ascii="Times New Roman" w:hAnsi="Times New Roman"/>
                <w:b/>
                <w:noProof/>
                <w:sz w:val="24"/>
                <w:szCs w:val="24"/>
              </w:rPr>
              <w:t>Комисията:</w:t>
            </w:r>
          </w:p>
          <w:p w:rsidR="0059459F" w:rsidRDefault="00246BD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 xml:space="preserve">Ще защитава в междуинституционалните преговори по-висока амбиция в областта на </w:t>
            </w:r>
            <w:r>
              <w:rPr>
                <w:rFonts w:ascii="Times New Roman" w:hAnsi="Times New Roman"/>
                <w:b/>
                <w:noProof/>
                <w:sz w:val="24"/>
                <w:szCs w:val="24"/>
              </w:rPr>
              <w:t>климата от поне 25 % от многогодишната финансова рамка .</w:t>
            </w:r>
          </w:p>
          <w:p w:rsidR="0059459F" w:rsidRDefault="00246BD0">
            <w:pPr>
              <w:pStyle w:val="ListParagraph"/>
              <w:numPr>
                <w:ilvl w:val="0"/>
                <w:numId w:val="30"/>
              </w:numPr>
              <w:spacing w:after="240"/>
              <w:rPr>
                <w:rFonts w:ascii="Times New Roman" w:hAnsi="Times New Roman"/>
                <w:noProof/>
                <w:sz w:val="24"/>
                <w:szCs w:val="24"/>
              </w:rPr>
            </w:pPr>
            <w:r>
              <w:rPr>
                <w:rFonts w:ascii="Times New Roman" w:hAnsi="Times New Roman"/>
                <w:b/>
                <w:noProof/>
                <w:sz w:val="24"/>
                <w:szCs w:val="24"/>
              </w:rPr>
              <w:t>Ще подобри системата за проследяване на напредъка към постигането на тази цел.</w:t>
            </w:r>
          </w:p>
        </w:tc>
      </w:tr>
    </w:tbl>
    <w:p w:rsidR="0059459F" w:rsidRDefault="0059459F">
      <w:pPr>
        <w:pStyle w:val="Heading2"/>
        <w:numPr>
          <w:ilvl w:val="0"/>
          <w:numId w:val="0"/>
        </w:numPr>
        <w:spacing w:after="240"/>
        <w:ind w:left="1077"/>
        <w:rPr>
          <w:noProof/>
        </w:rPr>
      </w:pPr>
    </w:p>
    <w:p w:rsidR="0059459F" w:rsidRDefault="00246BD0">
      <w:pPr>
        <w:pStyle w:val="Heading2"/>
        <w:spacing w:after="240"/>
        <w:rPr>
          <w:noProof/>
        </w:rPr>
      </w:pPr>
      <w:r>
        <w:rPr>
          <w:noProof/>
        </w:rPr>
        <w:t>Привличане на частни инвестиции чрез InvestEU</w:t>
      </w:r>
    </w:p>
    <w:p w:rsidR="0059459F" w:rsidRDefault="00246BD0">
      <w:pPr>
        <w:spacing w:after="240"/>
        <w:jc w:val="both"/>
        <w:rPr>
          <w:rFonts w:ascii="Times New Roman" w:hAnsi="Times New Roman"/>
          <w:noProof/>
          <w:sz w:val="28"/>
          <w:szCs w:val="24"/>
        </w:rPr>
      </w:pPr>
      <w:r>
        <w:rPr>
          <w:rFonts w:ascii="Times New Roman" w:hAnsi="Times New Roman"/>
          <w:b/>
          <w:noProof/>
          <w:sz w:val="24"/>
        </w:rPr>
        <w:t>Някои необходими за прехода инвестиции водят до по-голям риск, отколкото частният сектор може да поеме самостоятелно. В тези случаи могат да се използват целенасочено публични средства за намаляване на риска за проектите и за привличане на частно финансира</w:t>
      </w:r>
      <w:r>
        <w:rPr>
          <w:rFonts w:ascii="Times New Roman" w:hAnsi="Times New Roman"/>
          <w:b/>
          <w:noProof/>
          <w:sz w:val="24"/>
        </w:rPr>
        <w:t xml:space="preserve">не. </w:t>
      </w:r>
      <w:r>
        <w:rPr>
          <w:rFonts w:ascii="Times New Roman" w:hAnsi="Times New Roman"/>
          <w:noProof/>
          <w:sz w:val="24"/>
        </w:rPr>
        <w:t>Чрез предоставянето на гаранция от бюджета на ЕС за частично покриване на риска от операции по финансиране и инвестиране, програмата InvestEU, приемник на Европейския фонд за стратегически инвестиции и 13 други финансови инструмента на ЕС, ще мобилизир</w:t>
      </w:r>
      <w:r>
        <w:rPr>
          <w:rFonts w:ascii="Times New Roman" w:hAnsi="Times New Roman"/>
          <w:noProof/>
          <w:sz w:val="24"/>
        </w:rPr>
        <w:t>а 650 милиарда евро през период от 7 години. Трябва да се използва целият потенциал на програмата InvestEU в подкрепа на целите на Европейския зелен пакт. Ето защо постигането на амбициозна цел в областта на климата за InvestEU в контекста на текущите межд</w:t>
      </w:r>
      <w:r>
        <w:rPr>
          <w:rFonts w:ascii="Times New Roman" w:hAnsi="Times New Roman"/>
          <w:noProof/>
          <w:sz w:val="24"/>
        </w:rPr>
        <w:t>уинституционални преговори е от съществено значение. Комисията предложи цел от най-малко 30 %, която ще генерира инвестиции в областта на климата в размер на приблизително 195 милиарда евро за периода от 2021 г. до 2027 г., т.е. близо 28 милиарда евро годи</w:t>
      </w:r>
      <w:r>
        <w:rPr>
          <w:rFonts w:ascii="Times New Roman" w:hAnsi="Times New Roman"/>
          <w:noProof/>
          <w:sz w:val="24"/>
        </w:rPr>
        <w:t xml:space="preserve">шно и 280 милиарда евро за едно десетилетие. </w:t>
      </w:r>
    </w:p>
    <w:p w:rsidR="0059459F" w:rsidRDefault="00246BD0">
      <w:pPr>
        <w:spacing w:after="240"/>
        <w:jc w:val="both"/>
        <w:rPr>
          <w:rFonts w:ascii="Times New Roman" w:hAnsi="Times New Roman"/>
          <w:noProof/>
          <w:sz w:val="28"/>
          <w:szCs w:val="24"/>
        </w:rPr>
      </w:pPr>
      <w:r>
        <w:rPr>
          <w:rFonts w:ascii="Times New Roman" w:hAnsi="Times New Roman"/>
          <w:b/>
          <w:noProof/>
          <w:sz w:val="24"/>
        </w:rPr>
        <w:t>InvestEU ще подкрепя инвестициите в устойчивост във всички сектори на икономиката. Чрез програмата също така ще се разпространяват практики за устойчивост сред частните и публичните инвеститори.</w:t>
      </w:r>
      <w:r>
        <w:rPr>
          <w:rFonts w:ascii="Times New Roman" w:hAnsi="Times New Roman"/>
          <w:noProof/>
          <w:sz w:val="24"/>
        </w:rPr>
        <w:t xml:space="preserve"> Комисията ще пр</w:t>
      </w:r>
      <w:r>
        <w:rPr>
          <w:rFonts w:ascii="Times New Roman" w:hAnsi="Times New Roman"/>
          <w:noProof/>
          <w:sz w:val="24"/>
        </w:rPr>
        <w:t>едложи методика за проследяване на свързаните с климата разходи, която служи за измерване на приноса на специфични операции по финансиране и инвестиране към целите на програмата в областта на климата и околната среда. Освен това тя ще въведе метод за „пров</w:t>
      </w:r>
      <w:r>
        <w:rPr>
          <w:rFonts w:ascii="Times New Roman" w:hAnsi="Times New Roman"/>
          <w:noProof/>
          <w:sz w:val="24"/>
        </w:rPr>
        <w:t>ерка на устойчивостта“, въз основа на който от организаторите на проекти над определен размер ще се изисква да оценяват екологичното, климатичното или социалното въздействие на тези проекти. Тъй като тези методи ще се прилагат от всички партньори по изпълн</w:t>
      </w:r>
      <w:r>
        <w:rPr>
          <w:rFonts w:ascii="Times New Roman" w:hAnsi="Times New Roman"/>
          <w:noProof/>
          <w:sz w:val="24"/>
        </w:rPr>
        <w:t>ението на програмата InvestEU (групата на Европейската инвестиционна банка, националните насърчителни банки и институции, международните финансови институции) и ще бъдат също така база за съпоставка за частните инвеститори и финансовите посредници, участва</w:t>
      </w:r>
      <w:r>
        <w:rPr>
          <w:rFonts w:ascii="Times New Roman" w:hAnsi="Times New Roman"/>
          <w:noProof/>
          <w:sz w:val="24"/>
        </w:rPr>
        <w:t xml:space="preserve">щи в програмата, се очаква те да се разпространят и отвъд програмата InvestEU. При тези методи ще се използва по съответен начин общоевропейската система за класификация на екологосъобразните икономически дейности (таксономия на ЕС). </w:t>
      </w:r>
    </w:p>
    <w:tbl>
      <w:tblPr>
        <w:tblStyle w:val="TableGrid"/>
        <w:tblW w:w="0" w:type="auto"/>
        <w:tblLook w:val="04A0" w:firstRow="1" w:lastRow="0" w:firstColumn="1" w:lastColumn="0" w:noHBand="0" w:noVBand="1"/>
      </w:tblPr>
      <w:tblGrid>
        <w:gridCol w:w="9062"/>
      </w:tblGrid>
      <w:tr w:rsidR="0059459F">
        <w:trPr>
          <w:trHeight w:val="2383"/>
        </w:trPr>
        <w:tc>
          <w:tcPr>
            <w:tcW w:w="9062" w:type="dxa"/>
          </w:tcPr>
          <w:p w:rsidR="0059459F" w:rsidRDefault="00246BD0">
            <w:pPr>
              <w:spacing w:after="240"/>
              <w:jc w:val="both"/>
              <w:rPr>
                <w:rFonts w:ascii="Times New Roman" w:hAnsi="Times New Roman"/>
                <w:b/>
                <w:noProof/>
                <w:sz w:val="28"/>
                <w:szCs w:val="24"/>
              </w:rPr>
            </w:pPr>
            <w:r>
              <w:rPr>
                <w:rFonts w:ascii="Times New Roman" w:hAnsi="Times New Roman"/>
                <w:b/>
                <w:noProof/>
                <w:sz w:val="24"/>
              </w:rPr>
              <w:t>Комисията:</w:t>
            </w:r>
          </w:p>
          <w:p w:rsidR="0059459F" w:rsidRDefault="00246BD0">
            <w:pPr>
              <w:pStyle w:val="ListParagraph"/>
              <w:numPr>
                <w:ilvl w:val="0"/>
                <w:numId w:val="30"/>
              </w:numPr>
              <w:spacing w:after="240"/>
              <w:rPr>
                <w:rFonts w:ascii="Times New Roman" w:hAnsi="Times New Roman"/>
                <w:b/>
                <w:noProof/>
                <w:sz w:val="28"/>
                <w:szCs w:val="24"/>
              </w:rPr>
            </w:pPr>
            <w:r>
              <w:rPr>
                <w:rFonts w:ascii="Times New Roman" w:hAnsi="Times New Roman"/>
                <w:b/>
                <w:noProof/>
                <w:sz w:val="24"/>
              </w:rPr>
              <w:t>Ще подобри</w:t>
            </w:r>
            <w:r>
              <w:rPr>
                <w:rFonts w:ascii="Times New Roman" w:hAnsi="Times New Roman"/>
                <w:b/>
                <w:noProof/>
                <w:sz w:val="24"/>
              </w:rPr>
              <w:t xml:space="preserve"> проследяването на разходите в областта на климата и околната среда и насоките за проверка на устойчивостта през втората половина на 2020 г. Тези документи с насоки ще използват по съответен начин критериите, установени в таксономията на ЕС, след влизането</w:t>
            </w:r>
            <w:r>
              <w:rPr>
                <w:rFonts w:ascii="Times New Roman" w:hAnsi="Times New Roman"/>
                <w:b/>
                <w:noProof/>
                <w:sz w:val="24"/>
              </w:rPr>
              <w:t xml:space="preserve"> ѝ в сила.</w:t>
            </w:r>
          </w:p>
          <w:p w:rsidR="0059459F" w:rsidRDefault="00246BD0">
            <w:pPr>
              <w:pStyle w:val="ListParagraph"/>
              <w:numPr>
                <w:ilvl w:val="0"/>
                <w:numId w:val="30"/>
              </w:numPr>
              <w:spacing w:after="240"/>
              <w:rPr>
                <w:rFonts w:ascii="Times New Roman" w:hAnsi="Times New Roman"/>
                <w:b/>
                <w:noProof/>
                <w:sz w:val="24"/>
                <w:szCs w:val="24"/>
              </w:rPr>
            </w:pPr>
            <w:r>
              <w:rPr>
                <w:rFonts w:ascii="Times New Roman" w:hAnsi="Times New Roman"/>
                <w:b/>
                <w:noProof/>
                <w:sz w:val="24"/>
              </w:rPr>
              <w:t>Ще разработи, в сътрудничество с партньорите по изпълнението на InvestEU, финансови продукти, които да бъдат използвани в рамките на InvestEU и които ще бъдат насочени към екологична, климатична и социална устойчивост.</w:t>
            </w:r>
          </w:p>
        </w:tc>
      </w:tr>
    </w:tbl>
    <w:p w:rsidR="0059459F" w:rsidRDefault="0059459F">
      <w:pPr>
        <w:spacing w:after="240"/>
        <w:jc w:val="both"/>
        <w:rPr>
          <w:rFonts w:ascii="Times New Roman" w:hAnsi="Times New Roman"/>
          <w:b/>
          <w:noProof/>
          <w:sz w:val="24"/>
          <w:szCs w:val="24"/>
        </w:rPr>
      </w:pPr>
    </w:p>
    <w:p w:rsidR="0059459F" w:rsidRDefault="00246BD0">
      <w:pPr>
        <w:pStyle w:val="Heading2"/>
        <w:spacing w:after="240"/>
        <w:rPr>
          <w:noProof/>
        </w:rPr>
      </w:pPr>
      <w:r>
        <w:rPr>
          <w:noProof/>
        </w:rPr>
        <w:t xml:space="preserve">Участие на Европейската инвестиционна банка и мобилизиране на други финансови институции </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Европейската инвестиционна банка (ЕИБ) също играе ключова роля за финансирането на прехода към неутрална по отношение на въглеродните емисии, устойчива икономика. </w:t>
      </w:r>
      <w:r>
        <w:rPr>
          <w:rFonts w:ascii="Times New Roman" w:hAnsi="Times New Roman"/>
          <w:noProof/>
          <w:sz w:val="24"/>
        </w:rPr>
        <w:t>Бан</w:t>
      </w:r>
      <w:r>
        <w:rPr>
          <w:rFonts w:ascii="Times New Roman" w:hAnsi="Times New Roman"/>
          <w:noProof/>
          <w:sz w:val="24"/>
        </w:rPr>
        <w:t xml:space="preserve">ката използва собствените си ресурси и бюджетна подкрепа от ЕС по различни програми и механизми, за да финансира действия в областта на климата и инвестиции в областта на околната среда, както в рамките на ЕС, така и извън него. През 2018 г. почти 30 % от </w:t>
      </w:r>
      <w:r>
        <w:rPr>
          <w:rFonts w:ascii="Times New Roman" w:hAnsi="Times New Roman"/>
          <w:noProof/>
          <w:sz w:val="24"/>
        </w:rPr>
        <w:t>подписаните от ЕИБ операции са допринесли за действия в областта на климата, като са подпомогнали инвестиции за смекчаване на изменението на климата и за адаптиране към него, както и за нисковъглероден и устойчив на изменението на климата растеж. За 2019 г</w:t>
      </w:r>
      <w:r>
        <w:rPr>
          <w:rFonts w:ascii="Times New Roman" w:hAnsi="Times New Roman"/>
          <w:noProof/>
          <w:sz w:val="24"/>
        </w:rPr>
        <w:t>. ЕИБ очаква този принос да е бил между 28 и 31 %. За целия срок на действие на Плана за инвестиции за устойчива Европа от едно десетилетие се очаква ЕИБ да финансира извън мандатите на ЕС около 600 милиарда евро инвестиции в областта на климата във всички</w:t>
      </w:r>
      <w:r>
        <w:rPr>
          <w:rFonts w:ascii="Times New Roman" w:hAnsi="Times New Roman"/>
          <w:noProof/>
          <w:sz w:val="24"/>
        </w:rPr>
        <w:t xml:space="preserve"> държави членки. </w:t>
      </w:r>
    </w:p>
    <w:p w:rsidR="0059459F" w:rsidRDefault="00246BD0">
      <w:pPr>
        <w:spacing w:after="240"/>
        <w:jc w:val="both"/>
        <w:rPr>
          <w:rFonts w:ascii="Times New Roman" w:hAnsi="Times New Roman"/>
          <w:b/>
          <w:noProof/>
          <w:sz w:val="28"/>
          <w:szCs w:val="24"/>
        </w:rPr>
      </w:pPr>
      <w:r>
        <w:rPr>
          <w:rFonts w:ascii="Times New Roman" w:hAnsi="Times New Roman"/>
          <w:b/>
          <w:bCs/>
          <w:noProof/>
          <w:sz w:val="24"/>
        </w:rPr>
        <w:t>Ролята на ЕИБ за финансиране на прехода към устойчивост ще нараства, тъй като тя става банката на ЕС по въпросите на климата.</w:t>
      </w:r>
      <w:r>
        <w:rPr>
          <w:rFonts w:ascii="Times New Roman" w:hAnsi="Times New Roman"/>
          <w:noProof/>
          <w:sz w:val="24"/>
        </w:rPr>
        <w:t xml:space="preserve"> ЕИБ ще увеличи постепенно дела на финансирането си, предназначено за действия в областта на климата и екологична</w:t>
      </w:r>
      <w:r>
        <w:rPr>
          <w:rFonts w:ascii="Times New Roman" w:hAnsi="Times New Roman"/>
          <w:noProof/>
          <w:sz w:val="24"/>
        </w:rPr>
        <w:t xml:space="preserve"> устойчивост, за да достигне 50 % от операциите ѝ през 2025 г. и след това. Съществена част от това ще бъде осъществена в рамките на програмата InvestEU, което ще позволи на ЕИБ да се ангажира с по-иновативни проекти с по-висока добавена стойност на полити</w:t>
      </w:r>
      <w:r>
        <w:rPr>
          <w:rFonts w:ascii="Times New Roman" w:hAnsi="Times New Roman"/>
          <w:noProof/>
          <w:sz w:val="24"/>
        </w:rPr>
        <w:t>ката, като покрива част от риска за операциите по финансиране и инвестиране. Освен това преди края на 2020 г. групата на ЕИБ ще съгласува всички свои дейности по финансиране с принципите и целите на Парижкото споразумение. Първата стъпка в тази посока беше</w:t>
      </w:r>
      <w:r>
        <w:rPr>
          <w:rFonts w:ascii="Times New Roman" w:hAnsi="Times New Roman"/>
          <w:noProof/>
          <w:sz w:val="24"/>
        </w:rPr>
        <w:t xml:space="preserve"> приемането на 14 ноември 2019 г. на новата политика за енергийно кредитиране, която дава приоритет на отпускането на заеми за енергийна ефективност, енергия от възобновяеми източници, нови зелени технологии и нови видове енергийна инфраструктура, необходи</w:t>
      </w:r>
      <w:r>
        <w:rPr>
          <w:rFonts w:ascii="Times New Roman" w:hAnsi="Times New Roman"/>
          <w:noProof/>
          <w:sz w:val="24"/>
        </w:rPr>
        <w:t>ми за бъдещата нисковъглеродна енергийна система. Преразгледаната политика за енергийно кредитиране предвижда също така постепенното премахване след края на 2021 г. на подкрепата за енергийни проекти, зависещи от изкопаеми горива , включително всички проек</w:t>
      </w:r>
      <w:r>
        <w:rPr>
          <w:rFonts w:ascii="Times New Roman" w:hAnsi="Times New Roman"/>
          <w:noProof/>
          <w:sz w:val="24"/>
        </w:rPr>
        <w:t>ти за инфраструктура за природен газ.</w:t>
      </w:r>
    </w:p>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Други международни и национални финансови институции ще играят все по-голяма роля за финансирането на устойчивостта в съответствие с целите на политиката на ЕС. </w:t>
      </w:r>
      <w:r>
        <w:rPr>
          <w:rFonts w:ascii="Times New Roman" w:hAnsi="Times New Roman"/>
          <w:noProof/>
          <w:sz w:val="24"/>
        </w:rPr>
        <w:t xml:space="preserve">Поради това Комисията ще работи в тясно сътрудничество с </w:t>
      </w:r>
      <w:r>
        <w:rPr>
          <w:rFonts w:ascii="Times New Roman" w:hAnsi="Times New Roman"/>
          <w:noProof/>
          <w:sz w:val="24"/>
        </w:rPr>
        <w:t>тях, за да проучи как техните дейности могат да бъдат приведени в по-тясно съответствие с целите на Европейския зелен пакт.</w:t>
      </w: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jc w:val="both"/>
              <w:rPr>
                <w:rFonts w:ascii="Times New Roman" w:hAnsi="Times New Roman"/>
                <w:b/>
                <w:noProof/>
                <w:sz w:val="28"/>
                <w:szCs w:val="24"/>
              </w:rPr>
            </w:pPr>
            <w:r>
              <w:rPr>
                <w:rFonts w:ascii="Times New Roman" w:hAnsi="Times New Roman"/>
                <w:b/>
                <w:noProof/>
                <w:sz w:val="24"/>
              </w:rPr>
              <w:t>Комисията:</w:t>
            </w:r>
          </w:p>
          <w:p w:rsidR="0059459F" w:rsidRDefault="00246BD0">
            <w:pPr>
              <w:pStyle w:val="ListParagraph"/>
              <w:numPr>
                <w:ilvl w:val="0"/>
                <w:numId w:val="30"/>
              </w:numPr>
              <w:spacing w:after="240"/>
              <w:rPr>
                <w:rFonts w:ascii="Times New Roman" w:hAnsi="Times New Roman"/>
                <w:b/>
                <w:noProof/>
                <w:sz w:val="28"/>
                <w:szCs w:val="24"/>
              </w:rPr>
            </w:pPr>
            <w:r>
              <w:rPr>
                <w:rFonts w:ascii="Times New Roman" w:hAnsi="Times New Roman"/>
                <w:b/>
                <w:noProof/>
                <w:sz w:val="24"/>
              </w:rPr>
              <w:t>Ще гарантира, че операциите на ЕИБ, финансирани по мандати на ЕС, осигуряват висока допълняемост по отношение на обхванат</w:t>
            </w:r>
            <w:r>
              <w:rPr>
                <w:rFonts w:ascii="Times New Roman" w:hAnsi="Times New Roman"/>
                <w:b/>
                <w:noProof/>
                <w:sz w:val="24"/>
              </w:rPr>
              <w:t>ите сектори и на рисковия профил на финансираните проекти. Това ще бъде направено по-специално чрез подобряване на системата за докладване и мониторинг, включително методиката за проследяване на свързаните с климата разходи.</w:t>
            </w:r>
          </w:p>
          <w:p w:rsidR="0059459F" w:rsidRDefault="00246BD0">
            <w:pPr>
              <w:pStyle w:val="ListParagraph"/>
              <w:numPr>
                <w:ilvl w:val="0"/>
                <w:numId w:val="30"/>
              </w:numPr>
              <w:spacing w:after="240"/>
              <w:rPr>
                <w:rFonts w:ascii="Times New Roman" w:hAnsi="Times New Roman"/>
                <w:b/>
                <w:noProof/>
                <w:sz w:val="24"/>
                <w:szCs w:val="24"/>
              </w:rPr>
            </w:pPr>
            <w:r>
              <w:rPr>
                <w:rFonts w:ascii="Times New Roman" w:hAnsi="Times New Roman"/>
                <w:b/>
                <w:noProof/>
                <w:sz w:val="24"/>
              </w:rPr>
              <w:t>Ще сътрудничи с други междунаро</w:t>
            </w:r>
            <w:r>
              <w:rPr>
                <w:rFonts w:ascii="Times New Roman" w:hAnsi="Times New Roman"/>
                <w:b/>
                <w:noProof/>
                <w:sz w:val="24"/>
              </w:rPr>
              <w:t>дни и национални финансови институции с цел по-тясно съгласуване на техните дейности с целите на Европейския зелен пакт.</w:t>
            </w:r>
          </w:p>
        </w:tc>
      </w:tr>
    </w:tbl>
    <w:p w:rsidR="0059459F" w:rsidRDefault="00246BD0">
      <w:pPr>
        <w:pStyle w:val="Heading1"/>
        <w:spacing w:before="240" w:after="240"/>
        <w:rPr>
          <w:noProof/>
        </w:rPr>
      </w:pPr>
      <w:r>
        <w:rPr>
          <w:noProof/>
        </w:rPr>
        <w:t>Законодателни и други мерки: създаването на рамка за осъществяването на публични и частни инвестиции.</w:t>
      </w:r>
    </w:p>
    <w:p w:rsidR="0059459F" w:rsidRDefault="00246BD0">
      <w:pPr>
        <w:spacing w:after="240"/>
        <w:jc w:val="both"/>
        <w:rPr>
          <w:rFonts w:ascii="Times New Roman" w:hAnsi="Times New Roman"/>
          <w:noProof/>
          <w:sz w:val="28"/>
          <w:szCs w:val="24"/>
        </w:rPr>
      </w:pPr>
      <w:r>
        <w:rPr>
          <w:rFonts w:ascii="Times New Roman" w:hAnsi="Times New Roman"/>
          <w:b/>
          <w:noProof/>
          <w:sz w:val="24"/>
        </w:rPr>
        <w:t>Европейският зелен пакт определя</w:t>
      </w:r>
      <w:r>
        <w:rPr>
          <w:rFonts w:ascii="Times New Roman" w:hAnsi="Times New Roman"/>
          <w:b/>
          <w:noProof/>
          <w:sz w:val="24"/>
        </w:rPr>
        <w:t xml:space="preserve"> ясна посока за всеобхватна рамка на политиката за трансформацията на икономиката на ЕС.</w:t>
      </w:r>
      <w:r>
        <w:rPr>
          <w:rFonts w:ascii="Times New Roman" w:hAnsi="Times New Roman"/>
          <w:noProof/>
          <w:sz w:val="24"/>
        </w:rPr>
        <w:t xml:space="preserve"> Целта за неутралност по отношение на климата от 2050 г. ще бъде заложена в законодателството, а амбицията за намаляване на емисиите на парникови газове през 2030 г. ще</w:t>
      </w:r>
      <w:r>
        <w:rPr>
          <w:rFonts w:ascii="Times New Roman" w:hAnsi="Times New Roman"/>
          <w:noProof/>
          <w:sz w:val="24"/>
        </w:rPr>
        <w:t xml:space="preserve"> бъде завишена. Политиките от Европейския зелен пакт ще използват съчетание от регулиране и стимули, за да отстранят вторичните ефекти и да прилагат принципа „замърсителят плаща“, така че разходите за обществото да бъдат отразени в инвестиционните решения.</w:t>
      </w:r>
      <w:r>
        <w:rPr>
          <w:rFonts w:ascii="Times New Roman" w:hAnsi="Times New Roman"/>
          <w:noProof/>
          <w:sz w:val="24"/>
        </w:rPr>
        <w:t xml:space="preserve"> Схемата на ЕС за търговия с емисии ще бъде преразгледана и ще допринесе още повече, за да се гарантира, че ценообразуването на въглеродните емисии е ефективно. Специфични инициативи ще бъдат насочени към съответните секторни регулаторни бариери, като напр</w:t>
      </w:r>
      <w:r>
        <w:rPr>
          <w:rFonts w:ascii="Times New Roman" w:hAnsi="Times New Roman"/>
          <w:noProof/>
          <w:sz w:val="24"/>
        </w:rPr>
        <w:t>имер пречки пред финансирането и осъществяването на инвестиции за енергийна ефективност в строителния сектор. Необходими са също така конкурентни и интегрирани пазари, за да останат разходите ниски и да се стимулират иновациите. По подобен начин Европейски</w:t>
      </w:r>
      <w:r>
        <w:rPr>
          <w:rFonts w:ascii="Times New Roman" w:hAnsi="Times New Roman"/>
          <w:noProof/>
          <w:sz w:val="24"/>
        </w:rPr>
        <w:t xml:space="preserve">ят съвет по иновациите, действащ в рамките на програма „Хоризонт Европа“, ще допринесе за публично-частните инвестиции в повратни иновации в подкрепа на Европейския зелен пакт. </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В този по-широк контекст Планът за инвестиции за устойчива Европа ще даде възм</w:t>
      </w:r>
      <w:r>
        <w:rPr>
          <w:rFonts w:ascii="Times New Roman" w:hAnsi="Times New Roman"/>
          <w:b/>
          <w:noProof/>
          <w:sz w:val="24"/>
        </w:rPr>
        <w:t>ожност преходът да се осъществи чрез целенасочени действия в области, които пряко засягат инвестиционни решения на частните инвеститори и публичните субекти.</w:t>
      </w:r>
    </w:p>
    <w:p w:rsidR="0059459F" w:rsidRDefault="00246BD0">
      <w:pPr>
        <w:pStyle w:val="Heading2"/>
        <w:spacing w:after="240"/>
        <w:rPr>
          <w:noProof/>
        </w:rPr>
      </w:pPr>
      <w:r>
        <w:rPr>
          <w:noProof/>
        </w:rPr>
        <w:t>Поставяне на устойчивото финансиране в центъра на финансовата система</w:t>
      </w:r>
    </w:p>
    <w:p w:rsidR="0059459F" w:rsidRDefault="00246BD0">
      <w:pPr>
        <w:spacing w:after="240"/>
        <w:jc w:val="both"/>
        <w:rPr>
          <w:rFonts w:ascii="Times New Roman" w:hAnsi="Times New Roman"/>
          <w:noProof/>
          <w:sz w:val="24"/>
          <w:szCs w:val="24"/>
        </w:rPr>
      </w:pPr>
      <w:r>
        <w:rPr>
          <w:rFonts w:ascii="Times New Roman" w:hAnsi="Times New Roman"/>
          <w:noProof/>
          <w:sz w:val="24"/>
          <w:szCs w:val="24"/>
        </w:rPr>
        <w:t xml:space="preserve">Тъй като частните дружества </w:t>
      </w:r>
      <w:r>
        <w:rPr>
          <w:rFonts w:ascii="Times New Roman" w:hAnsi="Times New Roman"/>
          <w:noProof/>
          <w:sz w:val="24"/>
          <w:szCs w:val="24"/>
        </w:rPr>
        <w:t xml:space="preserve">и домакинствата ще трябва да осигурят по-голямата част от устойчивите инвестиции през следващото десетилетие, от решаващо значение е да са налице ясни дългосрочни сигнали, които да насочват инвеститорите към устойчиви инвестиции.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Предвид значителния разме</w:t>
      </w:r>
      <w:r>
        <w:rPr>
          <w:rFonts w:ascii="Times New Roman" w:hAnsi="Times New Roman"/>
          <w:b/>
          <w:noProof/>
          <w:sz w:val="24"/>
          <w:szCs w:val="24"/>
        </w:rPr>
        <w:t>р на инвестициите, необходими за постигане на целите в областта на климата и на по-общите цели за устойчивост на ЕС, през март 2018 г. Комисията предложи Плана за действие за финансиране на устойчив растеж</w:t>
      </w:r>
      <w:r>
        <w:rPr>
          <w:rStyle w:val="FootnoteReference"/>
          <w:rFonts w:ascii="Times New Roman" w:hAnsi="Times New Roman"/>
          <w:noProof/>
        </w:rPr>
        <w:footnoteReference w:id="9"/>
      </w:r>
      <w:r>
        <w:rPr>
          <w:noProof/>
          <w:sz w:val="24"/>
          <w:szCs w:val="24"/>
        </w:rPr>
        <w:t>.</w:t>
      </w:r>
      <w:r>
        <w:rPr>
          <w:rFonts w:ascii="Times New Roman" w:hAnsi="Times New Roman"/>
          <w:noProof/>
          <w:sz w:val="24"/>
          <w:szCs w:val="24"/>
        </w:rPr>
        <w:t xml:space="preserve"> На базата на този план за действие, който допринася за изграждането на съюз на капиталовите пазари, бяха положени основи от значение за създаването на рамки, благоприятстващи мобилизирането на финансиране за устойчиви инвестиции. Такъв е случаят по-специа</w:t>
      </w:r>
      <w:r>
        <w:rPr>
          <w:rFonts w:ascii="Times New Roman" w:hAnsi="Times New Roman"/>
          <w:noProof/>
          <w:sz w:val="24"/>
          <w:szCs w:val="24"/>
        </w:rPr>
        <w:t>лно с таксономията на ЕС, с оповестяването от финансовия сектор на информация относно устойчивостта, както и с показателите за климата. Чрез международно сътрудничество, например чрез Международната платформа за устойчиво финансиране, ЕС насърчава съгласув</w:t>
      </w:r>
      <w:r>
        <w:rPr>
          <w:rFonts w:ascii="Times New Roman" w:hAnsi="Times New Roman"/>
          <w:noProof/>
          <w:sz w:val="24"/>
          <w:szCs w:val="24"/>
        </w:rPr>
        <w:t>ани подходи и засилено въздействие на устойчивото финансиране по света.</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 xml:space="preserve">По-специално Комисията приветства неотдавнашното политическо споразумение между съзаконодателите относно Регламента за създаване на рамка за насърчаване на устойчиви инвестиции </w:t>
      </w:r>
      <w:r>
        <w:rPr>
          <w:rFonts w:ascii="Times New Roman" w:hAnsi="Times New Roman"/>
          <w:b/>
          <w:noProof/>
          <w:sz w:val="24"/>
          <w:szCs w:val="24"/>
        </w:rPr>
        <w:t>(таксономия на ЕС), който следва да бъде конкретизиран допълнително чрез делегирани актове, приети от Комисията.</w:t>
      </w:r>
      <w:r>
        <w:rPr>
          <w:rFonts w:ascii="Times New Roman" w:hAnsi="Times New Roman"/>
          <w:noProof/>
          <w:sz w:val="24"/>
          <w:szCs w:val="24"/>
        </w:rPr>
        <w:t xml:space="preserve"> Системата на ЕС за таксономия ще определя дали дадена икономическа дейност е устойчива по отношение на околната среда въз основа на критерии за</w:t>
      </w:r>
      <w:r>
        <w:rPr>
          <w:rFonts w:ascii="Times New Roman" w:hAnsi="Times New Roman"/>
          <w:noProof/>
          <w:sz w:val="24"/>
          <w:szCs w:val="24"/>
        </w:rPr>
        <w:t xml:space="preserve"> ефективността на нейния принос към поне една от шест цели в областта на околната среда.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Комисията ще проучи и начина, по който таксономията на ЕС може да се използва в контекста на Европейския зелен пакт от публичния сектор, извън InvestEU.</w:t>
      </w:r>
      <w:r>
        <w:rPr>
          <w:rFonts w:ascii="Times New Roman" w:hAnsi="Times New Roman"/>
          <w:noProof/>
          <w:sz w:val="24"/>
          <w:szCs w:val="24"/>
        </w:rPr>
        <w:t xml:space="preserve"> Макар първона</w:t>
      </w:r>
      <w:r>
        <w:rPr>
          <w:rFonts w:ascii="Times New Roman" w:hAnsi="Times New Roman"/>
          <w:noProof/>
          <w:sz w:val="24"/>
          <w:szCs w:val="24"/>
        </w:rPr>
        <w:t>чално да е замислена за частни инвеститори, след като бъде разработена в достатъчна степен, таксономията би могла да се използва и от субекти от публичния сектор. Важно е да има сближаване на стандартите между частния сектор и публичните банки/субекти, нап</w:t>
      </w:r>
      <w:r>
        <w:rPr>
          <w:rFonts w:ascii="Times New Roman" w:hAnsi="Times New Roman"/>
          <w:noProof/>
          <w:sz w:val="24"/>
          <w:szCs w:val="24"/>
        </w:rPr>
        <w:t xml:space="preserve">ример Европейската инвестиционна банка. </w:t>
      </w:r>
    </w:p>
    <w:p w:rsidR="0059459F" w:rsidRDefault="00246BD0">
      <w:pPr>
        <w:spacing w:after="240"/>
        <w:jc w:val="both"/>
        <w:rPr>
          <w:rFonts w:ascii="Times New Roman" w:hAnsi="Times New Roman"/>
          <w:b/>
          <w:noProof/>
          <w:sz w:val="24"/>
          <w:szCs w:val="24"/>
        </w:rPr>
      </w:pPr>
      <w:r>
        <w:rPr>
          <w:rFonts w:ascii="Times New Roman" w:hAnsi="Times New Roman"/>
          <w:b/>
          <w:noProof/>
          <w:sz w:val="24"/>
          <w:szCs w:val="24"/>
        </w:rPr>
        <w:t xml:space="preserve">Въз основа на Плана за действие за 2018 г. и предвид Европейския зелен пакт, Комисията ще представи през третото тримесечие на 2020 г. обновена стратегия за устойчиво финансиране, чиято цел е то да бъде увеличено в </w:t>
      </w:r>
      <w:r>
        <w:rPr>
          <w:rFonts w:ascii="Times New Roman" w:hAnsi="Times New Roman"/>
          <w:b/>
          <w:noProof/>
          <w:sz w:val="24"/>
          <w:szCs w:val="24"/>
        </w:rPr>
        <w:t>още по-голяма степен</w:t>
      </w:r>
      <w:r>
        <w:rPr>
          <w:rFonts w:ascii="Times New Roman" w:hAnsi="Times New Roman"/>
          <w:noProof/>
          <w:sz w:val="24"/>
          <w:szCs w:val="24"/>
        </w:rPr>
        <w:t xml:space="preserve">. Дружествата ще трябва да обявяват повече данни относно климата и околната среда, така че инвеститорите да са напълно информирани за възможностите за устойчиви инвестиции и да могат да насочват по-добре своите инвестиции в подкрепа на </w:t>
      </w:r>
      <w:r>
        <w:rPr>
          <w:rFonts w:ascii="Times New Roman" w:hAnsi="Times New Roman"/>
          <w:noProof/>
          <w:sz w:val="24"/>
          <w:szCs w:val="24"/>
        </w:rPr>
        <w:t xml:space="preserve">Зеления пакт. За тази цел Комисията ще преразгледа Директивата относно оповестяването на нефинансова информация. Освен това обновената стратегия допълнително ще увеличи възможностите за инвестиции, като улесни идентифицирането на устойчиви инвестиции чрез </w:t>
      </w:r>
      <w:r>
        <w:rPr>
          <w:rFonts w:ascii="Times New Roman" w:hAnsi="Times New Roman"/>
          <w:noProof/>
          <w:sz w:val="24"/>
          <w:szCs w:val="24"/>
        </w:rPr>
        <w:t>ясни маркировки за различни устойчиви инвестиционни продукти и чрез разработването и въвеждането на стандарт на ЕС за „зелени“ облигации.</w:t>
      </w:r>
      <w:r>
        <w:rPr>
          <w:rFonts w:ascii="Times New Roman" w:hAnsi="Times New Roman"/>
          <w:b/>
          <w:noProof/>
          <w:sz w:val="24"/>
          <w:szCs w:val="24"/>
        </w:rPr>
        <w:t xml:space="preserve"> </w:t>
      </w: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Комисията: </w:t>
            </w:r>
          </w:p>
          <w:p w:rsidR="0059459F" w:rsidRDefault="00246BD0">
            <w:pPr>
              <w:numPr>
                <w:ilvl w:val="0"/>
                <w:numId w:val="30"/>
              </w:numPr>
              <w:spacing w:after="240"/>
              <w:rPr>
                <w:rFonts w:ascii="Times New Roman" w:hAnsi="Times New Roman"/>
                <w:b/>
                <w:noProof/>
                <w:sz w:val="28"/>
                <w:szCs w:val="24"/>
              </w:rPr>
            </w:pPr>
            <w:r>
              <w:rPr>
                <w:rFonts w:ascii="Times New Roman" w:hAnsi="Times New Roman"/>
                <w:b/>
                <w:noProof/>
                <w:sz w:val="24"/>
              </w:rPr>
              <w:t>ще подготви през 2020 г. делегираните актове относно целите на таксономията на ЕС през тази година във вр</w:t>
            </w:r>
            <w:r>
              <w:rPr>
                <w:rFonts w:ascii="Times New Roman" w:hAnsi="Times New Roman"/>
                <w:b/>
                <w:noProof/>
                <w:sz w:val="24"/>
              </w:rPr>
              <w:t>ъзка с изменението на климата, както и делегираните актове относно другите екологични цели на таксономията на ЕС до края на 2021 г.;</w:t>
            </w:r>
          </w:p>
          <w:p w:rsidR="0059459F" w:rsidRDefault="00246BD0">
            <w:pPr>
              <w:numPr>
                <w:ilvl w:val="0"/>
                <w:numId w:val="30"/>
              </w:numPr>
              <w:spacing w:after="240"/>
              <w:rPr>
                <w:rFonts w:ascii="Times New Roman" w:hAnsi="Times New Roman"/>
                <w:b/>
                <w:noProof/>
                <w:sz w:val="28"/>
                <w:szCs w:val="24"/>
              </w:rPr>
            </w:pPr>
            <w:r>
              <w:rPr>
                <w:rFonts w:ascii="Times New Roman" w:hAnsi="Times New Roman"/>
                <w:b/>
                <w:noProof/>
                <w:sz w:val="24"/>
              </w:rPr>
              <w:t>ще проучи и начина, по който таксономията на ЕС може да се използва в контекста на Европейския зелен пакт от публичния сект</w:t>
            </w:r>
            <w:r>
              <w:rPr>
                <w:rFonts w:ascii="Times New Roman" w:hAnsi="Times New Roman"/>
                <w:b/>
                <w:noProof/>
                <w:sz w:val="24"/>
              </w:rPr>
              <w:t>ор, извън InvestEU;</w:t>
            </w:r>
          </w:p>
          <w:p w:rsidR="0059459F" w:rsidRDefault="00246BD0">
            <w:pPr>
              <w:numPr>
                <w:ilvl w:val="0"/>
                <w:numId w:val="30"/>
              </w:numPr>
              <w:spacing w:after="240"/>
              <w:rPr>
                <w:rFonts w:ascii="Times New Roman" w:hAnsi="Times New Roman"/>
                <w:b/>
                <w:noProof/>
                <w:sz w:val="28"/>
                <w:szCs w:val="24"/>
              </w:rPr>
            </w:pPr>
            <w:r>
              <w:rPr>
                <w:rFonts w:ascii="Times New Roman" w:hAnsi="Times New Roman"/>
                <w:b/>
                <w:noProof/>
                <w:sz w:val="24"/>
              </w:rPr>
              <w:t xml:space="preserve">ще започне през първото тримесечие на годината обществена консултация относно обновена стратегия за устойчиво финансиране с цел да я представи през третото тримесечие на 2020 г.; </w:t>
            </w:r>
          </w:p>
          <w:p w:rsidR="0059459F" w:rsidRDefault="00246BD0">
            <w:pPr>
              <w:numPr>
                <w:ilvl w:val="0"/>
                <w:numId w:val="30"/>
              </w:numPr>
              <w:spacing w:after="240"/>
              <w:rPr>
                <w:rFonts w:ascii="Times New Roman" w:hAnsi="Times New Roman"/>
                <w:b/>
                <w:noProof/>
                <w:sz w:val="24"/>
                <w:szCs w:val="24"/>
              </w:rPr>
            </w:pPr>
            <w:r>
              <w:rPr>
                <w:rFonts w:ascii="Times New Roman" w:hAnsi="Times New Roman"/>
                <w:b/>
                <w:noProof/>
                <w:sz w:val="24"/>
              </w:rPr>
              <w:t>ще създаде стандарт на ЕС за „зелени“ облигации през 202</w:t>
            </w:r>
            <w:r>
              <w:rPr>
                <w:rFonts w:ascii="Times New Roman" w:hAnsi="Times New Roman"/>
                <w:b/>
                <w:noProof/>
                <w:sz w:val="24"/>
              </w:rPr>
              <w:t>0 г. и ще проучи начините, по които този стандарт, както и други благоприятстващи рамки, могат да увеличат публичното и частното финансиране на устойчиви инвестиции.</w:t>
            </w:r>
          </w:p>
        </w:tc>
      </w:tr>
    </w:tbl>
    <w:p w:rsidR="0059459F" w:rsidRDefault="0059459F">
      <w:pPr>
        <w:spacing w:after="240"/>
        <w:jc w:val="both"/>
        <w:rPr>
          <w:rFonts w:ascii="Times New Roman" w:hAnsi="Times New Roman"/>
          <w:noProof/>
          <w:sz w:val="24"/>
          <w:szCs w:val="24"/>
        </w:rPr>
      </w:pPr>
    </w:p>
    <w:p w:rsidR="0059459F" w:rsidRDefault="00246BD0">
      <w:pPr>
        <w:pStyle w:val="Heading2"/>
        <w:spacing w:after="240"/>
        <w:rPr>
          <w:noProof/>
        </w:rPr>
      </w:pPr>
      <w:r>
        <w:rPr>
          <w:noProof/>
        </w:rPr>
        <w:t>Предоставяне на насоки и съответни средства за публичния сектор за извършване на устойчи</w:t>
      </w:r>
      <w:r>
        <w:rPr>
          <w:noProof/>
        </w:rPr>
        <w:t xml:space="preserve">ви инвестиции. </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Основните инвеститори в някои сектори, особено в инфраструктурата и обществените услуги, са от публичния сектор.</w:t>
      </w:r>
      <w:r>
        <w:rPr>
          <w:rFonts w:ascii="Times New Roman" w:hAnsi="Times New Roman"/>
          <w:noProof/>
          <w:sz w:val="24"/>
        </w:rPr>
        <w:t xml:space="preserve"> В много случаи публичните органи трябва да играят водеща и координираща роля за устойчивите инвестиции. Може също така да е нео</w:t>
      </w:r>
      <w:r>
        <w:rPr>
          <w:rFonts w:ascii="Times New Roman" w:hAnsi="Times New Roman"/>
          <w:noProof/>
          <w:sz w:val="24"/>
        </w:rPr>
        <w:t>бходимо публичните органи да инвестират, когато участниците на пазара не могат да направят това, по-специално когато социалните и екологичните ползи не намират отражение във възвръщаемостта на частни проекти или когато проектите се считат за твърде рискови</w:t>
      </w:r>
      <w:r>
        <w:rPr>
          <w:rFonts w:ascii="Times New Roman" w:hAnsi="Times New Roman"/>
          <w:noProof/>
          <w:sz w:val="24"/>
        </w:rPr>
        <w:t>. Когато тези инвестиции често са с трансгранично естество и оказват въздействие върху държавите членки, Комисията трябва да играе координираща роля на равнището на ЕС.</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Европейският семестър осигурява добре установена рамка за координиране на икономическит</w:t>
      </w:r>
      <w:r>
        <w:rPr>
          <w:rFonts w:ascii="Times New Roman" w:hAnsi="Times New Roman"/>
          <w:b/>
          <w:noProof/>
          <w:sz w:val="24"/>
        </w:rPr>
        <w:t xml:space="preserve">е политики и политиките по заетостта, която ще улесни необходимите от ЕС и неговите държави членки инвестиции за „зелената“ трансформация. </w:t>
      </w:r>
      <w:r>
        <w:rPr>
          <w:rFonts w:ascii="Times New Roman" w:hAnsi="Times New Roman"/>
          <w:noProof/>
          <w:sz w:val="24"/>
        </w:rPr>
        <w:t xml:space="preserve">Семестърът допринася за установяването на инвестиционните приоритети и бариери във всяка държава членка. В докладите </w:t>
      </w:r>
      <w:r>
        <w:rPr>
          <w:rFonts w:ascii="Times New Roman" w:hAnsi="Times New Roman"/>
          <w:noProof/>
          <w:sz w:val="24"/>
        </w:rPr>
        <w:t>по държави наличните източници на финансиране от фондовете на ЕС ще бъдат съпоставени със специфичните за отделните държави предизвикателства, посочени в докладите, наред с другото с оглед на целите в областта на климата, околната среда и социалната полити</w:t>
      </w:r>
      <w:r>
        <w:rPr>
          <w:rFonts w:ascii="Times New Roman" w:hAnsi="Times New Roman"/>
          <w:noProof/>
          <w:sz w:val="24"/>
        </w:rPr>
        <w:t xml:space="preserve">ка. Съвместните усилия на ЕС и неговите държави членки следва да гарантират, че инвестициите са насочени към най-устойчивите проекти. </w:t>
      </w:r>
    </w:p>
    <w:p w:rsidR="0059459F" w:rsidRDefault="00246BD0">
      <w:pPr>
        <w:spacing w:after="240"/>
        <w:jc w:val="both"/>
        <w:rPr>
          <w:rFonts w:ascii="Times New Roman" w:hAnsi="Times New Roman"/>
          <w:noProof/>
          <w:sz w:val="28"/>
          <w:szCs w:val="24"/>
        </w:rPr>
      </w:pPr>
      <w:r>
        <w:rPr>
          <w:rFonts w:ascii="Times New Roman" w:hAnsi="Times New Roman"/>
          <w:b/>
          <w:noProof/>
          <w:sz w:val="24"/>
        </w:rPr>
        <w:t>Комисията ще работи съвместно с държавите членки, за да разглежда внимателно и сравнява практиките за екологосъобразно бю</w:t>
      </w:r>
      <w:r>
        <w:rPr>
          <w:rFonts w:ascii="Times New Roman" w:hAnsi="Times New Roman"/>
          <w:b/>
          <w:noProof/>
          <w:sz w:val="24"/>
        </w:rPr>
        <w:t>джетиране</w:t>
      </w:r>
      <w:r>
        <w:rPr>
          <w:rFonts w:ascii="Times New Roman" w:hAnsi="Times New Roman"/>
          <w:noProof/>
          <w:sz w:val="24"/>
        </w:rPr>
        <w:t>. Това ще улесни оценката на това до каква степен годишните бюджети и средносрочните фискални планове вземат предвид екологичните съображения и рискове и се повлияват от най-добрите практики. Прегледът на европейската рамка за икономическо управле</w:t>
      </w:r>
      <w:r>
        <w:rPr>
          <w:rFonts w:ascii="Times New Roman" w:hAnsi="Times New Roman"/>
          <w:noProof/>
          <w:sz w:val="24"/>
        </w:rPr>
        <w:t>ние ще включва позоваване на устойчивите публични инвестиции в контекста на качеството на публичните финанси. Това ще послужи за дебат относно определянето на начините да бъде подобрено фискалното управление на ЕС. Резултатите от дебата ще послужат за осно</w:t>
      </w:r>
      <w:r>
        <w:rPr>
          <w:rFonts w:ascii="Times New Roman" w:hAnsi="Times New Roman"/>
          <w:noProof/>
          <w:sz w:val="24"/>
        </w:rPr>
        <w:t>ва на всички евентуални бъдещи стъпки, включително как да се третират устойчивите инвестиции в рамките на фискалните правила на ЕС, като същевременно се запазят гаранциите срещу рискове за устойчивостта на дълга.</w:t>
      </w:r>
    </w:p>
    <w:p w:rsidR="0059459F" w:rsidRDefault="00246BD0">
      <w:pPr>
        <w:spacing w:after="240"/>
        <w:jc w:val="both"/>
        <w:rPr>
          <w:rFonts w:ascii="Times New Roman" w:hAnsi="Times New Roman"/>
          <w:noProof/>
          <w:sz w:val="28"/>
          <w:szCs w:val="24"/>
        </w:rPr>
      </w:pPr>
      <w:r>
        <w:rPr>
          <w:rFonts w:ascii="Times New Roman" w:hAnsi="Times New Roman"/>
          <w:b/>
          <w:noProof/>
          <w:sz w:val="24"/>
        </w:rPr>
        <w:t>Комисията ще предложи минимални задължителн</w:t>
      </w:r>
      <w:r>
        <w:rPr>
          <w:rFonts w:ascii="Times New Roman" w:hAnsi="Times New Roman"/>
          <w:b/>
          <w:noProof/>
          <w:sz w:val="24"/>
        </w:rPr>
        <w:t xml:space="preserve">и екологични критерии или цели за обществените поръчки при секторни инициативи, финансиране от ЕС или специфично за даден продукт законодателство. </w:t>
      </w:r>
      <w:r>
        <w:rPr>
          <w:rFonts w:ascii="Times New Roman" w:hAnsi="Times New Roman"/>
          <w:noProof/>
          <w:sz w:val="24"/>
        </w:rPr>
        <w:t xml:space="preserve">Тези минимални критерии ще сформират </w:t>
      </w:r>
      <w:r>
        <w:rPr>
          <w:rFonts w:ascii="Times New Roman" w:hAnsi="Times New Roman"/>
          <w:i/>
          <w:noProof/>
          <w:sz w:val="24"/>
        </w:rPr>
        <w:t>de facto</w:t>
      </w:r>
      <w:r>
        <w:rPr>
          <w:rFonts w:ascii="Times New Roman" w:hAnsi="Times New Roman"/>
          <w:noProof/>
          <w:sz w:val="24"/>
        </w:rPr>
        <w:t xml:space="preserve"> общо определение за „зелена покупка“, което ще позволи да бъдат събирани сравними данни от публичните купувачи и ще даде основата за оценка на въздействието на екологосъобразните обществени поръчки. Публичните органи в цяла Европа ще бъдат насърчавани да </w:t>
      </w:r>
      <w:r>
        <w:rPr>
          <w:rFonts w:ascii="Times New Roman" w:hAnsi="Times New Roman"/>
          <w:noProof/>
          <w:sz w:val="24"/>
        </w:rPr>
        <w:t>включват екологосъобразни критерии и да използват съответни маркировки в своите процедури за възлагане на обществени поръчки. Комисията ще подкрепи тези усилия с насоки, дейности за обучение и разпространение на добри практики. В същото време, когато е въз</w:t>
      </w:r>
      <w:r>
        <w:rPr>
          <w:rFonts w:ascii="Times New Roman" w:hAnsi="Times New Roman"/>
          <w:noProof/>
          <w:sz w:val="24"/>
        </w:rPr>
        <w:t xml:space="preserve">можно, публичните купувачи следва да прилагат методики за изчисляване на разходите през целия жизнен цикъл. Комисията призовава всички участници, включително промишлеността, да разработят такива надеждни методики. </w:t>
      </w:r>
    </w:p>
    <w:p w:rsidR="0059459F" w:rsidRDefault="00246BD0">
      <w:pPr>
        <w:spacing w:after="240"/>
        <w:jc w:val="both"/>
        <w:rPr>
          <w:rFonts w:ascii="Times New Roman" w:hAnsi="Times New Roman"/>
          <w:noProof/>
          <w:sz w:val="28"/>
          <w:szCs w:val="24"/>
        </w:rPr>
      </w:pPr>
      <w:r>
        <w:rPr>
          <w:rFonts w:ascii="Times New Roman" w:hAnsi="Times New Roman"/>
          <w:b/>
          <w:noProof/>
          <w:sz w:val="24"/>
        </w:rPr>
        <w:t>Следва да се прилага принципът „енергийна</w:t>
      </w:r>
      <w:r>
        <w:rPr>
          <w:rFonts w:ascii="Times New Roman" w:hAnsi="Times New Roman"/>
          <w:b/>
          <w:noProof/>
          <w:sz w:val="24"/>
        </w:rPr>
        <w:t xml:space="preserve">та ефективност на първо място“, за да се гарантира, че тя се взема предвид, когато това е уместно. </w:t>
      </w:r>
      <w:r>
        <w:rPr>
          <w:rFonts w:ascii="Times New Roman" w:hAnsi="Times New Roman"/>
          <w:noProof/>
          <w:sz w:val="24"/>
        </w:rPr>
        <w:t>Това също така ще помогне да се избегне разхищението на ресурси, свързано с производството, преноса, разпределението и използването на енергия, която в дейст</w:t>
      </w:r>
      <w:r>
        <w:rPr>
          <w:rFonts w:ascii="Times New Roman" w:hAnsi="Times New Roman"/>
          <w:noProof/>
          <w:sz w:val="24"/>
        </w:rPr>
        <w:t>вителност не е необходима. Комисията ще предостави насоки относно прилагането на този принцип.</w:t>
      </w: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jc w:val="both"/>
              <w:rPr>
                <w:rFonts w:ascii="Times New Roman" w:hAnsi="Times New Roman"/>
                <w:b/>
                <w:noProof/>
                <w:sz w:val="28"/>
                <w:szCs w:val="24"/>
              </w:rPr>
            </w:pPr>
            <w:r>
              <w:rPr>
                <w:rFonts w:ascii="Times New Roman" w:hAnsi="Times New Roman"/>
                <w:b/>
                <w:noProof/>
                <w:sz w:val="24"/>
              </w:rPr>
              <w:t>Комисията:</w:t>
            </w:r>
          </w:p>
          <w:p w:rsidR="0059459F" w:rsidRDefault="00246BD0">
            <w:pPr>
              <w:pStyle w:val="ListParagraph"/>
              <w:numPr>
                <w:ilvl w:val="0"/>
                <w:numId w:val="31"/>
              </w:numPr>
              <w:spacing w:after="240"/>
              <w:rPr>
                <w:rFonts w:ascii="Times New Roman" w:hAnsi="Times New Roman"/>
                <w:b/>
                <w:noProof/>
                <w:sz w:val="28"/>
                <w:szCs w:val="24"/>
              </w:rPr>
            </w:pPr>
            <w:r>
              <w:rPr>
                <w:rFonts w:ascii="Times New Roman" w:hAnsi="Times New Roman"/>
                <w:b/>
                <w:noProof/>
                <w:sz w:val="24"/>
              </w:rPr>
              <w:t>Ще включи екологичната устойчивост като неразделна част от докладите по държави в рамките на европейския семестър, считано от тази година.</w:t>
            </w:r>
          </w:p>
          <w:p w:rsidR="0059459F" w:rsidRDefault="00246BD0">
            <w:pPr>
              <w:pStyle w:val="ListParagraph"/>
              <w:numPr>
                <w:ilvl w:val="0"/>
                <w:numId w:val="31"/>
              </w:numPr>
              <w:spacing w:after="240"/>
              <w:rPr>
                <w:rFonts w:ascii="Times New Roman" w:hAnsi="Times New Roman"/>
                <w:b/>
                <w:noProof/>
                <w:sz w:val="28"/>
                <w:szCs w:val="24"/>
              </w:rPr>
            </w:pPr>
            <w:r>
              <w:rPr>
                <w:rFonts w:ascii="Times New Roman" w:hAnsi="Times New Roman"/>
                <w:b/>
                <w:noProof/>
                <w:sz w:val="24"/>
              </w:rPr>
              <w:t xml:space="preserve">Ще помага </w:t>
            </w:r>
            <w:r>
              <w:rPr>
                <w:rFonts w:ascii="Times New Roman" w:hAnsi="Times New Roman"/>
                <w:b/>
                <w:noProof/>
                <w:sz w:val="24"/>
              </w:rPr>
              <w:t>на държавите членки да определят своите нужди от устойчиви инвестиции и възможностите за тяхното финансиране всяка година, считано от 2020 г.</w:t>
            </w:r>
          </w:p>
          <w:p w:rsidR="0059459F" w:rsidRDefault="00246BD0">
            <w:pPr>
              <w:pStyle w:val="ListParagraph"/>
              <w:numPr>
                <w:ilvl w:val="0"/>
                <w:numId w:val="31"/>
              </w:numPr>
              <w:spacing w:after="240"/>
              <w:rPr>
                <w:rFonts w:ascii="Times New Roman" w:hAnsi="Times New Roman"/>
                <w:b/>
                <w:noProof/>
                <w:sz w:val="28"/>
                <w:szCs w:val="24"/>
              </w:rPr>
            </w:pPr>
            <w:r>
              <w:rPr>
                <w:rFonts w:ascii="Times New Roman" w:hAnsi="Times New Roman"/>
                <w:b/>
                <w:noProof/>
                <w:sz w:val="24"/>
              </w:rPr>
              <w:t>В сътрудничество с държавите членки ще наблюдава и сравнява практиките за екологосъобразно бюджетиране.</w:t>
            </w:r>
          </w:p>
          <w:p w:rsidR="0059459F" w:rsidRDefault="00246BD0">
            <w:pPr>
              <w:pStyle w:val="ListParagraph"/>
              <w:numPr>
                <w:ilvl w:val="0"/>
                <w:numId w:val="31"/>
              </w:numPr>
              <w:spacing w:after="240"/>
              <w:rPr>
                <w:rFonts w:ascii="Times New Roman" w:hAnsi="Times New Roman"/>
                <w:b/>
                <w:noProof/>
                <w:sz w:val="28"/>
                <w:szCs w:val="24"/>
              </w:rPr>
            </w:pPr>
            <w:r>
              <w:rPr>
                <w:rFonts w:ascii="Times New Roman" w:hAnsi="Times New Roman"/>
                <w:b/>
                <w:noProof/>
                <w:sz w:val="24"/>
              </w:rPr>
              <w:t>Ще предлож</w:t>
            </w:r>
            <w:r>
              <w:rPr>
                <w:rFonts w:ascii="Times New Roman" w:hAnsi="Times New Roman"/>
                <w:b/>
                <w:noProof/>
                <w:sz w:val="24"/>
              </w:rPr>
              <w:t>и допълнителни насоки и законодателство относно екологосъобразните обществени поръчки.</w:t>
            </w:r>
          </w:p>
          <w:p w:rsidR="0059459F" w:rsidRDefault="00246BD0">
            <w:pPr>
              <w:pStyle w:val="ListParagraph"/>
              <w:numPr>
                <w:ilvl w:val="0"/>
                <w:numId w:val="31"/>
              </w:numPr>
              <w:spacing w:after="240"/>
              <w:rPr>
                <w:rFonts w:ascii="Times New Roman" w:hAnsi="Times New Roman"/>
                <w:b/>
                <w:noProof/>
                <w:sz w:val="24"/>
                <w:szCs w:val="24"/>
              </w:rPr>
            </w:pPr>
            <w:r>
              <w:rPr>
                <w:rFonts w:ascii="Times New Roman" w:hAnsi="Times New Roman"/>
                <w:b/>
                <w:noProof/>
                <w:sz w:val="24"/>
              </w:rPr>
              <w:t xml:space="preserve">Ще осигури насоки относно прилагането на принципа „енергийната ефективност на първо място“ като част от инвестиционните решения. </w:t>
            </w:r>
          </w:p>
        </w:tc>
      </w:tr>
    </w:tbl>
    <w:p w:rsidR="0059459F" w:rsidRDefault="0059459F">
      <w:pPr>
        <w:spacing w:after="240"/>
        <w:jc w:val="both"/>
        <w:rPr>
          <w:rFonts w:ascii="Times New Roman" w:hAnsi="Times New Roman"/>
          <w:noProof/>
          <w:sz w:val="24"/>
          <w:szCs w:val="24"/>
        </w:rPr>
      </w:pPr>
    </w:p>
    <w:p w:rsidR="0059459F" w:rsidRDefault="00246BD0">
      <w:pPr>
        <w:pStyle w:val="Heading2"/>
        <w:spacing w:after="240"/>
        <w:rPr>
          <w:noProof/>
        </w:rPr>
      </w:pPr>
      <w:r>
        <w:rPr>
          <w:noProof/>
        </w:rPr>
        <w:t>Създаване на условия за устойчиви инв</w:t>
      </w:r>
      <w:r>
        <w:rPr>
          <w:noProof/>
        </w:rPr>
        <w:t xml:space="preserve">естиции чрез благоприятстваща ги рамка за държавна помощ. </w:t>
      </w:r>
    </w:p>
    <w:p w:rsidR="0059459F" w:rsidRDefault="00246BD0">
      <w:pPr>
        <w:spacing w:after="240"/>
        <w:jc w:val="both"/>
        <w:rPr>
          <w:rFonts w:ascii="Times New Roman" w:hAnsi="Times New Roman"/>
          <w:noProof/>
          <w:sz w:val="28"/>
          <w:szCs w:val="24"/>
        </w:rPr>
      </w:pPr>
      <w:r>
        <w:rPr>
          <w:rFonts w:ascii="Times New Roman" w:hAnsi="Times New Roman"/>
          <w:b/>
          <w:noProof/>
          <w:sz w:val="24"/>
        </w:rPr>
        <w:t>Съответните правила за държавна помощ ще бъдат преразгледани до 2021 г., за да отразят целите на политиката на Европейския зелен пакт, и ще подкрепят икономически ефективен преход към неутралност п</w:t>
      </w:r>
      <w:r>
        <w:rPr>
          <w:rFonts w:ascii="Times New Roman" w:hAnsi="Times New Roman"/>
          <w:b/>
          <w:noProof/>
          <w:sz w:val="24"/>
        </w:rPr>
        <w:t>о отношение на климата до 2050 г.</w:t>
      </w:r>
      <w:r>
        <w:rPr>
          <w:rFonts w:ascii="Times New Roman" w:hAnsi="Times New Roman"/>
          <w:noProof/>
          <w:sz w:val="24"/>
        </w:rPr>
        <w:t xml:space="preserve"> Правилата за държавната помощ ще бъдат преразгледани, за да предоставят ясна, напълно актуализирана и годна рамка, която да позволи на публичните органи да постигнат посочените цели, като същевременно използват по най-ефек</w:t>
      </w:r>
      <w:r>
        <w:rPr>
          <w:rFonts w:ascii="Times New Roman" w:hAnsi="Times New Roman"/>
          <w:noProof/>
          <w:sz w:val="24"/>
        </w:rPr>
        <w:t>тивен начин ограничените публични средства. Правилата за държавна помощ ще подкрепят прехода, като насърчават подходящите видове инвестиции и помощи. Те ще поощряват иновациите и внедряването в пазарен мащаб на нови, благоприятни за климата технологии. Кат</w:t>
      </w:r>
      <w:r>
        <w:rPr>
          <w:rFonts w:ascii="Times New Roman" w:hAnsi="Times New Roman"/>
          <w:noProof/>
          <w:sz w:val="24"/>
        </w:rPr>
        <w:t>о част от тази дейност Комисията също така ще обмисли допълнителни процедурни улеснения за одобряването на държавна помощ в полза на регионите в процес на справедлив преход. Правилата също така ще способстват за постепенното извеждане от употреба на изкопа</w:t>
      </w:r>
      <w:r>
        <w:rPr>
          <w:rFonts w:ascii="Times New Roman" w:hAnsi="Times New Roman"/>
          <w:noProof/>
          <w:sz w:val="24"/>
        </w:rPr>
        <w:t xml:space="preserve">емите горива, особено тези, които замърсяват най-много, като по този начин се гарантират еднакви условия на конкуренция на вътрешния пазар. Те ще включват по-специално „Насоките относно държавната помощ в областта на околната среда и енергетиката“. </w:t>
      </w:r>
    </w:p>
    <w:p w:rsidR="0059459F" w:rsidRDefault="00246BD0">
      <w:pPr>
        <w:spacing w:after="240"/>
        <w:jc w:val="both"/>
        <w:rPr>
          <w:rFonts w:ascii="Times New Roman" w:hAnsi="Times New Roman"/>
          <w:noProof/>
          <w:sz w:val="28"/>
          <w:szCs w:val="24"/>
        </w:rPr>
      </w:pPr>
      <w:r>
        <w:rPr>
          <w:rFonts w:ascii="Times New Roman" w:hAnsi="Times New Roman"/>
          <w:b/>
          <w:noProof/>
          <w:sz w:val="24"/>
        </w:rPr>
        <w:t>В пери</w:t>
      </w:r>
      <w:r>
        <w:rPr>
          <w:rFonts w:ascii="Times New Roman" w:hAnsi="Times New Roman"/>
          <w:b/>
          <w:noProof/>
          <w:sz w:val="24"/>
        </w:rPr>
        <w:t>ода до преразглеждането държавите членки могат да продължат да използват гъвкавостта, осигурена от действащите правила, за да постигнат своите цели за 2030 г. и по-нататъшното намаляване на въглеродните емисии на електроенергийния сектор и на икономиката д</w:t>
      </w:r>
      <w:r>
        <w:rPr>
          <w:rFonts w:ascii="Times New Roman" w:hAnsi="Times New Roman"/>
          <w:b/>
          <w:noProof/>
          <w:sz w:val="24"/>
        </w:rPr>
        <w:t xml:space="preserve">о 2050 г. </w:t>
      </w:r>
      <w:r>
        <w:rPr>
          <w:rFonts w:ascii="Times New Roman" w:hAnsi="Times New Roman"/>
          <w:noProof/>
          <w:sz w:val="24"/>
        </w:rPr>
        <w:t>Например те могат да предпочетат да увеличат публичните инвестиции в схеми за електроенергия от възобновяеми източници за по-евтина и по-интегрирана зелена енергия, изграждането на по-евтина и публично достъпна инфраструктура за зареждане или схе</w:t>
      </w:r>
      <w:r>
        <w:rPr>
          <w:rFonts w:ascii="Times New Roman" w:hAnsi="Times New Roman"/>
          <w:noProof/>
          <w:sz w:val="24"/>
        </w:rPr>
        <w:t>ми за кръгова икономика, като например повторното използване на отпадна топлина или рециклирането на отпадъците.</w:t>
      </w:r>
    </w:p>
    <w:p w:rsidR="0059459F" w:rsidRDefault="00246BD0">
      <w:pPr>
        <w:spacing w:after="240"/>
        <w:jc w:val="both"/>
        <w:rPr>
          <w:rFonts w:ascii="Times New Roman" w:hAnsi="Times New Roman"/>
          <w:noProof/>
          <w:sz w:val="28"/>
          <w:szCs w:val="24"/>
        </w:rPr>
      </w:pPr>
      <w:r>
        <w:rPr>
          <w:rFonts w:ascii="Times New Roman" w:hAnsi="Times New Roman"/>
          <w:b/>
          <w:noProof/>
          <w:sz w:val="24"/>
        </w:rPr>
        <w:t>По подобен начин държавите членки могат да продължат да използват действащите правила за държавна помощ, за да смекчат социалните и регионалнит</w:t>
      </w:r>
      <w:r>
        <w:rPr>
          <w:rFonts w:ascii="Times New Roman" w:hAnsi="Times New Roman"/>
          <w:b/>
          <w:noProof/>
          <w:sz w:val="24"/>
        </w:rPr>
        <w:t xml:space="preserve">е последици от мерките за декарбонизация. </w:t>
      </w:r>
      <w:r>
        <w:rPr>
          <w:rFonts w:ascii="Times New Roman" w:hAnsi="Times New Roman"/>
          <w:noProof/>
          <w:sz w:val="24"/>
        </w:rPr>
        <w:t>Например те могат да изберат да подпомагат работниците, засегнати от закриването на въглищни мини, да инвестират в малки и средни, както и стартиращи предприятия или в повишаването на уменията и преквалификацията н</w:t>
      </w:r>
      <w:r>
        <w:rPr>
          <w:rFonts w:ascii="Times New Roman" w:hAnsi="Times New Roman"/>
          <w:noProof/>
          <w:sz w:val="24"/>
        </w:rPr>
        <w:t>а работниците. По отношение на ключовите базови технологии и повратни иновации държавите членки могат да обединят своите средства, за да привлекат значителни частни инвестиции, които да превърнат в реалност важни проекти от общоевропейски интерес, включите</w:t>
      </w:r>
      <w:r>
        <w:rPr>
          <w:rFonts w:ascii="Times New Roman" w:hAnsi="Times New Roman"/>
          <w:noProof/>
          <w:sz w:val="24"/>
        </w:rPr>
        <w:t>лно в най-засегнатите от зеления преход региони.</w:t>
      </w:r>
    </w:p>
    <w:p w:rsidR="0059459F" w:rsidRDefault="00246BD0">
      <w:pPr>
        <w:spacing w:after="240"/>
        <w:jc w:val="both"/>
        <w:rPr>
          <w:rFonts w:ascii="Times New Roman" w:hAnsi="Times New Roman"/>
          <w:noProof/>
          <w:sz w:val="28"/>
          <w:szCs w:val="24"/>
        </w:rPr>
      </w:pPr>
      <w:r>
        <w:rPr>
          <w:rFonts w:ascii="Times New Roman" w:hAnsi="Times New Roman"/>
          <w:b/>
          <w:noProof/>
          <w:sz w:val="24"/>
        </w:rPr>
        <w:t>В същото време правилата ще продължат да опазват целостта на вътрешния пазар, като при това зачитат целите на сближаването, залегнали в Договора за ЕС, които са в основата на европейската интеграция.</w:t>
      </w:r>
      <w:r>
        <w:rPr>
          <w:rFonts w:ascii="Times New Roman" w:hAnsi="Times New Roman"/>
          <w:noProof/>
          <w:sz w:val="24"/>
        </w:rPr>
        <w:t xml:space="preserve"> Техният</w:t>
      </w:r>
      <w:r>
        <w:rPr>
          <w:rFonts w:ascii="Times New Roman" w:hAnsi="Times New Roman"/>
          <w:noProof/>
          <w:sz w:val="24"/>
        </w:rPr>
        <w:t xml:space="preserve"> замисъл е да се намалят различията между равнищата на развитие на различните региони, като най-необлагодетелстваните региони получават подкрепа да настигнат останалите. По-специално това означава, че публичната подкрепа за производствени инвестиции на гол</w:t>
      </w:r>
      <w:r>
        <w:rPr>
          <w:rFonts w:ascii="Times New Roman" w:hAnsi="Times New Roman"/>
          <w:noProof/>
          <w:sz w:val="24"/>
        </w:rPr>
        <w:t>еми предприятия трябва да продължи само ако тя е от полза за най-бедните региони, които ще бъдат засегнати от зеления преход (член 107, параграф 3, букви а) и в) от ДФЕС).</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В този контекст настоящите правила за държавна помощ ще се прилагат с гъвкавост, кат</w:t>
      </w:r>
      <w:r>
        <w:rPr>
          <w:rFonts w:ascii="Times New Roman" w:hAnsi="Times New Roman"/>
          <w:b/>
          <w:noProof/>
          <w:sz w:val="24"/>
        </w:rPr>
        <w:t>о акцент ще се поставя върху редица области, които изглеждат от решаващо значение за постигането на трансформация в неутрална по отношение на климата икономика.</w:t>
      </w:r>
    </w:p>
    <w:p w:rsidR="0059459F" w:rsidRDefault="00246BD0">
      <w:pPr>
        <w:pStyle w:val="Heading3"/>
        <w:spacing w:after="240"/>
        <w:rPr>
          <w:noProof/>
        </w:rPr>
      </w:pPr>
      <w:r>
        <w:rPr>
          <w:noProof/>
        </w:rPr>
        <w:t>Повече гъвкавост за държавните помощи, предназначени за трансформиране в неутрални по отношение</w:t>
      </w:r>
      <w:r>
        <w:rPr>
          <w:noProof/>
        </w:rPr>
        <w:t xml:space="preserve"> на климата производствени процеси</w:t>
      </w:r>
    </w:p>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Комисията ще одобри подкрепа, оказвана от държавите членки на дружествата, с цел намаляване на въглеродните емисии или за електрифициране на производствените процеси, при условие че икономическите стимули не налагат вече </w:t>
      </w:r>
      <w:r>
        <w:rPr>
          <w:rFonts w:ascii="Times New Roman" w:hAnsi="Times New Roman"/>
          <w:b/>
          <w:noProof/>
          <w:sz w:val="24"/>
        </w:rPr>
        <w:t>въпросната инвестиция и дружествата намаляват въздействието си върху околната среда, като надвишават стандартите или показателите на Съюза.</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За да се сведат до минимум държавните разходите, публичната подкрепа следва да бъде ограничена до необходимото. </w:t>
      </w:r>
      <w:r>
        <w:rPr>
          <w:rFonts w:ascii="Times New Roman" w:hAnsi="Times New Roman"/>
          <w:noProof/>
          <w:sz w:val="24"/>
        </w:rPr>
        <w:t>Дейс</w:t>
      </w:r>
      <w:r>
        <w:rPr>
          <w:rFonts w:ascii="Times New Roman" w:hAnsi="Times New Roman"/>
          <w:noProof/>
          <w:sz w:val="24"/>
        </w:rPr>
        <w:t>тващите насоки обикновено определят максималния размер на помощта въз основа на допълнителните разходи за съответните инвестиции в сравнение с евентуални алтернативни инвестиции, които са по-малко благоприятни за околната среда. Комисията ще прецени дали в</w:t>
      </w:r>
      <w:r>
        <w:rPr>
          <w:rFonts w:ascii="Times New Roman" w:hAnsi="Times New Roman"/>
          <w:noProof/>
          <w:sz w:val="24"/>
        </w:rPr>
        <w:t xml:space="preserve"> бъдеще за инвестиции, които са съвместими с прехода към неутралност по отношение на климата, може да определя допустимите разходи въз основа на недостига на финансиране, по-специално в случаите, когато няма хипотетична алтернативна инвестиция. Това би мог</w:t>
      </w:r>
      <w:r>
        <w:rPr>
          <w:rFonts w:ascii="Times New Roman" w:hAnsi="Times New Roman"/>
          <w:noProof/>
          <w:sz w:val="24"/>
        </w:rPr>
        <w:t>ло да бъде оправдано с оглед на целите на Зеления пакт и на факта, че тези инвестиции представляват важен начин за намаляване на въглеродния отпечатък на съответните съоръжения и помагат за постигане на неутралност по отношение на климата.</w:t>
      </w:r>
    </w:p>
    <w:p w:rsidR="0059459F" w:rsidRDefault="00246BD0">
      <w:pPr>
        <w:pStyle w:val="Heading3"/>
        <w:spacing w:after="240"/>
        <w:rPr>
          <w:noProof/>
        </w:rPr>
      </w:pPr>
      <w:r>
        <w:rPr>
          <w:noProof/>
        </w:rPr>
        <w:t>Помощ за подобря</w:t>
      </w:r>
      <w:r>
        <w:rPr>
          <w:noProof/>
        </w:rPr>
        <w:t>ване на енергийната ефективност на сградите</w:t>
      </w:r>
    </w:p>
    <w:p w:rsidR="0059459F" w:rsidRDefault="00246BD0">
      <w:pPr>
        <w:spacing w:after="240"/>
        <w:jc w:val="both"/>
        <w:rPr>
          <w:rFonts w:ascii="Times New Roman" w:hAnsi="Times New Roman"/>
          <w:noProof/>
          <w:sz w:val="28"/>
          <w:szCs w:val="24"/>
        </w:rPr>
      </w:pPr>
      <w:r>
        <w:rPr>
          <w:rFonts w:ascii="Times New Roman" w:hAnsi="Times New Roman"/>
          <w:b/>
          <w:noProof/>
          <w:sz w:val="24"/>
        </w:rPr>
        <w:t>На държавите членки ще бъде дадено по-широко поле да инвестират в енергийната ефективност на сградите съгласно Насоките за опазване на околната среда и за енергетика.</w:t>
      </w:r>
      <w:r>
        <w:rPr>
          <w:rFonts w:ascii="Times New Roman" w:hAnsi="Times New Roman"/>
          <w:noProof/>
          <w:sz w:val="24"/>
        </w:rPr>
        <w:t xml:space="preserve"> По-специално на държавите членки ще бъде пред</w:t>
      </w:r>
      <w:r>
        <w:rPr>
          <w:rFonts w:ascii="Times New Roman" w:hAnsi="Times New Roman"/>
          <w:noProof/>
          <w:sz w:val="24"/>
        </w:rPr>
        <w:t>оставена по-голяма гъвкавост да подкрепят механизмите за финансиране, които са изгодни за потребителите на електроенергия, като например договорите за енергоспестяване с гарантиран резултат. При тези механизми дружествата за енергийни услуги инвестират в м</w:t>
      </w:r>
      <w:r>
        <w:rPr>
          <w:rFonts w:ascii="Times New Roman" w:hAnsi="Times New Roman"/>
          <w:noProof/>
          <w:sz w:val="24"/>
        </w:rPr>
        <w:t>одернизирането на сградите, за да повишат енергийната им ефективност и биват възнаградени чрез икономиите на енергия в сметката на потребителя за електроенергия.</w:t>
      </w:r>
    </w:p>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Държавите членки ще разполагат също с повече гъвкавост, за да подкрепят модернизациите, които </w:t>
      </w:r>
      <w:r>
        <w:rPr>
          <w:rFonts w:ascii="Times New Roman" w:hAnsi="Times New Roman"/>
          <w:b/>
          <w:noProof/>
          <w:sz w:val="24"/>
        </w:rPr>
        <w:t xml:space="preserve">повишават енергийната ефективност на сградите и представляват инвестиция в производството на енергия от възобновяеми източници за собствено потребление. </w:t>
      </w:r>
    </w:p>
    <w:p w:rsidR="0059459F" w:rsidRDefault="00246BD0">
      <w:pPr>
        <w:spacing w:after="240"/>
        <w:jc w:val="both"/>
        <w:rPr>
          <w:rFonts w:ascii="Times New Roman" w:hAnsi="Times New Roman"/>
          <w:b/>
          <w:noProof/>
          <w:sz w:val="28"/>
          <w:szCs w:val="24"/>
        </w:rPr>
      </w:pPr>
      <w:r>
        <w:rPr>
          <w:rFonts w:ascii="Times New Roman" w:hAnsi="Times New Roman"/>
          <w:b/>
          <w:noProof/>
          <w:sz w:val="24"/>
        </w:rPr>
        <w:t>Що се отнася до определянето на допустимите разходи за такива проекти, Комисията може да вземе предвид</w:t>
      </w:r>
      <w:r>
        <w:rPr>
          <w:rFonts w:ascii="Times New Roman" w:hAnsi="Times New Roman"/>
          <w:b/>
          <w:noProof/>
          <w:sz w:val="24"/>
        </w:rPr>
        <w:t xml:space="preserve"> факта, че в много случаи няма съпоставителна инвестиция. </w:t>
      </w:r>
    </w:p>
    <w:p w:rsidR="0059459F" w:rsidRDefault="00246BD0">
      <w:pPr>
        <w:pStyle w:val="Heading3"/>
        <w:spacing w:after="240"/>
        <w:rPr>
          <w:noProof/>
        </w:rPr>
      </w:pPr>
      <w:r>
        <w:rPr>
          <w:noProof/>
        </w:rPr>
        <w:t>Помощ за централно отопление</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Подпомагането, което се ограничава до централните топлофикационни мрежи, може при определени обстоятелства да се счита за попадащо извън контрола на държавната помощ в </w:t>
      </w:r>
      <w:r>
        <w:rPr>
          <w:rFonts w:ascii="Times New Roman" w:hAnsi="Times New Roman"/>
          <w:b/>
          <w:noProof/>
          <w:sz w:val="24"/>
        </w:rPr>
        <w:t>качеството си на инфраструктурна мярка, която не засяга конкуренцията и търговията.</w:t>
      </w:r>
      <w:r>
        <w:rPr>
          <w:rFonts w:ascii="Times New Roman" w:hAnsi="Times New Roman"/>
          <w:noProof/>
          <w:sz w:val="24"/>
        </w:rPr>
        <w:t xml:space="preserve"> Това се отнася по-специално за случаите, в които централните топлофикационни мрежи се управляват по същия начин, както и друга енергийна инфраструктура, при разделяне на пр</w:t>
      </w:r>
      <w:r>
        <w:rPr>
          <w:rFonts w:ascii="Times New Roman" w:hAnsi="Times New Roman"/>
          <w:noProof/>
          <w:sz w:val="24"/>
        </w:rPr>
        <w:t xml:space="preserve">оизводството на топлинна енергия, достъпа на трети страни и регулираните тарифи. </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За всички останали случаи, в които се предоставя държавна помощ, в Насоките за опазване на околната среда и за енергетика се определят редица условия, съгласно които може да </w:t>
      </w:r>
      <w:r>
        <w:rPr>
          <w:rFonts w:ascii="Times New Roman" w:hAnsi="Times New Roman"/>
          <w:b/>
          <w:noProof/>
          <w:sz w:val="24"/>
        </w:rPr>
        <w:t>бъде одобрена подкрепа за проекти за централно отопление</w:t>
      </w:r>
      <w:r>
        <w:rPr>
          <w:rFonts w:ascii="Times New Roman" w:hAnsi="Times New Roman"/>
          <w:noProof/>
          <w:sz w:val="24"/>
        </w:rPr>
        <w:t>. По-специално съгласно правилата инвестицията трябва да води до енергийно ефективна централна топлофикационна система, както е определено в Директивата за енергийната ефективност. Що се отнася до сум</w:t>
      </w:r>
      <w:r>
        <w:rPr>
          <w:rFonts w:ascii="Times New Roman" w:hAnsi="Times New Roman"/>
          <w:noProof/>
          <w:sz w:val="24"/>
        </w:rPr>
        <w:t>ите, които могат да бъдат предоставени, в насоките се прави разграничение между интензитетите на помощта за инвестиционните разходи за инсталациите за централно отопление и така наречения метод на финансовия недостиг за финансиране на изграждането или моде</w:t>
      </w:r>
      <w:r>
        <w:rPr>
          <w:rFonts w:ascii="Times New Roman" w:hAnsi="Times New Roman"/>
          <w:noProof/>
          <w:sz w:val="24"/>
        </w:rPr>
        <w:t xml:space="preserve">рнизирането на мрежите за топлоснабдяване. </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За да се отключи потенциалът на топлофикационните мрежи, така че да допринесе за трансформация в неутрална по отношение на климата икономика, в бъдеще държавите членки ще могат да използват подхода за недостиг на финансиране също за производството на центр</w:t>
      </w:r>
      <w:r>
        <w:rPr>
          <w:rFonts w:ascii="Times New Roman" w:hAnsi="Times New Roman"/>
          <w:b/>
          <w:noProof/>
          <w:sz w:val="24"/>
        </w:rPr>
        <w:t xml:space="preserve">ално отопление като алтернатива на максималните интензитети на помощ, определени в Насоките за опазване на околната среда и за енергетика. </w:t>
      </w:r>
    </w:p>
    <w:p w:rsidR="0059459F" w:rsidRDefault="00246BD0">
      <w:pPr>
        <w:spacing w:after="240"/>
        <w:jc w:val="both"/>
        <w:rPr>
          <w:rFonts w:ascii="Times New Roman" w:hAnsi="Times New Roman"/>
          <w:noProof/>
          <w:sz w:val="28"/>
          <w:szCs w:val="24"/>
        </w:rPr>
      </w:pPr>
      <w:r>
        <w:rPr>
          <w:rFonts w:ascii="Times New Roman" w:hAnsi="Times New Roman"/>
          <w:b/>
          <w:noProof/>
          <w:sz w:val="24"/>
        </w:rPr>
        <w:t>На държавите членки би могло също така да се разреши да предоставят държавна помощ на топлофикационни мрежи, които н</w:t>
      </w:r>
      <w:r>
        <w:rPr>
          <w:rFonts w:ascii="Times New Roman" w:hAnsi="Times New Roman"/>
          <w:b/>
          <w:noProof/>
          <w:sz w:val="24"/>
        </w:rPr>
        <w:t>е са част от енергийно ефективни системи за централно отопление</w:t>
      </w:r>
      <w:r>
        <w:rPr>
          <w:rFonts w:ascii="Times New Roman" w:hAnsi="Times New Roman"/>
          <w:noProof/>
          <w:sz w:val="24"/>
        </w:rPr>
        <w:t>, ако инвестициите, благодарение на които производството на топлинна енергия става енергийно ефективно, започнат в срок от три години след модернизирането на мрежата.</w:t>
      </w:r>
    </w:p>
    <w:p w:rsidR="0059459F" w:rsidRDefault="00246BD0">
      <w:pPr>
        <w:pStyle w:val="Heading3"/>
        <w:spacing w:after="240"/>
        <w:rPr>
          <w:noProof/>
        </w:rPr>
      </w:pPr>
      <w:r>
        <w:rPr>
          <w:noProof/>
        </w:rPr>
        <w:t>Помощ за закриване на въгл</w:t>
      </w:r>
      <w:r>
        <w:rPr>
          <w:noProof/>
        </w:rPr>
        <w:t xml:space="preserve">ищни електроцентрали </w:t>
      </w:r>
    </w:p>
    <w:p w:rsidR="0059459F" w:rsidRDefault="00246BD0">
      <w:pPr>
        <w:spacing w:after="240"/>
        <w:jc w:val="both"/>
        <w:rPr>
          <w:rFonts w:ascii="Times New Roman" w:hAnsi="Times New Roman"/>
          <w:noProof/>
          <w:sz w:val="28"/>
          <w:szCs w:val="24"/>
        </w:rPr>
      </w:pPr>
      <w:r>
        <w:rPr>
          <w:rFonts w:ascii="Times New Roman" w:hAnsi="Times New Roman"/>
          <w:b/>
          <w:noProof/>
          <w:sz w:val="24"/>
        </w:rPr>
        <w:t>Горенето на лигнитни въглища е едно от най-замърсяващите начини за производство на електроенергия, отделящо значително количество CO</w:t>
      </w:r>
      <w:r>
        <w:rPr>
          <w:rFonts w:ascii="Times New Roman" w:hAnsi="Times New Roman"/>
          <w:b/>
          <w:noProof/>
          <w:sz w:val="24"/>
          <w:vertAlign w:val="subscript"/>
        </w:rPr>
        <w:t>2</w:t>
      </w:r>
      <w:r>
        <w:rPr>
          <w:rFonts w:ascii="Times New Roman" w:hAnsi="Times New Roman"/>
          <w:b/>
          <w:noProof/>
          <w:sz w:val="24"/>
        </w:rPr>
        <w:t xml:space="preserve">. </w:t>
      </w:r>
      <w:r>
        <w:rPr>
          <w:rFonts w:ascii="Times New Roman" w:hAnsi="Times New Roman"/>
          <w:noProof/>
          <w:sz w:val="24"/>
        </w:rPr>
        <w:t>Въпреки че схемата на ЕС за търговия с емисии ще доведе до намаляване на производство на електроене</w:t>
      </w:r>
      <w:r>
        <w:rPr>
          <w:rFonts w:ascii="Times New Roman" w:hAnsi="Times New Roman"/>
          <w:noProof/>
          <w:sz w:val="24"/>
        </w:rPr>
        <w:t>ргия с висок въглероден интензитет, редица държави членки планират да ускорят извеждането от експлоатация на електроцентрали, захранвани с антрацитни и лигнитни въглища.</w:t>
      </w:r>
      <w:r>
        <w:rPr>
          <w:rFonts w:ascii="Times New Roman" w:hAnsi="Times New Roman"/>
          <w:b/>
          <w:noProof/>
          <w:sz w:val="24"/>
        </w:rPr>
        <w:t xml:space="preserve"> </w:t>
      </w:r>
      <w:r>
        <w:rPr>
          <w:rFonts w:ascii="Times New Roman" w:hAnsi="Times New Roman"/>
          <w:noProof/>
          <w:sz w:val="24"/>
        </w:rPr>
        <w:t>Държавите членки, които решат в този контекст да предоставят помощ за затварянето на в</w:t>
      </w:r>
      <w:r>
        <w:rPr>
          <w:rFonts w:ascii="Times New Roman" w:hAnsi="Times New Roman"/>
          <w:noProof/>
          <w:sz w:val="24"/>
        </w:rPr>
        <w:t>ъглищни електроцентрали, като например да компенсират операторите за пропуснати ползи, тъй като те не могат повече да продават електроенергия на пазара, следва да уведомят Комисията за своите планове.</w:t>
      </w:r>
      <w:r>
        <w:rPr>
          <w:rFonts w:ascii="Times New Roman" w:hAnsi="Times New Roman"/>
          <w:b/>
          <w:noProof/>
          <w:sz w:val="24"/>
        </w:rPr>
        <w:t xml:space="preserve"> </w:t>
      </w:r>
      <w:r>
        <w:rPr>
          <w:rFonts w:ascii="Times New Roman" w:hAnsi="Times New Roman"/>
          <w:noProof/>
          <w:sz w:val="24"/>
        </w:rPr>
        <w:t>Комисията ще оценява държавните помощи, свързани с таки</w:t>
      </w:r>
      <w:r>
        <w:rPr>
          <w:rFonts w:ascii="Times New Roman" w:hAnsi="Times New Roman"/>
          <w:noProof/>
          <w:sz w:val="24"/>
        </w:rPr>
        <w:t xml:space="preserve">ва проекти, направо по Договора. </w:t>
      </w:r>
    </w:p>
    <w:p w:rsidR="0059459F" w:rsidRDefault="00246BD0">
      <w:pPr>
        <w:spacing w:after="240"/>
        <w:jc w:val="both"/>
        <w:rPr>
          <w:rFonts w:ascii="Times New Roman" w:hAnsi="Times New Roman"/>
          <w:noProof/>
          <w:sz w:val="28"/>
          <w:szCs w:val="24"/>
        </w:rPr>
      </w:pPr>
      <w:r>
        <w:rPr>
          <w:rFonts w:ascii="Times New Roman" w:hAnsi="Times New Roman"/>
          <w:b/>
          <w:noProof/>
          <w:sz w:val="24"/>
        </w:rPr>
        <w:t>В този контекст Комисията ще разгледа по-специално пропорционалността на тази подкрепа, за да се избегне свръхкомпенсиране.</w:t>
      </w:r>
      <w:r>
        <w:rPr>
          <w:rFonts w:ascii="Times New Roman" w:hAnsi="Times New Roman"/>
          <w:noProof/>
          <w:sz w:val="24"/>
        </w:rPr>
        <w:t xml:space="preserve"> Това означава, че държавите членки трябва да докажат, че компенсацията не надхвърля загубата на пе</w:t>
      </w:r>
      <w:r>
        <w:rPr>
          <w:rFonts w:ascii="Times New Roman" w:hAnsi="Times New Roman"/>
          <w:noProof/>
          <w:sz w:val="24"/>
        </w:rPr>
        <w:t>чалба, която инсталацията ще претърпи поради предстоящото ѝ затваряне. Важно е също така да се гарантира, че мярката е структурирана по начин, който свежда до минимум нарушаването на конкуренцията на пазара.</w:t>
      </w:r>
    </w:p>
    <w:p w:rsidR="0059459F" w:rsidRDefault="00246BD0">
      <w:pPr>
        <w:spacing w:after="240"/>
        <w:jc w:val="both"/>
        <w:rPr>
          <w:rFonts w:ascii="Times New Roman" w:hAnsi="Times New Roman"/>
          <w:noProof/>
          <w:sz w:val="28"/>
          <w:szCs w:val="24"/>
        </w:rPr>
      </w:pPr>
      <w:r>
        <w:rPr>
          <w:rFonts w:ascii="Times New Roman" w:hAnsi="Times New Roman"/>
          <w:noProof/>
          <w:sz w:val="24"/>
        </w:rPr>
        <w:t>Следва да се припомни, че държавна подкрепа, коя</w:t>
      </w:r>
      <w:r>
        <w:rPr>
          <w:rFonts w:ascii="Times New Roman" w:hAnsi="Times New Roman"/>
          <w:noProof/>
          <w:sz w:val="24"/>
        </w:rPr>
        <w:t>то не е свързана със стопанска дейност, по-специално в полза на физически лица (например социална помощ или за преквалификация) или финансирането на публично достъпна инфраструктура, не попада в обхвата на правилата за държавна помощ, доколкото тя не предо</w:t>
      </w:r>
      <w:r>
        <w:rPr>
          <w:rFonts w:ascii="Times New Roman" w:hAnsi="Times New Roman"/>
          <w:noProof/>
          <w:sz w:val="24"/>
        </w:rPr>
        <w:t>ставя непряко предимство на никое предприятие.</w:t>
      </w:r>
    </w:p>
    <w:p w:rsidR="0059459F" w:rsidRDefault="00246BD0">
      <w:pPr>
        <w:pStyle w:val="Heading3"/>
        <w:spacing w:after="240"/>
        <w:rPr>
          <w:noProof/>
        </w:rPr>
      </w:pPr>
      <w:r>
        <w:rPr>
          <w:noProof/>
        </w:rPr>
        <w:t>Помощ за кръговата икономика</w:t>
      </w:r>
    </w:p>
    <w:p w:rsidR="0059459F" w:rsidRDefault="00246BD0">
      <w:pPr>
        <w:spacing w:after="240"/>
        <w:jc w:val="both"/>
        <w:rPr>
          <w:rFonts w:ascii="Times New Roman" w:hAnsi="Times New Roman"/>
          <w:noProof/>
          <w:sz w:val="28"/>
          <w:szCs w:val="24"/>
        </w:rPr>
      </w:pPr>
      <w:r>
        <w:rPr>
          <w:rFonts w:ascii="Times New Roman" w:hAnsi="Times New Roman"/>
          <w:b/>
          <w:noProof/>
          <w:sz w:val="24"/>
        </w:rPr>
        <w:t>На държавите членки ще бъде предоставено по-широко поле, за да подкрепят мерките, необходими за прехода от линейна към кръгова икономика: рециклиране на отпадъци, повторно използва</w:t>
      </w:r>
      <w:r>
        <w:rPr>
          <w:rFonts w:ascii="Times New Roman" w:hAnsi="Times New Roman"/>
          <w:b/>
          <w:noProof/>
          <w:sz w:val="24"/>
        </w:rPr>
        <w:t>не на отпадна топлина, повторно използване на CO</w:t>
      </w:r>
      <w:r>
        <w:rPr>
          <w:rFonts w:ascii="Times New Roman" w:hAnsi="Times New Roman"/>
          <w:b/>
          <w:noProof/>
          <w:sz w:val="24"/>
          <w:vertAlign w:val="subscript"/>
        </w:rPr>
        <w:t>2</w:t>
      </w:r>
      <w:r>
        <w:rPr>
          <w:rFonts w:ascii="Times New Roman" w:hAnsi="Times New Roman"/>
          <w:b/>
          <w:noProof/>
          <w:sz w:val="24"/>
        </w:rPr>
        <w:t xml:space="preserve"> или разделно събиране на отпадъчните потоци.</w:t>
      </w:r>
      <w:r>
        <w:rPr>
          <w:rFonts w:ascii="Times New Roman" w:hAnsi="Times New Roman"/>
          <w:noProof/>
          <w:sz w:val="24"/>
        </w:rPr>
        <w:t xml:space="preserve"> Тази гъвкавост ще се прилага, при условие че размерът на помощта се определя, като се вземат предвид допълнителните приходи, които могат да бъдат извлечени от ин</w:t>
      </w:r>
      <w:r>
        <w:rPr>
          <w:rFonts w:ascii="Times New Roman" w:hAnsi="Times New Roman"/>
          <w:noProof/>
          <w:sz w:val="24"/>
        </w:rPr>
        <w:t>вестициите в кръговата икономика.</w:t>
      </w: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contextualSpacing/>
              <w:jc w:val="both"/>
              <w:rPr>
                <w:rFonts w:ascii="Times New Roman" w:hAnsi="Times New Roman"/>
                <w:b/>
                <w:noProof/>
                <w:sz w:val="28"/>
                <w:szCs w:val="24"/>
              </w:rPr>
            </w:pPr>
            <w:r>
              <w:rPr>
                <w:rFonts w:ascii="Times New Roman" w:hAnsi="Times New Roman"/>
                <w:b/>
                <w:noProof/>
                <w:sz w:val="24"/>
              </w:rPr>
              <w:t>Комисията:</w:t>
            </w:r>
          </w:p>
          <w:p w:rsidR="0059459F" w:rsidRDefault="00246BD0">
            <w:pPr>
              <w:pStyle w:val="ListParagraph"/>
              <w:numPr>
                <w:ilvl w:val="0"/>
                <w:numId w:val="46"/>
              </w:numPr>
              <w:spacing w:after="240"/>
              <w:contextualSpacing/>
              <w:jc w:val="both"/>
              <w:rPr>
                <w:rFonts w:ascii="Times New Roman" w:hAnsi="Times New Roman"/>
                <w:b/>
                <w:noProof/>
                <w:sz w:val="28"/>
                <w:szCs w:val="24"/>
              </w:rPr>
            </w:pPr>
            <w:r>
              <w:rPr>
                <w:rFonts w:ascii="Times New Roman" w:hAnsi="Times New Roman"/>
                <w:b/>
                <w:noProof/>
                <w:sz w:val="24"/>
              </w:rPr>
              <w:t>Ще продължи да прилага ефективно правилата за държавна помощ, които са възлови фактори за прехода, и ще прилага гъвкаво действащите правила в области от решаващо значение за трансформацията в неутрална по отноше</w:t>
            </w:r>
            <w:r>
              <w:rPr>
                <w:rFonts w:ascii="Times New Roman" w:hAnsi="Times New Roman"/>
                <w:b/>
                <w:noProof/>
                <w:sz w:val="24"/>
              </w:rPr>
              <w:t>ние на климата икономика.</w:t>
            </w:r>
          </w:p>
          <w:p w:rsidR="0059459F" w:rsidRDefault="0059459F">
            <w:pPr>
              <w:pStyle w:val="ListParagraph"/>
              <w:spacing w:after="240"/>
              <w:contextualSpacing/>
              <w:jc w:val="both"/>
              <w:rPr>
                <w:rFonts w:ascii="Times New Roman" w:hAnsi="Times New Roman"/>
                <w:b/>
                <w:noProof/>
                <w:sz w:val="28"/>
                <w:szCs w:val="24"/>
              </w:rPr>
            </w:pPr>
          </w:p>
          <w:p w:rsidR="0059459F" w:rsidRDefault="00246BD0">
            <w:pPr>
              <w:pStyle w:val="ListParagraph"/>
              <w:numPr>
                <w:ilvl w:val="0"/>
                <w:numId w:val="46"/>
              </w:numPr>
              <w:spacing w:after="240"/>
              <w:contextualSpacing/>
              <w:jc w:val="both"/>
              <w:rPr>
                <w:rFonts w:ascii="Times New Roman" w:hAnsi="Times New Roman"/>
                <w:b/>
                <w:noProof/>
                <w:sz w:val="24"/>
                <w:szCs w:val="24"/>
              </w:rPr>
            </w:pPr>
            <w:r>
              <w:rPr>
                <w:rFonts w:ascii="Times New Roman" w:hAnsi="Times New Roman"/>
                <w:b/>
                <w:noProof/>
                <w:sz w:val="24"/>
              </w:rPr>
              <w:t>Ще преразгледа правилата за държавна помощ до 2021 г., за да отрази целите на политиката на Европейския зелен пакт, като подкрепя икономически ефективен преход за постигането до 2050 г. на неутралност по отношение на климата.</w:t>
            </w:r>
          </w:p>
        </w:tc>
      </w:tr>
    </w:tbl>
    <w:p w:rsidR="0059459F" w:rsidRDefault="0059459F">
      <w:pPr>
        <w:spacing w:after="240"/>
        <w:contextualSpacing/>
        <w:jc w:val="both"/>
        <w:rPr>
          <w:rFonts w:ascii="Times New Roman" w:hAnsi="Times New Roman"/>
          <w:b/>
          <w:noProof/>
          <w:sz w:val="24"/>
          <w:szCs w:val="24"/>
        </w:rPr>
      </w:pPr>
    </w:p>
    <w:p w:rsidR="0059459F" w:rsidRDefault="0059459F">
      <w:pPr>
        <w:spacing w:after="240"/>
        <w:contextualSpacing/>
        <w:jc w:val="both"/>
        <w:rPr>
          <w:rFonts w:ascii="Times New Roman" w:hAnsi="Times New Roman"/>
          <w:b/>
          <w:noProof/>
          <w:sz w:val="24"/>
          <w:szCs w:val="24"/>
        </w:rPr>
      </w:pPr>
    </w:p>
    <w:p w:rsidR="0059459F" w:rsidRDefault="00246BD0">
      <w:pPr>
        <w:pStyle w:val="Heading1"/>
        <w:spacing w:before="240" w:after="240"/>
        <w:rPr>
          <w:noProof/>
        </w:rPr>
      </w:pPr>
      <w:r>
        <w:rPr>
          <w:noProof/>
        </w:rPr>
        <w:t>Изпълнение: създаване на портфейл от устойчиви проекти</w:t>
      </w:r>
    </w:p>
    <w:p w:rsidR="0059459F" w:rsidRDefault="00246BD0">
      <w:pPr>
        <w:pStyle w:val="ListParagraph"/>
        <w:spacing w:after="240"/>
        <w:ind w:left="0"/>
        <w:contextualSpacing/>
        <w:jc w:val="both"/>
        <w:rPr>
          <w:rFonts w:ascii="Times New Roman" w:hAnsi="Times New Roman"/>
          <w:noProof/>
          <w:sz w:val="28"/>
          <w:szCs w:val="24"/>
        </w:rPr>
      </w:pPr>
      <w:r>
        <w:rPr>
          <w:rFonts w:ascii="Times New Roman" w:hAnsi="Times New Roman"/>
          <w:b/>
          <w:noProof/>
          <w:sz w:val="24"/>
        </w:rPr>
        <w:t>В настоящия контекст на голяма пазарна ликвидност предизвикателството се състои в изготвянето на стабилен портфейл от инвестиционни проекти в съответствие с Европейския зелен пакт</w:t>
      </w:r>
      <w:r>
        <w:rPr>
          <w:rFonts w:ascii="Times New Roman" w:hAnsi="Times New Roman"/>
          <w:noProof/>
          <w:sz w:val="24"/>
        </w:rPr>
        <w:t xml:space="preserve">. Наличието на </w:t>
      </w:r>
      <w:r>
        <w:rPr>
          <w:rFonts w:ascii="Times New Roman" w:hAnsi="Times New Roman"/>
          <w:noProof/>
          <w:sz w:val="24"/>
        </w:rPr>
        <w:t>инвестиционни проекти, които са съвместими с очакванията и изискванията на инвеститорите, все още не отговаря на търсенето. Не са изчерпани наличните средства за финансиране. Консултантската подкрепа за организаторите на проекти доказа, че е много ефективн</w:t>
      </w:r>
      <w:r>
        <w:rPr>
          <w:rFonts w:ascii="Times New Roman" w:hAnsi="Times New Roman"/>
          <w:noProof/>
          <w:sz w:val="24"/>
        </w:rPr>
        <w:t>а за преминаването от концепция към създаването на икономически стабилен проект.</w:t>
      </w:r>
    </w:p>
    <w:p w:rsidR="0059459F" w:rsidRDefault="00246BD0">
      <w:pPr>
        <w:spacing w:after="240"/>
        <w:jc w:val="both"/>
        <w:rPr>
          <w:rFonts w:ascii="Times New Roman" w:hAnsi="Times New Roman"/>
          <w:noProof/>
          <w:sz w:val="28"/>
          <w:szCs w:val="24"/>
        </w:rPr>
      </w:pPr>
      <w:r>
        <w:rPr>
          <w:rFonts w:ascii="Times New Roman" w:hAnsi="Times New Roman"/>
          <w:b/>
          <w:noProof/>
          <w:sz w:val="24"/>
        </w:rPr>
        <w:t>Въз основа на установените приоритети техническата помощ и консултантската подкрепа ще спомогнат за набелязването и изготвянето на устойчиви проекти и ще осигурят изграждането</w:t>
      </w:r>
      <w:r>
        <w:rPr>
          <w:rFonts w:ascii="Times New Roman" w:hAnsi="Times New Roman"/>
          <w:b/>
          <w:noProof/>
          <w:sz w:val="24"/>
        </w:rPr>
        <w:t xml:space="preserve"> на капацитет за организаторите на проекти с цел да бъде улеснен достъпът до финансиране.</w:t>
      </w:r>
      <w:r>
        <w:rPr>
          <w:rFonts w:ascii="Times New Roman" w:hAnsi="Times New Roman"/>
          <w:noProof/>
          <w:sz w:val="24"/>
        </w:rPr>
        <w:t xml:space="preserve"> Това ще бъде организирано на различни равнища: от подкрепата за публичните администрации, когато формулират своите инвестиционни планове, до подкрепата за отделни орг</w:t>
      </w:r>
      <w:r>
        <w:rPr>
          <w:rFonts w:ascii="Times New Roman" w:hAnsi="Times New Roman"/>
          <w:noProof/>
          <w:sz w:val="24"/>
        </w:rPr>
        <w:t xml:space="preserve">анизатори на публични и частни проекти, когато разработват и изпълняват своите конкретни проекти. </w:t>
      </w:r>
    </w:p>
    <w:p w:rsidR="0059459F" w:rsidRDefault="00246BD0">
      <w:pPr>
        <w:pStyle w:val="Heading3"/>
        <w:spacing w:after="240"/>
        <w:rPr>
          <w:noProof/>
        </w:rPr>
      </w:pPr>
      <w:r>
        <w:rPr>
          <w:noProof/>
        </w:rPr>
        <w:t>Подкрепа за администрациите</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Програмата за подкрепа на структурните реформи (и Програмата за подкрепа на реформите, която ще я наследи) ще осигури техническа </w:t>
      </w:r>
      <w:r>
        <w:rPr>
          <w:rFonts w:ascii="Times New Roman" w:hAnsi="Times New Roman"/>
          <w:b/>
          <w:noProof/>
          <w:sz w:val="24"/>
        </w:rPr>
        <w:t xml:space="preserve">подкрепа за държавите членки, за да се подпомогне разработването и провеждането на реформи с цел да бъдат осъществени двата взаимосвързани прехода — климатичния и цифровия. </w:t>
      </w:r>
      <w:r>
        <w:rPr>
          <w:rFonts w:ascii="Times New Roman" w:hAnsi="Times New Roman"/>
          <w:noProof/>
          <w:sz w:val="24"/>
        </w:rPr>
        <w:t xml:space="preserve">В областта на устойчивостта ограничените административен капацитет, осведоменост и </w:t>
      </w:r>
      <w:r>
        <w:rPr>
          <w:rFonts w:ascii="Times New Roman" w:hAnsi="Times New Roman"/>
          <w:noProof/>
          <w:sz w:val="24"/>
        </w:rPr>
        <w:t>експертни познания на публичните администрации на национално, регионално и местно равнище в държавите членки са една от основните пречки пред инвестициите в устойчива инфраструктура и опазването на околната среда.</w:t>
      </w:r>
      <w:r>
        <w:rPr>
          <w:rFonts w:ascii="Times New Roman" w:hAnsi="Times New Roman"/>
          <w:b/>
          <w:noProof/>
          <w:sz w:val="24"/>
        </w:rPr>
        <w:t xml:space="preserve"> </w:t>
      </w:r>
      <w:r>
        <w:rPr>
          <w:rFonts w:ascii="Times New Roman" w:hAnsi="Times New Roman"/>
          <w:noProof/>
          <w:sz w:val="24"/>
        </w:rPr>
        <w:t>Програмата ще спомогне за определяне на по</w:t>
      </w:r>
      <w:r>
        <w:rPr>
          <w:rFonts w:ascii="Times New Roman" w:hAnsi="Times New Roman"/>
          <w:noProof/>
          <w:sz w:val="24"/>
        </w:rPr>
        <w:t>тенциала за инвестиции в областта на чистата енергия или за действия, насочени към увеличаването на темпа на инвестиране в енергийна ефективност на сградите. Чрез Програмата за подкрепа на реформите Комисията също така подкрепя държавите членки да изготвят</w:t>
      </w:r>
      <w:r>
        <w:rPr>
          <w:rFonts w:ascii="Times New Roman" w:hAnsi="Times New Roman"/>
          <w:noProof/>
          <w:sz w:val="24"/>
        </w:rPr>
        <w:t xml:space="preserve"> планове за действие относно кръговата икономика, екологичното бюджетиране или устойчивите финанси и инвестиции. </w:t>
      </w:r>
    </w:p>
    <w:p w:rsidR="0059459F" w:rsidRDefault="00246BD0">
      <w:pPr>
        <w:pStyle w:val="Heading3"/>
        <w:spacing w:after="240"/>
        <w:rPr>
          <w:noProof/>
        </w:rPr>
      </w:pPr>
      <w:r>
        <w:rPr>
          <w:noProof/>
        </w:rPr>
        <w:t xml:space="preserve">Подпомагане на организаторите на проекти </w:t>
      </w:r>
    </w:p>
    <w:p w:rsidR="0059459F" w:rsidRDefault="00246BD0">
      <w:pPr>
        <w:spacing w:after="240"/>
        <w:contextualSpacing/>
        <w:jc w:val="both"/>
        <w:rPr>
          <w:rFonts w:ascii="Times New Roman" w:hAnsi="Times New Roman"/>
          <w:noProof/>
          <w:sz w:val="28"/>
          <w:szCs w:val="24"/>
        </w:rPr>
      </w:pPr>
      <w:r>
        <w:rPr>
          <w:rFonts w:ascii="Times New Roman" w:hAnsi="Times New Roman"/>
          <w:b/>
          <w:noProof/>
          <w:sz w:val="24"/>
        </w:rPr>
        <w:t>На равнището на организиране на проекти консултантският център InvestEU и консултативните инициативи</w:t>
      </w:r>
      <w:r>
        <w:rPr>
          <w:rFonts w:ascii="Times New Roman" w:hAnsi="Times New Roman"/>
          <w:b/>
          <w:noProof/>
          <w:sz w:val="24"/>
        </w:rPr>
        <w:t>, разработени в рамките на програмата InvestEU, разполагащи по предложение на Комисията с общ бюджет от 500 милиона евро, ще подкрепят набелязването, подготовката, разработването, структурирането, възлагането и изпълнението на инвестиционни проекти</w:t>
      </w:r>
      <w:r>
        <w:rPr>
          <w:rFonts w:ascii="Times New Roman" w:hAnsi="Times New Roman"/>
          <w:noProof/>
          <w:sz w:val="24"/>
        </w:rPr>
        <w:t>. При не</w:t>
      </w:r>
      <w:r>
        <w:rPr>
          <w:rFonts w:ascii="Times New Roman" w:hAnsi="Times New Roman"/>
          <w:noProof/>
          <w:sz w:val="24"/>
        </w:rPr>
        <w:t>обходимост това може също така да увеличи капацитета на организаторите на проекти и финансовите посредници да извършват операции по финансиране и инвестиране. В това всеобхватно предлагане на услуги ще се вземат предвид аспектите, свързани с устойчивостта.</w:t>
      </w:r>
      <w:r>
        <w:rPr>
          <w:rFonts w:ascii="Times New Roman" w:hAnsi="Times New Roman"/>
          <w:noProof/>
          <w:sz w:val="24"/>
        </w:rPr>
        <w:t xml:space="preserve"> </w:t>
      </w:r>
    </w:p>
    <w:p w:rsidR="0059459F" w:rsidRDefault="0059459F">
      <w:pPr>
        <w:spacing w:after="240"/>
        <w:contextualSpacing/>
        <w:jc w:val="both"/>
        <w:rPr>
          <w:rFonts w:ascii="Times New Roman" w:hAnsi="Times New Roman"/>
          <w:noProof/>
          <w:sz w:val="28"/>
          <w:szCs w:val="24"/>
        </w:rPr>
      </w:pPr>
    </w:p>
    <w:p w:rsidR="0059459F" w:rsidRDefault="00246BD0">
      <w:pPr>
        <w:spacing w:after="240"/>
        <w:contextualSpacing/>
        <w:jc w:val="both"/>
        <w:rPr>
          <w:rFonts w:ascii="Times New Roman" w:hAnsi="Times New Roman"/>
          <w:noProof/>
          <w:sz w:val="28"/>
          <w:szCs w:val="24"/>
        </w:rPr>
      </w:pPr>
      <w:r>
        <w:rPr>
          <w:rFonts w:ascii="Times New Roman" w:hAnsi="Times New Roman"/>
          <w:b/>
          <w:noProof/>
          <w:sz w:val="24"/>
        </w:rPr>
        <w:t xml:space="preserve">Консултантският център InvestEU ще осигури единен портал за достъп както за публичните, така и на частните организатори на проекти, както и за финансовите посредници с цел извършване на операции по финансиране и инвестиране в полза на субекти, които се </w:t>
      </w:r>
      <w:r>
        <w:rPr>
          <w:rFonts w:ascii="Times New Roman" w:hAnsi="Times New Roman"/>
          <w:b/>
          <w:noProof/>
          <w:sz w:val="24"/>
        </w:rPr>
        <w:t>затрудняват да получат достъп до финансиране.</w:t>
      </w:r>
      <w:r>
        <w:rPr>
          <w:rFonts w:ascii="Times New Roman" w:hAnsi="Times New Roman"/>
          <w:noProof/>
          <w:sz w:val="24"/>
        </w:rPr>
        <w:t xml:space="preserve"> JASPERS — съвместната инициатива на Комисията и Европейската инвестиционна банка за разработване на проекти за структурните фондове, ще стане част от центъра. Съответните консултантски инициативи по линия на ко</w:t>
      </w:r>
      <w:r>
        <w:rPr>
          <w:rFonts w:ascii="Times New Roman" w:hAnsi="Times New Roman"/>
          <w:noProof/>
          <w:sz w:val="24"/>
        </w:rPr>
        <w:t>нсултантския център InvestEU биха могли да включват продължаване на Европейската програма за подпомагане в областта на енергетиката на местно равнище, която да подкрепя проекти за устойчива енергия и чист транспорт на местно равнище. Това би могло да включ</w:t>
      </w:r>
      <w:r>
        <w:rPr>
          <w:rFonts w:ascii="Times New Roman" w:hAnsi="Times New Roman"/>
          <w:noProof/>
          <w:sz w:val="24"/>
        </w:rPr>
        <w:t>ва и други инициативи за консултиране в рамките на прозореца за устойчива инфраструктура, които предоставят подкрепа за структурирането на операциите по финансиране и инвестиране на устойчиви проекти във възлови инфраструктурни области (транспорт, енергети</w:t>
      </w:r>
      <w:r>
        <w:rPr>
          <w:rFonts w:ascii="Times New Roman" w:hAnsi="Times New Roman"/>
          <w:noProof/>
          <w:sz w:val="24"/>
        </w:rPr>
        <w:t>ка, околна среда, широколентова връзка и цифрова свързаност). Специално внимание ще бъде отделено също на техническата помощ за проекти, насърчаващи природния капитал и природосъобразните решения.</w:t>
      </w:r>
    </w:p>
    <w:p w:rsidR="0059459F" w:rsidRDefault="00246BD0">
      <w:pPr>
        <w:pStyle w:val="ListParagraph"/>
        <w:spacing w:after="240"/>
        <w:ind w:left="0"/>
        <w:contextualSpacing/>
        <w:jc w:val="both"/>
        <w:rPr>
          <w:rFonts w:ascii="Times New Roman" w:hAnsi="Times New Roman"/>
          <w:noProof/>
          <w:sz w:val="28"/>
          <w:szCs w:val="24"/>
        </w:rPr>
      </w:pPr>
      <w:r>
        <w:rPr>
          <w:rFonts w:ascii="Times New Roman" w:hAnsi="Times New Roman"/>
          <w:b/>
          <w:noProof/>
          <w:sz w:val="24"/>
        </w:rPr>
        <w:t>Публичните инвеститори ще се възползват от специално разраб</w:t>
      </w:r>
      <w:r>
        <w:rPr>
          <w:rFonts w:ascii="Times New Roman" w:hAnsi="Times New Roman"/>
          <w:b/>
          <w:noProof/>
          <w:sz w:val="24"/>
        </w:rPr>
        <w:t>отена подкрепа за това как да изпълняват своите проекти на практика</w:t>
      </w:r>
      <w:r>
        <w:rPr>
          <w:rFonts w:ascii="Times New Roman" w:hAnsi="Times New Roman"/>
          <w:noProof/>
          <w:sz w:val="24"/>
        </w:rPr>
        <w:t>. Нововъведеният инструмент за скрининг на устойчивостта на обществените поръчки — въз основа на действащия доброволен предварителен механизъм за големи инфраструктурни проекти — ще им помо</w:t>
      </w:r>
      <w:r>
        <w:rPr>
          <w:rFonts w:ascii="Times New Roman" w:hAnsi="Times New Roman"/>
          <w:noProof/>
          <w:sz w:val="24"/>
        </w:rPr>
        <w:t>гне да се възползват от всички възможности за екологосъобразно възлагане на обществени поръчки, както и да гарантират устойчивостта на проекта и спазването на най-високите екологични стандарти по цялата верига на доставки.</w:t>
      </w:r>
    </w:p>
    <w:p w:rsidR="0059459F" w:rsidRDefault="00246BD0">
      <w:pPr>
        <w:pStyle w:val="Heading3"/>
        <w:spacing w:after="240"/>
        <w:rPr>
          <w:noProof/>
        </w:rPr>
      </w:pPr>
      <w:r>
        <w:rPr>
          <w:noProof/>
        </w:rPr>
        <w:t>Осигуряване на съгласуваност и ви</w:t>
      </w:r>
      <w:r>
        <w:rPr>
          <w:noProof/>
        </w:rPr>
        <w:t>димост</w:t>
      </w:r>
    </w:p>
    <w:p w:rsidR="0059459F" w:rsidRDefault="00246BD0">
      <w:pPr>
        <w:spacing w:after="240"/>
        <w:contextualSpacing/>
        <w:jc w:val="both"/>
        <w:rPr>
          <w:rFonts w:ascii="Times New Roman" w:hAnsi="Times New Roman"/>
          <w:noProof/>
          <w:sz w:val="28"/>
          <w:szCs w:val="24"/>
        </w:rPr>
      </w:pPr>
      <w:r>
        <w:rPr>
          <w:rFonts w:ascii="Times New Roman" w:hAnsi="Times New Roman"/>
          <w:b/>
          <w:noProof/>
          <w:sz w:val="24"/>
        </w:rPr>
        <w:t>Комисията ще гарантира, че подкрепата за публичната администрация и за всеки проект се предоставя по координиран начин, когато това е целесъобразно</w:t>
      </w:r>
      <w:r>
        <w:rPr>
          <w:rFonts w:ascii="Times New Roman" w:hAnsi="Times New Roman"/>
          <w:noProof/>
          <w:sz w:val="24"/>
        </w:rPr>
        <w:t>. Дейностите по изграждане на капацитет и стратегическо планиране в рамките на Комисията дават положит</w:t>
      </w:r>
      <w:r>
        <w:rPr>
          <w:rFonts w:ascii="Times New Roman" w:hAnsi="Times New Roman"/>
          <w:noProof/>
          <w:sz w:val="24"/>
        </w:rPr>
        <w:t xml:space="preserve">елни резултати, които могат да бъдат възпроизведени и разгърнати за целите на Зеления пакт. Съществуващото тясно сътрудничество между службите на Комисията и подкрепата от Европейския консултантски център за националните насърчителни банки и инвестиционни </w:t>
      </w:r>
      <w:r>
        <w:rPr>
          <w:rFonts w:ascii="Times New Roman" w:hAnsi="Times New Roman"/>
          <w:noProof/>
          <w:sz w:val="24"/>
        </w:rPr>
        <w:t>проекти ще бъде разширено по линия на съответните програми приемници от следващата многогодишната финансова рамка за укрепване на създаването и осъществяването на устойчиви инвестиционни проекти.</w:t>
      </w:r>
    </w:p>
    <w:p w:rsidR="0059459F" w:rsidRDefault="0059459F">
      <w:pPr>
        <w:spacing w:after="240"/>
        <w:contextualSpacing/>
        <w:jc w:val="both"/>
        <w:rPr>
          <w:rFonts w:ascii="Times New Roman" w:hAnsi="Times New Roman"/>
          <w:b/>
          <w:noProof/>
          <w:sz w:val="28"/>
          <w:szCs w:val="24"/>
        </w:rPr>
      </w:pPr>
    </w:p>
    <w:p w:rsidR="0059459F" w:rsidRDefault="00246BD0">
      <w:pPr>
        <w:spacing w:after="240"/>
        <w:contextualSpacing/>
        <w:jc w:val="both"/>
        <w:rPr>
          <w:rFonts w:ascii="Times New Roman" w:hAnsi="Times New Roman"/>
          <w:noProof/>
          <w:sz w:val="28"/>
          <w:szCs w:val="24"/>
        </w:rPr>
      </w:pPr>
      <w:r>
        <w:rPr>
          <w:rFonts w:ascii="Times New Roman" w:hAnsi="Times New Roman"/>
          <w:b/>
          <w:noProof/>
          <w:sz w:val="24"/>
        </w:rPr>
        <w:t>Порталът InvestEU ще се основава на настоящия Европейски по</w:t>
      </w:r>
      <w:r>
        <w:rPr>
          <w:rFonts w:ascii="Times New Roman" w:hAnsi="Times New Roman"/>
          <w:b/>
          <w:noProof/>
          <w:sz w:val="24"/>
        </w:rPr>
        <w:t>ртал за инвестиционни проекти и ще продължи да предлага безплатен и удобен за ползване онлайн портал, който ще осигурява на предприятията и организаторите на проекти в ЕС, търсещи финансиране, възможности за видимост и създаване на мрежи, от които те се ну</w:t>
      </w:r>
      <w:r>
        <w:rPr>
          <w:rFonts w:ascii="Times New Roman" w:hAnsi="Times New Roman"/>
          <w:b/>
          <w:noProof/>
          <w:sz w:val="24"/>
        </w:rPr>
        <w:t>ждаят, за да установят връзка с инвеститорите по света.</w:t>
      </w:r>
      <w:r>
        <w:rPr>
          <w:rFonts w:ascii="Times New Roman" w:hAnsi="Times New Roman"/>
          <w:noProof/>
          <w:sz w:val="24"/>
        </w:rPr>
        <w:t xml:space="preserve"> В портала акцент ще бъде поставен също така върху предлагането на набор от европейски инвестиционни проекти, предназначени за партньорите по изпълнението на InvestEU, които ще разглеждат проектите, по</w:t>
      </w:r>
      <w:r>
        <w:rPr>
          <w:rFonts w:ascii="Times New Roman" w:hAnsi="Times New Roman"/>
          <w:noProof/>
          <w:sz w:val="24"/>
        </w:rPr>
        <w:t>падащи в техния географски обхват и обхват на дейност.</w:t>
      </w:r>
    </w:p>
    <w:p w:rsidR="0059459F" w:rsidRDefault="0059459F">
      <w:pPr>
        <w:rPr>
          <w:rFonts w:ascii="Times New Roman" w:hAnsi="Times New Roman"/>
          <w:noProof/>
          <w:sz w:val="24"/>
          <w:szCs w:val="24"/>
        </w:rPr>
      </w:pPr>
    </w:p>
    <w:tbl>
      <w:tblPr>
        <w:tblStyle w:val="TableGrid1"/>
        <w:tblW w:w="0" w:type="auto"/>
        <w:tblLook w:val="04A0" w:firstRow="1" w:lastRow="0" w:firstColumn="1" w:lastColumn="0" w:noHBand="0" w:noVBand="1"/>
      </w:tblPr>
      <w:tblGrid>
        <w:gridCol w:w="9062"/>
      </w:tblGrid>
      <w:tr w:rsidR="0059459F">
        <w:tc>
          <w:tcPr>
            <w:tcW w:w="9062" w:type="dxa"/>
          </w:tcPr>
          <w:p w:rsidR="0059459F" w:rsidRDefault="00246BD0">
            <w:pPr>
              <w:spacing w:after="240"/>
              <w:contextualSpacing/>
              <w:jc w:val="both"/>
              <w:rPr>
                <w:rFonts w:ascii="Times New Roman" w:hAnsi="Times New Roman"/>
                <w:b/>
                <w:noProof/>
                <w:sz w:val="28"/>
                <w:szCs w:val="24"/>
              </w:rPr>
            </w:pPr>
            <w:r>
              <w:rPr>
                <w:rFonts w:ascii="Times New Roman" w:hAnsi="Times New Roman"/>
                <w:b/>
                <w:noProof/>
                <w:sz w:val="24"/>
              </w:rPr>
              <w:t>Комисията:</w:t>
            </w:r>
          </w:p>
          <w:p w:rsidR="0059459F" w:rsidRDefault="0059459F">
            <w:pPr>
              <w:spacing w:after="240"/>
              <w:contextualSpacing/>
              <w:jc w:val="both"/>
              <w:rPr>
                <w:rFonts w:ascii="Times New Roman" w:hAnsi="Times New Roman"/>
                <w:b/>
                <w:noProof/>
                <w:sz w:val="28"/>
                <w:szCs w:val="24"/>
              </w:rPr>
            </w:pPr>
          </w:p>
          <w:p w:rsidR="0059459F" w:rsidRDefault="00246BD0">
            <w:pPr>
              <w:numPr>
                <w:ilvl w:val="0"/>
                <w:numId w:val="47"/>
              </w:numPr>
              <w:spacing w:after="240"/>
              <w:ind w:left="714" w:hanging="357"/>
              <w:jc w:val="both"/>
              <w:rPr>
                <w:rFonts w:ascii="Times New Roman" w:hAnsi="Times New Roman"/>
                <w:b/>
                <w:noProof/>
                <w:sz w:val="28"/>
                <w:szCs w:val="24"/>
              </w:rPr>
            </w:pPr>
            <w:r>
              <w:rPr>
                <w:rFonts w:ascii="Times New Roman" w:hAnsi="Times New Roman"/>
                <w:b/>
                <w:noProof/>
                <w:sz w:val="24"/>
              </w:rPr>
              <w:t>Чрез Програмата за подкрепа на реформите ще предостави техническа помощ на държавите членки за подпомагане на разработването и провеждането на стимулиращи растежа реформи, включително раз</w:t>
            </w:r>
            <w:r>
              <w:rPr>
                <w:rFonts w:ascii="Times New Roman" w:hAnsi="Times New Roman"/>
                <w:b/>
                <w:noProof/>
                <w:sz w:val="24"/>
              </w:rPr>
              <w:t xml:space="preserve">работването на стратегии за устойчиви инвестиции. </w:t>
            </w:r>
          </w:p>
          <w:p w:rsidR="0059459F" w:rsidRDefault="00246BD0">
            <w:pPr>
              <w:numPr>
                <w:ilvl w:val="0"/>
                <w:numId w:val="47"/>
              </w:numPr>
              <w:spacing w:after="240"/>
              <w:ind w:left="714" w:hanging="357"/>
              <w:jc w:val="both"/>
              <w:rPr>
                <w:rFonts w:ascii="Times New Roman" w:hAnsi="Times New Roman"/>
                <w:b/>
                <w:noProof/>
                <w:sz w:val="28"/>
                <w:szCs w:val="24"/>
              </w:rPr>
            </w:pPr>
            <w:r>
              <w:rPr>
                <w:rFonts w:ascii="Times New Roman" w:hAnsi="Times New Roman"/>
                <w:b/>
                <w:noProof/>
                <w:sz w:val="24"/>
              </w:rPr>
              <w:t xml:space="preserve"> Чрез консултантския център InvestEU ще предоставя специализирани консултантски услуги на частните и публичните организатори на устойчиви проекти.</w:t>
            </w:r>
          </w:p>
          <w:p w:rsidR="0059459F" w:rsidRDefault="00246BD0">
            <w:pPr>
              <w:numPr>
                <w:ilvl w:val="0"/>
                <w:numId w:val="47"/>
              </w:numPr>
              <w:spacing w:after="240"/>
              <w:ind w:left="714" w:hanging="357"/>
              <w:jc w:val="both"/>
              <w:rPr>
                <w:rFonts w:ascii="Times New Roman" w:hAnsi="Times New Roman"/>
                <w:noProof/>
                <w:sz w:val="24"/>
                <w:szCs w:val="24"/>
              </w:rPr>
            </w:pPr>
            <w:r>
              <w:rPr>
                <w:rFonts w:ascii="Times New Roman" w:hAnsi="Times New Roman"/>
                <w:b/>
                <w:noProof/>
                <w:sz w:val="24"/>
              </w:rPr>
              <w:t xml:space="preserve">Ще предложи инструмент за скрининг на обществени поръчки, </w:t>
            </w:r>
            <w:r>
              <w:rPr>
                <w:rFonts w:ascii="Times New Roman" w:hAnsi="Times New Roman"/>
                <w:b/>
                <w:noProof/>
                <w:sz w:val="24"/>
              </w:rPr>
              <w:t>който да гарантира екологосъобразността на проектите за публична инфраструктура</w:t>
            </w:r>
            <w:r>
              <w:rPr>
                <w:rFonts w:ascii="Times New Roman" w:hAnsi="Times New Roman"/>
                <w:noProof/>
                <w:sz w:val="24"/>
              </w:rPr>
              <w:t>.</w:t>
            </w:r>
          </w:p>
        </w:tc>
      </w:tr>
    </w:tbl>
    <w:p w:rsidR="0059459F" w:rsidRDefault="00246BD0">
      <w:pPr>
        <w:pStyle w:val="Heading1"/>
        <w:spacing w:before="240" w:after="240"/>
        <w:rPr>
          <w:noProof/>
        </w:rPr>
      </w:pPr>
      <w:r>
        <w:rPr>
          <w:noProof/>
        </w:rPr>
        <w:t>Механизъм за справедлив преход</w:t>
      </w:r>
    </w:p>
    <w:p w:rsidR="0059459F" w:rsidRDefault="00246BD0">
      <w:pPr>
        <w:spacing w:after="240"/>
        <w:jc w:val="both"/>
        <w:rPr>
          <w:rFonts w:ascii="Times New Roman" w:hAnsi="Times New Roman"/>
          <w:noProof/>
          <w:sz w:val="28"/>
          <w:szCs w:val="24"/>
        </w:rPr>
      </w:pPr>
      <w:r>
        <w:rPr>
          <w:rFonts w:ascii="Times New Roman" w:hAnsi="Times New Roman"/>
          <w:b/>
          <w:noProof/>
          <w:sz w:val="24"/>
        </w:rPr>
        <w:t>За прехода към устойчива и неутрална по отношение на климата икономика ще са необходими значителни инвестиции в цяла Европа и силен политически</w:t>
      </w:r>
      <w:r>
        <w:rPr>
          <w:rFonts w:ascii="Times New Roman" w:hAnsi="Times New Roman"/>
          <w:b/>
          <w:noProof/>
          <w:sz w:val="24"/>
        </w:rPr>
        <w:t xml:space="preserve"> отговор на всички равнища</w:t>
      </w:r>
      <w:r>
        <w:rPr>
          <w:rFonts w:ascii="Times New Roman" w:hAnsi="Times New Roman"/>
          <w:noProof/>
          <w:sz w:val="24"/>
        </w:rPr>
        <w:t>. Въпреки че всички региони ще се нуждаят от финансиране за екологичния преход, трансформацията ще представлява предизвикателство за някои територии. За неутралността по отношение на климата ще е необходимо коренно преструктуриран</w:t>
      </w:r>
      <w:r>
        <w:rPr>
          <w:rFonts w:ascii="Times New Roman" w:hAnsi="Times New Roman"/>
          <w:noProof/>
          <w:sz w:val="24"/>
        </w:rPr>
        <w:t>е на техните икономики, структурни промени в стопанските модели и нови изисквания за умения. Това трябва да бъде признато и решено в преход, при който никой няма да бъде изоставен.</w:t>
      </w:r>
    </w:p>
    <w:p w:rsidR="0059459F" w:rsidRDefault="00246BD0">
      <w:pPr>
        <w:spacing w:after="240"/>
        <w:jc w:val="both"/>
        <w:rPr>
          <w:rFonts w:ascii="Times New Roman" w:hAnsi="Times New Roman"/>
          <w:noProof/>
          <w:sz w:val="28"/>
          <w:szCs w:val="24"/>
        </w:rPr>
      </w:pPr>
      <w:r>
        <w:rPr>
          <w:rFonts w:ascii="Times New Roman" w:hAnsi="Times New Roman"/>
          <w:b/>
          <w:noProof/>
          <w:sz w:val="24"/>
        </w:rPr>
        <w:t>Добивът и проучването на изкопаеми горива ще претърпят значителен спад, а д</w:t>
      </w:r>
      <w:r>
        <w:rPr>
          <w:rFonts w:ascii="Times New Roman" w:hAnsi="Times New Roman"/>
          <w:b/>
          <w:noProof/>
          <w:sz w:val="24"/>
        </w:rPr>
        <w:t>ейностите с висок интензитет на емисиите на парникови газове ще претърпят сериозна трансформация</w:t>
      </w:r>
      <w:r>
        <w:rPr>
          <w:rFonts w:ascii="Times New Roman" w:hAnsi="Times New Roman"/>
          <w:noProof/>
          <w:sz w:val="24"/>
        </w:rPr>
        <w:t>. Регионите и териториите, силно зависими от тези дейности, ще трябва да преструктурират своята промишленост, да гарантират, че с нови икономически дейности мог</w:t>
      </w:r>
      <w:r>
        <w:rPr>
          <w:rFonts w:ascii="Times New Roman" w:hAnsi="Times New Roman"/>
          <w:noProof/>
          <w:sz w:val="24"/>
        </w:rPr>
        <w:t>ат да запазят целостта на икономическата и социалната структура, както и да осигурят необходимото обучение на засегнатите работници, за да си намерят нова работа. Без необходимите придружаващи мерки преходът няма да бъде осъществен, тъй като няма да бъде н</w:t>
      </w:r>
      <w:r>
        <w:rPr>
          <w:rFonts w:ascii="Times New Roman" w:hAnsi="Times New Roman"/>
          <w:noProof/>
          <w:sz w:val="24"/>
        </w:rPr>
        <w:t>ито справедлив, нито социално устойчив.</w:t>
      </w:r>
    </w:p>
    <w:p w:rsidR="0059459F" w:rsidRDefault="00246BD0">
      <w:pPr>
        <w:spacing w:after="240"/>
        <w:jc w:val="both"/>
        <w:rPr>
          <w:rFonts w:ascii="Times New Roman" w:hAnsi="Times New Roman"/>
          <w:noProof/>
          <w:sz w:val="28"/>
          <w:szCs w:val="24"/>
        </w:rPr>
      </w:pPr>
      <w:r>
        <w:rPr>
          <w:rFonts w:ascii="Times New Roman" w:hAnsi="Times New Roman"/>
          <w:b/>
          <w:noProof/>
          <w:sz w:val="24"/>
        </w:rPr>
        <w:t>За да отговори на специфичните предизвикателства, пред които са изправени някои региони, Комисията предлага Механизъм за справедлив преход, който да предоставя целева подкрепа за генериране на необходимите инвестиции</w:t>
      </w:r>
      <w:r>
        <w:rPr>
          <w:rFonts w:ascii="Times New Roman" w:hAnsi="Times New Roman"/>
          <w:b/>
          <w:noProof/>
          <w:sz w:val="24"/>
        </w:rPr>
        <w:t xml:space="preserve"> в тези територии. </w:t>
      </w:r>
      <w:r>
        <w:rPr>
          <w:rFonts w:ascii="Times New Roman" w:hAnsi="Times New Roman"/>
          <w:noProof/>
          <w:sz w:val="24"/>
        </w:rPr>
        <w:t xml:space="preserve">Механизмът за справедлив преход ще се състои от три стълба: </w:t>
      </w:r>
    </w:p>
    <w:p w:rsidR="0059459F" w:rsidRDefault="00246BD0">
      <w:pPr>
        <w:pStyle w:val="ListParagraph"/>
        <w:numPr>
          <w:ilvl w:val="0"/>
          <w:numId w:val="48"/>
        </w:numPr>
        <w:ind w:left="714" w:hanging="357"/>
        <w:jc w:val="both"/>
        <w:rPr>
          <w:rFonts w:ascii="Times New Roman" w:hAnsi="Times New Roman"/>
          <w:noProof/>
          <w:sz w:val="28"/>
          <w:szCs w:val="24"/>
        </w:rPr>
      </w:pPr>
      <w:r>
        <w:rPr>
          <w:rFonts w:ascii="Times New Roman" w:hAnsi="Times New Roman"/>
          <w:noProof/>
          <w:sz w:val="24"/>
        </w:rPr>
        <w:t xml:space="preserve">Фонд за справедлив преход, </w:t>
      </w:r>
    </w:p>
    <w:p w:rsidR="0059459F" w:rsidRDefault="00246BD0">
      <w:pPr>
        <w:pStyle w:val="ListParagraph"/>
        <w:numPr>
          <w:ilvl w:val="0"/>
          <w:numId w:val="48"/>
        </w:numPr>
        <w:ind w:left="714" w:hanging="357"/>
        <w:jc w:val="both"/>
        <w:rPr>
          <w:rFonts w:ascii="Times New Roman" w:hAnsi="Times New Roman"/>
          <w:noProof/>
          <w:sz w:val="28"/>
          <w:szCs w:val="24"/>
        </w:rPr>
      </w:pPr>
      <w:r>
        <w:rPr>
          <w:rFonts w:ascii="Times New Roman" w:hAnsi="Times New Roman"/>
          <w:noProof/>
          <w:sz w:val="24"/>
        </w:rPr>
        <w:t xml:space="preserve">специална схема за справедлив преход в рамките на InvestEU, и </w:t>
      </w:r>
    </w:p>
    <w:p w:rsidR="0059459F" w:rsidRDefault="00246BD0">
      <w:pPr>
        <w:pStyle w:val="ListParagraph"/>
        <w:numPr>
          <w:ilvl w:val="0"/>
          <w:numId w:val="48"/>
        </w:numPr>
        <w:ind w:left="714" w:hanging="357"/>
        <w:jc w:val="both"/>
        <w:rPr>
          <w:rFonts w:ascii="Times New Roman" w:hAnsi="Times New Roman"/>
          <w:noProof/>
          <w:sz w:val="28"/>
          <w:szCs w:val="24"/>
        </w:rPr>
      </w:pPr>
      <w:r>
        <w:rPr>
          <w:rFonts w:ascii="Times New Roman" w:hAnsi="Times New Roman"/>
          <w:noProof/>
          <w:sz w:val="24"/>
        </w:rPr>
        <w:t xml:space="preserve">нов механизъм за заеми в публичния сектор за допълнителни инвестиции, които ще бъдат </w:t>
      </w:r>
      <w:r>
        <w:rPr>
          <w:rFonts w:ascii="Times New Roman" w:hAnsi="Times New Roman"/>
          <w:noProof/>
          <w:sz w:val="24"/>
        </w:rPr>
        <w:t xml:space="preserve">мобилизирани от Европейската инвестиционна банка. </w:t>
      </w:r>
    </w:p>
    <w:p w:rsidR="0059459F" w:rsidRDefault="0059459F">
      <w:pPr>
        <w:rPr>
          <w:rFonts w:ascii="Times New Roman" w:hAnsi="Times New Roman"/>
          <w:noProof/>
          <w:sz w:val="24"/>
          <w:szCs w:val="24"/>
        </w:rPr>
      </w:pPr>
    </w:p>
    <w:p w:rsidR="0059459F" w:rsidRDefault="0059459F">
      <w:pPr>
        <w:pStyle w:val="ListParagraph"/>
        <w:ind w:left="714"/>
        <w:jc w:val="both"/>
        <w:rPr>
          <w:rFonts w:ascii="Times New Roman" w:hAnsi="Times New Roman"/>
          <w:noProof/>
          <w:sz w:val="24"/>
          <w:szCs w:val="24"/>
        </w:rPr>
      </w:pPr>
    </w:p>
    <w:p w:rsidR="0059459F" w:rsidRDefault="00246BD0">
      <w:pPr>
        <w:spacing w:after="240"/>
        <w:jc w:val="center"/>
        <w:rPr>
          <w:rFonts w:ascii="Times New Roman" w:hAnsi="Times New Roman"/>
          <w:b/>
          <w:noProof/>
          <w:sz w:val="28"/>
          <w:szCs w:val="24"/>
        </w:rPr>
      </w:pPr>
      <w:r>
        <w:rPr>
          <w:rFonts w:ascii="Times New Roman" w:hAnsi="Times New Roman"/>
          <w:b/>
          <w:noProof/>
          <w:sz w:val="24"/>
        </w:rPr>
        <w:t>Фигура 4. Финансиране на Механизма за справедлив преход</w:t>
      </w:r>
    </w:p>
    <w:p w:rsidR="0059459F" w:rsidRDefault="00246BD0">
      <w:pPr>
        <w:spacing w:after="240"/>
        <w:jc w:val="center"/>
        <w:rPr>
          <w:rFonts w:ascii="Times New Roman" w:hAnsi="Times New Roman"/>
          <w:b/>
          <w:noProof/>
          <w:sz w:val="24"/>
          <w:szCs w:val="24"/>
        </w:rPr>
      </w:pPr>
      <w:r>
        <w:rPr>
          <w:noProof/>
          <w:lang w:val="fr-BE" w:eastAsia="fr-BE"/>
        </w:rPr>
        <w:drawing>
          <wp:inline distT="0" distB="0" distL="0" distR="0">
            <wp:extent cx="5760720" cy="4329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4329430"/>
                    </a:xfrm>
                    <a:prstGeom prst="rect">
                      <a:avLst/>
                    </a:prstGeom>
                  </pic:spPr>
                </pic:pic>
              </a:graphicData>
            </a:graphic>
          </wp:inline>
        </w:drawing>
      </w:r>
    </w:p>
    <w:p w:rsidR="0059459F" w:rsidRDefault="00246BD0">
      <w:pPr>
        <w:spacing w:after="240"/>
        <w:jc w:val="both"/>
        <w:rPr>
          <w:rFonts w:ascii="Times New Roman" w:hAnsi="Times New Roman"/>
          <w:noProof/>
          <w:sz w:val="28"/>
          <w:szCs w:val="24"/>
        </w:rPr>
      </w:pPr>
      <w:r>
        <w:rPr>
          <w:rFonts w:ascii="Times New Roman" w:hAnsi="Times New Roman"/>
          <w:b/>
          <w:noProof/>
          <w:sz w:val="24"/>
        </w:rPr>
        <w:t>Всеки стълб ще оказва подкрепа чрез различни инструменти за безвъзмездна помощ и финансиране, за да предложи пълен набор от възможности за подк</w:t>
      </w:r>
      <w:r>
        <w:rPr>
          <w:rFonts w:ascii="Times New Roman" w:hAnsi="Times New Roman"/>
          <w:b/>
          <w:noProof/>
          <w:sz w:val="24"/>
        </w:rPr>
        <w:t>репа в съответствие с нуждите за мобилизиране на инвестиции в полза на регионите, засегнати най-силно.</w:t>
      </w:r>
      <w:r>
        <w:rPr>
          <w:rFonts w:ascii="Times New Roman" w:hAnsi="Times New Roman"/>
          <w:noProof/>
          <w:sz w:val="24"/>
        </w:rPr>
        <w:t xml:space="preserve"> С цел да се осигури съгласуваност между трите стълба, Фондът за справедлив преход ще се използва за предоставяне на предимно безвъзмездни средства; специалната схема за преход в рамките на InvestEU ще привличае частни инвестиции, а новият механизъм за отп</w:t>
      </w:r>
      <w:r>
        <w:rPr>
          <w:rFonts w:ascii="Times New Roman" w:hAnsi="Times New Roman"/>
          <w:noProof/>
          <w:sz w:val="24"/>
        </w:rPr>
        <w:t>ускане на заеми в публичния сектор ще мобилизира публично финансиране. Тези мерки ще бъдат придружени от специална консултантска и техническа помощ за съответните региони и проекти. Механизмът за справедлив преход ще включва стабилна рамка за управление, с</w:t>
      </w:r>
      <w:r>
        <w:rPr>
          <w:rFonts w:ascii="Times New Roman" w:hAnsi="Times New Roman"/>
          <w:noProof/>
          <w:sz w:val="24"/>
        </w:rPr>
        <w:t xml:space="preserve">ъсредоточена върху териториалните планове за справедлив преход. </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Взети заедно, компонентите на Механизма за справедлив преход биха могли да спомогнат за мобилизирането на инвестиции в регионите, които са най-силно изложени на предизвикателствата, породени </w:t>
      </w:r>
      <w:r>
        <w:rPr>
          <w:rFonts w:ascii="Times New Roman" w:hAnsi="Times New Roman"/>
          <w:b/>
          <w:noProof/>
          <w:sz w:val="24"/>
        </w:rPr>
        <w:t xml:space="preserve">от прехода, от порядъка на 100 милиарда евро за периода 2021—2027 г. </w:t>
      </w:r>
      <w:r>
        <w:rPr>
          <w:rFonts w:ascii="Times New Roman" w:hAnsi="Times New Roman"/>
          <w:noProof/>
          <w:sz w:val="24"/>
        </w:rPr>
        <w:t>Всички финансирани инвестиции ще бъдат съобразени с целите на Зеления пакт.</w:t>
      </w:r>
    </w:p>
    <w:p w:rsidR="0059459F" w:rsidRDefault="00246BD0">
      <w:pPr>
        <w:spacing w:after="240"/>
        <w:jc w:val="both"/>
        <w:rPr>
          <w:rFonts w:ascii="Times New Roman" w:hAnsi="Times New Roman"/>
          <w:noProof/>
          <w:sz w:val="28"/>
          <w:szCs w:val="24"/>
        </w:rPr>
      </w:pPr>
      <w:r>
        <w:rPr>
          <w:rFonts w:ascii="Times New Roman" w:hAnsi="Times New Roman"/>
          <w:b/>
          <w:noProof/>
          <w:sz w:val="24"/>
        </w:rPr>
        <w:t>Освен това Комисията ще предложи да бъдат преразгледани регламентите относно Изследователския фонд за въглища и</w:t>
      </w:r>
      <w:r>
        <w:rPr>
          <w:rFonts w:ascii="Times New Roman" w:hAnsi="Times New Roman"/>
          <w:b/>
          <w:noProof/>
          <w:sz w:val="24"/>
        </w:rPr>
        <w:t xml:space="preserve"> стомана, за да стане възможно използването на част от активите на Европейската общност за стомана и въглища, които са в ликвидация.</w:t>
      </w:r>
      <w:r>
        <w:rPr>
          <w:rFonts w:ascii="Times New Roman" w:hAnsi="Times New Roman"/>
          <w:noProof/>
          <w:sz w:val="24"/>
        </w:rPr>
        <w:t xml:space="preserve"> Това ще помогне за поддържането на годишната програма за научни изследвания в размер на най-малко 40 милиона евро, както и </w:t>
      </w:r>
      <w:r>
        <w:rPr>
          <w:rFonts w:ascii="Times New Roman" w:hAnsi="Times New Roman"/>
          <w:noProof/>
          <w:sz w:val="24"/>
        </w:rPr>
        <w:t>за осигуряването на възможност за финансиране на големи авангардни проекти за научни изследвания и иновации в областта на чистото производство на стомана. Научноизследователските дейности в сектора на въгледобива ще се съсредоточат върху регионите в преход</w:t>
      </w:r>
      <w:r>
        <w:rPr>
          <w:rFonts w:ascii="Times New Roman" w:hAnsi="Times New Roman"/>
          <w:noProof/>
          <w:sz w:val="24"/>
        </w:rPr>
        <w:t xml:space="preserve"> в съответствие с принципите на Механизма за справедлив преход. </w:t>
      </w:r>
    </w:p>
    <w:p w:rsidR="0059459F" w:rsidRDefault="00246BD0">
      <w:pPr>
        <w:spacing w:after="240"/>
        <w:jc w:val="both"/>
        <w:rPr>
          <w:rFonts w:ascii="Times New Roman" w:hAnsi="Times New Roman"/>
          <w:noProof/>
          <w:spacing w:val="-4"/>
          <w:sz w:val="28"/>
          <w:szCs w:val="24"/>
        </w:rPr>
      </w:pPr>
      <w:r>
        <w:rPr>
          <w:rFonts w:ascii="Times New Roman" w:hAnsi="Times New Roman"/>
          <w:b/>
          <w:noProof/>
          <w:spacing w:val="-4"/>
          <w:sz w:val="24"/>
        </w:rPr>
        <w:t>Редом с това Фондът за модернизация, финансиран от СТЕ на ЕС, ще допълва Механизма за справедлив преход.</w:t>
      </w:r>
      <w:r>
        <w:rPr>
          <w:rFonts w:ascii="Times New Roman" w:hAnsi="Times New Roman"/>
          <w:noProof/>
          <w:spacing w:val="-4"/>
          <w:sz w:val="24"/>
        </w:rPr>
        <w:t xml:space="preserve"> Допълнителни 14 милиарда евро (в зависимост от ценовите равнища на въглеродните емисии</w:t>
      </w:r>
      <w:r>
        <w:rPr>
          <w:rFonts w:ascii="Times New Roman" w:hAnsi="Times New Roman"/>
          <w:noProof/>
          <w:spacing w:val="-4"/>
          <w:sz w:val="24"/>
        </w:rPr>
        <w:t>) през 2021—2030 г. ще послужат за нисковъглеродни инвестиции в десет държави членки бенефициери (Румъния, България, Унгария, Латвия, Литва, Естония, Чешката република, Полша, Словакия, Хърватия).</w:t>
      </w:r>
    </w:p>
    <w:p w:rsidR="0059459F" w:rsidRDefault="00246BD0">
      <w:pPr>
        <w:pStyle w:val="Heading2"/>
        <w:spacing w:after="240"/>
        <w:rPr>
          <w:noProof/>
        </w:rPr>
      </w:pPr>
      <w:r>
        <w:rPr>
          <w:noProof/>
        </w:rPr>
        <w:t>Стълб 1: Фондът за справедлив преход</w:t>
      </w:r>
    </w:p>
    <w:p w:rsidR="0059459F" w:rsidRDefault="00246BD0">
      <w:pPr>
        <w:spacing w:after="240"/>
        <w:jc w:val="both"/>
        <w:rPr>
          <w:rFonts w:ascii="Times New Roman" w:hAnsi="Times New Roman"/>
          <w:noProof/>
          <w:spacing w:val="-4"/>
          <w:sz w:val="24"/>
          <w:szCs w:val="24"/>
        </w:rPr>
      </w:pPr>
      <w:r>
        <w:rPr>
          <w:rFonts w:ascii="Times New Roman" w:hAnsi="Times New Roman"/>
          <w:b/>
          <w:noProof/>
          <w:spacing w:val="-4"/>
          <w:sz w:val="24"/>
          <w:szCs w:val="24"/>
        </w:rPr>
        <w:t>Фондът за справедлив п</w:t>
      </w:r>
      <w:r>
        <w:rPr>
          <w:rFonts w:ascii="Times New Roman" w:hAnsi="Times New Roman"/>
          <w:b/>
          <w:noProof/>
          <w:spacing w:val="-4"/>
          <w:sz w:val="24"/>
          <w:szCs w:val="24"/>
        </w:rPr>
        <w:t>реход (ФСП) ще разполага със собствен бюджет от 7,5 милиарда евро в рамките на бюджета на ЕС, които са в допълнение към предложението за следващата многогодишна финансова рамка, направено от Комисията през май 2018 г.</w:t>
      </w:r>
      <w:r>
        <w:rPr>
          <w:rStyle w:val="FootnoteReference"/>
          <w:rFonts w:ascii="Times New Roman" w:hAnsi="Times New Roman"/>
          <w:b/>
          <w:noProof/>
          <w:spacing w:val="-4"/>
        </w:rPr>
        <w:footnoteReference w:id="10"/>
      </w:r>
      <w:r>
        <w:rPr>
          <w:rFonts w:ascii="Times New Roman" w:hAnsi="Times New Roman"/>
          <w:noProof/>
          <w:spacing w:val="-4"/>
          <w:sz w:val="24"/>
          <w:szCs w:val="24"/>
        </w:rPr>
        <w:t>Фондът ще има за цел да облекчава соци</w:t>
      </w:r>
      <w:r>
        <w:rPr>
          <w:rFonts w:ascii="Times New Roman" w:hAnsi="Times New Roman"/>
          <w:noProof/>
          <w:spacing w:val="-4"/>
          <w:sz w:val="24"/>
          <w:szCs w:val="24"/>
        </w:rPr>
        <w:t xml:space="preserve">алните и икономическите разходи, свързани с прехода към неутралност по отношение на климата.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Днес Комисията приема предложение за регламент за създаването на Фонда за справедлив преход, както и предложение за целеви изменения на Регламента за общоприложим</w:t>
      </w:r>
      <w:r>
        <w:rPr>
          <w:rFonts w:ascii="Times New Roman" w:hAnsi="Times New Roman"/>
          <w:b/>
          <w:noProof/>
          <w:sz w:val="24"/>
          <w:szCs w:val="24"/>
        </w:rPr>
        <w:t>ите разпоредби.</w:t>
      </w:r>
      <w:r>
        <w:rPr>
          <w:rFonts w:ascii="Times New Roman" w:hAnsi="Times New Roman"/>
          <w:noProof/>
          <w:sz w:val="24"/>
          <w:szCs w:val="24"/>
        </w:rPr>
        <w:t xml:space="preserve"> За отпускането на едно евро от Фонда за справедлив преход, от всяка държава членка ще се изисква да задели минимум 1,5 и максимум 3 евро от Европейския фонд за регионално развитие и Европейския социален фонд плюс. Тези разходи от бюджета на</w:t>
      </w:r>
      <w:r>
        <w:rPr>
          <w:rFonts w:ascii="Times New Roman" w:hAnsi="Times New Roman"/>
          <w:noProof/>
          <w:sz w:val="24"/>
          <w:szCs w:val="24"/>
        </w:rPr>
        <w:t xml:space="preserve"> ЕС ще бъдат допълнени от национално съфинансиране съгласно правилата на политиката на сближаване. По този начин публичните средства, мобилизирани чрез Фонда за справедлив преход, могат да възлезат на обща стойност между 30 и 50 милиарда евро.</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 xml:space="preserve">От Фонда за </w:t>
      </w:r>
      <w:r>
        <w:rPr>
          <w:rFonts w:ascii="Times New Roman" w:hAnsi="Times New Roman"/>
          <w:b/>
          <w:noProof/>
          <w:sz w:val="24"/>
          <w:szCs w:val="24"/>
        </w:rPr>
        <w:t>справедлив преход ще се възползват териториите с голяма заетост в добива на въглища, лигнитни въглища, битуминозни шисти и торф</w:t>
      </w:r>
      <w:r>
        <w:rPr>
          <w:rFonts w:ascii="Times New Roman" w:hAnsi="Times New Roman"/>
          <w:noProof/>
          <w:sz w:val="24"/>
          <w:szCs w:val="24"/>
        </w:rPr>
        <w:t>, както и територии с отрасли с висок интензитет на, парникови газове, които ще бъдат или закрити, или сериозно засегнати от прех</w:t>
      </w:r>
      <w:r>
        <w:rPr>
          <w:rFonts w:ascii="Times New Roman" w:hAnsi="Times New Roman"/>
          <w:noProof/>
          <w:sz w:val="24"/>
          <w:szCs w:val="24"/>
        </w:rPr>
        <w:t>ода. Равнището на подкрепа ще отразява мащаба на предизвикателствата в тези територии по отношение на необходимостта както от икономическа диверсификация, така и от преход към дейности с нулеви емисии и нисковъглеродни дейности с потенциал за растеж, а същ</w:t>
      </w:r>
      <w:r>
        <w:rPr>
          <w:rFonts w:ascii="Times New Roman" w:hAnsi="Times New Roman"/>
          <w:noProof/>
          <w:sz w:val="24"/>
          <w:szCs w:val="24"/>
        </w:rPr>
        <w:t xml:space="preserve">о и на преквалификацията на работниците с оглед на това да разполагат с необходимите умения, за да се възползват от новите работни места. </w:t>
      </w:r>
    </w:p>
    <w:p w:rsidR="0059459F" w:rsidRDefault="00246BD0">
      <w:pPr>
        <w:spacing w:after="240"/>
        <w:jc w:val="both"/>
        <w:rPr>
          <w:rFonts w:ascii="Times New Roman" w:hAnsi="Times New Roman"/>
          <w:noProof/>
          <w:sz w:val="24"/>
          <w:szCs w:val="24"/>
        </w:rPr>
      </w:pPr>
      <w:r>
        <w:rPr>
          <w:rFonts w:ascii="Times New Roman" w:hAnsi="Times New Roman"/>
          <w:b/>
          <w:noProof/>
          <w:sz w:val="24"/>
          <w:szCs w:val="24"/>
        </w:rPr>
        <w:t>Фондът за справедлив преход ще помогне за трансформацията на тези региони, което ще бъде от съществено значение за по</w:t>
      </w:r>
      <w:r>
        <w:rPr>
          <w:rFonts w:ascii="Times New Roman" w:hAnsi="Times New Roman"/>
          <w:b/>
          <w:noProof/>
          <w:sz w:val="24"/>
          <w:szCs w:val="24"/>
        </w:rPr>
        <w:t xml:space="preserve">стигането на неутралност по отношение на въглеродните емисии до 2050 г. Той ще обедини разходите за действия в областта на климата и подкрепата за преодоляване на различията във и между държавите членки. </w:t>
      </w:r>
      <w:r>
        <w:rPr>
          <w:rFonts w:ascii="Times New Roman" w:hAnsi="Times New Roman"/>
          <w:noProof/>
          <w:sz w:val="24"/>
          <w:szCs w:val="24"/>
        </w:rPr>
        <w:t>По тази причина Фондът за справедлив преход ще функц</w:t>
      </w:r>
      <w:r>
        <w:rPr>
          <w:rFonts w:ascii="Times New Roman" w:hAnsi="Times New Roman"/>
          <w:noProof/>
          <w:sz w:val="24"/>
          <w:szCs w:val="24"/>
        </w:rPr>
        <w:t>ионира в рамките на политиката на сближаване, която е основната политика на ЕС за намаляване на регионалните различия и за справянето със структурните промени в регионите на Европа. Той ще функционира чрез споделено управление в тясно сътрудничество с наци</w:t>
      </w:r>
      <w:r>
        <w:rPr>
          <w:rFonts w:ascii="Times New Roman" w:hAnsi="Times New Roman"/>
          <w:noProof/>
          <w:sz w:val="24"/>
          <w:szCs w:val="24"/>
        </w:rPr>
        <w:t>оналните, регионалните и местните органи и заинтересовани страни. По този начин ще се осигури ангажираност и ще се осигурят инструменти и структури за ефективна рамка за управление.</w:t>
      </w:r>
    </w:p>
    <w:p w:rsidR="0059459F" w:rsidRDefault="00246BD0">
      <w:pPr>
        <w:spacing w:after="120" w:line="275" w:lineRule="auto"/>
        <w:jc w:val="both"/>
        <w:rPr>
          <w:rFonts w:ascii="Times New Roman" w:hAnsi="Times New Roman"/>
          <w:noProof/>
          <w:spacing w:val="-4"/>
          <w:sz w:val="24"/>
          <w:szCs w:val="24"/>
        </w:rPr>
      </w:pPr>
      <w:r>
        <w:rPr>
          <w:rFonts w:ascii="Times New Roman" w:hAnsi="Times New Roman"/>
          <w:b/>
          <w:noProof/>
          <w:spacing w:val="-4"/>
          <w:sz w:val="24"/>
          <w:szCs w:val="24"/>
        </w:rPr>
        <w:t>Фондът за справедлив преход ще предоставя подкрепа на всички държави членк</w:t>
      </w:r>
      <w:r>
        <w:rPr>
          <w:rFonts w:ascii="Times New Roman" w:hAnsi="Times New Roman"/>
          <w:b/>
          <w:noProof/>
          <w:spacing w:val="-4"/>
          <w:sz w:val="24"/>
          <w:szCs w:val="24"/>
        </w:rPr>
        <w:t>и, с акцент върху онези от тях, които ще поемат най-големите предизвикателства пред прехода</w:t>
      </w:r>
      <w:r>
        <w:rPr>
          <w:rFonts w:ascii="Times New Roman" w:hAnsi="Times New Roman"/>
          <w:noProof/>
          <w:spacing w:val="-4"/>
          <w:sz w:val="24"/>
          <w:szCs w:val="24"/>
        </w:rPr>
        <w:t>. Ресурсите ще бъдат разпределени между държавите членки въз основа на мащаба на предизвикателството, свързано с декарбонизацията на регионите с най-големи емисии на</w:t>
      </w:r>
      <w:r>
        <w:rPr>
          <w:rFonts w:ascii="Times New Roman" w:hAnsi="Times New Roman"/>
          <w:noProof/>
          <w:spacing w:val="-4"/>
          <w:sz w:val="24"/>
          <w:szCs w:val="24"/>
        </w:rPr>
        <w:t xml:space="preserve"> парникови газове (чрез съответните емисии от промишлеността), социалните предизвикателства предвид на потенциалната загуба на работни места в промишлеността, добива на въглища и на лигнитни въглища, производството на торф и извличането на битуминозни шист</w:t>
      </w:r>
      <w:r>
        <w:rPr>
          <w:rFonts w:ascii="Times New Roman" w:hAnsi="Times New Roman"/>
          <w:noProof/>
          <w:spacing w:val="-4"/>
          <w:sz w:val="24"/>
          <w:szCs w:val="24"/>
        </w:rPr>
        <w:t>и, както и необходимостта от последваща преквалификация на работниците. За да се гарантира, че преходът е справедлив и приемлив за всички, разпределението ще отразява способността на държавите членки да се справят с това предизвикателство в зависимост от р</w:t>
      </w:r>
      <w:r>
        <w:rPr>
          <w:rFonts w:ascii="Times New Roman" w:hAnsi="Times New Roman"/>
          <w:noProof/>
          <w:spacing w:val="-4"/>
          <w:sz w:val="24"/>
          <w:szCs w:val="24"/>
        </w:rPr>
        <w:t>авнището си на икономическо развитие.</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Държавите членки ще трябва да определят допустимите територии чрез специални териториални планове за справедлив преход в диалог с Комисията и в съответствие със своите национални планове в областта на енергетиката и </w:t>
      </w:r>
      <w:r>
        <w:rPr>
          <w:rFonts w:ascii="Times New Roman" w:hAnsi="Times New Roman"/>
          <w:b/>
          <w:noProof/>
          <w:sz w:val="24"/>
        </w:rPr>
        <w:t>климата</w:t>
      </w:r>
      <w:r>
        <w:rPr>
          <w:rFonts w:ascii="Times New Roman" w:hAnsi="Times New Roman"/>
          <w:noProof/>
          <w:sz w:val="24"/>
        </w:rPr>
        <w:t>. Този диалог ще се основава на оценка на териториите, които са най-силно засегнати от прехода към неутралност по отношение на климата, и на посочените в европейския семестър предизвикателства за заетостта и икономиката, пред които те ще бъдат изпра</w:t>
      </w:r>
      <w:r>
        <w:rPr>
          <w:rFonts w:ascii="Times New Roman" w:hAnsi="Times New Roman"/>
          <w:noProof/>
          <w:sz w:val="24"/>
        </w:rPr>
        <w:t>вени. Държавите членки ще вземат предвид тази оценка при изготвянето на териториалните планове за справедлив преход, очертаващи процеса на преход и видовете планирани операции. Тези планове ще бъдат приложени към програмите по политиката на сближаване, кои</w:t>
      </w:r>
      <w:r>
        <w:rPr>
          <w:rFonts w:ascii="Times New Roman" w:hAnsi="Times New Roman"/>
          <w:noProof/>
          <w:sz w:val="24"/>
        </w:rPr>
        <w:t>то предполагат подкрепа за Фонда за справедлив преход, и ще бъдат приети от Комисията заедно с тези програми</w:t>
      </w:r>
      <w:r>
        <w:rPr>
          <w:rFonts w:ascii="Times New Roman" w:hAnsi="Times New Roman"/>
          <w:b/>
          <w:noProof/>
          <w:sz w:val="24"/>
        </w:rPr>
        <w:t>.</w:t>
      </w:r>
    </w:p>
    <w:p w:rsidR="0059459F" w:rsidRDefault="00246BD0">
      <w:pPr>
        <w:spacing w:after="240"/>
        <w:jc w:val="both"/>
        <w:rPr>
          <w:rFonts w:ascii="Times New Roman" w:hAnsi="Times New Roman"/>
          <w:noProof/>
          <w:sz w:val="28"/>
          <w:szCs w:val="24"/>
        </w:rPr>
      </w:pPr>
      <w:r>
        <w:rPr>
          <w:rFonts w:ascii="Times New Roman" w:hAnsi="Times New Roman"/>
          <w:noProof/>
          <w:sz w:val="24"/>
        </w:rPr>
        <w:t>За да се гарантира най-ефективното използване на ресурсите, Фондът за справедлив преход ще може да подпомага инвестициите в трансформацията на същ</w:t>
      </w:r>
      <w:r>
        <w:rPr>
          <w:rFonts w:ascii="Times New Roman" w:hAnsi="Times New Roman"/>
          <w:noProof/>
          <w:sz w:val="24"/>
        </w:rPr>
        <w:t xml:space="preserve">ествуващи съоръжения, също и в секторите, обхванати от схемата на ЕС за търговия с емисии, но само когато тези инвестиции водят до съществено намаляване на емисиите, както и до положителен дългосрочен принос към положението с работните места в засегнатите </w:t>
      </w:r>
      <w:r>
        <w:rPr>
          <w:rFonts w:ascii="Times New Roman" w:hAnsi="Times New Roman"/>
          <w:noProof/>
          <w:sz w:val="24"/>
        </w:rPr>
        <w:t>територии, в съответствие с териториалните планове за преход.</w:t>
      </w:r>
    </w:p>
    <w:tbl>
      <w:tblPr>
        <w:tblStyle w:val="TableGrid1"/>
        <w:tblW w:w="0" w:type="auto"/>
        <w:tblLook w:val="04A0" w:firstRow="1" w:lastRow="0" w:firstColumn="1" w:lastColumn="0" w:noHBand="0" w:noVBand="1"/>
      </w:tblPr>
      <w:tblGrid>
        <w:gridCol w:w="9062"/>
      </w:tblGrid>
      <w:tr w:rsidR="0059459F">
        <w:tc>
          <w:tcPr>
            <w:tcW w:w="9062" w:type="dxa"/>
          </w:tcPr>
          <w:p w:rsidR="0059459F" w:rsidRDefault="00246BD0">
            <w:pPr>
              <w:spacing w:after="240"/>
              <w:jc w:val="both"/>
              <w:rPr>
                <w:b/>
                <w:i/>
                <w:noProof/>
                <w:sz w:val="24"/>
              </w:rPr>
            </w:pPr>
            <w:r>
              <w:rPr>
                <w:rFonts w:ascii="Times New Roman" w:hAnsi="Times New Roman"/>
                <w:b/>
                <w:i/>
                <w:noProof/>
                <w:sz w:val="24"/>
              </w:rPr>
              <w:t>Териториалните планове за преход — основният елемент на Механизма за справедлив преход</w:t>
            </w:r>
          </w:p>
          <w:p w:rsidR="0059459F" w:rsidRDefault="00246BD0">
            <w:pPr>
              <w:spacing w:after="240"/>
              <w:contextualSpacing/>
              <w:jc w:val="both"/>
              <w:rPr>
                <w:rFonts w:ascii="Times New Roman" w:hAnsi="Times New Roman"/>
                <w:noProof/>
                <w:sz w:val="24"/>
                <w:szCs w:val="24"/>
              </w:rPr>
            </w:pPr>
            <w:r>
              <w:rPr>
                <w:rFonts w:ascii="Times New Roman" w:hAnsi="Times New Roman"/>
                <w:noProof/>
                <w:sz w:val="24"/>
              </w:rPr>
              <w:t xml:space="preserve">Териториалните планове за преход ще заемат централно място в Механизма за справедлив преход, като всичките </w:t>
            </w:r>
            <w:r>
              <w:rPr>
                <w:rFonts w:ascii="Times New Roman" w:hAnsi="Times New Roman"/>
                <w:noProof/>
                <w:sz w:val="24"/>
              </w:rPr>
              <w:t>му стълбове ще стъпват на тях. В тези планове ще бъдат посочени социалните, икономическите и екологичните предизвикателства, произтичащи от постепенното преустановяване на свързаните с изкопаемите горива дейности или от декарбонизацията на процесите и прод</w:t>
            </w:r>
            <w:r>
              <w:rPr>
                <w:rFonts w:ascii="Times New Roman" w:hAnsi="Times New Roman"/>
                <w:noProof/>
                <w:sz w:val="24"/>
              </w:rPr>
              <w:t>уктите с висок интензитет на емисиите на парникови газове. В тях ще бъде очертан и процесът на преход до 2030 г., включително нуждите от развитие, преквалификация и възстановяване на околната среда, както и подходът за посрещането им по интегриран начин, с</w:t>
            </w:r>
            <w:r>
              <w:rPr>
                <w:rFonts w:ascii="Times New Roman" w:hAnsi="Times New Roman"/>
                <w:noProof/>
                <w:sz w:val="24"/>
              </w:rPr>
              <w:t>роковете за прехода, видовете предвидени операции и механизмите за управление. Това означава, че мерките, които ще получат подкрепа от Фонда за справедлив преход, може да се различават в отделните държави членки и територии с оглед на установените приорите</w:t>
            </w:r>
            <w:r>
              <w:rPr>
                <w:rFonts w:ascii="Times New Roman" w:hAnsi="Times New Roman"/>
                <w:noProof/>
                <w:sz w:val="24"/>
              </w:rPr>
              <w:t>ти и предизвикателства. Процесът на програмиране ще се основава на оценката, предоставена в контекста на европейския семестър. Като отчитат тази оценка, държавите членки ще изготвят териториални планове за справедлив преход, които ще бъдат част от програми</w:t>
            </w:r>
            <w:r>
              <w:rPr>
                <w:rFonts w:ascii="Times New Roman" w:hAnsi="Times New Roman"/>
                <w:noProof/>
                <w:sz w:val="24"/>
              </w:rPr>
              <w:t>те по линия на Фонда за справедлив преход. Одобряването на плановете от страна на Комисията ще открие възможности за специално финансиране не само от Фонда за справедлив преход (стълб 1 на Механизма за справедлив преход), но също така и от специалната схем</w:t>
            </w:r>
            <w:r>
              <w:rPr>
                <w:rFonts w:ascii="Times New Roman" w:hAnsi="Times New Roman"/>
                <w:noProof/>
                <w:sz w:val="24"/>
              </w:rPr>
              <w:t>а за справедлив преход в рамките на фонда InvestEU (стълб 2) и механизма за отпускане на заеми в публичния сектор от ЕИБ (стълб 3).</w:t>
            </w:r>
          </w:p>
        </w:tc>
      </w:tr>
    </w:tbl>
    <w:p w:rsidR="0059459F" w:rsidRDefault="00246BD0">
      <w:pPr>
        <w:spacing w:after="240"/>
        <w:jc w:val="both"/>
        <w:rPr>
          <w:rFonts w:ascii="Times New Roman" w:hAnsi="Times New Roman"/>
          <w:noProof/>
          <w:sz w:val="24"/>
          <w:szCs w:val="24"/>
        </w:rPr>
      </w:pPr>
      <w:r>
        <w:rPr>
          <w:rFonts w:ascii="Times New Roman" w:hAnsi="Times New Roman"/>
          <w:noProof/>
        </w:rPr>
        <w:t xml:space="preserve"> </w:t>
      </w:r>
    </w:p>
    <w:p w:rsidR="0059459F" w:rsidRDefault="00246BD0">
      <w:pPr>
        <w:pStyle w:val="Heading2"/>
        <w:spacing w:after="240"/>
        <w:rPr>
          <w:noProof/>
        </w:rPr>
      </w:pPr>
      <w:r>
        <w:rPr>
          <w:noProof/>
        </w:rPr>
        <w:t>Стълб 2: специална схема за регионите в процес на справедлив преход в рамките на фонда InvestEU</w:t>
      </w:r>
    </w:p>
    <w:p w:rsidR="0059459F" w:rsidRDefault="00246BD0">
      <w:pPr>
        <w:spacing w:after="240"/>
        <w:jc w:val="both"/>
        <w:rPr>
          <w:rFonts w:ascii="Times New Roman" w:hAnsi="Times New Roman"/>
          <w:noProof/>
          <w:sz w:val="28"/>
          <w:szCs w:val="24"/>
        </w:rPr>
      </w:pPr>
      <w:r>
        <w:rPr>
          <w:rFonts w:ascii="Times New Roman" w:hAnsi="Times New Roman"/>
          <w:b/>
          <w:noProof/>
          <w:sz w:val="24"/>
        </w:rPr>
        <w:t xml:space="preserve">Механизмът за справедлив </w:t>
      </w:r>
      <w:r>
        <w:rPr>
          <w:rFonts w:ascii="Times New Roman" w:hAnsi="Times New Roman"/>
          <w:b/>
          <w:noProof/>
          <w:sz w:val="24"/>
        </w:rPr>
        <w:t>преход ще включва също така специална схема за справедлив преход в рамките на фонда InvestEU, за да се генерират допълнителни инвестиции в полза на най-засегнатите региони.</w:t>
      </w:r>
      <w:r>
        <w:rPr>
          <w:rFonts w:ascii="Times New Roman" w:hAnsi="Times New Roman"/>
          <w:noProof/>
          <w:sz w:val="24"/>
        </w:rPr>
        <w:t xml:space="preserve"> Тя ще позволи нови икономически дейности да заменят тези, които трябва да бъдат пос</w:t>
      </w:r>
      <w:r>
        <w:rPr>
          <w:rFonts w:ascii="Times New Roman" w:hAnsi="Times New Roman"/>
          <w:noProof/>
          <w:sz w:val="24"/>
        </w:rPr>
        <w:t>тепенно преустановени поради въздействието им върху климата и околната среда. Освен това, в сравнение с Фонда за справедлив преход, ще се даде възможност за инвестиции в по-широк кръг от проекти в съответствие с по-големия обхват на допустимост на инвестиц</w:t>
      </w:r>
      <w:r>
        <w:rPr>
          <w:rFonts w:ascii="Times New Roman" w:hAnsi="Times New Roman"/>
          <w:noProof/>
          <w:sz w:val="24"/>
        </w:rPr>
        <w:t>иите по линия на InvestEU. Наред с другото InvestEU ще подкрепя финансирането на проекти за енергийна и транспортна инфраструктура, включително газова инфраструктура и топлоснабдяване, както и проекти за декарбонизация, икономическа диверсификация на регио</w:t>
      </w:r>
      <w:r>
        <w:rPr>
          <w:rFonts w:ascii="Times New Roman" w:hAnsi="Times New Roman"/>
          <w:noProof/>
          <w:sz w:val="24"/>
        </w:rPr>
        <w:t>ните, социална инфраструктура и умения. Това ще позволи също така на засегнатите сектори да се адаптират по-бързо към благоприятни за климата начини на производство. С финансирането по линия на InvestEU може да се подпомагат икономически жизнеспособни инве</w:t>
      </w:r>
      <w:r>
        <w:rPr>
          <w:rFonts w:ascii="Times New Roman" w:hAnsi="Times New Roman"/>
          <w:noProof/>
          <w:sz w:val="24"/>
        </w:rPr>
        <w:t>стиции в тези области, осигурявайки взаимно допълване и синергии с Фонда за справедлив преход.</w:t>
      </w:r>
    </w:p>
    <w:p w:rsidR="0059459F" w:rsidRDefault="00246BD0">
      <w:pPr>
        <w:spacing w:after="240"/>
        <w:jc w:val="both"/>
        <w:rPr>
          <w:rFonts w:ascii="Times New Roman" w:hAnsi="Times New Roman"/>
          <w:noProof/>
          <w:sz w:val="28"/>
          <w:szCs w:val="24"/>
        </w:rPr>
      </w:pPr>
      <w:r>
        <w:rPr>
          <w:rFonts w:ascii="Times New Roman" w:hAnsi="Times New Roman"/>
          <w:b/>
          <w:noProof/>
          <w:sz w:val="24"/>
        </w:rPr>
        <w:t>Очаква се в настоящия си вид фондът InvestEU да доведе до мобилизирането на 650 милиарда евро допълнителни частни и публични инвестиции в подкрепа на целите на п</w:t>
      </w:r>
      <w:r>
        <w:rPr>
          <w:rFonts w:ascii="Times New Roman" w:hAnsi="Times New Roman"/>
          <w:b/>
          <w:noProof/>
          <w:sz w:val="24"/>
        </w:rPr>
        <w:t xml:space="preserve">олитиката на ЕС, заложени в следващата МФР, чрез гаранция от ЕС в размер на 38 милиарда евро. </w:t>
      </w:r>
      <w:r>
        <w:rPr>
          <w:rFonts w:ascii="Times New Roman" w:hAnsi="Times New Roman"/>
          <w:noProof/>
          <w:sz w:val="24"/>
        </w:rPr>
        <w:t>Тази гаранция е подкрепена с комбинация от бюджет на ЕС в размер на 15,2 милиарда евро (т.е. 40 % процент на провизиране) и условни пасиви за оставащата сума.</w:t>
      </w:r>
    </w:p>
    <w:p w:rsidR="0059459F" w:rsidRDefault="00246BD0">
      <w:pPr>
        <w:spacing w:after="240"/>
        <w:jc w:val="both"/>
        <w:rPr>
          <w:rFonts w:ascii="Times New Roman" w:hAnsi="Times New Roman"/>
          <w:noProof/>
          <w:sz w:val="28"/>
          <w:szCs w:val="24"/>
        </w:rPr>
      </w:pPr>
      <w:r>
        <w:rPr>
          <w:rFonts w:ascii="Times New Roman" w:hAnsi="Times New Roman"/>
          <w:b/>
          <w:bCs/>
          <w:noProof/>
          <w:sz w:val="24"/>
        </w:rPr>
        <w:t>Фон</w:t>
      </w:r>
      <w:r>
        <w:rPr>
          <w:rFonts w:ascii="Times New Roman" w:hAnsi="Times New Roman"/>
          <w:b/>
          <w:bCs/>
          <w:noProof/>
          <w:sz w:val="24"/>
        </w:rPr>
        <w:t>дът InvestEU може да бъде ефективен инструмент за генериране на значителни допълнителни инвестиции за проекти за справедлив преход в засегнатите региони.</w:t>
      </w:r>
      <w:r>
        <w:rPr>
          <w:rFonts w:ascii="Times New Roman" w:hAnsi="Times New Roman"/>
          <w:noProof/>
          <w:sz w:val="24"/>
        </w:rPr>
        <w:t xml:space="preserve"> За тази цел част от финансирането по линия на фонда InvestEU ще бъде съсредоточена върху целите за спр</w:t>
      </w:r>
      <w:r>
        <w:rPr>
          <w:rFonts w:ascii="Times New Roman" w:hAnsi="Times New Roman"/>
          <w:noProof/>
          <w:sz w:val="24"/>
        </w:rPr>
        <w:t>аведлив преход. Това би могло да генерира инвестиции в размер до 45 милиарда евро за периода 2021—2027 г. в подкрепа на прехода в засегнатите региони, като целта е да има съответствие с коефициента за разпределение за съответната държава в рамките на Фонда</w:t>
      </w:r>
      <w:r>
        <w:rPr>
          <w:rFonts w:ascii="Times New Roman" w:hAnsi="Times New Roman"/>
          <w:noProof/>
          <w:sz w:val="24"/>
        </w:rPr>
        <w:t xml:space="preserve"> за справедлив преход. При все това крайното предназначение на InvestEU ще продължи да се основава на търсенето и ще зависи от портфейла от проекти. Капацитетът за усвояване на засегнатите региони ще бъде от ключово значение за постигането на целите. Общат</w:t>
      </w:r>
      <w:r>
        <w:rPr>
          <w:rFonts w:ascii="Times New Roman" w:hAnsi="Times New Roman"/>
          <w:noProof/>
          <w:sz w:val="24"/>
        </w:rPr>
        <w:t>а целева стойност от 45 милиарда евро съответства на провизиране в размер на около 1,8 милиарда евро от бюджета на ЕС за програмата InvestEU. Освен това държавите членки ще могат да предоставят част от средствата, отпуснати им от Фонда за справедлив преход</w:t>
      </w:r>
      <w:r>
        <w:rPr>
          <w:rFonts w:ascii="Times New Roman" w:hAnsi="Times New Roman"/>
          <w:noProof/>
          <w:sz w:val="24"/>
        </w:rPr>
        <w:t>, в подкрепа на инвестиции чрез гарантирани заеми или собствен капитал по линия на своя раздел „Държави членки“. За разработването на портфейла от проекти ще е необходима консултантска подкрепа, съобразена с конкретните нужди. За да се постигне това, от съ</w:t>
      </w:r>
      <w:r>
        <w:rPr>
          <w:rFonts w:ascii="Times New Roman" w:hAnsi="Times New Roman"/>
          <w:noProof/>
          <w:sz w:val="24"/>
        </w:rPr>
        <w:t>ществено значение е да се гарантира подходящо равнище на гаранцията на InvestEU в текущите преговори по МФР.</w:t>
      </w:r>
    </w:p>
    <w:p w:rsidR="0059459F" w:rsidRDefault="00246BD0">
      <w:pPr>
        <w:spacing w:after="240"/>
        <w:jc w:val="both"/>
        <w:rPr>
          <w:rFonts w:ascii="Times New Roman" w:hAnsi="Times New Roman"/>
          <w:noProof/>
          <w:spacing w:val="-4"/>
          <w:sz w:val="28"/>
          <w:szCs w:val="24"/>
        </w:rPr>
      </w:pPr>
      <w:r>
        <w:rPr>
          <w:rFonts w:ascii="Times New Roman" w:hAnsi="Times New Roman"/>
          <w:b/>
          <w:noProof/>
          <w:spacing w:val="-4"/>
          <w:sz w:val="24"/>
        </w:rPr>
        <w:t>От схемата могат да се ползват проекти в регионите, които имат одобрен план за преход съгласно Регламента за Фонда за справедлив преход, или проект</w:t>
      </w:r>
      <w:r>
        <w:rPr>
          <w:rFonts w:ascii="Times New Roman" w:hAnsi="Times New Roman"/>
          <w:b/>
          <w:noProof/>
          <w:spacing w:val="-4"/>
          <w:sz w:val="24"/>
        </w:rPr>
        <w:t>и, които са от полза за тези региони (дори ако те не се намират в самите региони), но само когато финансирането извън териториите, осъществяващи справедлив преход, е от основно значение за прехода в тези територии</w:t>
      </w:r>
      <w:r>
        <w:rPr>
          <w:rFonts w:ascii="Times New Roman" w:hAnsi="Times New Roman"/>
          <w:noProof/>
          <w:spacing w:val="-4"/>
          <w:sz w:val="24"/>
        </w:rPr>
        <w:t>. Това е от значение по-конкретно за трансп</w:t>
      </w:r>
      <w:r>
        <w:rPr>
          <w:rFonts w:ascii="Times New Roman" w:hAnsi="Times New Roman"/>
          <w:noProof/>
          <w:spacing w:val="-4"/>
          <w:sz w:val="24"/>
        </w:rPr>
        <w:t>ортни или енергийни инфраструктурни проекти, които подобряват свързаността на териториите, осъществяващи справедлив преход. Инвестициите за постигане на целите за справедлив преход могат да се причислят към целите във връзка с климата и да допринесат за по</w:t>
      </w:r>
      <w:r>
        <w:rPr>
          <w:rFonts w:ascii="Times New Roman" w:hAnsi="Times New Roman"/>
          <w:noProof/>
          <w:spacing w:val="-4"/>
          <w:sz w:val="24"/>
        </w:rPr>
        <w:t>стигането на 30% от целите във връзка с климата, определени за програмата InvestEU.</w:t>
      </w:r>
    </w:p>
    <w:p w:rsidR="0059459F" w:rsidRDefault="00246BD0">
      <w:pPr>
        <w:spacing w:after="240"/>
        <w:jc w:val="both"/>
        <w:rPr>
          <w:rFonts w:ascii="Times New Roman" w:hAnsi="Times New Roman"/>
          <w:b/>
          <w:noProof/>
          <w:sz w:val="28"/>
          <w:szCs w:val="24"/>
        </w:rPr>
      </w:pPr>
      <w:r>
        <w:rPr>
          <w:rFonts w:ascii="Times New Roman" w:hAnsi="Times New Roman"/>
          <w:b/>
          <w:noProof/>
          <w:sz w:val="24"/>
        </w:rPr>
        <w:t>Подобно насочване на гаранцията на InvestEU към целите за справедлив преход ще отключи допустими инвестиции по всичките четири компонента на политиката и ще бъде отразено в</w:t>
      </w:r>
      <w:r>
        <w:rPr>
          <w:rFonts w:ascii="Times New Roman" w:hAnsi="Times New Roman"/>
          <w:b/>
          <w:noProof/>
          <w:sz w:val="24"/>
        </w:rPr>
        <w:t xml:space="preserve"> заложените финансови продукти.</w:t>
      </w:r>
      <w:r>
        <w:rPr>
          <w:rFonts w:ascii="Times New Roman" w:hAnsi="Times New Roman"/>
          <w:noProof/>
          <w:sz w:val="24"/>
        </w:rPr>
        <w:t xml:space="preserve"> Специални стимули за партньорите по изпълнението могат да се предлагат посредством хонорари или по-изгодно покритие на рисковете за проектите, които ще се изпълняват в регионите в процес на преход. Целевата стойност за целит</w:t>
      </w:r>
      <w:r>
        <w:rPr>
          <w:rFonts w:ascii="Times New Roman" w:hAnsi="Times New Roman"/>
          <w:noProof/>
          <w:sz w:val="24"/>
        </w:rPr>
        <w:t>е за справедлив преход ще бъде включена в инвестиционните насоки на InvestEU и в гаранционните споразумения с партньорите по изпълнението. Освен това в поканата(ите) за представяне на предложения, отправени към за партньорите по изпълнението в рамките на ф</w:t>
      </w:r>
      <w:r>
        <w:rPr>
          <w:rFonts w:ascii="Times New Roman" w:hAnsi="Times New Roman"/>
          <w:noProof/>
          <w:sz w:val="24"/>
        </w:rPr>
        <w:t xml:space="preserve">онда InvestEU, ще се дава приоритет на партньорите по изпълнението, предлагащи финансови продукти, които допринасят за постигането на целите за справедлив преход. </w:t>
      </w:r>
      <w:r>
        <w:rPr>
          <w:rFonts w:ascii="Times New Roman" w:hAnsi="Times New Roman"/>
          <w:b/>
          <w:noProof/>
          <w:sz w:val="24"/>
        </w:rPr>
        <w:t>За да могат проектите да привличат инвеститори, ще бъде предоставяна специална техническа пом</w:t>
      </w:r>
      <w:r>
        <w:rPr>
          <w:rFonts w:ascii="Times New Roman" w:hAnsi="Times New Roman"/>
          <w:b/>
          <w:noProof/>
          <w:sz w:val="24"/>
        </w:rPr>
        <w:t>ощ чрез консултантския център InvestEU, за който ще бъде предоставен допълнителен финансов пакет</w:t>
      </w:r>
      <w:r>
        <w:rPr>
          <w:rFonts w:ascii="Times New Roman" w:hAnsi="Times New Roman"/>
          <w:noProof/>
          <w:sz w:val="24"/>
        </w:rPr>
        <w:t>.</w:t>
      </w:r>
    </w:p>
    <w:p w:rsidR="0059459F" w:rsidRDefault="00246BD0">
      <w:pPr>
        <w:pStyle w:val="Heading2"/>
        <w:spacing w:after="240"/>
        <w:rPr>
          <w:noProof/>
        </w:rPr>
      </w:pPr>
      <w:r>
        <w:rPr>
          <w:noProof/>
        </w:rPr>
        <w:t xml:space="preserve">Стълб 3: механизъм за отпускане на заеми в публичния сектор съвместно с групата на Европейската инвестиционна банка </w:t>
      </w:r>
    </w:p>
    <w:p w:rsidR="0059459F" w:rsidRDefault="00246BD0">
      <w:pPr>
        <w:spacing w:after="240"/>
        <w:jc w:val="both"/>
        <w:rPr>
          <w:rFonts w:ascii="Times New Roman" w:hAnsi="Times New Roman"/>
          <w:noProof/>
          <w:spacing w:val="-4"/>
          <w:sz w:val="28"/>
          <w:szCs w:val="24"/>
        </w:rPr>
      </w:pPr>
      <w:r>
        <w:rPr>
          <w:rFonts w:ascii="Times New Roman" w:hAnsi="Times New Roman"/>
          <w:b/>
          <w:noProof/>
          <w:spacing w:val="-4"/>
          <w:sz w:val="24"/>
        </w:rPr>
        <w:t>С механизъм за отпускане на заеми в публи</w:t>
      </w:r>
      <w:r>
        <w:rPr>
          <w:rFonts w:ascii="Times New Roman" w:hAnsi="Times New Roman"/>
          <w:b/>
          <w:noProof/>
          <w:spacing w:val="-4"/>
          <w:sz w:val="24"/>
        </w:rPr>
        <w:t>чния сектор съвместно с Европейската инвестиционна банка ще се окаже подкрепа за увеличаването на инвестициите на публичния сектор в регионите, които са в процес на климатичен преход. С тази подкрепа ще се предлагат заеми при облекчени условия за публичния</w:t>
      </w:r>
      <w:r>
        <w:rPr>
          <w:rFonts w:ascii="Times New Roman" w:hAnsi="Times New Roman"/>
          <w:b/>
          <w:noProof/>
          <w:spacing w:val="-4"/>
          <w:sz w:val="24"/>
        </w:rPr>
        <w:t xml:space="preserve"> сектор.</w:t>
      </w:r>
      <w:r>
        <w:rPr>
          <w:rFonts w:ascii="Times New Roman" w:hAnsi="Times New Roman"/>
          <w:noProof/>
          <w:spacing w:val="-4"/>
          <w:sz w:val="24"/>
        </w:rPr>
        <w:t xml:space="preserve"> Тези заеми ще предоставят на субектите от публичния сектор ресурси за изпълнението на мерки, които да способстват за прехода към неутралност по отношение на климата. Ще се подпомагат инвестиции в различни сектори, като енергийна и транспортна инфр</w:t>
      </w:r>
      <w:r>
        <w:rPr>
          <w:rFonts w:ascii="Times New Roman" w:hAnsi="Times New Roman"/>
          <w:noProof/>
          <w:spacing w:val="-4"/>
          <w:sz w:val="24"/>
        </w:rPr>
        <w:t>аструктура, топлоснабдителни мрежи, мерки за енергийна ефективност, включително саниране на сгради, както и социална инфраструктура, а също и други отрасли. Подкрепата от ЕС би могла да бъде под формата, наред с другото, на лихвена субсидия или инвестицион</w:t>
      </w:r>
      <w:r>
        <w:rPr>
          <w:rFonts w:ascii="Times New Roman" w:hAnsi="Times New Roman"/>
          <w:noProof/>
          <w:spacing w:val="-4"/>
          <w:sz w:val="24"/>
        </w:rPr>
        <w:t xml:space="preserve">на субсидия, финансирана от бюджета на ЕС, която ще бъде комбинирана със заеми, отпуснати от ЕИБ на общински, регионални и други публични органи. </w:t>
      </w:r>
    </w:p>
    <w:p w:rsidR="0059459F" w:rsidRDefault="00246BD0">
      <w:pPr>
        <w:spacing w:after="240"/>
        <w:jc w:val="both"/>
        <w:rPr>
          <w:rFonts w:ascii="Times New Roman" w:hAnsi="Times New Roman"/>
          <w:noProof/>
          <w:sz w:val="28"/>
          <w:szCs w:val="24"/>
        </w:rPr>
      </w:pPr>
      <w:r>
        <w:rPr>
          <w:rFonts w:ascii="Times New Roman" w:hAnsi="Times New Roman"/>
          <w:b/>
          <w:noProof/>
          <w:sz w:val="24"/>
        </w:rPr>
        <w:t>Географският обхват ще бъде същият като този на схемата за справедлив преход по линия на InvestEU (стълб 2 на</w:t>
      </w:r>
      <w:r>
        <w:rPr>
          <w:rFonts w:ascii="Times New Roman" w:hAnsi="Times New Roman"/>
          <w:b/>
          <w:noProof/>
          <w:sz w:val="24"/>
        </w:rPr>
        <w:t xml:space="preserve"> Фонда за справедлив преход), т.е. проекти в регионите с одобрени планове за преход</w:t>
      </w:r>
      <w:r>
        <w:rPr>
          <w:rFonts w:ascii="Times New Roman" w:hAnsi="Times New Roman"/>
          <w:noProof/>
          <w:sz w:val="24"/>
        </w:rPr>
        <w:t>, а също и проекти в полза на тези региони, но само когато финансирането извън териториите, осъществяващи справедлив преход, е от основно значение за прехода в тези територи</w:t>
      </w:r>
      <w:r>
        <w:rPr>
          <w:rFonts w:ascii="Times New Roman" w:hAnsi="Times New Roman"/>
          <w:noProof/>
          <w:sz w:val="24"/>
        </w:rPr>
        <w:t>и</w:t>
      </w:r>
      <w:r>
        <w:rPr>
          <w:rFonts w:ascii="Times New Roman" w:hAnsi="Times New Roman"/>
          <w:b/>
          <w:noProof/>
          <w:sz w:val="24"/>
        </w:rPr>
        <w:t xml:space="preserve">. </w:t>
      </w:r>
      <w:r>
        <w:rPr>
          <w:rFonts w:ascii="Times New Roman" w:hAnsi="Times New Roman"/>
          <w:noProof/>
          <w:sz w:val="24"/>
        </w:rPr>
        <w:t>Целта на механизма за отпускане на заеми в публичния сектор за справедлив преход е да се предложат такива преференциални условия за финансиране, които да подкрепят инвестициите на публичния сектор в полза на най-засегнатите региони. Това ще включва и ко</w:t>
      </w:r>
      <w:r>
        <w:rPr>
          <w:rFonts w:ascii="Times New Roman" w:hAnsi="Times New Roman"/>
          <w:noProof/>
          <w:sz w:val="24"/>
        </w:rPr>
        <w:t>нсултантска подкрепа, за да се подпомогне създаването на портфейл от проекти.</w:t>
      </w:r>
    </w:p>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Подкрепата по механизма отпускане на заеми в публичния сектор ще допълва продуктите, предлагани от специалната схема за справедлив преход на InvestEU. </w:t>
      </w:r>
      <w:r>
        <w:rPr>
          <w:rFonts w:ascii="Times New Roman" w:hAnsi="Times New Roman"/>
          <w:noProof/>
          <w:sz w:val="24"/>
        </w:rPr>
        <w:t>Тя ще се прилага за проекти</w:t>
      </w:r>
      <w:r>
        <w:rPr>
          <w:rFonts w:ascii="Times New Roman" w:hAnsi="Times New Roman"/>
          <w:noProof/>
          <w:sz w:val="24"/>
        </w:rPr>
        <w:t>, които не генерират в достатъчна степен пазарни приходни потоци и които иначе няма да получат финансиране, ако няма елемент на субсидия.</w:t>
      </w:r>
      <w:r>
        <w:rPr>
          <w:rFonts w:ascii="Times New Roman" w:hAnsi="Times New Roman"/>
          <w:b/>
          <w:noProof/>
          <w:sz w:val="24"/>
        </w:rPr>
        <w:t xml:space="preserve"> </w:t>
      </w:r>
    </w:p>
    <w:p w:rsidR="0059459F" w:rsidRDefault="00246BD0">
      <w:pPr>
        <w:spacing w:after="240"/>
        <w:jc w:val="both"/>
        <w:rPr>
          <w:rFonts w:ascii="Times New Roman" w:hAnsi="Times New Roman"/>
          <w:noProof/>
          <w:sz w:val="28"/>
          <w:szCs w:val="24"/>
        </w:rPr>
      </w:pPr>
      <w:r>
        <w:rPr>
          <w:rFonts w:ascii="Times New Roman" w:hAnsi="Times New Roman"/>
          <w:b/>
          <w:noProof/>
          <w:sz w:val="24"/>
        </w:rPr>
        <w:t>С вноската от бюджета на ЕС в размер на 1,5 милиарда евро и отпуснатите на собствен риск от ЕИБ заеми в размер на 10 милиарда евро механизмът за отпускане на заеми в публичния сектор може да мобилизира между 25 и 30 милиарда евро публични инвестиции за пер</w:t>
      </w:r>
      <w:r>
        <w:rPr>
          <w:rFonts w:ascii="Times New Roman" w:hAnsi="Times New Roman"/>
          <w:b/>
          <w:noProof/>
          <w:sz w:val="24"/>
        </w:rPr>
        <w:t xml:space="preserve">иода 2021—2027 г. </w:t>
      </w:r>
      <w:r>
        <w:rPr>
          <w:rFonts w:ascii="Times New Roman" w:hAnsi="Times New Roman"/>
          <w:noProof/>
          <w:sz w:val="24"/>
        </w:rPr>
        <w:t>Това отразява коефициента за разпределение за съответната държава в рамките на Фонда за справедлив преход в подкрепа на прехода в засегнатите региони. Комисията ще представи законодателно предложение за създаването на този нов механизъм з</w:t>
      </w:r>
      <w:r>
        <w:rPr>
          <w:rFonts w:ascii="Times New Roman" w:hAnsi="Times New Roman"/>
          <w:noProof/>
          <w:sz w:val="24"/>
        </w:rPr>
        <w:t xml:space="preserve">а отпускане на заеми в публичния сектор през март 2020 г. С течение на времето и съобразно промените в нуждите на публичния сектор Комисията може да проучи възможностите за сътрудничество с допълнителни партньори по изпълнението. </w:t>
      </w:r>
    </w:p>
    <w:p w:rsidR="0059459F" w:rsidRDefault="00246BD0">
      <w:pPr>
        <w:pStyle w:val="Heading2"/>
        <w:spacing w:after="240"/>
        <w:rPr>
          <w:noProof/>
        </w:rPr>
      </w:pPr>
      <w:r>
        <w:rPr>
          <w:noProof/>
        </w:rPr>
        <w:t>Техническа помощ и консул</w:t>
      </w:r>
      <w:r>
        <w:rPr>
          <w:noProof/>
        </w:rPr>
        <w:t>тантска подкрепа</w:t>
      </w:r>
    </w:p>
    <w:p w:rsidR="0059459F" w:rsidRDefault="00246BD0">
      <w:pPr>
        <w:spacing w:after="240"/>
        <w:jc w:val="both"/>
        <w:rPr>
          <w:rFonts w:ascii="Times New Roman" w:hAnsi="Times New Roman"/>
          <w:b/>
          <w:noProof/>
          <w:sz w:val="28"/>
          <w:szCs w:val="24"/>
        </w:rPr>
      </w:pPr>
      <w:r>
        <w:rPr>
          <w:rFonts w:ascii="Times New Roman" w:hAnsi="Times New Roman"/>
          <w:b/>
          <w:noProof/>
          <w:sz w:val="24"/>
        </w:rPr>
        <w:t xml:space="preserve">Справедливият преход ще зависи не само от наличните финансови средства за подкрепа на инвестициите, но и от насочването на тези средства към правилните проекти. </w:t>
      </w:r>
      <w:r>
        <w:rPr>
          <w:rFonts w:ascii="Times New Roman" w:hAnsi="Times New Roman"/>
          <w:noProof/>
          <w:sz w:val="24"/>
        </w:rPr>
        <w:t>На държавите членки и регионите ще бъде предоставена помощ чрез платформа за с</w:t>
      </w:r>
      <w:r>
        <w:rPr>
          <w:rFonts w:ascii="Times New Roman" w:hAnsi="Times New Roman"/>
          <w:noProof/>
          <w:sz w:val="24"/>
        </w:rPr>
        <w:t xml:space="preserve">праведлив преход, която ще бъде управлявана от Комисията. Платформата ще продължи и ще разшири работата на съществуващата платформа за въгледобивните региони в преход, с която вече се оказва подкрепа на регионите в ЕС, в които се добиват изкопаеми горива, </w:t>
      </w:r>
      <w:r>
        <w:rPr>
          <w:rFonts w:ascii="Times New Roman" w:hAnsi="Times New Roman"/>
          <w:noProof/>
          <w:sz w:val="24"/>
        </w:rPr>
        <w:t>с цел осъществяването на справедлив преход. Тя ще предоставя техническа и консултантска подкрепа при изготвянето на териториалните планове за преход чрез експертна мрежа, улесняваща обмена на информация между държавите членки, регионите, агенциите и заинте</w:t>
      </w:r>
      <w:r>
        <w:rPr>
          <w:rFonts w:ascii="Times New Roman" w:hAnsi="Times New Roman"/>
          <w:noProof/>
          <w:sz w:val="24"/>
        </w:rPr>
        <w:t>ресованите страни. Комисията ще отправи още през първото тримесечие на 2020 г. покана за заявяване на участие в рамките на Програмата за подкрепа на реформите, за да съдейства на държавите членки при изготвянето на техните териториални планове за преход, к</w:t>
      </w:r>
      <w:r>
        <w:rPr>
          <w:rFonts w:ascii="Times New Roman" w:hAnsi="Times New Roman"/>
          <w:noProof/>
          <w:sz w:val="24"/>
        </w:rPr>
        <w:t>огато това е необходимо. По линия на Механизма за справедлив преход ще се предоставят консултантска подкрепа и техническа помощ със същите средства, като описаните в раздел 5.1.2.</w:t>
      </w:r>
      <w:r>
        <w:rPr>
          <w:rFonts w:ascii="Times New Roman" w:hAnsi="Times New Roman"/>
          <w:b/>
          <w:noProof/>
          <w:sz w:val="24"/>
        </w:rPr>
        <w:t xml:space="preserve"> </w:t>
      </w:r>
    </w:p>
    <w:tbl>
      <w:tblPr>
        <w:tblStyle w:val="TableGrid"/>
        <w:tblW w:w="0" w:type="auto"/>
        <w:tblLook w:val="04A0" w:firstRow="1" w:lastRow="0" w:firstColumn="1" w:lastColumn="0" w:noHBand="0" w:noVBand="1"/>
      </w:tblPr>
      <w:tblGrid>
        <w:gridCol w:w="9062"/>
      </w:tblGrid>
      <w:tr w:rsidR="0059459F">
        <w:tc>
          <w:tcPr>
            <w:tcW w:w="9062" w:type="dxa"/>
          </w:tcPr>
          <w:p w:rsidR="0059459F" w:rsidRDefault="00246BD0">
            <w:pPr>
              <w:spacing w:after="240" w:line="280" w:lineRule="exact"/>
              <w:jc w:val="both"/>
              <w:rPr>
                <w:rFonts w:ascii="Times New Roman" w:hAnsi="Times New Roman"/>
                <w:b/>
                <w:noProof/>
                <w:sz w:val="28"/>
                <w:szCs w:val="24"/>
              </w:rPr>
            </w:pPr>
            <w:r>
              <w:rPr>
                <w:rFonts w:ascii="Times New Roman" w:hAnsi="Times New Roman"/>
                <w:b/>
                <w:noProof/>
                <w:sz w:val="24"/>
              </w:rPr>
              <w:t>Комисията:</w:t>
            </w:r>
          </w:p>
          <w:p w:rsidR="0059459F" w:rsidRDefault="00246BD0">
            <w:pPr>
              <w:spacing w:after="240" w:line="280" w:lineRule="exact"/>
              <w:jc w:val="both"/>
              <w:rPr>
                <w:rFonts w:ascii="Times New Roman" w:hAnsi="Times New Roman"/>
                <w:b/>
                <w:noProof/>
                <w:sz w:val="28"/>
                <w:szCs w:val="24"/>
              </w:rPr>
            </w:pPr>
            <w:r>
              <w:rPr>
                <w:rFonts w:ascii="Times New Roman" w:hAnsi="Times New Roman"/>
                <w:b/>
                <w:noProof/>
                <w:sz w:val="24"/>
              </w:rPr>
              <w:t>— ще работи заедно със съзаконодателите за бързото приемане на</w:t>
            </w:r>
            <w:r>
              <w:rPr>
                <w:rFonts w:ascii="Times New Roman" w:hAnsi="Times New Roman"/>
                <w:b/>
                <w:noProof/>
                <w:sz w:val="24"/>
              </w:rPr>
              <w:t xml:space="preserve"> Регламента за Фонда за справедлив преход и съответните изменения на Регламента за общоприложимите разпоредби;</w:t>
            </w:r>
          </w:p>
          <w:p w:rsidR="0059459F" w:rsidRDefault="00246BD0">
            <w:pPr>
              <w:spacing w:after="240" w:line="280" w:lineRule="exact"/>
              <w:jc w:val="both"/>
              <w:rPr>
                <w:rFonts w:ascii="Times New Roman" w:hAnsi="Times New Roman"/>
                <w:b/>
                <w:noProof/>
                <w:sz w:val="28"/>
                <w:szCs w:val="24"/>
              </w:rPr>
            </w:pPr>
            <w:r>
              <w:rPr>
                <w:rFonts w:ascii="Times New Roman" w:hAnsi="Times New Roman"/>
                <w:b/>
                <w:noProof/>
                <w:sz w:val="24"/>
              </w:rPr>
              <w:t>— ще работи с групата на ЕИБ и другите партньори по изпълнението за осъществяването на схемата за справедлив преход в рамките на InvestEU след пр</w:t>
            </w:r>
            <w:r>
              <w:rPr>
                <w:rFonts w:ascii="Times New Roman" w:hAnsi="Times New Roman"/>
                <w:b/>
                <w:noProof/>
                <w:sz w:val="24"/>
              </w:rPr>
              <w:t>иемането ѝ;</w:t>
            </w:r>
          </w:p>
          <w:p w:rsidR="0059459F" w:rsidRDefault="00246BD0">
            <w:pPr>
              <w:spacing w:after="240" w:line="280" w:lineRule="exact"/>
              <w:jc w:val="both"/>
              <w:rPr>
                <w:rFonts w:ascii="Times New Roman" w:hAnsi="Times New Roman"/>
                <w:b/>
                <w:noProof/>
                <w:sz w:val="28"/>
                <w:szCs w:val="24"/>
              </w:rPr>
            </w:pPr>
            <w:r>
              <w:rPr>
                <w:rFonts w:ascii="Times New Roman" w:hAnsi="Times New Roman"/>
                <w:b/>
                <w:noProof/>
                <w:sz w:val="24"/>
              </w:rPr>
              <w:t>— ще представи ново законодателно предложение за механизъм за отпускане на заеми в публичния сектор с ЕИБ през март 2020 г.;</w:t>
            </w:r>
          </w:p>
          <w:p w:rsidR="0059459F" w:rsidRDefault="00246BD0">
            <w:pPr>
              <w:spacing w:after="240" w:line="280" w:lineRule="exact"/>
              <w:jc w:val="both"/>
              <w:rPr>
                <w:rFonts w:ascii="Times New Roman" w:hAnsi="Times New Roman"/>
                <w:b/>
                <w:noProof/>
                <w:sz w:val="28"/>
                <w:szCs w:val="24"/>
              </w:rPr>
            </w:pPr>
            <w:r>
              <w:rPr>
                <w:rFonts w:ascii="Times New Roman" w:hAnsi="Times New Roman"/>
                <w:b/>
                <w:noProof/>
                <w:sz w:val="24"/>
              </w:rPr>
              <w:t>— ще съдейства на държавите членки и регионите при изготвянето на териториалните планове за преход;</w:t>
            </w:r>
          </w:p>
          <w:p w:rsidR="0059459F" w:rsidRDefault="00246BD0">
            <w:pPr>
              <w:spacing w:after="240" w:line="280" w:lineRule="exact"/>
              <w:jc w:val="both"/>
              <w:rPr>
                <w:rFonts w:ascii="Times New Roman" w:hAnsi="Times New Roman"/>
                <w:noProof/>
                <w:sz w:val="24"/>
                <w:szCs w:val="24"/>
              </w:rPr>
            </w:pPr>
            <w:r>
              <w:rPr>
                <w:rFonts w:ascii="Times New Roman" w:hAnsi="Times New Roman"/>
                <w:b/>
                <w:noProof/>
                <w:sz w:val="24"/>
              </w:rPr>
              <w:t>— ще предостави тех</w:t>
            </w:r>
            <w:r>
              <w:rPr>
                <w:rFonts w:ascii="Times New Roman" w:hAnsi="Times New Roman"/>
                <w:b/>
                <w:noProof/>
                <w:sz w:val="24"/>
              </w:rPr>
              <w:t>ническа помощ и консултантска подкрепа за изготвянето на солиден портфейл от проекти в полза на регионите в процес на преход.</w:t>
            </w:r>
          </w:p>
        </w:tc>
      </w:tr>
    </w:tbl>
    <w:p w:rsidR="0059459F" w:rsidRDefault="00246BD0">
      <w:pPr>
        <w:pStyle w:val="Heading1"/>
        <w:spacing w:before="240" w:after="240" w:line="280" w:lineRule="exact"/>
        <w:rPr>
          <w:noProof/>
        </w:rPr>
      </w:pPr>
      <w:r>
        <w:rPr>
          <w:noProof/>
        </w:rPr>
        <w:t xml:space="preserve">Заключение и по-нататъшни действия </w:t>
      </w:r>
    </w:p>
    <w:p w:rsidR="0059459F" w:rsidRDefault="00246BD0">
      <w:pPr>
        <w:spacing w:after="240" w:line="280" w:lineRule="exact"/>
        <w:jc w:val="both"/>
        <w:rPr>
          <w:rFonts w:ascii="Times New Roman" w:hAnsi="Times New Roman"/>
          <w:noProof/>
          <w:sz w:val="28"/>
          <w:szCs w:val="24"/>
        </w:rPr>
      </w:pPr>
      <w:r>
        <w:rPr>
          <w:rFonts w:ascii="Times New Roman" w:hAnsi="Times New Roman"/>
          <w:b/>
          <w:noProof/>
          <w:sz w:val="24"/>
        </w:rPr>
        <w:t>Планът за инвестиции за устойчива Европа е от основно значение за мобилизиране на инвестициит</w:t>
      </w:r>
      <w:r>
        <w:rPr>
          <w:rFonts w:ascii="Times New Roman" w:hAnsi="Times New Roman"/>
          <w:b/>
          <w:noProof/>
          <w:sz w:val="24"/>
        </w:rPr>
        <w:t>е, необходими за постигането на амбициозните цели на Европейския зелен пакт</w:t>
      </w:r>
      <w:r>
        <w:rPr>
          <w:rFonts w:ascii="Times New Roman" w:hAnsi="Times New Roman"/>
          <w:noProof/>
          <w:sz w:val="24"/>
        </w:rPr>
        <w:t xml:space="preserve"> Като поема ангажимент да мобилизира през следващото десетилетие най-малко 1 трилион евро устойчиви инвестиции чрез бюджета на ЕС, Комисията си поставя много конкретна цел, спрямо к</w:t>
      </w:r>
      <w:r>
        <w:rPr>
          <w:rFonts w:ascii="Times New Roman" w:hAnsi="Times New Roman"/>
          <w:noProof/>
          <w:sz w:val="24"/>
        </w:rPr>
        <w:t>оято ще следи за напредъка. Планът включва също така ангажимент да се използват всички съответни лостове на политиката, за да се предостави на частните и публичните инвеститори рамка, която да благоприятства във възможно най-голяма степен устойчивите инвес</w:t>
      </w:r>
      <w:r>
        <w:rPr>
          <w:rFonts w:ascii="Times New Roman" w:hAnsi="Times New Roman"/>
          <w:noProof/>
          <w:sz w:val="24"/>
        </w:rPr>
        <w:t>тиции. С него се подновява и ангажиментът за осигуряване на органите и организаторите на проекти на необходимата подкрепа за планирането и изпълнението на проектите. Като се има предвид мащабът на нуждите от финансиране, Комисията се ангажира да проучи по-</w:t>
      </w:r>
      <w:r>
        <w:rPr>
          <w:rFonts w:ascii="Times New Roman" w:hAnsi="Times New Roman"/>
          <w:noProof/>
          <w:sz w:val="24"/>
        </w:rPr>
        <w:t>нататъшните възможности за мобилизиране на допълнително финансиране за постигането на целите на Европейския зелен пакт.</w:t>
      </w:r>
    </w:p>
    <w:p w:rsidR="0059459F" w:rsidRDefault="00246BD0">
      <w:pPr>
        <w:spacing w:after="240" w:line="280" w:lineRule="exact"/>
        <w:jc w:val="both"/>
        <w:rPr>
          <w:rFonts w:ascii="Times New Roman" w:hAnsi="Times New Roman"/>
          <w:noProof/>
          <w:sz w:val="28"/>
          <w:szCs w:val="24"/>
        </w:rPr>
      </w:pPr>
      <w:r>
        <w:rPr>
          <w:rFonts w:ascii="Times New Roman" w:hAnsi="Times New Roman"/>
          <w:b/>
          <w:noProof/>
          <w:sz w:val="24"/>
        </w:rPr>
        <w:t>Включеният в Плана Механизъм за справедлив преход ще спомогне за това при прехода към устойчиво бъдеще никой да не бъде изоставен</w:t>
      </w:r>
      <w:r>
        <w:rPr>
          <w:rFonts w:ascii="Times New Roman" w:hAnsi="Times New Roman"/>
          <w:noProof/>
          <w:sz w:val="24"/>
        </w:rPr>
        <w:t>. За ре</w:t>
      </w:r>
      <w:r>
        <w:rPr>
          <w:rFonts w:ascii="Times New Roman" w:hAnsi="Times New Roman"/>
          <w:noProof/>
          <w:sz w:val="24"/>
        </w:rPr>
        <w:t xml:space="preserve">ализирането на този стремеж регионите, които са най-засегнати от трудностите на прехода, ще получат както финансова, така и административна помощ. </w:t>
      </w:r>
    </w:p>
    <w:p w:rsidR="0059459F" w:rsidRDefault="00246BD0">
      <w:pPr>
        <w:spacing w:after="240" w:line="280" w:lineRule="exact"/>
        <w:jc w:val="both"/>
        <w:rPr>
          <w:rFonts w:ascii="Times New Roman" w:hAnsi="Times New Roman"/>
          <w:b/>
          <w:noProof/>
          <w:sz w:val="24"/>
          <w:szCs w:val="24"/>
        </w:rPr>
      </w:pPr>
      <w:r>
        <w:rPr>
          <w:rFonts w:ascii="Times New Roman" w:hAnsi="Times New Roman"/>
          <w:b/>
          <w:noProof/>
          <w:sz w:val="24"/>
        </w:rPr>
        <w:t xml:space="preserve">Успехът на Плана за инвестиции за устойчива Европа ще зависи от ангажираността с неговото изпълнение на всички имащи отношение заинтересовани страни. </w:t>
      </w:r>
      <w:r>
        <w:rPr>
          <w:rFonts w:ascii="Times New Roman" w:hAnsi="Times New Roman"/>
          <w:noProof/>
          <w:sz w:val="24"/>
        </w:rPr>
        <w:t>От съществено значение ще бъде държавите членки и Европейският парламент да запазят по време на преговорит</w:t>
      </w:r>
      <w:r>
        <w:rPr>
          <w:rFonts w:ascii="Times New Roman" w:hAnsi="Times New Roman"/>
          <w:noProof/>
          <w:sz w:val="24"/>
        </w:rPr>
        <w:t>е по предстоящата финансова рамка амбициозните цели на предложението на Комисията. Приканва се инвеститорската общност, включително институционалните инвеститори, банките, насърчителните институции и фондовете за дялово участие, да използва пълноценно ново</w:t>
      </w:r>
      <w:r>
        <w:rPr>
          <w:rFonts w:ascii="Times New Roman" w:hAnsi="Times New Roman"/>
          <w:noProof/>
          <w:sz w:val="24"/>
        </w:rPr>
        <w:t>създадената рамка за устойчиви инвестиции. На свой ред, органите на държавите членки ще трябва да поемат активна роля при определянето, насърчаването и, когато е необходимо, съфинансирането на такива инвестиции.</w:t>
      </w:r>
    </w:p>
    <w:p w:rsidR="0059459F" w:rsidRDefault="00246BD0">
      <w:pPr>
        <w:spacing w:after="240"/>
        <w:jc w:val="both"/>
        <w:rPr>
          <w:rFonts w:ascii="Times New Roman" w:hAnsi="Times New Roman"/>
          <w:noProof/>
          <w:sz w:val="28"/>
          <w:szCs w:val="24"/>
        </w:rPr>
      </w:pPr>
      <w:r>
        <w:rPr>
          <w:rFonts w:ascii="Times New Roman" w:hAnsi="Times New Roman"/>
          <w:b/>
          <w:noProof/>
          <w:sz w:val="24"/>
        </w:rPr>
        <w:t>Всяка година Комисията ще провежда среща на</w:t>
      </w:r>
      <w:r>
        <w:rPr>
          <w:rFonts w:ascii="Times New Roman" w:hAnsi="Times New Roman"/>
          <w:b/>
          <w:noProof/>
          <w:sz w:val="24"/>
        </w:rPr>
        <w:t xml:space="preserve"> върха по въпросите на устойчивите инвестиции с участието на всички съответни заинтересовани страни</w:t>
      </w:r>
      <w:r>
        <w:rPr>
          <w:rFonts w:ascii="Times New Roman" w:hAnsi="Times New Roman"/>
          <w:noProof/>
          <w:sz w:val="24"/>
        </w:rPr>
        <w:t>. Срещата на върха ще предоставя възможност да се прави преглед на напредъка по различните работни направления, включени в Плана за инвестиции за устойчива Е</w:t>
      </w:r>
      <w:r>
        <w:rPr>
          <w:rFonts w:ascii="Times New Roman" w:hAnsi="Times New Roman"/>
          <w:noProof/>
          <w:sz w:val="24"/>
        </w:rPr>
        <w:t>вропа, и да се набелязват нови посоки за действие. Комисията ще продължи да проучва със съответните партньори какви допълнителни източници биха могли да бъдат мобилизирани, за да се посрещнат дългосрочните нужди от финансиране на прехода по новаторски начи</w:t>
      </w:r>
      <w:r>
        <w:rPr>
          <w:rFonts w:ascii="Times New Roman" w:hAnsi="Times New Roman"/>
          <w:noProof/>
          <w:sz w:val="24"/>
        </w:rPr>
        <w:t>н. Освен това, в съответствие със заключенията на Съвета от декември 2019 г., Комисията ще изготвя и представя редовни оценки на екологичните и социално-икономическите последици от прехода към неутралност по отношение на климата и на съответните нужди от и</w:t>
      </w:r>
      <w:r>
        <w:rPr>
          <w:rFonts w:ascii="Times New Roman" w:hAnsi="Times New Roman"/>
          <w:noProof/>
          <w:sz w:val="24"/>
        </w:rPr>
        <w:t>нвестиции за справяне с тези последици, когато е необходимо.</w:t>
      </w:r>
    </w:p>
    <w:p w:rsidR="0059459F" w:rsidRDefault="0059459F">
      <w:pPr>
        <w:pStyle w:val="Heading1"/>
        <w:numPr>
          <w:ilvl w:val="0"/>
          <w:numId w:val="0"/>
        </w:numPr>
        <w:spacing w:before="240" w:after="240"/>
        <w:rPr>
          <w:noProof/>
          <w:lang w:val="en-GB"/>
        </w:rPr>
      </w:pPr>
    </w:p>
    <w:sectPr w:rsidR="0059459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09256" w16cid:durableId="21B9A69D"/>
  <w16cid:commentId w16cid:paraId="2F6115CB" w16cid:durableId="21BCB6C0"/>
  <w16cid:commentId w16cid:paraId="545AB71F" w16cid:durableId="21B9A69E"/>
  <w16cid:commentId w16cid:paraId="00BA931F" w16cid:durableId="21BCB6C2"/>
  <w16cid:commentId w16cid:paraId="3B4BCBD2" w16cid:durableId="21B9A6A0"/>
  <w16cid:commentId w16cid:paraId="2A171CD6" w16cid:durableId="21BCB6C4"/>
  <w16cid:commentId w16cid:paraId="65D7183F" w16cid:durableId="21B9A6A1"/>
  <w16cid:commentId w16cid:paraId="7F8FE4FB" w16cid:durableId="21BCB6C6"/>
  <w16cid:commentId w16cid:paraId="3C471C82" w16cid:durableId="21B9A6A4"/>
  <w16cid:commentId w16cid:paraId="060B63E1" w16cid:durableId="21BCB6C8"/>
  <w16cid:commentId w16cid:paraId="47279857" w16cid:durableId="21BCB6C9"/>
  <w16cid:commentId w16cid:paraId="796EC089" w16cid:durableId="21B9A6A5"/>
  <w16cid:commentId w16cid:paraId="6A2A2306" w16cid:durableId="21B9AECD"/>
  <w16cid:commentId w16cid:paraId="4A7B4016" w16cid:durableId="21B9A6A7"/>
  <w16cid:commentId w16cid:paraId="07E5B45A" w16cid:durableId="21B9AFAC"/>
  <w16cid:commentId w16cid:paraId="75566035" w16cid:durableId="21B9A6A8"/>
  <w16cid:commentId w16cid:paraId="1F82A162" w16cid:durableId="21B9B0A2"/>
  <w16cid:commentId w16cid:paraId="0DB5D7C1" w16cid:durableId="21B9A6A9"/>
  <w16cid:commentId w16cid:paraId="1422BC64" w16cid:durableId="21B9A6AA"/>
  <w16cid:commentId w16cid:paraId="69891D72" w16cid:durableId="21B9B2C3"/>
  <w16cid:commentId w16cid:paraId="0E057EDD" w16cid:durableId="21B9A6AF"/>
  <w16cid:commentId w16cid:paraId="03E08CFA" w16cid:durableId="21B9A6B0"/>
  <w16cid:commentId w16cid:paraId="588CF822" w16cid:durableId="21B9A6B1"/>
  <w16cid:commentId w16cid:paraId="33181BBA" w16cid:durableId="21B9A6B2"/>
  <w16cid:commentId w16cid:paraId="3EEC6D36" w16cid:durableId="21B9A6B3"/>
  <w16cid:commentId w16cid:paraId="0F2684C4" w16cid:durableId="21B9A6B4"/>
  <w16cid:commentId w16cid:paraId="53C00601" w16cid:durableId="21B9A6B5"/>
  <w16cid:commentId w16cid:paraId="08B3340D" w16cid:durableId="21B9A6B6"/>
  <w16cid:commentId w16cid:paraId="5DE08879" w16cid:durableId="21B9A6B7"/>
  <w16cid:commentId w16cid:paraId="17B591EF" w16cid:durableId="21B9A6B8"/>
  <w16cid:commentId w16cid:paraId="0C335760" w16cid:durableId="21B9A6B9"/>
  <w16cid:commentId w16cid:paraId="5E18B75B" w16cid:durableId="21B9A6BA"/>
  <w16cid:commentId w16cid:paraId="753F1125" w16cid:durableId="21B9A6BB"/>
  <w16cid:commentId w16cid:paraId="165AC57C" w16cid:durableId="21BCB6E0"/>
  <w16cid:commentId w16cid:paraId="0F81B8A6" w16cid:durableId="21B9A6BC"/>
  <w16cid:commentId w16cid:paraId="7E9563AF" w16cid:durableId="21B9A6BD"/>
  <w16cid:commentId w16cid:paraId="441E374C" w16cid:durableId="21B9A6BE"/>
  <w16cid:commentId w16cid:paraId="563C28DD" w16cid:durableId="21B9A6BF"/>
  <w16cid:commentId w16cid:paraId="5CF88059" w16cid:durableId="21B9A6C0"/>
  <w16cid:commentId w16cid:paraId="2AA44EEE" w16cid:durableId="21B9A6C1"/>
  <w16cid:commentId w16cid:paraId="389F579E" w16cid:durableId="21BCB6E7"/>
  <w16cid:commentId w16cid:paraId="05447D9E" w16cid:durableId="21BCB6E8"/>
  <w16cid:commentId w16cid:paraId="2A158B94" w16cid:durableId="21B9A6C2"/>
  <w16cid:commentId w16cid:paraId="4D436A17" w16cid:durableId="21B9A6C3"/>
  <w16cid:commentId w16cid:paraId="5B302290" w16cid:durableId="21B9B798"/>
  <w16cid:commentId w16cid:paraId="45E06A54" w16cid:durableId="21BCC7A8"/>
  <w16cid:commentId w16cid:paraId="5C2B2D4E" w16cid:durableId="21B9A6C4"/>
  <w16cid:commentId w16cid:paraId="7F75E3EC" w16cid:durableId="21B9A6C5"/>
  <w16cid:commentId w16cid:paraId="68B5C5B9" w16cid:durableId="21B9A6C6"/>
  <w16cid:commentId w16cid:paraId="206F471D" w16cid:durableId="21B9A6C7"/>
  <w16cid:commentId w16cid:paraId="6807F581" w16cid:durableId="21B9A6C8"/>
  <w16cid:commentId w16cid:paraId="6039A7B5" w16cid:durableId="21BCB6F1"/>
  <w16cid:commentId w16cid:paraId="1CFF2710" w16cid:durableId="21BCB68E"/>
  <w16cid:commentId w16cid:paraId="038A5C92" w16cid:durableId="21BCB68F"/>
  <w16cid:commentId w16cid:paraId="6E0DF2A7" w16cid:durableId="21BCB690"/>
  <w16cid:commentId w16cid:paraId="5ACDE2D1" w16cid:durableId="21BCB691"/>
  <w16cid:commentId w16cid:paraId="17D155B9" w16cid:durableId="21BCB692"/>
  <w16cid:commentId w16cid:paraId="54D25014" w16cid:durableId="21BCB693"/>
  <w16cid:commentId w16cid:paraId="14624B21" w16cid:durableId="21B9A6C9"/>
  <w16cid:commentId w16cid:paraId="19E8EEBB" w16cid:durableId="21B9A6CA"/>
  <w16cid:commentId w16cid:paraId="181B4930" w16cid:durableId="21B9A6CB"/>
  <w16cid:commentId w16cid:paraId="69D37453" w16cid:durableId="21B9A6CC"/>
  <w16cid:commentId w16cid:paraId="1AD6F53D" w16cid:durableId="21BCB6F6"/>
  <w16cid:commentId w16cid:paraId="702295B3" w16cid:durableId="21B9A6CD"/>
  <w16cid:commentId w16cid:paraId="4BBE1857" w16cid:durableId="21BCB6F8"/>
  <w16cid:commentId w16cid:paraId="79D5F666" w16cid:durableId="21B9A6CE"/>
  <w16cid:commentId w16cid:paraId="205AA95B" w16cid:durableId="21B9A6CF"/>
  <w16cid:commentId w16cid:paraId="3153A0FD" w16cid:durableId="21BCB6FC"/>
  <w16cid:commentId w16cid:paraId="08A33F76" w16cid:durableId="21B9A6D1"/>
  <w16cid:commentId w16cid:paraId="79C6481D" w16cid:durableId="21B9A6D2"/>
  <w16cid:commentId w16cid:paraId="46C96DDB" w16cid:durableId="21B9A6D3"/>
  <w16cid:commentId w16cid:paraId="0CFFCB87" w16cid:durableId="21BCB700"/>
  <w16cid:commentId w16cid:paraId="0AA4A3A7" w16cid:durableId="21BCB701"/>
  <w16cid:commentId w16cid:paraId="5ECBCDB1" w16cid:durableId="21B9A6D4"/>
  <w16cid:commentId w16cid:paraId="4B9EDE16" w16cid:durableId="21B9A6D5"/>
  <w16cid:commentId w16cid:paraId="1FDFEAED" w16cid:durableId="21B9A6D6"/>
  <w16cid:commentId w16cid:paraId="429FFCF2" w16cid:durableId="21BCB705"/>
  <w16cid:commentId w16cid:paraId="12589772" w16cid:durableId="21B9A6D7"/>
  <w16cid:commentId w16cid:paraId="1A4DE2AC" w16cid:durableId="21B9B4EE"/>
  <w16cid:commentId w16cid:paraId="314B182D" w16cid:durableId="21B9A6D8"/>
  <w16cid:commentId w16cid:paraId="28EB42ED" w16cid:durableId="21B9A6D9"/>
  <w16cid:commentId w16cid:paraId="50270AA1" w16cid:durableId="21B9B450"/>
  <w16cid:commentId w16cid:paraId="35EABBEA" w16cid:durableId="21B9A6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9F" w:rsidRDefault="00246BD0">
      <w:r>
        <w:separator/>
      </w:r>
    </w:p>
  </w:endnote>
  <w:endnote w:type="continuationSeparator" w:id="0">
    <w:p w:rsidR="0059459F" w:rsidRDefault="0024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Malgun Gothic Semi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246BD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246BD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246BD0">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rsidR="0059459F" w:rsidRDefault="0059459F">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246BD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9F" w:rsidRDefault="00246BD0">
      <w:r>
        <w:separator/>
      </w:r>
    </w:p>
  </w:footnote>
  <w:footnote w:type="continuationSeparator" w:id="0">
    <w:p w:rsidR="0059459F" w:rsidRDefault="00246BD0">
      <w:r>
        <w:continuationSeparator/>
      </w:r>
    </w:p>
  </w:footnote>
  <w:footnote w:id="1">
    <w:p w:rsidR="0059459F" w:rsidRDefault="00246BD0">
      <w:pPr>
        <w:pStyle w:val="FootnoteText"/>
      </w:pPr>
      <w:r>
        <w:rPr>
          <w:rStyle w:val="FootnoteReference"/>
        </w:rPr>
        <w:footnoteRef/>
      </w:r>
      <w:r>
        <w:tab/>
        <w:t xml:space="preserve">Основните цели за 2030 г. са: Намаляване на емисиите на парникови газове с най-малко 40 % (спрямо </w:t>
      </w:r>
      <w:r>
        <w:t>равнищата от 1990 г.), дял на енергията от възобновяеми източници от най-малко 32 % и подобряване на енергийната ефективност с най-малко 32,5 %.</w:t>
      </w:r>
    </w:p>
  </w:footnote>
  <w:footnote w:id="2">
    <w:p w:rsidR="0059459F" w:rsidRDefault="00246BD0">
      <w:pPr>
        <w:pStyle w:val="FootnoteText"/>
      </w:pPr>
      <w:r>
        <w:rPr>
          <w:rStyle w:val="FootnoteReference"/>
        </w:rPr>
        <w:footnoteRef/>
      </w:r>
      <w:r>
        <w:tab/>
        <w:t xml:space="preserve">В сравнение с базов сценарий — </w:t>
      </w:r>
      <w:r>
        <w:rPr>
          <w:i/>
        </w:rPr>
        <w:t xml:space="preserve">Съобщение „За обединени за действия в областта на Енергийния съюз и климата – </w:t>
      </w:r>
      <w:r>
        <w:rPr>
          <w:i/>
        </w:rPr>
        <w:t>Да положим основите за успешен преход към чиста енергия“</w:t>
      </w:r>
      <w:r>
        <w:t xml:space="preserve">, (COM (2019) 285). </w:t>
      </w:r>
    </w:p>
  </w:footnote>
  <w:footnote w:id="3">
    <w:p w:rsidR="0059459F" w:rsidRDefault="00246BD0">
      <w:pPr>
        <w:pStyle w:val="FootnoteText"/>
      </w:pPr>
      <w:r>
        <w:rPr>
          <w:rStyle w:val="FootnoteReference"/>
        </w:rPr>
        <w:footnoteRef/>
      </w:r>
      <w:r>
        <w:tab/>
        <w:t>Комисията счита, че отвъд мерките, свързани с климата, общият недостиг на инвестиции по отношение на устойчивостта на околната среда е между 100 и 150 милиарда евро годишно, вкл</w:t>
      </w:r>
      <w:r>
        <w:t>ючително опазването на околната среда и управлението на ресурсите. Що се отнася до социалните инвестиции, по преценка на работната група на високо равнище относно инвестициите в социална инфраструктура ще са необходими допълнителни 142 милиарда евро годишн</w:t>
      </w:r>
      <w:r>
        <w:t>о за достъпно жилищно настаняване, здравеопазване и дългосрочни грижи, образование и обучение през целия живот. Тези инвестиции не отговарят изключително на разходите за подпомагане на зеления преход.</w:t>
      </w:r>
    </w:p>
  </w:footnote>
  <w:footnote w:id="4">
    <w:p w:rsidR="0059459F" w:rsidRDefault="00246BD0">
      <w:pPr>
        <w:pStyle w:val="FootnoteText"/>
      </w:pPr>
      <w:r>
        <w:rPr>
          <w:rStyle w:val="FootnoteReference"/>
        </w:rPr>
        <w:footnoteRef/>
      </w:r>
      <w:r>
        <w:tab/>
        <w:t>В сравнение с базовия сценарий — COM (2019) 285.</w:t>
      </w:r>
    </w:p>
  </w:footnote>
  <w:footnote w:id="5">
    <w:p w:rsidR="0059459F" w:rsidRDefault="00246BD0">
      <w:pPr>
        <w:pStyle w:val="FootnoteText"/>
      </w:pPr>
      <w:r>
        <w:rPr>
          <w:rStyle w:val="FootnoteReference"/>
        </w:rPr>
        <w:footnoteRef/>
      </w:r>
      <w:r>
        <w:tab/>
        <w:t>Що</w:t>
      </w:r>
      <w:r>
        <w:t xml:space="preserve"> се отнася до транспорта, данните включват общите разходи за инвестиции в мобилни активи, но не и инвестиции в инфраструктура и в системи, улесняващи споделянето на превозни средства и др. Числата не включват актуализираните допускания за технологичните ра</w:t>
      </w:r>
      <w:r>
        <w:t>зходи, използвани при дългосрочната стратегия.</w:t>
      </w:r>
    </w:p>
  </w:footnote>
  <w:footnote w:id="6">
    <w:p w:rsidR="0059459F" w:rsidRDefault="00246BD0">
      <w:pPr>
        <w:pStyle w:val="FootnoteText"/>
        <w:spacing w:after="120"/>
      </w:pPr>
      <w:r>
        <w:rPr>
          <w:rStyle w:val="FootnoteReference"/>
        </w:rPr>
        <w:footnoteRef/>
      </w:r>
      <w:r>
        <w:tab/>
        <w:t>Следва да се счита, че това са консервативни оценки. Поради текущата липса на данни не са включени важни нужди от инвестиции в областта на селското стопанство или адаптирането към изменението на климата, или</w:t>
      </w:r>
      <w:r>
        <w:t xml:space="preserve"> опазването и възстановяването на екосистемите и биологичното разнообразие..</w:t>
      </w:r>
    </w:p>
  </w:footnote>
  <w:footnote w:id="7">
    <w:p w:rsidR="0059459F" w:rsidRDefault="00246BD0">
      <w:pPr>
        <w:ind w:left="357" w:hanging="357"/>
        <w:jc w:val="both"/>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Прогнозните числа са просто екстраполиране за 10 години на предложението на Комисията за многогодишната финансова рамка за периода 2021—2027 г., без да се засяга бъдещата </w:t>
      </w:r>
      <w:r>
        <w:rPr>
          <w:rFonts w:ascii="Times New Roman" w:hAnsi="Times New Roman"/>
          <w:sz w:val="20"/>
          <w:szCs w:val="20"/>
        </w:rPr>
        <w:t>многогодишна финансова рамка (МФР), като се приема, че амбицията в областта на климата ще бъде поне запазена.</w:t>
      </w:r>
    </w:p>
  </w:footnote>
  <w:footnote w:id="8">
    <w:p w:rsidR="0059459F" w:rsidRDefault="00246BD0">
      <w:pPr>
        <w:pStyle w:val="FootnoteText"/>
      </w:pPr>
      <w:r>
        <w:rPr>
          <w:rStyle w:val="FootnoteReference"/>
        </w:rPr>
        <w:footnoteRef/>
      </w:r>
      <w:r>
        <w:tab/>
        <w:t>Европейски земеделски фонд за развитие на селските райони, Европейски фонд за гарантиране на земеделието, Европейски фонд за регионално развитие</w:t>
      </w:r>
      <w:r>
        <w:t>, Кохезионен фонд, „Хоризонт Европа“ и Life.</w:t>
      </w:r>
    </w:p>
  </w:footnote>
  <w:footnote w:id="9">
    <w:p w:rsidR="0059459F" w:rsidRDefault="00246BD0">
      <w:pPr>
        <w:pStyle w:val="FootnoteText"/>
      </w:pPr>
      <w:r>
        <w:rPr>
          <w:rStyle w:val="FootnoteReference"/>
        </w:rPr>
        <w:footnoteRef/>
      </w:r>
      <w:r>
        <w:t xml:space="preserve"> </w:t>
      </w:r>
      <w:r>
        <w:tab/>
        <w:t>COM(2018) 97 final.</w:t>
      </w:r>
    </w:p>
  </w:footnote>
  <w:footnote w:id="10">
    <w:p w:rsidR="0059459F" w:rsidRDefault="00246BD0">
      <w:pPr>
        <w:pStyle w:val="FootnoteText"/>
      </w:pPr>
      <w:r>
        <w:rPr>
          <w:rStyle w:val="FootnoteReference"/>
        </w:rPr>
        <w:footnoteRef/>
      </w:r>
      <w:r>
        <w:t xml:space="preserve"> </w:t>
      </w:r>
      <w:r>
        <w:tab/>
        <w:t>COM(2019) 456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
      <w:rPr>
        <w:rFonts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
      <w:rPr>
        <w:rFonts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9F" w:rsidRDefault="0059459F">
    <w:pPr>
      <w:pStyle w:val="Header"/>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3A3"/>
    <w:multiLevelType w:val="hybridMultilevel"/>
    <w:tmpl w:val="C974F85E"/>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hybridMultilevel"/>
    <w:tmpl w:val="597BFC26"/>
    <w:lvl w:ilvl="0" w:tplc="2466D176">
      <w:numFmt w:val="bullet"/>
      <w:lvlText w:val="-"/>
      <w:lvlJc w:val="left"/>
      <w:pPr>
        <w:ind w:left="720" w:hanging="360"/>
        <w:jc w:val="both"/>
      </w:pPr>
      <w:rPr>
        <w:rFonts w:ascii="Calibri" w:eastAsia="Calibri" w:hAnsi="Calibri"/>
        <w:w w:val="100"/>
        <w:sz w:val="20"/>
        <w:szCs w:val="20"/>
        <w:shd w:val="clear" w:color="000000" w:fill="auto"/>
      </w:rPr>
    </w:lvl>
    <w:lvl w:ilvl="1" w:tplc="258012A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CB66B7B4">
      <w:start w:val="1"/>
      <w:numFmt w:val="bullet"/>
      <w:lvlText w:val="§"/>
      <w:lvlJc w:val="left"/>
      <w:pPr>
        <w:ind w:left="2160" w:hanging="360"/>
        <w:jc w:val="both"/>
      </w:pPr>
      <w:rPr>
        <w:rFonts w:ascii="Wingdings" w:eastAsia="Wingdings" w:hAnsi="Wingdings"/>
        <w:w w:val="100"/>
        <w:sz w:val="20"/>
        <w:szCs w:val="20"/>
        <w:shd w:val="clear" w:color="auto" w:fill="auto"/>
      </w:rPr>
    </w:lvl>
    <w:lvl w:ilvl="3" w:tplc="FBF2FEF4">
      <w:start w:val="1"/>
      <w:numFmt w:val="bullet"/>
      <w:lvlText w:val="·"/>
      <w:lvlJc w:val="left"/>
      <w:pPr>
        <w:ind w:left="2880" w:hanging="360"/>
        <w:jc w:val="both"/>
      </w:pPr>
      <w:rPr>
        <w:rFonts w:ascii="Symbol" w:eastAsia="Symbol" w:hAnsi="Symbol"/>
        <w:w w:val="100"/>
        <w:sz w:val="20"/>
        <w:szCs w:val="20"/>
        <w:shd w:val="clear" w:color="auto" w:fill="auto"/>
      </w:rPr>
    </w:lvl>
    <w:lvl w:ilvl="4" w:tplc="A2844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B864592">
      <w:start w:val="1"/>
      <w:numFmt w:val="bullet"/>
      <w:lvlText w:val="§"/>
      <w:lvlJc w:val="left"/>
      <w:pPr>
        <w:ind w:left="4320" w:hanging="360"/>
        <w:jc w:val="both"/>
      </w:pPr>
      <w:rPr>
        <w:rFonts w:ascii="Wingdings" w:eastAsia="Wingdings" w:hAnsi="Wingdings"/>
        <w:w w:val="100"/>
        <w:sz w:val="20"/>
        <w:szCs w:val="20"/>
        <w:shd w:val="clear" w:color="auto" w:fill="auto"/>
      </w:rPr>
    </w:lvl>
    <w:lvl w:ilvl="6" w:tplc="50762EAA">
      <w:start w:val="1"/>
      <w:numFmt w:val="bullet"/>
      <w:lvlText w:val="·"/>
      <w:lvlJc w:val="left"/>
      <w:pPr>
        <w:ind w:left="5040" w:hanging="360"/>
        <w:jc w:val="both"/>
      </w:pPr>
      <w:rPr>
        <w:rFonts w:ascii="Symbol" w:eastAsia="Symbol" w:hAnsi="Symbol"/>
        <w:w w:val="100"/>
        <w:sz w:val="20"/>
        <w:szCs w:val="20"/>
        <w:shd w:val="clear" w:color="auto" w:fill="auto"/>
      </w:rPr>
    </w:lvl>
    <w:lvl w:ilvl="7" w:tplc="7F08B7D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D6AD5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15:restartNumberingAfterBreak="0">
    <w:nsid w:val="2F000001"/>
    <w:multiLevelType w:val="hybridMultilevel"/>
    <w:tmpl w:val="40E7619C"/>
    <w:lvl w:ilvl="0" w:tplc="24B46E1A">
      <w:start w:val="1"/>
      <w:numFmt w:val="bullet"/>
      <w:lvlText w:val="·"/>
      <w:lvlJc w:val="left"/>
      <w:pPr>
        <w:ind w:left="720" w:hanging="360"/>
        <w:jc w:val="both"/>
      </w:pPr>
      <w:rPr>
        <w:rFonts w:ascii="Symbol" w:eastAsia="Symbol" w:hAnsi="Symbol"/>
        <w:w w:val="100"/>
        <w:sz w:val="20"/>
        <w:szCs w:val="20"/>
        <w:shd w:val="clear" w:color="auto" w:fill="auto"/>
      </w:rPr>
    </w:lvl>
    <w:lvl w:ilvl="1" w:tplc="7BBAF63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1B86A5E">
      <w:start w:val="1"/>
      <w:numFmt w:val="bullet"/>
      <w:lvlText w:val="§"/>
      <w:lvlJc w:val="left"/>
      <w:pPr>
        <w:ind w:left="2160" w:hanging="360"/>
        <w:jc w:val="both"/>
      </w:pPr>
      <w:rPr>
        <w:rFonts w:ascii="Wingdings" w:eastAsia="Wingdings" w:hAnsi="Wingdings"/>
        <w:w w:val="100"/>
        <w:sz w:val="20"/>
        <w:szCs w:val="20"/>
        <w:shd w:val="clear" w:color="auto" w:fill="auto"/>
      </w:rPr>
    </w:lvl>
    <w:lvl w:ilvl="3" w:tplc="035AFBC2">
      <w:start w:val="1"/>
      <w:numFmt w:val="bullet"/>
      <w:lvlText w:val="·"/>
      <w:lvlJc w:val="left"/>
      <w:pPr>
        <w:ind w:left="2880" w:hanging="360"/>
        <w:jc w:val="both"/>
      </w:pPr>
      <w:rPr>
        <w:rFonts w:ascii="Symbol" w:eastAsia="Symbol" w:hAnsi="Symbol"/>
        <w:w w:val="100"/>
        <w:sz w:val="20"/>
        <w:szCs w:val="20"/>
        <w:shd w:val="clear" w:color="auto" w:fill="auto"/>
      </w:rPr>
    </w:lvl>
    <w:lvl w:ilvl="4" w:tplc="C98EFCC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68C6CE6">
      <w:start w:val="1"/>
      <w:numFmt w:val="bullet"/>
      <w:lvlText w:val="§"/>
      <w:lvlJc w:val="left"/>
      <w:pPr>
        <w:ind w:left="4320" w:hanging="360"/>
        <w:jc w:val="both"/>
      </w:pPr>
      <w:rPr>
        <w:rFonts w:ascii="Wingdings" w:eastAsia="Wingdings" w:hAnsi="Wingdings"/>
        <w:w w:val="100"/>
        <w:sz w:val="20"/>
        <w:szCs w:val="20"/>
        <w:shd w:val="clear" w:color="auto" w:fill="auto"/>
      </w:rPr>
    </w:lvl>
    <w:lvl w:ilvl="6" w:tplc="46048992">
      <w:start w:val="1"/>
      <w:numFmt w:val="bullet"/>
      <w:lvlText w:val="·"/>
      <w:lvlJc w:val="left"/>
      <w:pPr>
        <w:ind w:left="5040" w:hanging="360"/>
        <w:jc w:val="both"/>
      </w:pPr>
      <w:rPr>
        <w:rFonts w:ascii="Symbol" w:eastAsia="Symbol" w:hAnsi="Symbol"/>
        <w:w w:val="100"/>
        <w:sz w:val="20"/>
        <w:szCs w:val="20"/>
        <w:shd w:val="clear" w:color="auto" w:fill="auto"/>
      </w:rPr>
    </w:lvl>
    <w:lvl w:ilvl="7" w:tplc="3724A9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200C97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 w15:restartNumberingAfterBreak="0">
    <w:nsid w:val="2F000002"/>
    <w:multiLevelType w:val="hybridMultilevel"/>
    <w:tmpl w:val="3CB97AFB"/>
    <w:lvl w:ilvl="0" w:tplc="F642EB88">
      <w:start w:val="1"/>
      <w:numFmt w:val="bullet"/>
      <w:lvlText w:val="•"/>
      <w:lvlJc w:val="left"/>
    </w:lvl>
    <w:lvl w:ilvl="1" w:tplc="7748AB10">
      <w:numFmt w:val="decimal"/>
      <w:lvlText w:val=""/>
      <w:lvlJc w:val="left"/>
    </w:lvl>
    <w:lvl w:ilvl="2" w:tplc="2F4E34F0">
      <w:numFmt w:val="decimal"/>
      <w:lvlText w:val=""/>
      <w:lvlJc w:val="left"/>
    </w:lvl>
    <w:lvl w:ilvl="3" w:tplc="394457E2">
      <w:numFmt w:val="decimal"/>
      <w:lvlText w:val=""/>
      <w:lvlJc w:val="left"/>
    </w:lvl>
    <w:lvl w:ilvl="4" w:tplc="0CAA3A60">
      <w:numFmt w:val="decimal"/>
      <w:lvlText w:val=""/>
      <w:lvlJc w:val="left"/>
    </w:lvl>
    <w:lvl w:ilvl="5" w:tplc="0016C4FE">
      <w:numFmt w:val="decimal"/>
      <w:lvlText w:val=""/>
      <w:lvlJc w:val="left"/>
    </w:lvl>
    <w:lvl w:ilvl="6" w:tplc="ECAAF950">
      <w:numFmt w:val="decimal"/>
      <w:lvlText w:val=""/>
      <w:lvlJc w:val="left"/>
    </w:lvl>
    <w:lvl w:ilvl="7" w:tplc="F6AE1884">
      <w:numFmt w:val="decimal"/>
      <w:lvlText w:val=""/>
      <w:lvlJc w:val="left"/>
    </w:lvl>
    <w:lvl w:ilvl="8" w:tplc="F478253E">
      <w:numFmt w:val="decimal"/>
      <w:lvlText w:val=""/>
      <w:lvlJc w:val="left"/>
    </w:lvl>
  </w:abstractNum>
  <w:abstractNum w:abstractNumId="4" w15:restartNumberingAfterBreak="0">
    <w:nsid w:val="2F000003"/>
    <w:multiLevelType w:val="hybridMultilevel"/>
    <w:tmpl w:val="5B3903FB"/>
    <w:lvl w:ilvl="0" w:tplc="368CE872">
      <w:start w:val="1"/>
      <w:numFmt w:val="bullet"/>
      <w:lvlText w:val="Ø"/>
      <w:lvlJc w:val="left"/>
      <w:pPr>
        <w:tabs>
          <w:tab w:val="left" w:pos="0"/>
        </w:tabs>
        <w:ind w:left="720" w:hanging="360"/>
        <w:jc w:val="both"/>
      </w:pPr>
      <w:rPr>
        <w:rFonts w:ascii="Wingdings" w:eastAsia="Wingdings" w:hAnsi="Wingdings"/>
        <w:w w:val="100"/>
        <w:sz w:val="20"/>
        <w:szCs w:val="20"/>
        <w:shd w:val="clear" w:color="000000" w:fill="auto"/>
      </w:rPr>
    </w:lvl>
    <w:lvl w:ilvl="1" w:tplc="097C410A">
      <w:start w:val="1"/>
      <w:numFmt w:val="bullet"/>
      <w:lvlText w:val="o"/>
      <w:lvlJc w:val="left"/>
      <w:pPr>
        <w:tabs>
          <w:tab w:val="left" w:pos="0"/>
        </w:tabs>
        <w:ind w:left="1440" w:hanging="360"/>
        <w:jc w:val="both"/>
      </w:pPr>
      <w:rPr>
        <w:rFonts w:ascii="Courier New" w:eastAsia="Courier New" w:hAnsi="Courier New"/>
        <w:w w:val="100"/>
        <w:sz w:val="20"/>
        <w:szCs w:val="20"/>
        <w:shd w:val="clear" w:color="000000" w:fill="auto"/>
      </w:rPr>
    </w:lvl>
    <w:lvl w:ilvl="2" w:tplc="9E385798">
      <w:start w:val="1"/>
      <w:numFmt w:val="bullet"/>
      <w:lvlText w:val="§"/>
      <w:lvlJc w:val="left"/>
      <w:pPr>
        <w:tabs>
          <w:tab w:val="left" w:pos="0"/>
        </w:tabs>
        <w:ind w:left="2160" w:hanging="360"/>
        <w:jc w:val="both"/>
      </w:pPr>
      <w:rPr>
        <w:rFonts w:ascii="Wingdings" w:eastAsia="Wingdings" w:hAnsi="Wingdings"/>
        <w:w w:val="100"/>
        <w:sz w:val="20"/>
        <w:szCs w:val="20"/>
        <w:shd w:val="clear" w:color="000000" w:fill="auto"/>
      </w:rPr>
    </w:lvl>
    <w:lvl w:ilvl="3" w:tplc="F530CBF4">
      <w:start w:val="1"/>
      <w:numFmt w:val="bullet"/>
      <w:lvlText w:val="·"/>
      <w:lvlJc w:val="left"/>
      <w:pPr>
        <w:tabs>
          <w:tab w:val="left" w:pos="0"/>
        </w:tabs>
        <w:ind w:left="2880" w:hanging="360"/>
        <w:jc w:val="both"/>
      </w:pPr>
      <w:rPr>
        <w:rFonts w:ascii="Symbol" w:eastAsia="Symbol" w:hAnsi="Symbol"/>
        <w:w w:val="100"/>
        <w:sz w:val="20"/>
        <w:szCs w:val="20"/>
        <w:shd w:val="clear" w:color="000000" w:fill="auto"/>
      </w:rPr>
    </w:lvl>
    <w:lvl w:ilvl="4" w:tplc="ECEEE962">
      <w:start w:val="1"/>
      <w:numFmt w:val="bullet"/>
      <w:lvlText w:val="o"/>
      <w:lvlJc w:val="left"/>
      <w:pPr>
        <w:tabs>
          <w:tab w:val="left" w:pos="0"/>
        </w:tabs>
        <w:ind w:left="3600" w:hanging="360"/>
        <w:jc w:val="both"/>
      </w:pPr>
      <w:rPr>
        <w:rFonts w:ascii="Courier New" w:eastAsia="Courier New" w:hAnsi="Courier New"/>
        <w:w w:val="100"/>
        <w:sz w:val="20"/>
        <w:szCs w:val="20"/>
        <w:shd w:val="clear" w:color="000000" w:fill="auto"/>
      </w:rPr>
    </w:lvl>
    <w:lvl w:ilvl="5" w:tplc="F90E3AA4">
      <w:start w:val="1"/>
      <w:numFmt w:val="bullet"/>
      <w:lvlText w:val="§"/>
      <w:lvlJc w:val="left"/>
      <w:pPr>
        <w:tabs>
          <w:tab w:val="left" w:pos="0"/>
        </w:tabs>
        <w:ind w:left="4320" w:hanging="360"/>
        <w:jc w:val="both"/>
      </w:pPr>
      <w:rPr>
        <w:rFonts w:ascii="Wingdings" w:eastAsia="Wingdings" w:hAnsi="Wingdings"/>
        <w:w w:val="100"/>
        <w:sz w:val="20"/>
        <w:szCs w:val="20"/>
        <w:shd w:val="clear" w:color="000000" w:fill="auto"/>
      </w:rPr>
    </w:lvl>
    <w:lvl w:ilvl="6" w:tplc="EFFAD57E">
      <w:start w:val="1"/>
      <w:numFmt w:val="bullet"/>
      <w:lvlText w:val="·"/>
      <w:lvlJc w:val="left"/>
      <w:pPr>
        <w:tabs>
          <w:tab w:val="left" w:pos="0"/>
        </w:tabs>
        <w:ind w:left="5040" w:hanging="360"/>
        <w:jc w:val="both"/>
      </w:pPr>
      <w:rPr>
        <w:rFonts w:ascii="Symbol" w:eastAsia="Symbol" w:hAnsi="Symbol"/>
        <w:w w:val="100"/>
        <w:sz w:val="20"/>
        <w:szCs w:val="20"/>
        <w:shd w:val="clear" w:color="000000" w:fill="auto"/>
      </w:rPr>
    </w:lvl>
    <w:lvl w:ilvl="7" w:tplc="EFEE388C">
      <w:start w:val="1"/>
      <w:numFmt w:val="bullet"/>
      <w:lvlText w:val="o"/>
      <w:lvlJc w:val="left"/>
      <w:pPr>
        <w:tabs>
          <w:tab w:val="left" w:pos="0"/>
        </w:tabs>
        <w:ind w:left="5760" w:hanging="360"/>
        <w:jc w:val="both"/>
      </w:pPr>
      <w:rPr>
        <w:rFonts w:ascii="Courier New" w:eastAsia="Courier New" w:hAnsi="Courier New"/>
        <w:w w:val="100"/>
        <w:sz w:val="20"/>
        <w:szCs w:val="20"/>
        <w:shd w:val="clear" w:color="000000" w:fill="auto"/>
      </w:rPr>
    </w:lvl>
    <w:lvl w:ilvl="8" w:tplc="BD04F90E">
      <w:start w:val="1"/>
      <w:numFmt w:val="bullet"/>
      <w:lvlText w:val="§"/>
      <w:lvlJc w:val="left"/>
      <w:pPr>
        <w:tabs>
          <w:tab w:val="left" w:pos="0"/>
        </w:tabs>
        <w:ind w:left="6480" w:hanging="360"/>
        <w:jc w:val="both"/>
      </w:pPr>
      <w:rPr>
        <w:rFonts w:ascii="Wingdings" w:eastAsia="Wingdings" w:hAnsi="Wingdings"/>
        <w:w w:val="100"/>
        <w:sz w:val="20"/>
        <w:szCs w:val="20"/>
        <w:shd w:val="clear" w:color="000000" w:fill="auto"/>
      </w:rPr>
    </w:lvl>
  </w:abstractNum>
  <w:abstractNum w:abstractNumId="5" w15:restartNumberingAfterBreak="0">
    <w:nsid w:val="2F000004"/>
    <w:multiLevelType w:val="hybridMultilevel"/>
    <w:tmpl w:val="22349374"/>
    <w:lvl w:ilvl="0" w:tplc="60E247DE">
      <w:start w:val="1"/>
      <w:numFmt w:val="bullet"/>
      <w:lvlText w:val="·"/>
      <w:lvlJc w:val="left"/>
      <w:pPr>
        <w:ind w:left="720" w:hanging="360"/>
        <w:jc w:val="both"/>
      </w:pPr>
      <w:rPr>
        <w:rFonts w:ascii="Symbol" w:eastAsia="Symbol" w:hAnsi="Symbol"/>
        <w:w w:val="100"/>
        <w:sz w:val="20"/>
        <w:szCs w:val="20"/>
        <w:shd w:val="clear" w:color="000000" w:fill="auto"/>
      </w:rPr>
    </w:lvl>
    <w:lvl w:ilvl="1" w:tplc="9404ED2E">
      <w:start w:val="1"/>
      <w:numFmt w:val="bullet"/>
      <w:lvlText w:val="·"/>
      <w:lvlJc w:val="left"/>
      <w:pPr>
        <w:ind w:left="1440" w:hanging="360"/>
        <w:jc w:val="both"/>
      </w:pPr>
      <w:rPr>
        <w:rFonts w:ascii="Symbol" w:eastAsia="Symbol" w:hAnsi="Symbol"/>
        <w:w w:val="100"/>
        <w:sz w:val="20"/>
        <w:szCs w:val="20"/>
        <w:shd w:val="clear" w:color="000000" w:fill="auto"/>
      </w:rPr>
    </w:lvl>
    <w:lvl w:ilvl="2" w:tplc="8FEA6DB6">
      <w:start w:val="1"/>
      <w:numFmt w:val="lowerRoman"/>
      <w:lvlText w:val="%3."/>
      <w:lvlJc w:val="right"/>
      <w:pPr>
        <w:ind w:left="2160" w:hanging="180"/>
        <w:jc w:val="both"/>
      </w:pPr>
    </w:lvl>
    <w:lvl w:ilvl="3" w:tplc="672A3E78">
      <w:start w:val="1"/>
      <w:numFmt w:val="decimal"/>
      <w:lvlText w:val="%4."/>
      <w:lvlJc w:val="left"/>
      <w:pPr>
        <w:ind w:left="2880" w:hanging="360"/>
        <w:jc w:val="both"/>
      </w:pPr>
    </w:lvl>
    <w:lvl w:ilvl="4" w:tplc="FEB85FD4">
      <w:start w:val="1"/>
      <w:numFmt w:val="lowerLetter"/>
      <w:lvlText w:val="%5."/>
      <w:lvlJc w:val="left"/>
      <w:pPr>
        <w:ind w:left="3600" w:hanging="360"/>
        <w:jc w:val="both"/>
      </w:pPr>
    </w:lvl>
    <w:lvl w:ilvl="5" w:tplc="AF96A514">
      <w:start w:val="1"/>
      <w:numFmt w:val="lowerRoman"/>
      <w:lvlText w:val="%6."/>
      <w:lvlJc w:val="right"/>
      <w:pPr>
        <w:ind w:left="4320" w:hanging="180"/>
        <w:jc w:val="both"/>
      </w:pPr>
    </w:lvl>
    <w:lvl w:ilvl="6" w:tplc="6CC092C0">
      <w:start w:val="1"/>
      <w:numFmt w:val="decimal"/>
      <w:lvlText w:val="%7."/>
      <w:lvlJc w:val="left"/>
      <w:pPr>
        <w:ind w:left="5040" w:hanging="360"/>
        <w:jc w:val="both"/>
      </w:pPr>
    </w:lvl>
    <w:lvl w:ilvl="7" w:tplc="6B96EF00">
      <w:start w:val="1"/>
      <w:numFmt w:val="lowerLetter"/>
      <w:lvlText w:val="%8."/>
      <w:lvlJc w:val="left"/>
      <w:pPr>
        <w:ind w:left="5760" w:hanging="360"/>
        <w:jc w:val="both"/>
      </w:pPr>
    </w:lvl>
    <w:lvl w:ilvl="8" w:tplc="8070B45E">
      <w:start w:val="1"/>
      <w:numFmt w:val="lowerRoman"/>
      <w:lvlText w:val="%9."/>
      <w:lvlJc w:val="right"/>
      <w:pPr>
        <w:ind w:left="6480" w:hanging="180"/>
        <w:jc w:val="both"/>
      </w:pPr>
    </w:lvl>
  </w:abstractNum>
  <w:abstractNum w:abstractNumId="6" w15:restartNumberingAfterBreak="0">
    <w:nsid w:val="2F000005"/>
    <w:multiLevelType w:val="hybridMultilevel"/>
    <w:tmpl w:val="4FBCA650"/>
    <w:lvl w:ilvl="0" w:tplc="BC468328">
      <w:start w:val="1"/>
      <w:numFmt w:val="bullet"/>
      <w:lvlText w:val="·"/>
      <w:lvlJc w:val="left"/>
      <w:pPr>
        <w:ind w:left="720" w:hanging="360"/>
        <w:jc w:val="both"/>
      </w:pPr>
      <w:rPr>
        <w:rFonts w:ascii="Symbol" w:eastAsia="Symbol" w:hAnsi="Symbol"/>
        <w:w w:val="100"/>
        <w:sz w:val="20"/>
        <w:szCs w:val="20"/>
        <w:shd w:val="clear" w:color="000000" w:fill="auto"/>
      </w:rPr>
    </w:lvl>
    <w:lvl w:ilvl="1" w:tplc="374A648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A8C87632">
      <w:start w:val="1"/>
      <w:numFmt w:val="bullet"/>
      <w:lvlText w:val="§"/>
      <w:lvlJc w:val="left"/>
      <w:pPr>
        <w:ind w:left="2160" w:hanging="360"/>
        <w:jc w:val="both"/>
      </w:pPr>
      <w:rPr>
        <w:rFonts w:ascii="Wingdings" w:eastAsia="Wingdings" w:hAnsi="Wingdings"/>
        <w:w w:val="100"/>
        <w:sz w:val="20"/>
        <w:szCs w:val="20"/>
        <w:shd w:val="clear" w:color="000000" w:fill="auto"/>
      </w:rPr>
    </w:lvl>
    <w:lvl w:ilvl="3" w:tplc="E1CCD14A">
      <w:start w:val="1"/>
      <w:numFmt w:val="bullet"/>
      <w:lvlText w:val="·"/>
      <w:lvlJc w:val="left"/>
      <w:pPr>
        <w:ind w:left="2880" w:hanging="360"/>
        <w:jc w:val="both"/>
      </w:pPr>
      <w:rPr>
        <w:rFonts w:ascii="Symbol" w:eastAsia="Symbol" w:hAnsi="Symbol"/>
        <w:w w:val="100"/>
        <w:sz w:val="20"/>
        <w:szCs w:val="20"/>
        <w:shd w:val="clear" w:color="000000" w:fill="auto"/>
      </w:rPr>
    </w:lvl>
    <w:lvl w:ilvl="4" w:tplc="91C0ED9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34DAD930">
      <w:start w:val="1"/>
      <w:numFmt w:val="bullet"/>
      <w:lvlText w:val="§"/>
      <w:lvlJc w:val="left"/>
      <w:pPr>
        <w:ind w:left="4320" w:hanging="360"/>
        <w:jc w:val="both"/>
      </w:pPr>
      <w:rPr>
        <w:rFonts w:ascii="Wingdings" w:eastAsia="Wingdings" w:hAnsi="Wingdings"/>
        <w:w w:val="100"/>
        <w:sz w:val="20"/>
        <w:szCs w:val="20"/>
        <w:shd w:val="clear" w:color="000000" w:fill="auto"/>
      </w:rPr>
    </w:lvl>
    <w:lvl w:ilvl="6" w:tplc="C780F104">
      <w:start w:val="1"/>
      <w:numFmt w:val="bullet"/>
      <w:lvlText w:val="·"/>
      <w:lvlJc w:val="left"/>
      <w:pPr>
        <w:ind w:left="5040" w:hanging="360"/>
        <w:jc w:val="both"/>
      </w:pPr>
      <w:rPr>
        <w:rFonts w:ascii="Symbol" w:eastAsia="Symbol" w:hAnsi="Symbol"/>
        <w:w w:val="100"/>
        <w:sz w:val="20"/>
        <w:szCs w:val="20"/>
        <w:shd w:val="clear" w:color="000000" w:fill="auto"/>
      </w:rPr>
    </w:lvl>
    <w:lvl w:ilvl="7" w:tplc="BB7E6456">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434625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7" w15:restartNumberingAfterBreak="0">
    <w:nsid w:val="2F000006"/>
    <w:multiLevelType w:val="hybridMultilevel"/>
    <w:tmpl w:val="504B0802"/>
    <w:lvl w:ilvl="0" w:tplc="9808D722">
      <w:numFmt w:val="bullet"/>
      <w:lvlText w:val="-"/>
      <w:lvlJc w:val="left"/>
      <w:pPr>
        <w:ind w:left="360" w:hanging="360"/>
        <w:jc w:val="both"/>
      </w:pPr>
      <w:rPr>
        <w:rFonts w:ascii="Calibri" w:eastAsia="Calibri" w:hAnsi="Calibri"/>
        <w:w w:val="100"/>
        <w:sz w:val="20"/>
        <w:szCs w:val="20"/>
        <w:shd w:val="clear" w:color="000000" w:fill="auto"/>
      </w:rPr>
    </w:lvl>
    <w:lvl w:ilvl="1" w:tplc="E2BE3780">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A6C2EED6">
      <w:start w:val="1"/>
      <w:numFmt w:val="bullet"/>
      <w:lvlText w:val="§"/>
      <w:lvlJc w:val="left"/>
      <w:pPr>
        <w:ind w:left="1800" w:hanging="360"/>
        <w:jc w:val="both"/>
      </w:pPr>
      <w:rPr>
        <w:rFonts w:ascii="Wingdings" w:eastAsia="Wingdings" w:hAnsi="Wingdings"/>
        <w:w w:val="100"/>
        <w:sz w:val="20"/>
        <w:szCs w:val="20"/>
        <w:shd w:val="clear" w:color="000000" w:fill="auto"/>
      </w:rPr>
    </w:lvl>
    <w:lvl w:ilvl="3" w:tplc="45043716">
      <w:start w:val="1"/>
      <w:numFmt w:val="bullet"/>
      <w:lvlText w:val="·"/>
      <w:lvlJc w:val="left"/>
      <w:pPr>
        <w:ind w:left="2520" w:hanging="360"/>
        <w:jc w:val="both"/>
      </w:pPr>
      <w:rPr>
        <w:rFonts w:ascii="Symbol" w:eastAsia="Symbol" w:hAnsi="Symbol"/>
        <w:w w:val="100"/>
        <w:sz w:val="20"/>
        <w:szCs w:val="20"/>
        <w:shd w:val="clear" w:color="000000" w:fill="auto"/>
      </w:rPr>
    </w:lvl>
    <w:lvl w:ilvl="4" w:tplc="B64AB404">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99D4ECC6">
      <w:start w:val="1"/>
      <w:numFmt w:val="bullet"/>
      <w:lvlText w:val="§"/>
      <w:lvlJc w:val="left"/>
      <w:pPr>
        <w:ind w:left="3960" w:hanging="360"/>
        <w:jc w:val="both"/>
      </w:pPr>
      <w:rPr>
        <w:rFonts w:ascii="Wingdings" w:eastAsia="Wingdings" w:hAnsi="Wingdings"/>
        <w:w w:val="100"/>
        <w:sz w:val="20"/>
        <w:szCs w:val="20"/>
        <w:shd w:val="clear" w:color="000000" w:fill="auto"/>
      </w:rPr>
    </w:lvl>
    <w:lvl w:ilvl="6" w:tplc="1C8460C2">
      <w:start w:val="1"/>
      <w:numFmt w:val="bullet"/>
      <w:lvlText w:val="·"/>
      <w:lvlJc w:val="left"/>
      <w:pPr>
        <w:ind w:left="4680" w:hanging="360"/>
        <w:jc w:val="both"/>
      </w:pPr>
      <w:rPr>
        <w:rFonts w:ascii="Symbol" w:eastAsia="Symbol" w:hAnsi="Symbol"/>
        <w:w w:val="100"/>
        <w:sz w:val="20"/>
        <w:szCs w:val="20"/>
        <w:shd w:val="clear" w:color="000000" w:fill="auto"/>
      </w:rPr>
    </w:lvl>
    <w:lvl w:ilvl="7" w:tplc="46BCF7E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C12D32A">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8" w15:restartNumberingAfterBreak="0">
    <w:nsid w:val="2F000007"/>
    <w:multiLevelType w:val="hybridMultilevel"/>
    <w:tmpl w:val="53FAF569"/>
    <w:lvl w:ilvl="0" w:tplc="488A3B40">
      <w:start w:val="1"/>
      <w:numFmt w:val="lowerLetter"/>
      <w:lvlText w:val="%1."/>
      <w:lvlJc w:val="left"/>
      <w:pPr>
        <w:ind w:left="1080" w:hanging="360"/>
        <w:jc w:val="both"/>
      </w:pPr>
    </w:lvl>
    <w:lvl w:ilvl="1" w:tplc="6234D256">
      <w:start w:val="1"/>
      <w:numFmt w:val="lowerLetter"/>
      <w:lvlText w:val="%2."/>
      <w:lvlJc w:val="left"/>
      <w:pPr>
        <w:ind w:left="1440" w:hanging="360"/>
        <w:jc w:val="both"/>
      </w:pPr>
    </w:lvl>
    <w:lvl w:ilvl="2" w:tplc="D9E60886">
      <w:start w:val="1"/>
      <w:numFmt w:val="lowerRoman"/>
      <w:lvlText w:val="%3."/>
      <w:lvlJc w:val="right"/>
      <w:pPr>
        <w:ind w:left="2160" w:hanging="180"/>
        <w:jc w:val="both"/>
      </w:pPr>
    </w:lvl>
    <w:lvl w:ilvl="3" w:tplc="7F4C2CE0">
      <w:start w:val="1"/>
      <w:numFmt w:val="decimal"/>
      <w:lvlText w:val="%4."/>
      <w:lvlJc w:val="left"/>
      <w:pPr>
        <w:ind w:left="2880" w:hanging="360"/>
        <w:jc w:val="both"/>
      </w:pPr>
    </w:lvl>
    <w:lvl w:ilvl="4" w:tplc="F884AA1A">
      <w:start w:val="1"/>
      <w:numFmt w:val="lowerLetter"/>
      <w:lvlText w:val="%5."/>
      <w:lvlJc w:val="left"/>
      <w:pPr>
        <w:ind w:left="3600" w:hanging="360"/>
        <w:jc w:val="both"/>
      </w:pPr>
    </w:lvl>
    <w:lvl w:ilvl="5" w:tplc="3D741EC4">
      <w:start w:val="1"/>
      <w:numFmt w:val="lowerRoman"/>
      <w:lvlText w:val="%6."/>
      <w:lvlJc w:val="right"/>
      <w:pPr>
        <w:ind w:left="4320" w:hanging="180"/>
        <w:jc w:val="both"/>
      </w:pPr>
    </w:lvl>
    <w:lvl w:ilvl="6" w:tplc="B044D5E0">
      <w:start w:val="1"/>
      <w:numFmt w:val="decimal"/>
      <w:lvlText w:val="%7."/>
      <w:lvlJc w:val="left"/>
      <w:pPr>
        <w:ind w:left="5040" w:hanging="360"/>
        <w:jc w:val="both"/>
      </w:pPr>
    </w:lvl>
    <w:lvl w:ilvl="7" w:tplc="9A2CEF5E">
      <w:start w:val="1"/>
      <w:numFmt w:val="lowerLetter"/>
      <w:lvlText w:val="%8."/>
      <w:lvlJc w:val="left"/>
      <w:pPr>
        <w:ind w:left="5760" w:hanging="360"/>
        <w:jc w:val="both"/>
      </w:pPr>
    </w:lvl>
    <w:lvl w:ilvl="8" w:tplc="76AC47B8">
      <w:start w:val="1"/>
      <w:numFmt w:val="lowerRoman"/>
      <w:lvlText w:val="%9."/>
      <w:lvlJc w:val="right"/>
      <w:pPr>
        <w:ind w:left="6480" w:hanging="180"/>
        <w:jc w:val="both"/>
      </w:pPr>
    </w:lvl>
  </w:abstractNum>
  <w:abstractNum w:abstractNumId="9" w15:restartNumberingAfterBreak="0">
    <w:nsid w:val="2F000008"/>
    <w:multiLevelType w:val="hybridMultilevel"/>
    <w:tmpl w:val="2705FC7F"/>
    <w:lvl w:ilvl="0" w:tplc="CEB2056C">
      <w:start w:val="1"/>
      <w:numFmt w:val="bullet"/>
      <w:lvlText w:val="·"/>
      <w:lvlJc w:val="left"/>
      <w:pPr>
        <w:ind w:left="720" w:hanging="360"/>
        <w:jc w:val="both"/>
      </w:pPr>
      <w:rPr>
        <w:rFonts w:ascii="Symbol" w:eastAsia="Symbol" w:hAnsi="Symbol"/>
        <w:w w:val="100"/>
        <w:sz w:val="20"/>
        <w:szCs w:val="20"/>
        <w:shd w:val="clear" w:color="000000" w:fill="auto"/>
      </w:rPr>
    </w:lvl>
    <w:lvl w:ilvl="1" w:tplc="7CD8F8D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4848720">
      <w:start w:val="1"/>
      <w:numFmt w:val="bullet"/>
      <w:lvlText w:val="§"/>
      <w:lvlJc w:val="left"/>
      <w:pPr>
        <w:ind w:left="2160" w:hanging="360"/>
        <w:jc w:val="both"/>
      </w:pPr>
      <w:rPr>
        <w:rFonts w:ascii="Wingdings" w:eastAsia="Wingdings" w:hAnsi="Wingdings"/>
        <w:w w:val="100"/>
        <w:sz w:val="20"/>
        <w:szCs w:val="20"/>
        <w:shd w:val="clear" w:color="000000" w:fill="auto"/>
      </w:rPr>
    </w:lvl>
    <w:lvl w:ilvl="3" w:tplc="7E5ABA6A">
      <w:start w:val="1"/>
      <w:numFmt w:val="bullet"/>
      <w:lvlText w:val="·"/>
      <w:lvlJc w:val="left"/>
      <w:pPr>
        <w:ind w:left="2880" w:hanging="360"/>
        <w:jc w:val="both"/>
      </w:pPr>
      <w:rPr>
        <w:rFonts w:ascii="Symbol" w:eastAsia="Symbol" w:hAnsi="Symbol"/>
        <w:w w:val="100"/>
        <w:sz w:val="20"/>
        <w:szCs w:val="20"/>
        <w:shd w:val="clear" w:color="000000" w:fill="auto"/>
      </w:rPr>
    </w:lvl>
    <w:lvl w:ilvl="4" w:tplc="EE909C6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BAEED28A">
      <w:start w:val="1"/>
      <w:numFmt w:val="bullet"/>
      <w:lvlText w:val="§"/>
      <w:lvlJc w:val="left"/>
      <w:pPr>
        <w:ind w:left="4320" w:hanging="360"/>
        <w:jc w:val="both"/>
      </w:pPr>
      <w:rPr>
        <w:rFonts w:ascii="Wingdings" w:eastAsia="Wingdings" w:hAnsi="Wingdings"/>
        <w:w w:val="100"/>
        <w:sz w:val="20"/>
        <w:szCs w:val="20"/>
        <w:shd w:val="clear" w:color="000000" w:fill="auto"/>
      </w:rPr>
    </w:lvl>
    <w:lvl w:ilvl="6" w:tplc="A4F244DC">
      <w:start w:val="1"/>
      <w:numFmt w:val="bullet"/>
      <w:lvlText w:val="·"/>
      <w:lvlJc w:val="left"/>
      <w:pPr>
        <w:ind w:left="5040" w:hanging="360"/>
        <w:jc w:val="both"/>
      </w:pPr>
      <w:rPr>
        <w:rFonts w:ascii="Symbol" w:eastAsia="Symbol" w:hAnsi="Symbol"/>
        <w:w w:val="100"/>
        <w:sz w:val="20"/>
        <w:szCs w:val="20"/>
        <w:shd w:val="clear" w:color="000000" w:fill="auto"/>
      </w:rPr>
    </w:lvl>
    <w:lvl w:ilvl="7" w:tplc="126042A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A5A7CC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0" w15:restartNumberingAfterBreak="0">
    <w:nsid w:val="2F000009"/>
    <w:multiLevelType w:val="hybridMultilevel"/>
    <w:tmpl w:val="2003F9F6"/>
    <w:lvl w:ilvl="0" w:tplc="E25EBE84">
      <w:start w:val="1"/>
      <w:numFmt w:val="bullet"/>
      <w:lvlText w:val="·"/>
      <w:lvlJc w:val="left"/>
      <w:pPr>
        <w:ind w:left="720" w:hanging="360"/>
        <w:jc w:val="both"/>
      </w:pPr>
      <w:rPr>
        <w:rFonts w:ascii="Symbol" w:eastAsia="Symbol" w:hAnsi="Symbol"/>
        <w:w w:val="100"/>
        <w:sz w:val="20"/>
        <w:szCs w:val="20"/>
        <w:shd w:val="clear" w:color="000000" w:fill="auto"/>
      </w:rPr>
    </w:lvl>
    <w:lvl w:ilvl="1" w:tplc="52F61A4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A50CA38">
      <w:start w:val="1"/>
      <w:numFmt w:val="bullet"/>
      <w:lvlText w:val="§"/>
      <w:lvlJc w:val="left"/>
      <w:pPr>
        <w:ind w:left="2160" w:hanging="360"/>
        <w:jc w:val="both"/>
      </w:pPr>
      <w:rPr>
        <w:rFonts w:ascii="Wingdings" w:eastAsia="Wingdings" w:hAnsi="Wingdings"/>
        <w:w w:val="100"/>
        <w:sz w:val="20"/>
        <w:szCs w:val="20"/>
        <w:shd w:val="clear" w:color="000000" w:fill="auto"/>
      </w:rPr>
    </w:lvl>
    <w:lvl w:ilvl="3" w:tplc="7A8A75CE">
      <w:start w:val="1"/>
      <w:numFmt w:val="bullet"/>
      <w:lvlText w:val="·"/>
      <w:lvlJc w:val="left"/>
      <w:pPr>
        <w:ind w:left="2880" w:hanging="360"/>
        <w:jc w:val="both"/>
      </w:pPr>
      <w:rPr>
        <w:rFonts w:ascii="Symbol" w:eastAsia="Symbol" w:hAnsi="Symbol"/>
        <w:w w:val="100"/>
        <w:sz w:val="20"/>
        <w:szCs w:val="20"/>
        <w:shd w:val="clear" w:color="000000" w:fill="auto"/>
      </w:rPr>
    </w:lvl>
    <w:lvl w:ilvl="4" w:tplc="D88C210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9EAA7FF4">
      <w:start w:val="1"/>
      <w:numFmt w:val="bullet"/>
      <w:lvlText w:val="§"/>
      <w:lvlJc w:val="left"/>
      <w:pPr>
        <w:ind w:left="4320" w:hanging="360"/>
        <w:jc w:val="both"/>
      </w:pPr>
      <w:rPr>
        <w:rFonts w:ascii="Wingdings" w:eastAsia="Wingdings" w:hAnsi="Wingdings"/>
        <w:w w:val="100"/>
        <w:sz w:val="20"/>
        <w:szCs w:val="20"/>
        <w:shd w:val="clear" w:color="000000" w:fill="auto"/>
      </w:rPr>
    </w:lvl>
    <w:lvl w:ilvl="6" w:tplc="54A6FF66">
      <w:start w:val="1"/>
      <w:numFmt w:val="bullet"/>
      <w:lvlText w:val="·"/>
      <w:lvlJc w:val="left"/>
      <w:pPr>
        <w:ind w:left="5040" w:hanging="360"/>
        <w:jc w:val="both"/>
      </w:pPr>
      <w:rPr>
        <w:rFonts w:ascii="Symbol" w:eastAsia="Symbol" w:hAnsi="Symbol"/>
        <w:w w:val="100"/>
        <w:sz w:val="20"/>
        <w:szCs w:val="20"/>
        <w:shd w:val="clear" w:color="000000" w:fill="auto"/>
      </w:rPr>
    </w:lvl>
    <w:lvl w:ilvl="7" w:tplc="7452D97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296427F2">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15:restartNumberingAfterBreak="0">
    <w:nsid w:val="2F00000A"/>
    <w:multiLevelType w:val="hybridMultilevel"/>
    <w:tmpl w:val="4B0FA6D2"/>
    <w:lvl w:ilvl="0" w:tplc="FE104A5A">
      <w:start w:val="1"/>
      <w:numFmt w:val="bullet"/>
      <w:lvlText w:val="·"/>
      <w:lvlJc w:val="left"/>
      <w:pPr>
        <w:ind w:left="720" w:hanging="360"/>
        <w:jc w:val="both"/>
      </w:pPr>
      <w:rPr>
        <w:rFonts w:ascii="Symbol" w:eastAsia="Symbol" w:hAnsi="Symbol"/>
        <w:w w:val="100"/>
        <w:sz w:val="20"/>
        <w:szCs w:val="20"/>
        <w:shd w:val="clear" w:color="000000" w:fill="auto"/>
      </w:rPr>
    </w:lvl>
    <w:lvl w:ilvl="1" w:tplc="E0781296">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20A47A8">
      <w:start w:val="1"/>
      <w:numFmt w:val="bullet"/>
      <w:lvlText w:val="§"/>
      <w:lvlJc w:val="left"/>
      <w:pPr>
        <w:ind w:left="2160" w:hanging="360"/>
        <w:jc w:val="both"/>
      </w:pPr>
      <w:rPr>
        <w:rFonts w:ascii="Wingdings" w:eastAsia="Wingdings" w:hAnsi="Wingdings"/>
        <w:w w:val="100"/>
        <w:sz w:val="20"/>
        <w:szCs w:val="20"/>
        <w:shd w:val="clear" w:color="000000" w:fill="auto"/>
      </w:rPr>
    </w:lvl>
    <w:lvl w:ilvl="3" w:tplc="6D802224">
      <w:start w:val="1"/>
      <w:numFmt w:val="bullet"/>
      <w:lvlText w:val="·"/>
      <w:lvlJc w:val="left"/>
      <w:pPr>
        <w:ind w:left="2880" w:hanging="360"/>
        <w:jc w:val="both"/>
      </w:pPr>
      <w:rPr>
        <w:rFonts w:ascii="Symbol" w:eastAsia="Symbol" w:hAnsi="Symbol"/>
        <w:w w:val="100"/>
        <w:sz w:val="20"/>
        <w:szCs w:val="20"/>
        <w:shd w:val="clear" w:color="000000" w:fill="auto"/>
      </w:rPr>
    </w:lvl>
    <w:lvl w:ilvl="4" w:tplc="1AFEC46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E4A6C5A">
      <w:start w:val="1"/>
      <w:numFmt w:val="bullet"/>
      <w:lvlText w:val="§"/>
      <w:lvlJc w:val="left"/>
      <w:pPr>
        <w:ind w:left="4320" w:hanging="360"/>
        <w:jc w:val="both"/>
      </w:pPr>
      <w:rPr>
        <w:rFonts w:ascii="Wingdings" w:eastAsia="Wingdings" w:hAnsi="Wingdings"/>
        <w:w w:val="100"/>
        <w:sz w:val="20"/>
        <w:szCs w:val="20"/>
        <w:shd w:val="clear" w:color="000000" w:fill="auto"/>
      </w:rPr>
    </w:lvl>
    <w:lvl w:ilvl="6" w:tplc="3BAEF4E8">
      <w:start w:val="1"/>
      <w:numFmt w:val="bullet"/>
      <w:lvlText w:val="·"/>
      <w:lvlJc w:val="left"/>
      <w:pPr>
        <w:ind w:left="5040" w:hanging="360"/>
        <w:jc w:val="both"/>
      </w:pPr>
      <w:rPr>
        <w:rFonts w:ascii="Symbol" w:eastAsia="Symbol" w:hAnsi="Symbol"/>
        <w:w w:val="100"/>
        <w:sz w:val="20"/>
        <w:szCs w:val="20"/>
        <w:shd w:val="clear" w:color="000000" w:fill="auto"/>
      </w:rPr>
    </w:lvl>
    <w:lvl w:ilvl="7" w:tplc="FCB8DEB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812B2C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2" w15:restartNumberingAfterBreak="0">
    <w:nsid w:val="2F00000B"/>
    <w:multiLevelType w:val="hybridMultilevel"/>
    <w:tmpl w:val="56915C6A"/>
    <w:lvl w:ilvl="0" w:tplc="B68A39E0">
      <w:start w:val="1"/>
      <w:numFmt w:val="decimal"/>
      <w:lvlText w:val="%1)"/>
      <w:lvlJc w:val="left"/>
      <w:pPr>
        <w:ind w:left="360" w:hanging="360"/>
        <w:jc w:val="both"/>
      </w:pPr>
      <w:rPr>
        <w:w w:val="100"/>
        <w:sz w:val="20"/>
        <w:szCs w:val="20"/>
        <w:shd w:val="clear" w:color="000000" w:fill="auto"/>
      </w:rPr>
    </w:lvl>
    <w:lvl w:ilvl="1" w:tplc="BADAD6B6">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C2C0F296">
      <w:start w:val="1"/>
      <w:numFmt w:val="bullet"/>
      <w:lvlText w:val="§"/>
      <w:lvlJc w:val="left"/>
      <w:pPr>
        <w:ind w:left="1800" w:hanging="360"/>
        <w:jc w:val="both"/>
      </w:pPr>
      <w:rPr>
        <w:rFonts w:ascii="Wingdings" w:eastAsia="Wingdings" w:hAnsi="Wingdings"/>
        <w:w w:val="100"/>
        <w:sz w:val="20"/>
        <w:szCs w:val="20"/>
        <w:shd w:val="clear" w:color="000000" w:fill="auto"/>
      </w:rPr>
    </w:lvl>
    <w:lvl w:ilvl="3" w:tplc="25AECCF0">
      <w:start w:val="1"/>
      <w:numFmt w:val="bullet"/>
      <w:lvlText w:val="·"/>
      <w:lvlJc w:val="left"/>
      <w:pPr>
        <w:ind w:left="2520" w:hanging="360"/>
        <w:jc w:val="both"/>
      </w:pPr>
      <w:rPr>
        <w:rFonts w:ascii="Symbol" w:eastAsia="Symbol" w:hAnsi="Symbol"/>
        <w:w w:val="100"/>
        <w:sz w:val="20"/>
        <w:szCs w:val="20"/>
        <w:shd w:val="clear" w:color="000000" w:fill="auto"/>
      </w:rPr>
    </w:lvl>
    <w:lvl w:ilvl="4" w:tplc="903CBCF8">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2DE2975E">
      <w:start w:val="1"/>
      <w:numFmt w:val="bullet"/>
      <w:lvlText w:val="§"/>
      <w:lvlJc w:val="left"/>
      <w:pPr>
        <w:ind w:left="3960" w:hanging="360"/>
        <w:jc w:val="both"/>
      </w:pPr>
      <w:rPr>
        <w:rFonts w:ascii="Wingdings" w:eastAsia="Wingdings" w:hAnsi="Wingdings"/>
        <w:w w:val="100"/>
        <w:sz w:val="20"/>
        <w:szCs w:val="20"/>
        <w:shd w:val="clear" w:color="000000" w:fill="auto"/>
      </w:rPr>
    </w:lvl>
    <w:lvl w:ilvl="6" w:tplc="7546673C">
      <w:start w:val="1"/>
      <w:numFmt w:val="bullet"/>
      <w:lvlText w:val="·"/>
      <w:lvlJc w:val="left"/>
      <w:pPr>
        <w:ind w:left="4680" w:hanging="360"/>
        <w:jc w:val="both"/>
      </w:pPr>
      <w:rPr>
        <w:rFonts w:ascii="Symbol" w:eastAsia="Symbol" w:hAnsi="Symbol"/>
        <w:w w:val="100"/>
        <w:sz w:val="20"/>
        <w:szCs w:val="20"/>
        <w:shd w:val="clear" w:color="000000" w:fill="auto"/>
      </w:rPr>
    </w:lvl>
    <w:lvl w:ilvl="7" w:tplc="CB8A21B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D24102C">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13" w15:restartNumberingAfterBreak="0">
    <w:nsid w:val="2F00000C"/>
    <w:multiLevelType w:val="hybridMultilevel"/>
    <w:tmpl w:val="474A7079"/>
    <w:lvl w:ilvl="0" w:tplc="522AADD8">
      <w:start w:val="1"/>
      <w:numFmt w:val="bullet"/>
      <w:lvlText w:val="·"/>
      <w:lvlJc w:val="left"/>
      <w:pPr>
        <w:ind w:left="720" w:hanging="360"/>
        <w:jc w:val="both"/>
      </w:pPr>
      <w:rPr>
        <w:rFonts w:ascii="Symbol" w:eastAsia="Symbol" w:hAnsi="Symbol"/>
        <w:w w:val="100"/>
        <w:sz w:val="20"/>
        <w:szCs w:val="20"/>
        <w:shd w:val="clear" w:color="000000" w:fill="auto"/>
      </w:rPr>
    </w:lvl>
    <w:lvl w:ilvl="1" w:tplc="BAE0A46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EC284BA2">
      <w:start w:val="1"/>
      <w:numFmt w:val="bullet"/>
      <w:lvlText w:val="§"/>
      <w:lvlJc w:val="left"/>
      <w:pPr>
        <w:ind w:left="2160" w:hanging="360"/>
        <w:jc w:val="both"/>
      </w:pPr>
      <w:rPr>
        <w:rFonts w:ascii="Wingdings" w:eastAsia="Wingdings" w:hAnsi="Wingdings"/>
        <w:w w:val="100"/>
        <w:sz w:val="20"/>
        <w:szCs w:val="20"/>
        <w:shd w:val="clear" w:color="000000" w:fill="auto"/>
      </w:rPr>
    </w:lvl>
    <w:lvl w:ilvl="3" w:tplc="F140CF02">
      <w:start w:val="1"/>
      <w:numFmt w:val="bullet"/>
      <w:lvlText w:val="·"/>
      <w:lvlJc w:val="left"/>
      <w:pPr>
        <w:ind w:left="2880" w:hanging="360"/>
        <w:jc w:val="both"/>
      </w:pPr>
      <w:rPr>
        <w:rFonts w:ascii="Symbol" w:eastAsia="Symbol" w:hAnsi="Symbol"/>
        <w:w w:val="100"/>
        <w:sz w:val="20"/>
        <w:szCs w:val="20"/>
        <w:shd w:val="clear" w:color="000000" w:fill="auto"/>
      </w:rPr>
    </w:lvl>
    <w:lvl w:ilvl="4" w:tplc="159C5FC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72546368">
      <w:start w:val="1"/>
      <w:numFmt w:val="bullet"/>
      <w:lvlText w:val="§"/>
      <w:lvlJc w:val="left"/>
      <w:pPr>
        <w:ind w:left="4320" w:hanging="360"/>
        <w:jc w:val="both"/>
      </w:pPr>
      <w:rPr>
        <w:rFonts w:ascii="Wingdings" w:eastAsia="Wingdings" w:hAnsi="Wingdings"/>
        <w:w w:val="100"/>
        <w:sz w:val="20"/>
        <w:szCs w:val="20"/>
        <w:shd w:val="clear" w:color="000000" w:fill="auto"/>
      </w:rPr>
    </w:lvl>
    <w:lvl w:ilvl="6" w:tplc="0000816A">
      <w:start w:val="1"/>
      <w:numFmt w:val="bullet"/>
      <w:lvlText w:val="·"/>
      <w:lvlJc w:val="left"/>
      <w:pPr>
        <w:ind w:left="5040" w:hanging="360"/>
        <w:jc w:val="both"/>
      </w:pPr>
      <w:rPr>
        <w:rFonts w:ascii="Symbol" w:eastAsia="Symbol" w:hAnsi="Symbol"/>
        <w:w w:val="100"/>
        <w:sz w:val="20"/>
        <w:szCs w:val="20"/>
        <w:shd w:val="clear" w:color="000000" w:fill="auto"/>
      </w:rPr>
    </w:lvl>
    <w:lvl w:ilvl="7" w:tplc="656686B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39C840A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4" w15:restartNumberingAfterBreak="0">
    <w:nsid w:val="2F00000D"/>
    <w:multiLevelType w:val="hybridMultilevel"/>
    <w:tmpl w:val="4E1E4D6C"/>
    <w:lvl w:ilvl="0" w:tplc="D9CA9FE6">
      <w:start w:val="1"/>
      <w:numFmt w:val="decimal"/>
      <w:lvlText w:val="%1."/>
      <w:lvlJc w:val="left"/>
      <w:pPr>
        <w:ind w:left="360" w:hanging="360"/>
        <w:jc w:val="both"/>
      </w:pPr>
    </w:lvl>
    <w:lvl w:ilvl="1" w:tplc="E092054E">
      <w:start w:val="1"/>
      <w:numFmt w:val="lowerLetter"/>
      <w:lvlText w:val="%2."/>
      <w:lvlJc w:val="left"/>
      <w:pPr>
        <w:ind w:left="1080" w:hanging="360"/>
        <w:jc w:val="both"/>
      </w:pPr>
    </w:lvl>
    <w:lvl w:ilvl="2" w:tplc="E03CFE0E">
      <w:start w:val="1"/>
      <w:numFmt w:val="lowerRoman"/>
      <w:lvlText w:val="%3."/>
      <w:lvlJc w:val="right"/>
      <w:pPr>
        <w:ind w:left="1800" w:hanging="180"/>
        <w:jc w:val="both"/>
      </w:pPr>
    </w:lvl>
    <w:lvl w:ilvl="3" w:tplc="0E309326">
      <w:start w:val="1"/>
      <w:numFmt w:val="decimal"/>
      <w:lvlText w:val="%4."/>
      <w:lvlJc w:val="left"/>
      <w:pPr>
        <w:ind w:left="2520" w:hanging="360"/>
        <w:jc w:val="both"/>
      </w:pPr>
    </w:lvl>
    <w:lvl w:ilvl="4" w:tplc="81A86F8C">
      <w:start w:val="1"/>
      <w:numFmt w:val="lowerLetter"/>
      <w:lvlText w:val="%5."/>
      <w:lvlJc w:val="left"/>
      <w:pPr>
        <w:ind w:left="3240" w:hanging="360"/>
        <w:jc w:val="both"/>
      </w:pPr>
    </w:lvl>
    <w:lvl w:ilvl="5" w:tplc="EBF48266">
      <w:start w:val="1"/>
      <w:numFmt w:val="lowerRoman"/>
      <w:lvlText w:val="%6."/>
      <w:lvlJc w:val="right"/>
      <w:pPr>
        <w:ind w:left="3960" w:hanging="180"/>
        <w:jc w:val="both"/>
      </w:pPr>
    </w:lvl>
    <w:lvl w:ilvl="6" w:tplc="26D88FEC">
      <w:start w:val="1"/>
      <w:numFmt w:val="decimal"/>
      <w:lvlText w:val="%7."/>
      <w:lvlJc w:val="left"/>
      <w:pPr>
        <w:ind w:left="4680" w:hanging="360"/>
        <w:jc w:val="both"/>
      </w:pPr>
    </w:lvl>
    <w:lvl w:ilvl="7" w:tplc="C972CA3A">
      <w:start w:val="1"/>
      <w:numFmt w:val="lowerLetter"/>
      <w:lvlText w:val="%8."/>
      <w:lvlJc w:val="left"/>
      <w:pPr>
        <w:ind w:left="5400" w:hanging="360"/>
        <w:jc w:val="both"/>
      </w:pPr>
    </w:lvl>
    <w:lvl w:ilvl="8" w:tplc="98DCBF54">
      <w:start w:val="1"/>
      <w:numFmt w:val="lowerRoman"/>
      <w:lvlText w:val="%9."/>
      <w:lvlJc w:val="right"/>
      <w:pPr>
        <w:ind w:left="6120" w:hanging="180"/>
        <w:jc w:val="both"/>
      </w:pPr>
    </w:lvl>
  </w:abstractNum>
  <w:abstractNum w:abstractNumId="15" w15:restartNumberingAfterBreak="0">
    <w:nsid w:val="2F00000E"/>
    <w:multiLevelType w:val="hybridMultilevel"/>
    <w:tmpl w:val="4D6D2672"/>
    <w:lvl w:ilvl="0" w:tplc="FBF0AD86">
      <w:start w:val="1"/>
      <w:numFmt w:val="lowerLetter"/>
      <w:lvlText w:val="%1."/>
      <w:lvlJc w:val="left"/>
      <w:pPr>
        <w:ind w:left="720" w:hanging="360"/>
        <w:jc w:val="both"/>
      </w:pPr>
    </w:lvl>
    <w:lvl w:ilvl="1" w:tplc="81F07B16">
      <w:start w:val="1"/>
      <w:numFmt w:val="lowerLetter"/>
      <w:lvlText w:val="%2."/>
      <w:lvlJc w:val="left"/>
      <w:pPr>
        <w:ind w:left="1440" w:hanging="360"/>
        <w:jc w:val="both"/>
      </w:pPr>
    </w:lvl>
    <w:lvl w:ilvl="2" w:tplc="9AF2B3D6">
      <w:start w:val="1"/>
      <w:numFmt w:val="lowerRoman"/>
      <w:lvlText w:val="%3."/>
      <w:lvlJc w:val="right"/>
      <w:pPr>
        <w:ind w:left="2160" w:hanging="180"/>
        <w:jc w:val="both"/>
      </w:pPr>
    </w:lvl>
    <w:lvl w:ilvl="3" w:tplc="ADB690F6">
      <w:start w:val="1"/>
      <w:numFmt w:val="decimal"/>
      <w:lvlText w:val="%4."/>
      <w:lvlJc w:val="left"/>
      <w:pPr>
        <w:ind w:left="2880" w:hanging="360"/>
        <w:jc w:val="both"/>
      </w:pPr>
    </w:lvl>
    <w:lvl w:ilvl="4" w:tplc="B0C636BA">
      <w:start w:val="1"/>
      <w:numFmt w:val="lowerLetter"/>
      <w:lvlText w:val="%5."/>
      <w:lvlJc w:val="left"/>
      <w:pPr>
        <w:ind w:left="3600" w:hanging="360"/>
        <w:jc w:val="both"/>
      </w:pPr>
    </w:lvl>
    <w:lvl w:ilvl="5" w:tplc="F6B656F6">
      <w:start w:val="1"/>
      <w:numFmt w:val="lowerRoman"/>
      <w:lvlText w:val="%6."/>
      <w:lvlJc w:val="right"/>
      <w:pPr>
        <w:ind w:left="4320" w:hanging="180"/>
        <w:jc w:val="both"/>
      </w:pPr>
    </w:lvl>
    <w:lvl w:ilvl="6" w:tplc="A1502152">
      <w:start w:val="1"/>
      <w:numFmt w:val="decimal"/>
      <w:lvlText w:val="%7."/>
      <w:lvlJc w:val="left"/>
      <w:pPr>
        <w:ind w:left="5040" w:hanging="360"/>
        <w:jc w:val="both"/>
      </w:pPr>
    </w:lvl>
    <w:lvl w:ilvl="7" w:tplc="C1902AAE">
      <w:start w:val="1"/>
      <w:numFmt w:val="lowerLetter"/>
      <w:lvlText w:val="%8."/>
      <w:lvlJc w:val="left"/>
      <w:pPr>
        <w:ind w:left="5760" w:hanging="360"/>
        <w:jc w:val="both"/>
      </w:pPr>
    </w:lvl>
    <w:lvl w:ilvl="8" w:tplc="CC94DBEA">
      <w:start w:val="1"/>
      <w:numFmt w:val="lowerRoman"/>
      <w:lvlText w:val="%9."/>
      <w:lvlJc w:val="right"/>
      <w:pPr>
        <w:ind w:left="6480" w:hanging="180"/>
        <w:jc w:val="both"/>
      </w:pPr>
    </w:lvl>
  </w:abstractNum>
  <w:abstractNum w:abstractNumId="16" w15:restartNumberingAfterBreak="0">
    <w:nsid w:val="2F00000F"/>
    <w:multiLevelType w:val="hybridMultilevel"/>
    <w:tmpl w:val="5EF71E2D"/>
    <w:lvl w:ilvl="0" w:tplc="0E5C2352">
      <w:start w:val="1"/>
      <w:numFmt w:val="lowerLetter"/>
      <w:lvlText w:val="%1."/>
      <w:lvlJc w:val="left"/>
      <w:pPr>
        <w:ind w:left="720" w:hanging="360"/>
        <w:jc w:val="both"/>
      </w:pPr>
    </w:lvl>
    <w:lvl w:ilvl="1" w:tplc="7924DE06">
      <w:start w:val="1"/>
      <w:numFmt w:val="lowerLetter"/>
      <w:lvlText w:val="%2."/>
      <w:lvlJc w:val="left"/>
      <w:pPr>
        <w:ind w:left="1440" w:hanging="360"/>
        <w:jc w:val="both"/>
      </w:pPr>
    </w:lvl>
    <w:lvl w:ilvl="2" w:tplc="128E406E">
      <w:start w:val="1"/>
      <w:numFmt w:val="lowerRoman"/>
      <w:lvlText w:val="%3."/>
      <w:lvlJc w:val="right"/>
      <w:pPr>
        <w:ind w:left="2160" w:hanging="180"/>
        <w:jc w:val="both"/>
      </w:pPr>
    </w:lvl>
    <w:lvl w:ilvl="3" w:tplc="472EFC5E">
      <w:start w:val="1"/>
      <w:numFmt w:val="decimal"/>
      <w:lvlText w:val="%4."/>
      <w:lvlJc w:val="left"/>
      <w:pPr>
        <w:ind w:left="2880" w:hanging="360"/>
        <w:jc w:val="both"/>
      </w:pPr>
    </w:lvl>
    <w:lvl w:ilvl="4" w:tplc="4C34B476">
      <w:start w:val="1"/>
      <w:numFmt w:val="lowerLetter"/>
      <w:lvlText w:val="%5."/>
      <w:lvlJc w:val="left"/>
      <w:pPr>
        <w:ind w:left="3600" w:hanging="360"/>
        <w:jc w:val="both"/>
      </w:pPr>
    </w:lvl>
    <w:lvl w:ilvl="5" w:tplc="8188E3C6">
      <w:start w:val="1"/>
      <w:numFmt w:val="lowerRoman"/>
      <w:lvlText w:val="%6."/>
      <w:lvlJc w:val="right"/>
      <w:pPr>
        <w:ind w:left="4320" w:hanging="180"/>
        <w:jc w:val="both"/>
      </w:pPr>
    </w:lvl>
    <w:lvl w:ilvl="6" w:tplc="CE4E10C8">
      <w:start w:val="1"/>
      <w:numFmt w:val="decimal"/>
      <w:lvlText w:val="%7."/>
      <w:lvlJc w:val="left"/>
      <w:pPr>
        <w:ind w:left="5040" w:hanging="360"/>
        <w:jc w:val="both"/>
      </w:pPr>
    </w:lvl>
    <w:lvl w:ilvl="7" w:tplc="0C2A2774">
      <w:start w:val="1"/>
      <w:numFmt w:val="lowerLetter"/>
      <w:lvlText w:val="%8."/>
      <w:lvlJc w:val="left"/>
      <w:pPr>
        <w:ind w:left="5760" w:hanging="360"/>
        <w:jc w:val="both"/>
      </w:pPr>
    </w:lvl>
    <w:lvl w:ilvl="8" w:tplc="D76CD25C">
      <w:start w:val="1"/>
      <w:numFmt w:val="lowerRoman"/>
      <w:lvlText w:val="%9."/>
      <w:lvlJc w:val="right"/>
      <w:pPr>
        <w:ind w:left="6480" w:hanging="180"/>
        <w:jc w:val="both"/>
      </w:pPr>
    </w:lvl>
  </w:abstractNum>
  <w:abstractNum w:abstractNumId="17" w15:restartNumberingAfterBreak="0">
    <w:nsid w:val="2F000010"/>
    <w:multiLevelType w:val="hybridMultilevel"/>
    <w:tmpl w:val="57DE5DFD"/>
    <w:lvl w:ilvl="0" w:tplc="D46834D0">
      <w:start w:val="1"/>
      <w:numFmt w:val="lowerRoman"/>
      <w:lvlText w:val="(%1)"/>
      <w:lvlJc w:val="left"/>
      <w:pPr>
        <w:ind w:left="1080" w:hanging="720"/>
        <w:jc w:val="both"/>
      </w:pPr>
      <w:rPr>
        <w:w w:val="100"/>
        <w:sz w:val="20"/>
        <w:szCs w:val="20"/>
        <w:shd w:val="clear" w:color="000000" w:fill="auto"/>
      </w:rPr>
    </w:lvl>
    <w:lvl w:ilvl="1" w:tplc="8FAC247A">
      <w:start w:val="1"/>
      <w:numFmt w:val="lowerLetter"/>
      <w:lvlText w:val="%2."/>
      <w:lvlJc w:val="left"/>
      <w:pPr>
        <w:ind w:left="1440" w:hanging="360"/>
        <w:jc w:val="both"/>
      </w:pPr>
    </w:lvl>
    <w:lvl w:ilvl="2" w:tplc="E474D7F6">
      <w:start w:val="1"/>
      <w:numFmt w:val="lowerRoman"/>
      <w:lvlText w:val="%3."/>
      <w:lvlJc w:val="right"/>
      <w:pPr>
        <w:ind w:left="2160" w:hanging="180"/>
        <w:jc w:val="both"/>
      </w:pPr>
    </w:lvl>
    <w:lvl w:ilvl="3" w:tplc="7A523268">
      <w:start w:val="1"/>
      <w:numFmt w:val="decimal"/>
      <w:lvlText w:val="%4."/>
      <w:lvlJc w:val="left"/>
      <w:pPr>
        <w:ind w:left="2880" w:hanging="360"/>
        <w:jc w:val="both"/>
      </w:pPr>
    </w:lvl>
    <w:lvl w:ilvl="4" w:tplc="09542334">
      <w:start w:val="1"/>
      <w:numFmt w:val="lowerLetter"/>
      <w:lvlText w:val="%5."/>
      <w:lvlJc w:val="left"/>
      <w:pPr>
        <w:ind w:left="3600" w:hanging="360"/>
        <w:jc w:val="both"/>
      </w:pPr>
    </w:lvl>
    <w:lvl w:ilvl="5" w:tplc="F86AB2E0">
      <w:start w:val="1"/>
      <w:numFmt w:val="lowerRoman"/>
      <w:lvlText w:val="%6."/>
      <w:lvlJc w:val="right"/>
      <w:pPr>
        <w:ind w:left="4320" w:hanging="180"/>
        <w:jc w:val="both"/>
      </w:pPr>
    </w:lvl>
    <w:lvl w:ilvl="6" w:tplc="E48C670C">
      <w:start w:val="1"/>
      <w:numFmt w:val="decimal"/>
      <w:lvlText w:val="%7."/>
      <w:lvlJc w:val="left"/>
      <w:pPr>
        <w:ind w:left="5040" w:hanging="360"/>
        <w:jc w:val="both"/>
      </w:pPr>
    </w:lvl>
    <w:lvl w:ilvl="7" w:tplc="CB26078A">
      <w:start w:val="1"/>
      <w:numFmt w:val="lowerLetter"/>
      <w:lvlText w:val="%8."/>
      <w:lvlJc w:val="left"/>
      <w:pPr>
        <w:ind w:left="5760" w:hanging="360"/>
        <w:jc w:val="both"/>
      </w:pPr>
    </w:lvl>
    <w:lvl w:ilvl="8" w:tplc="ACD884DA">
      <w:start w:val="1"/>
      <w:numFmt w:val="lowerRoman"/>
      <w:lvlText w:val="%9."/>
      <w:lvlJc w:val="right"/>
      <w:pPr>
        <w:ind w:left="6480" w:hanging="180"/>
        <w:jc w:val="both"/>
      </w:pPr>
    </w:lvl>
  </w:abstractNum>
  <w:abstractNum w:abstractNumId="18" w15:restartNumberingAfterBreak="0">
    <w:nsid w:val="2F000011"/>
    <w:multiLevelType w:val="hybridMultilevel"/>
    <w:tmpl w:val="2DECAA36"/>
    <w:lvl w:ilvl="0" w:tplc="C54ED30C">
      <w:start w:val="1"/>
      <w:numFmt w:val="decimal"/>
      <w:lvlText w:val="%1."/>
      <w:lvlJc w:val="left"/>
      <w:pPr>
        <w:ind w:left="720" w:hanging="360"/>
        <w:jc w:val="both"/>
      </w:pPr>
      <w:rPr>
        <w:w w:val="100"/>
        <w:sz w:val="20"/>
        <w:szCs w:val="20"/>
        <w:shd w:val="clear" w:color="000000" w:fill="auto"/>
      </w:rPr>
    </w:lvl>
    <w:lvl w:ilvl="1" w:tplc="281C4604">
      <w:start w:val="1"/>
      <w:numFmt w:val="lowerLetter"/>
      <w:lvlText w:val="%2."/>
      <w:lvlJc w:val="left"/>
      <w:pPr>
        <w:ind w:left="1440" w:hanging="360"/>
        <w:jc w:val="both"/>
      </w:pPr>
    </w:lvl>
    <w:lvl w:ilvl="2" w:tplc="8FF07398">
      <w:start w:val="1"/>
      <w:numFmt w:val="lowerRoman"/>
      <w:lvlText w:val="%3."/>
      <w:lvlJc w:val="right"/>
      <w:pPr>
        <w:ind w:left="2160" w:hanging="180"/>
        <w:jc w:val="both"/>
      </w:pPr>
    </w:lvl>
    <w:lvl w:ilvl="3" w:tplc="2D489996">
      <w:start w:val="1"/>
      <w:numFmt w:val="decimal"/>
      <w:lvlText w:val="%4."/>
      <w:lvlJc w:val="left"/>
      <w:pPr>
        <w:ind w:left="2880" w:hanging="360"/>
        <w:jc w:val="both"/>
      </w:pPr>
    </w:lvl>
    <w:lvl w:ilvl="4" w:tplc="B26C57C6">
      <w:start w:val="1"/>
      <w:numFmt w:val="lowerLetter"/>
      <w:lvlText w:val="%5."/>
      <w:lvlJc w:val="left"/>
      <w:pPr>
        <w:ind w:left="3600" w:hanging="360"/>
        <w:jc w:val="both"/>
      </w:pPr>
    </w:lvl>
    <w:lvl w:ilvl="5" w:tplc="AC7A6CE0">
      <w:start w:val="1"/>
      <w:numFmt w:val="lowerRoman"/>
      <w:lvlText w:val="%6."/>
      <w:lvlJc w:val="right"/>
      <w:pPr>
        <w:ind w:left="4320" w:hanging="180"/>
        <w:jc w:val="both"/>
      </w:pPr>
    </w:lvl>
    <w:lvl w:ilvl="6" w:tplc="2F1828CC">
      <w:start w:val="1"/>
      <w:numFmt w:val="decimal"/>
      <w:lvlText w:val="%7."/>
      <w:lvlJc w:val="left"/>
      <w:pPr>
        <w:ind w:left="5040" w:hanging="360"/>
        <w:jc w:val="both"/>
      </w:pPr>
    </w:lvl>
    <w:lvl w:ilvl="7" w:tplc="9F8E9020">
      <w:start w:val="1"/>
      <w:numFmt w:val="lowerLetter"/>
      <w:lvlText w:val="%8."/>
      <w:lvlJc w:val="left"/>
      <w:pPr>
        <w:ind w:left="5760" w:hanging="360"/>
        <w:jc w:val="both"/>
      </w:pPr>
    </w:lvl>
    <w:lvl w:ilvl="8" w:tplc="8116BF24">
      <w:start w:val="1"/>
      <w:numFmt w:val="lowerRoman"/>
      <w:lvlText w:val="%9."/>
      <w:lvlJc w:val="right"/>
      <w:pPr>
        <w:ind w:left="6480" w:hanging="180"/>
        <w:jc w:val="both"/>
      </w:pPr>
    </w:lvl>
  </w:abstractNum>
  <w:abstractNum w:abstractNumId="19" w15:restartNumberingAfterBreak="0">
    <w:nsid w:val="2F000012"/>
    <w:multiLevelType w:val="hybridMultilevel"/>
    <w:tmpl w:val="329AC6E1"/>
    <w:lvl w:ilvl="0" w:tplc="4BFA38E8">
      <w:start w:val="1"/>
      <w:numFmt w:val="bullet"/>
      <w:lvlText w:val="·"/>
      <w:lvlJc w:val="left"/>
      <w:pPr>
        <w:ind w:left="720" w:hanging="360"/>
        <w:jc w:val="both"/>
      </w:pPr>
      <w:rPr>
        <w:rFonts w:ascii="Symbol" w:eastAsia="Symbol" w:hAnsi="Symbol"/>
        <w:w w:val="100"/>
        <w:sz w:val="20"/>
        <w:szCs w:val="20"/>
        <w:shd w:val="clear" w:color="000000" w:fill="auto"/>
      </w:rPr>
    </w:lvl>
    <w:lvl w:ilvl="1" w:tplc="A8FC7168">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7765A36">
      <w:start w:val="1"/>
      <w:numFmt w:val="bullet"/>
      <w:lvlText w:val="§"/>
      <w:lvlJc w:val="left"/>
      <w:pPr>
        <w:ind w:left="2160" w:hanging="360"/>
        <w:jc w:val="both"/>
      </w:pPr>
      <w:rPr>
        <w:rFonts w:ascii="Wingdings" w:eastAsia="Wingdings" w:hAnsi="Wingdings"/>
        <w:w w:val="100"/>
        <w:sz w:val="20"/>
        <w:szCs w:val="20"/>
        <w:shd w:val="clear" w:color="000000" w:fill="auto"/>
      </w:rPr>
    </w:lvl>
    <w:lvl w:ilvl="3" w:tplc="46AEE90A">
      <w:start w:val="1"/>
      <w:numFmt w:val="bullet"/>
      <w:lvlText w:val="·"/>
      <w:lvlJc w:val="left"/>
      <w:pPr>
        <w:ind w:left="2880" w:hanging="360"/>
        <w:jc w:val="both"/>
      </w:pPr>
      <w:rPr>
        <w:rFonts w:ascii="Symbol" w:eastAsia="Symbol" w:hAnsi="Symbol"/>
        <w:w w:val="100"/>
        <w:sz w:val="20"/>
        <w:szCs w:val="20"/>
        <w:shd w:val="clear" w:color="000000" w:fill="auto"/>
      </w:rPr>
    </w:lvl>
    <w:lvl w:ilvl="4" w:tplc="B33CBA60">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8E62B9EC">
      <w:start w:val="1"/>
      <w:numFmt w:val="bullet"/>
      <w:lvlText w:val="§"/>
      <w:lvlJc w:val="left"/>
      <w:pPr>
        <w:ind w:left="4320" w:hanging="360"/>
        <w:jc w:val="both"/>
      </w:pPr>
      <w:rPr>
        <w:rFonts w:ascii="Wingdings" w:eastAsia="Wingdings" w:hAnsi="Wingdings"/>
        <w:w w:val="100"/>
        <w:sz w:val="20"/>
        <w:szCs w:val="20"/>
        <w:shd w:val="clear" w:color="000000" w:fill="auto"/>
      </w:rPr>
    </w:lvl>
    <w:lvl w:ilvl="6" w:tplc="04325E06">
      <w:start w:val="1"/>
      <w:numFmt w:val="bullet"/>
      <w:lvlText w:val="·"/>
      <w:lvlJc w:val="left"/>
      <w:pPr>
        <w:ind w:left="5040" w:hanging="360"/>
        <w:jc w:val="both"/>
      </w:pPr>
      <w:rPr>
        <w:rFonts w:ascii="Symbol" w:eastAsia="Symbol" w:hAnsi="Symbol"/>
        <w:w w:val="100"/>
        <w:sz w:val="20"/>
        <w:szCs w:val="20"/>
        <w:shd w:val="clear" w:color="000000" w:fill="auto"/>
      </w:rPr>
    </w:lvl>
    <w:lvl w:ilvl="7" w:tplc="9BBC002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C720945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0" w15:restartNumberingAfterBreak="0">
    <w:nsid w:val="2F000013"/>
    <w:multiLevelType w:val="hybridMultilevel"/>
    <w:tmpl w:val="357708A8"/>
    <w:lvl w:ilvl="0" w:tplc="5DC60752">
      <w:start w:val="1"/>
      <w:numFmt w:val="bullet"/>
      <w:lvlText w:val="·"/>
      <w:lvlJc w:val="left"/>
      <w:pPr>
        <w:ind w:left="720" w:hanging="360"/>
        <w:jc w:val="both"/>
      </w:pPr>
      <w:rPr>
        <w:rFonts w:ascii="Symbol" w:eastAsia="Symbol" w:hAnsi="Symbol"/>
        <w:w w:val="100"/>
        <w:sz w:val="20"/>
        <w:szCs w:val="20"/>
        <w:shd w:val="clear" w:color="000000" w:fill="auto"/>
      </w:rPr>
    </w:lvl>
    <w:lvl w:ilvl="1" w:tplc="55422B9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3E1E820A">
      <w:start w:val="1"/>
      <w:numFmt w:val="bullet"/>
      <w:lvlText w:val="§"/>
      <w:lvlJc w:val="left"/>
      <w:pPr>
        <w:ind w:left="2160" w:hanging="360"/>
        <w:jc w:val="both"/>
      </w:pPr>
      <w:rPr>
        <w:rFonts w:ascii="Wingdings" w:eastAsia="Wingdings" w:hAnsi="Wingdings"/>
        <w:w w:val="100"/>
        <w:sz w:val="20"/>
        <w:szCs w:val="20"/>
        <w:shd w:val="clear" w:color="000000" w:fill="auto"/>
      </w:rPr>
    </w:lvl>
    <w:lvl w:ilvl="3" w:tplc="2E5ABD78">
      <w:start w:val="1"/>
      <w:numFmt w:val="bullet"/>
      <w:lvlText w:val="·"/>
      <w:lvlJc w:val="left"/>
      <w:pPr>
        <w:ind w:left="2880" w:hanging="360"/>
        <w:jc w:val="both"/>
      </w:pPr>
      <w:rPr>
        <w:rFonts w:ascii="Symbol" w:eastAsia="Symbol" w:hAnsi="Symbol"/>
        <w:w w:val="100"/>
        <w:sz w:val="20"/>
        <w:szCs w:val="20"/>
        <w:shd w:val="clear" w:color="000000" w:fill="auto"/>
      </w:rPr>
    </w:lvl>
    <w:lvl w:ilvl="4" w:tplc="42B0E172">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6CD838E0">
      <w:start w:val="1"/>
      <w:numFmt w:val="bullet"/>
      <w:lvlText w:val="§"/>
      <w:lvlJc w:val="left"/>
      <w:pPr>
        <w:ind w:left="4320" w:hanging="360"/>
        <w:jc w:val="both"/>
      </w:pPr>
      <w:rPr>
        <w:rFonts w:ascii="Wingdings" w:eastAsia="Wingdings" w:hAnsi="Wingdings"/>
        <w:w w:val="100"/>
        <w:sz w:val="20"/>
        <w:szCs w:val="20"/>
        <w:shd w:val="clear" w:color="000000" w:fill="auto"/>
      </w:rPr>
    </w:lvl>
    <w:lvl w:ilvl="6" w:tplc="6EDE9BF8">
      <w:start w:val="1"/>
      <w:numFmt w:val="bullet"/>
      <w:lvlText w:val="·"/>
      <w:lvlJc w:val="left"/>
      <w:pPr>
        <w:ind w:left="5040" w:hanging="360"/>
        <w:jc w:val="both"/>
      </w:pPr>
      <w:rPr>
        <w:rFonts w:ascii="Symbol" w:eastAsia="Symbol" w:hAnsi="Symbol"/>
        <w:w w:val="100"/>
        <w:sz w:val="20"/>
        <w:szCs w:val="20"/>
        <w:shd w:val="clear" w:color="000000" w:fill="auto"/>
      </w:rPr>
    </w:lvl>
    <w:lvl w:ilvl="7" w:tplc="0B5891D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F70E983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1" w15:restartNumberingAfterBreak="0">
    <w:nsid w:val="2F000014"/>
    <w:multiLevelType w:val="hybridMultilevel"/>
    <w:tmpl w:val="3FD979F1"/>
    <w:lvl w:ilvl="0" w:tplc="1AC449FE">
      <w:start w:val="3"/>
      <w:numFmt w:val="lowerLetter"/>
      <w:lvlText w:val="%1."/>
      <w:lvlJc w:val="left"/>
      <w:pPr>
        <w:ind w:left="720" w:hanging="360"/>
        <w:jc w:val="both"/>
      </w:pPr>
      <w:rPr>
        <w:w w:val="100"/>
        <w:sz w:val="20"/>
        <w:szCs w:val="20"/>
        <w:shd w:val="clear" w:color="000000" w:fill="auto"/>
      </w:rPr>
    </w:lvl>
    <w:lvl w:ilvl="1" w:tplc="E79E387A">
      <w:start w:val="1"/>
      <w:numFmt w:val="lowerLetter"/>
      <w:lvlText w:val="%2."/>
      <w:lvlJc w:val="left"/>
      <w:pPr>
        <w:ind w:left="1440" w:hanging="360"/>
        <w:jc w:val="both"/>
      </w:pPr>
    </w:lvl>
    <w:lvl w:ilvl="2" w:tplc="19FE6BFE">
      <w:start w:val="1"/>
      <w:numFmt w:val="lowerRoman"/>
      <w:lvlText w:val="%3."/>
      <w:lvlJc w:val="right"/>
      <w:pPr>
        <w:ind w:left="2160" w:hanging="180"/>
        <w:jc w:val="both"/>
      </w:pPr>
    </w:lvl>
    <w:lvl w:ilvl="3" w:tplc="67000654">
      <w:start w:val="1"/>
      <w:numFmt w:val="decimal"/>
      <w:lvlText w:val="%4."/>
      <w:lvlJc w:val="left"/>
      <w:pPr>
        <w:ind w:left="2880" w:hanging="360"/>
        <w:jc w:val="both"/>
      </w:pPr>
    </w:lvl>
    <w:lvl w:ilvl="4" w:tplc="1F10EDFE">
      <w:start w:val="1"/>
      <w:numFmt w:val="lowerLetter"/>
      <w:lvlText w:val="%5."/>
      <w:lvlJc w:val="left"/>
      <w:pPr>
        <w:ind w:left="3600" w:hanging="360"/>
        <w:jc w:val="both"/>
      </w:pPr>
    </w:lvl>
    <w:lvl w:ilvl="5" w:tplc="E60AAD66">
      <w:start w:val="1"/>
      <w:numFmt w:val="lowerRoman"/>
      <w:lvlText w:val="%6."/>
      <w:lvlJc w:val="right"/>
      <w:pPr>
        <w:ind w:left="4320" w:hanging="180"/>
        <w:jc w:val="both"/>
      </w:pPr>
    </w:lvl>
    <w:lvl w:ilvl="6" w:tplc="9BACBF3E">
      <w:start w:val="1"/>
      <w:numFmt w:val="decimal"/>
      <w:lvlText w:val="%7."/>
      <w:lvlJc w:val="left"/>
      <w:pPr>
        <w:ind w:left="5040" w:hanging="360"/>
        <w:jc w:val="both"/>
      </w:pPr>
    </w:lvl>
    <w:lvl w:ilvl="7" w:tplc="2D3CD590">
      <w:start w:val="1"/>
      <w:numFmt w:val="lowerLetter"/>
      <w:lvlText w:val="%8."/>
      <w:lvlJc w:val="left"/>
      <w:pPr>
        <w:ind w:left="5760" w:hanging="360"/>
        <w:jc w:val="both"/>
      </w:pPr>
    </w:lvl>
    <w:lvl w:ilvl="8" w:tplc="96D61960">
      <w:start w:val="1"/>
      <w:numFmt w:val="lowerRoman"/>
      <w:lvlText w:val="%9."/>
      <w:lvlJc w:val="right"/>
      <w:pPr>
        <w:ind w:left="6480" w:hanging="180"/>
        <w:jc w:val="both"/>
      </w:pPr>
    </w:lvl>
  </w:abstractNum>
  <w:abstractNum w:abstractNumId="22" w15:restartNumberingAfterBreak="0">
    <w:nsid w:val="2F000015"/>
    <w:multiLevelType w:val="hybridMultilevel"/>
    <w:tmpl w:val="44D4CE10"/>
    <w:lvl w:ilvl="0" w:tplc="AFD89FE6">
      <w:start w:val="1"/>
      <w:numFmt w:val="bullet"/>
      <w:lvlText w:val="·"/>
      <w:lvlJc w:val="left"/>
      <w:pPr>
        <w:ind w:left="720" w:hanging="360"/>
        <w:jc w:val="both"/>
      </w:pPr>
      <w:rPr>
        <w:rFonts w:ascii="Symbol" w:eastAsia="Symbol" w:hAnsi="Symbol"/>
        <w:w w:val="100"/>
        <w:sz w:val="20"/>
        <w:szCs w:val="20"/>
        <w:shd w:val="clear" w:color="000000" w:fill="auto"/>
      </w:rPr>
    </w:lvl>
    <w:lvl w:ilvl="1" w:tplc="A8462B4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249CD8E0">
      <w:start w:val="1"/>
      <w:numFmt w:val="bullet"/>
      <w:lvlText w:val="§"/>
      <w:lvlJc w:val="left"/>
      <w:pPr>
        <w:ind w:left="2160" w:hanging="360"/>
        <w:jc w:val="both"/>
      </w:pPr>
      <w:rPr>
        <w:rFonts w:ascii="Wingdings" w:eastAsia="Wingdings" w:hAnsi="Wingdings"/>
        <w:w w:val="100"/>
        <w:sz w:val="20"/>
        <w:szCs w:val="20"/>
        <w:shd w:val="clear" w:color="000000" w:fill="auto"/>
      </w:rPr>
    </w:lvl>
    <w:lvl w:ilvl="3" w:tplc="A418DF8E">
      <w:start w:val="1"/>
      <w:numFmt w:val="bullet"/>
      <w:lvlText w:val="·"/>
      <w:lvlJc w:val="left"/>
      <w:pPr>
        <w:ind w:left="2880" w:hanging="360"/>
        <w:jc w:val="both"/>
      </w:pPr>
      <w:rPr>
        <w:rFonts w:ascii="Symbol" w:eastAsia="Symbol" w:hAnsi="Symbol"/>
        <w:w w:val="100"/>
        <w:sz w:val="20"/>
        <w:szCs w:val="20"/>
        <w:shd w:val="clear" w:color="000000" w:fill="auto"/>
      </w:rPr>
    </w:lvl>
    <w:lvl w:ilvl="4" w:tplc="DDC68D0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10EE00">
      <w:start w:val="1"/>
      <w:numFmt w:val="bullet"/>
      <w:lvlText w:val="§"/>
      <w:lvlJc w:val="left"/>
      <w:pPr>
        <w:ind w:left="4320" w:hanging="360"/>
        <w:jc w:val="both"/>
      </w:pPr>
      <w:rPr>
        <w:rFonts w:ascii="Wingdings" w:eastAsia="Wingdings" w:hAnsi="Wingdings"/>
        <w:w w:val="100"/>
        <w:sz w:val="20"/>
        <w:szCs w:val="20"/>
        <w:shd w:val="clear" w:color="000000" w:fill="auto"/>
      </w:rPr>
    </w:lvl>
    <w:lvl w:ilvl="6" w:tplc="27D8F62C">
      <w:start w:val="1"/>
      <w:numFmt w:val="bullet"/>
      <w:lvlText w:val="·"/>
      <w:lvlJc w:val="left"/>
      <w:pPr>
        <w:ind w:left="5040" w:hanging="360"/>
        <w:jc w:val="both"/>
      </w:pPr>
      <w:rPr>
        <w:rFonts w:ascii="Symbol" w:eastAsia="Symbol" w:hAnsi="Symbol"/>
        <w:w w:val="100"/>
        <w:sz w:val="20"/>
        <w:szCs w:val="20"/>
        <w:shd w:val="clear" w:color="000000" w:fill="auto"/>
      </w:rPr>
    </w:lvl>
    <w:lvl w:ilvl="7" w:tplc="80164E3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009E2946">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3" w15:restartNumberingAfterBreak="0">
    <w:nsid w:val="2F000016"/>
    <w:multiLevelType w:val="hybridMultilevel"/>
    <w:tmpl w:val="55248FD7"/>
    <w:lvl w:ilvl="0" w:tplc="46F456A6">
      <w:numFmt w:val="bullet"/>
      <w:lvlText w:val="-"/>
      <w:lvlJc w:val="left"/>
      <w:pPr>
        <w:ind w:left="720" w:hanging="360"/>
        <w:jc w:val="both"/>
      </w:pPr>
      <w:rPr>
        <w:rFonts w:ascii="Calibri" w:eastAsia="Calibri" w:hAnsi="Calibri"/>
        <w:w w:val="100"/>
        <w:sz w:val="20"/>
        <w:szCs w:val="20"/>
        <w:shd w:val="clear" w:color="000000" w:fill="auto"/>
      </w:rPr>
    </w:lvl>
    <w:lvl w:ilvl="1" w:tplc="8744C9F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F40AD0BA">
      <w:start w:val="1"/>
      <w:numFmt w:val="bullet"/>
      <w:lvlText w:val="§"/>
      <w:lvlJc w:val="left"/>
      <w:pPr>
        <w:ind w:left="2160" w:hanging="360"/>
        <w:jc w:val="both"/>
      </w:pPr>
      <w:rPr>
        <w:rFonts w:ascii="Wingdings" w:eastAsia="Wingdings" w:hAnsi="Wingdings"/>
        <w:w w:val="100"/>
        <w:sz w:val="20"/>
        <w:szCs w:val="20"/>
        <w:shd w:val="clear" w:color="000000" w:fill="auto"/>
      </w:rPr>
    </w:lvl>
    <w:lvl w:ilvl="3" w:tplc="FC247672">
      <w:start w:val="1"/>
      <w:numFmt w:val="bullet"/>
      <w:lvlText w:val="·"/>
      <w:lvlJc w:val="left"/>
      <w:pPr>
        <w:ind w:left="2880" w:hanging="360"/>
        <w:jc w:val="both"/>
      </w:pPr>
      <w:rPr>
        <w:rFonts w:ascii="Symbol" w:eastAsia="Symbol" w:hAnsi="Symbol"/>
        <w:w w:val="100"/>
        <w:sz w:val="20"/>
        <w:szCs w:val="20"/>
        <w:shd w:val="clear" w:color="000000" w:fill="auto"/>
      </w:rPr>
    </w:lvl>
    <w:lvl w:ilvl="4" w:tplc="7744F1A6">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6B09306">
      <w:start w:val="1"/>
      <w:numFmt w:val="bullet"/>
      <w:lvlText w:val="§"/>
      <w:lvlJc w:val="left"/>
      <w:pPr>
        <w:ind w:left="4320" w:hanging="360"/>
        <w:jc w:val="both"/>
      </w:pPr>
      <w:rPr>
        <w:rFonts w:ascii="Wingdings" w:eastAsia="Wingdings" w:hAnsi="Wingdings"/>
        <w:w w:val="100"/>
        <w:sz w:val="20"/>
        <w:szCs w:val="20"/>
        <w:shd w:val="clear" w:color="000000" w:fill="auto"/>
      </w:rPr>
    </w:lvl>
    <w:lvl w:ilvl="6" w:tplc="B782A364">
      <w:start w:val="1"/>
      <w:numFmt w:val="bullet"/>
      <w:lvlText w:val="·"/>
      <w:lvlJc w:val="left"/>
      <w:pPr>
        <w:ind w:left="5040" w:hanging="360"/>
        <w:jc w:val="both"/>
      </w:pPr>
      <w:rPr>
        <w:rFonts w:ascii="Symbol" w:eastAsia="Symbol" w:hAnsi="Symbol"/>
        <w:w w:val="100"/>
        <w:sz w:val="20"/>
        <w:szCs w:val="20"/>
        <w:shd w:val="clear" w:color="000000" w:fill="auto"/>
      </w:rPr>
    </w:lvl>
    <w:lvl w:ilvl="7" w:tplc="DEDA119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A52B44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4" w15:restartNumberingAfterBreak="0">
    <w:nsid w:val="2F000017"/>
    <w:multiLevelType w:val="hybridMultilevel"/>
    <w:tmpl w:val="395F8806"/>
    <w:lvl w:ilvl="0" w:tplc="411666D4">
      <w:start w:val="1"/>
      <w:numFmt w:val="decimal"/>
      <w:lvlText w:val="%1)"/>
      <w:lvlJc w:val="left"/>
      <w:pPr>
        <w:ind w:left="720" w:hanging="360"/>
        <w:jc w:val="both"/>
      </w:pPr>
      <w:rPr>
        <w:w w:val="100"/>
        <w:sz w:val="20"/>
        <w:szCs w:val="20"/>
        <w:shd w:val="clear" w:color="000000" w:fill="auto"/>
      </w:rPr>
    </w:lvl>
    <w:lvl w:ilvl="1" w:tplc="4714271C">
      <w:start w:val="1"/>
      <w:numFmt w:val="lowerLetter"/>
      <w:lvlText w:val="%2."/>
      <w:lvlJc w:val="left"/>
      <w:pPr>
        <w:ind w:left="1440" w:hanging="360"/>
        <w:jc w:val="both"/>
      </w:pPr>
    </w:lvl>
    <w:lvl w:ilvl="2" w:tplc="AFD86B68">
      <w:start w:val="1"/>
      <w:numFmt w:val="lowerRoman"/>
      <w:lvlText w:val="%3."/>
      <w:lvlJc w:val="right"/>
      <w:pPr>
        <w:ind w:left="2160" w:hanging="180"/>
        <w:jc w:val="both"/>
      </w:pPr>
    </w:lvl>
    <w:lvl w:ilvl="3" w:tplc="1422A9AE">
      <w:start w:val="1"/>
      <w:numFmt w:val="decimal"/>
      <w:lvlText w:val="%4."/>
      <w:lvlJc w:val="left"/>
      <w:pPr>
        <w:ind w:left="2880" w:hanging="360"/>
        <w:jc w:val="both"/>
      </w:pPr>
    </w:lvl>
    <w:lvl w:ilvl="4" w:tplc="1FF66D44">
      <w:start w:val="1"/>
      <w:numFmt w:val="lowerLetter"/>
      <w:lvlText w:val="%5."/>
      <w:lvlJc w:val="left"/>
      <w:pPr>
        <w:ind w:left="3600" w:hanging="360"/>
        <w:jc w:val="both"/>
      </w:pPr>
    </w:lvl>
    <w:lvl w:ilvl="5" w:tplc="3CE0EC70">
      <w:start w:val="1"/>
      <w:numFmt w:val="lowerRoman"/>
      <w:lvlText w:val="%6."/>
      <w:lvlJc w:val="right"/>
      <w:pPr>
        <w:ind w:left="4320" w:hanging="180"/>
        <w:jc w:val="both"/>
      </w:pPr>
    </w:lvl>
    <w:lvl w:ilvl="6" w:tplc="07FC8BC0">
      <w:start w:val="1"/>
      <w:numFmt w:val="decimal"/>
      <w:lvlText w:val="%7."/>
      <w:lvlJc w:val="left"/>
      <w:pPr>
        <w:ind w:left="5040" w:hanging="360"/>
        <w:jc w:val="both"/>
      </w:pPr>
    </w:lvl>
    <w:lvl w:ilvl="7" w:tplc="D2941DD8">
      <w:start w:val="1"/>
      <w:numFmt w:val="lowerLetter"/>
      <w:lvlText w:val="%8."/>
      <w:lvlJc w:val="left"/>
      <w:pPr>
        <w:ind w:left="5760" w:hanging="360"/>
        <w:jc w:val="both"/>
      </w:pPr>
    </w:lvl>
    <w:lvl w:ilvl="8" w:tplc="3216F5C4">
      <w:start w:val="1"/>
      <w:numFmt w:val="lowerRoman"/>
      <w:lvlText w:val="%9."/>
      <w:lvlJc w:val="right"/>
      <w:pPr>
        <w:ind w:left="6480" w:hanging="180"/>
        <w:jc w:val="both"/>
      </w:pPr>
    </w:lvl>
  </w:abstractNum>
  <w:abstractNum w:abstractNumId="25" w15:restartNumberingAfterBreak="0">
    <w:nsid w:val="2F000018"/>
    <w:multiLevelType w:val="hybridMultilevel"/>
    <w:tmpl w:val="54DB4F70"/>
    <w:lvl w:ilvl="0" w:tplc="F716B0DA">
      <w:start w:val="1"/>
      <w:numFmt w:val="bullet"/>
      <w:lvlText w:val="·"/>
      <w:lvlJc w:val="left"/>
      <w:pPr>
        <w:ind w:left="720" w:hanging="360"/>
        <w:jc w:val="both"/>
      </w:pPr>
      <w:rPr>
        <w:rFonts w:ascii="Symbol" w:eastAsia="Symbol" w:hAnsi="Symbol"/>
        <w:w w:val="100"/>
        <w:sz w:val="20"/>
        <w:szCs w:val="20"/>
        <w:shd w:val="clear" w:color="000000" w:fill="auto"/>
      </w:rPr>
    </w:lvl>
    <w:lvl w:ilvl="1" w:tplc="15302FE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999C689A">
      <w:start w:val="1"/>
      <w:numFmt w:val="bullet"/>
      <w:lvlText w:val="§"/>
      <w:lvlJc w:val="left"/>
      <w:pPr>
        <w:ind w:left="2160" w:hanging="360"/>
        <w:jc w:val="both"/>
      </w:pPr>
      <w:rPr>
        <w:rFonts w:ascii="Wingdings" w:eastAsia="Wingdings" w:hAnsi="Wingdings"/>
        <w:w w:val="100"/>
        <w:sz w:val="20"/>
        <w:szCs w:val="20"/>
        <w:shd w:val="clear" w:color="000000" w:fill="auto"/>
      </w:rPr>
    </w:lvl>
    <w:lvl w:ilvl="3" w:tplc="66C861BE">
      <w:start w:val="1"/>
      <w:numFmt w:val="bullet"/>
      <w:lvlText w:val="·"/>
      <w:lvlJc w:val="left"/>
      <w:pPr>
        <w:ind w:left="2880" w:hanging="360"/>
        <w:jc w:val="both"/>
      </w:pPr>
      <w:rPr>
        <w:rFonts w:ascii="Symbol" w:eastAsia="Symbol" w:hAnsi="Symbol"/>
        <w:w w:val="100"/>
        <w:sz w:val="20"/>
        <w:szCs w:val="20"/>
        <w:shd w:val="clear" w:color="000000" w:fill="auto"/>
      </w:rPr>
    </w:lvl>
    <w:lvl w:ilvl="4" w:tplc="433E1DE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66A6BEA">
      <w:start w:val="1"/>
      <w:numFmt w:val="bullet"/>
      <w:lvlText w:val="§"/>
      <w:lvlJc w:val="left"/>
      <w:pPr>
        <w:ind w:left="4320" w:hanging="360"/>
        <w:jc w:val="both"/>
      </w:pPr>
      <w:rPr>
        <w:rFonts w:ascii="Wingdings" w:eastAsia="Wingdings" w:hAnsi="Wingdings"/>
        <w:w w:val="100"/>
        <w:sz w:val="20"/>
        <w:szCs w:val="20"/>
        <w:shd w:val="clear" w:color="000000" w:fill="auto"/>
      </w:rPr>
    </w:lvl>
    <w:lvl w:ilvl="6" w:tplc="8FFC4AE4">
      <w:start w:val="1"/>
      <w:numFmt w:val="bullet"/>
      <w:lvlText w:val="·"/>
      <w:lvlJc w:val="left"/>
      <w:pPr>
        <w:ind w:left="5040" w:hanging="360"/>
        <w:jc w:val="both"/>
      </w:pPr>
      <w:rPr>
        <w:rFonts w:ascii="Symbol" w:eastAsia="Symbol" w:hAnsi="Symbol"/>
        <w:w w:val="100"/>
        <w:sz w:val="20"/>
        <w:szCs w:val="20"/>
        <w:shd w:val="clear" w:color="000000" w:fill="auto"/>
      </w:rPr>
    </w:lvl>
    <w:lvl w:ilvl="7" w:tplc="7458C8F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400FB6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6" w15:restartNumberingAfterBreak="0">
    <w:nsid w:val="2F000019"/>
    <w:multiLevelType w:val="multilevel"/>
    <w:tmpl w:val="303C7E83"/>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077"/>
        </w:tabs>
        <w:ind w:left="1077" w:hanging="601"/>
        <w:jc w:val="both"/>
      </w:pPr>
    </w:lvl>
    <w:lvl w:ilvl="2">
      <w:start w:val="1"/>
      <w:numFmt w:val="decimal"/>
      <w:pStyle w:val="Heading3"/>
      <w:lvlText w:val="%1.%2.%3."/>
      <w:lvlJc w:val="left"/>
      <w:pPr>
        <w:tabs>
          <w:tab w:val="left" w:pos="1690"/>
        </w:tabs>
        <w:ind w:left="1690"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7" w15:restartNumberingAfterBreak="0">
    <w:nsid w:val="2F00001A"/>
    <w:multiLevelType w:val="hybridMultilevel"/>
    <w:tmpl w:val="3995D34C"/>
    <w:lvl w:ilvl="0" w:tplc="21B2FA16">
      <w:start w:val="1"/>
      <w:numFmt w:val="bullet"/>
      <w:lvlText w:val="·"/>
      <w:lvlJc w:val="left"/>
      <w:pPr>
        <w:ind w:left="720" w:hanging="360"/>
        <w:jc w:val="both"/>
      </w:pPr>
      <w:rPr>
        <w:rFonts w:ascii="Symbol" w:eastAsia="Symbol" w:hAnsi="Symbol"/>
        <w:w w:val="100"/>
        <w:sz w:val="20"/>
        <w:szCs w:val="20"/>
        <w:shd w:val="clear" w:color="000000" w:fill="auto"/>
      </w:rPr>
    </w:lvl>
    <w:lvl w:ilvl="1" w:tplc="C28281B0">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CD745854">
      <w:start w:val="1"/>
      <w:numFmt w:val="bullet"/>
      <w:lvlText w:val="§"/>
      <w:lvlJc w:val="left"/>
      <w:pPr>
        <w:ind w:left="2160" w:hanging="360"/>
        <w:jc w:val="both"/>
      </w:pPr>
      <w:rPr>
        <w:rFonts w:ascii="Wingdings" w:eastAsia="Wingdings" w:hAnsi="Wingdings"/>
        <w:w w:val="100"/>
        <w:sz w:val="20"/>
        <w:szCs w:val="20"/>
        <w:shd w:val="clear" w:color="000000" w:fill="auto"/>
      </w:rPr>
    </w:lvl>
    <w:lvl w:ilvl="3" w:tplc="2048EA9E">
      <w:start w:val="1"/>
      <w:numFmt w:val="bullet"/>
      <w:lvlText w:val="·"/>
      <w:lvlJc w:val="left"/>
      <w:pPr>
        <w:ind w:left="2880" w:hanging="360"/>
        <w:jc w:val="both"/>
      </w:pPr>
      <w:rPr>
        <w:rFonts w:ascii="Symbol" w:eastAsia="Symbol" w:hAnsi="Symbol"/>
        <w:w w:val="100"/>
        <w:sz w:val="20"/>
        <w:szCs w:val="20"/>
        <w:shd w:val="clear" w:color="000000" w:fill="auto"/>
      </w:rPr>
    </w:lvl>
    <w:lvl w:ilvl="4" w:tplc="68D6408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DF14C0FC">
      <w:start w:val="1"/>
      <w:numFmt w:val="bullet"/>
      <w:lvlText w:val="§"/>
      <w:lvlJc w:val="left"/>
      <w:pPr>
        <w:ind w:left="4320" w:hanging="360"/>
        <w:jc w:val="both"/>
      </w:pPr>
      <w:rPr>
        <w:rFonts w:ascii="Wingdings" w:eastAsia="Wingdings" w:hAnsi="Wingdings"/>
        <w:w w:val="100"/>
        <w:sz w:val="20"/>
        <w:szCs w:val="20"/>
        <w:shd w:val="clear" w:color="000000" w:fill="auto"/>
      </w:rPr>
    </w:lvl>
    <w:lvl w:ilvl="6" w:tplc="F3FEDF7E">
      <w:start w:val="1"/>
      <w:numFmt w:val="bullet"/>
      <w:lvlText w:val="·"/>
      <w:lvlJc w:val="left"/>
      <w:pPr>
        <w:ind w:left="5040" w:hanging="360"/>
        <w:jc w:val="both"/>
      </w:pPr>
      <w:rPr>
        <w:rFonts w:ascii="Symbol" w:eastAsia="Symbol" w:hAnsi="Symbol"/>
        <w:w w:val="100"/>
        <w:sz w:val="20"/>
        <w:szCs w:val="20"/>
        <w:shd w:val="clear" w:color="000000" w:fill="auto"/>
      </w:rPr>
    </w:lvl>
    <w:lvl w:ilvl="7" w:tplc="A39E654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45E085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8" w15:restartNumberingAfterBreak="0">
    <w:nsid w:val="2F00001B"/>
    <w:multiLevelType w:val="hybridMultilevel"/>
    <w:tmpl w:val="41633036"/>
    <w:lvl w:ilvl="0" w:tplc="03424366">
      <w:start w:val="9"/>
      <w:numFmt w:val="bullet"/>
      <w:lvlText w:val="-"/>
      <w:lvlJc w:val="left"/>
      <w:pPr>
        <w:ind w:left="720" w:hanging="360"/>
        <w:jc w:val="both"/>
      </w:pPr>
      <w:rPr>
        <w:rFonts w:ascii="Calibri" w:eastAsia="Calibri" w:hAnsi="Calibri"/>
        <w:w w:val="100"/>
        <w:sz w:val="20"/>
        <w:szCs w:val="20"/>
        <w:shd w:val="clear" w:color="auto" w:fill="auto"/>
      </w:rPr>
    </w:lvl>
    <w:lvl w:ilvl="1" w:tplc="1568B8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11EE64C">
      <w:start w:val="1"/>
      <w:numFmt w:val="bullet"/>
      <w:lvlText w:val="§"/>
      <w:lvlJc w:val="left"/>
      <w:pPr>
        <w:ind w:left="2160" w:hanging="360"/>
        <w:jc w:val="both"/>
      </w:pPr>
      <w:rPr>
        <w:rFonts w:ascii="Wingdings" w:eastAsia="Wingdings" w:hAnsi="Wingdings"/>
        <w:w w:val="100"/>
        <w:sz w:val="20"/>
        <w:szCs w:val="20"/>
        <w:shd w:val="clear" w:color="auto" w:fill="auto"/>
      </w:rPr>
    </w:lvl>
    <w:lvl w:ilvl="3" w:tplc="85EE8828">
      <w:start w:val="1"/>
      <w:numFmt w:val="bullet"/>
      <w:lvlText w:val="·"/>
      <w:lvlJc w:val="left"/>
      <w:pPr>
        <w:ind w:left="2880" w:hanging="360"/>
        <w:jc w:val="both"/>
      </w:pPr>
      <w:rPr>
        <w:rFonts w:ascii="Symbol" w:eastAsia="Symbol" w:hAnsi="Symbol"/>
        <w:w w:val="100"/>
        <w:sz w:val="20"/>
        <w:szCs w:val="20"/>
        <w:shd w:val="clear" w:color="auto" w:fill="auto"/>
      </w:rPr>
    </w:lvl>
    <w:lvl w:ilvl="4" w:tplc="08ECC82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3161204">
      <w:start w:val="1"/>
      <w:numFmt w:val="bullet"/>
      <w:lvlText w:val="§"/>
      <w:lvlJc w:val="left"/>
      <w:pPr>
        <w:ind w:left="4320" w:hanging="360"/>
        <w:jc w:val="both"/>
      </w:pPr>
      <w:rPr>
        <w:rFonts w:ascii="Wingdings" w:eastAsia="Wingdings" w:hAnsi="Wingdings"/>
        <w:w w:val="100"/>
        <w:sz w:val="20"/>
        <w:szCs w:val="20"/>
        <w:shd w:val="clear" w:color="auto" w:fill="auto"/>
      </w:rPr>
    </w:lvl>
    <w:lvl w:ilvl="6" w:tplc="79B219D4">
      <w:start w:val="1"/>
      <w:numFmt w:val="bullet"/>
      <w:lvlText w:val="·"/>
      <w:lvlJc w:val="left"/>
      <w:pPr>
        <w:ind w:left="5040" w:hanging="360"/>
        <w:jc w:val="both"/>
      </w:pPr>
      <w:rPr>
        <w:rFonts w:ascii="Symbol" w:eastAsia="Symbol" w:hAnsi="Symbol"/>
        <w:w w:val="100"/>
        <w:sz w:val="20"/>
        <w:szCs w:val="20"/>
        <w:shd w:val="clear" w:color="auto" w:fill="auto"/>
      </w:rPr>
    </w:lvl>
    <w:lvl w:ilvl="7" w:tplc="23D60A9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43C88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9" w15:restartNumberingAfterBreak="0">
    <w:nsid w:val="2F00001C"/>
    <w:multiLevelType w:val="hybridMultilevel"/>
    <w:tmpl w:val="3CF25BB0"/>
    <w:lvl w:ilvl="0" w:tplc="BA76D6E6">
      <w:start w:val="1"/>
      <w:numFmt w:val="bullet"/>
      <w:lvlText w:val="·"/>
      <w:lvlJc w:val="left"/>
      <w:pPr>
        <w:ind w:left="360" w:hanging="360"/>
        <w:jc w:val="both"/>
      </w:pPr>
      <w:rPr>
        <w:rFonts w:ascii="Symbol" w:eastAsia="Symbol" w:hAnsi="Symbol"/>
        <w:w w:val="100"/>
        <w:sz w:val="20"/>
        <w:szCs w:val="20"/>
        <w:shd w:val="clear" w:color="auto" w:fill="auto"/>
      </w:rPr>
    </w:lvl>
    <w:lvl w:ilvl="1" w:tplc="D982D496">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0B7A9950">
      <w:start w:val="1"/>
      <w:numFmt w:val="bullet"/>
      <w:lvlText w:val="§"/>
      <w:lvlJc w:val="left"/>
      <w:pPr>
        <w:ind w:left="1800" w:hanging="360"/>
        <w:jc w:val="both"/>
      </w:pPr>
      <w:rPr>
        <w:rFonts w:ascii="Wingdings" w:eastAsia="Wingdings" w:hAnsi="Wingdings"/>
        <w:w w:val="100"/>
        <w:sz w:val="20"/>
        <w:szCs w:val="20"/>
        <w:shd w:val="clear" w:color="auto" w:fill="auto"/>
      </w:rPr>
    </w:lvl>
    <w:lvl w:ilvl="3" w:tplc="FD346F94">
      <w:start w:val="1"/>
      <w:numFmt w:val="bullet"/>
      <w:lvlText w:val="·"/>
      <w:lvlJc w:val="left"/>
      <w:pPr>
        <w:ind w:left="2520" w:hanging="360"/>
        <w:jc w:val="both"/>
      </w:pPr>
      <w:rPr>
        <w:rFonts w:ascii="Symbol" w:eastAsia="Symbol" w:hAnsi="Symbol"/>
        <w:w w:val="100"/>
        <w:sz w:val="20"/>
        <w:szCs w:val="20"/>
        <w:shd w:val="clear" w:color="auto" w:fill="auto"/>
      </w:rPr>
    </w:lvl>
    <w:lvl w:ilvl="4" w:tplc="09601E40">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FAB82A52">
      <w:start w:val="1"/>
      <w:numFmt w:val="bullet"/>
      <w:lvlText w:val="§"/>
      <w:lvlJc w:val="left"/>
      <w:pPr>
        <w:ind w:left="3960" w:hanging="360"/>
        <w:jc w:val="both"/>
      </w:pPr>
      <w:rPr>
        <w:rFonts w:ascii="Wingdings" w:eastAsia="Wingdings" w:hAnsi="Wingdings"/>
        <w:w w:val="100"/>
        <w:sz w:val="20"/>
        <w:szCs w:val="20"/>
        <w:shd w:val="clear" w:color="auto" w:fill="auto"/>
      </w:rPr>
    </w:lvl>
    <w:lvl w:ilvl="6" w:tplc="CEF4FAF0">
      <w:start w:val="1"/>
      <w:numFmt w:val="bullet"/>
      <w:lvlText w:val="·"/>
      <w:lvlJc w:val="left"/>
      <w:pPr>
        <w:ind w:left="4680" w:hanging="360"/>
        <w:jc w:val="both"/>
      </w:pPr>
      <w:rPr>
        <w:rFonts w:ascii="Symbol" w:eastAsia="Symbol" w:hAnsi="Symbol"/>
        <w:w w:val="100"/>
        <w:sz w:val="20"/>
        <w:szCs w:val="20"/>
        <w:shd w:val="clear" w:color="auto" w:fill="auto"/>
      </w:rPr>
    </w:lvl>
    <w:lvl w:ilvl="7" w:tplc="55F4CB3C">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D889C78">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0" w15:restartNumberingAfterBreak="0">
    <w:nsid w:val="2F00001D"/>
    <w:multiLevelType w:val="hybridMultilevel"/>
    <w:tmpl w:val="3161AFFF"/>
    <w:lvl w:ilvl="0" w:tplc="C5388102">
      <w:start w:val="16"/>
      <w:numFmt w:val="bullet"/>
      <w:lvlText w:val="-"/>
      <w:lvlJc w:val="left"/>
      <w:pPr>
        <w:ind w:left="720" w:hanging="360"/>
        <w:jc w:val="both"/>
      </w:pPr>
      <w:rPr>
        <w:rFonts w:ascii="Calibri" w:eastAsia="Calibri" w:hAnsi="Calibri"/>
        <w:w w:val="100"/>
        <w:sz w:val="20"/>
        <w:szCs w:val="20"/>
        <w:shd w:val="clear" w:color="auto" w:fill="auto"/>
      </w:rPr>
    </w:lvl>
    <w:lvl w:ilvl="1" w:tplc="AEF434E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24CDA52">
      <w:start w:val="1"/>
      <w:numFmt w:val="bullet"/>
      <w:lvlText w:val="§"/>
      <w:lvlJc w:val="left"/>
      <w:pPr>
        <w:ind w:left="2160" w:hanging="360"/>
        <w:jc w:val="both"/>
      </w:pPr>
      <w:rPr>
        <w:rFonts w:ascii="Wingdings" w:eastAsia="Wingdings" w:hAnsi="Wingdings"/>
        <w:w w:val="100"/>
        <w:sz w:val="20"/>
        <w:szCs w:val="20"/>
        <w:shd w:val="clear" w:color="auto" w:fill="auto"/>
      </w:rPr>
    </w:lvl>
    <w:lvl w:ilvl="3" w:tplc="29D64A50">
      <w:start w:val="1"/>
      <w:numFmt w:val="bullet"/>
      <w:lvlText w:val="·"/>
      <w:lvlJc w:val="left"/>
      <w:pPr>
        <w:ind w:left="2880" w:hanging="360"/>
        <w:jc w:val="both"/>
      </w:pPr>
      <w:rPr>
        <w:rFonts w:ascii="Symbol" w:eastAsia="Symbol" w:hAnsi="Symbol"/>
        <w:w w:val="100"/>
        <w:sz w:val="20"/>
        <w:szCs w:val="20"/>
        <w:shd w:val="clear" w:color="auto" w:fill="auto"/>
      </w:rPr>
    </w:lvl>
    <w:lvl w:ilvl="4" w:tplc="57DCFB8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288CCBA">
      <w:start w:val="1"/>
      <w:numFmt w:val="bullet"/>
      <w:lvlText w:val="§"/>
      <w:lvlJc w:val="left"/>
      <w:pPr>
        <w:ind w:left="4320" w:hanging="360"/>
        <w:jc w:val="both"/>
      </w:pPr>
      <w:rPr>
        <w:rFonts w:ascii="Wingdings" w:eastAsia="Wingdings" w:hAnsi="Wingdings"/>
        <w:w w:val="100"/>
        <w:sz w:val="20"/>
        <w:szCs w:val="20"/>
        <w:shd w:val="clear" w:color="auto" w:fill="auto"/>
      </w:rPr>
    </w:lvl>
    <w:lvl w:ilvl="6" w:tplc="764C9FF4">
      <w:start w:val="1"/>
      <w:numFmt w:val="bullet"/>
      <w:lvlText w:val="·"/>
      <w:lvlJc w:val="left"/>
      <w:pPr>
        <w:ind w:left="5040" w:hanging="360"/>
        <w:jc w:val="both"/>
      </w:pPr>
      <w:rPr>
        <w:rFonts w:ascii="Symbol" w:eastAsia="Symbol" w:hAnsi="Symbol"/>
        <w:w w:val="100"/>
        <w:sz w:val="20"/>
        <w:szCs w:val="20"/>
        <w:shd w:val="clear" w:color="auto" w:fill="auto"/>
      </w:rPr>
    </w:lvl>
    <w:lvl w:ilvl="7" w:tplc="BEA66E8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2FEED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1" w15:restartNumberingAfterBreak="0">
    <w:nsid w:val="2F00001E"/>
    <w:multiLevelType w:val="hybridMultilevel"/>
    <w:tmpl w:val="2A69B89A"/>
    <w:lvl w:ilvl="0" w:tplc="0D1AD884">
      <w:numFmt w:val="bullet"/>
      <w:lvlText w:val="-"/>
      <w:lvlJc w:val="left"/>
      <w:pPr>
        <w:ind w:left="720" w:hanging="360"/>
        <w:jc w:val="both"/>
      </w:pPr>
      <w:rPr>
        <w:rFonts w:ascii="Calibri" w:eastAsia="Calibri" w:hAnsi="Calibri"/>
        <w:w w:val="100"/>
        <w:sz w:val="20"/>
        <w:szCs w:val="20"/>
        <w:shd w:val="clear" w:color="000000" w:fill="auto"/>
      </w:rPr>
    </w:lvl>
    <w:lvl w:ilvl="1" w:tplc="DB96B470">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B98F874">
      <w:start w:val="1"/>
      <w:numFmt w:val="bullet"/>
      <w:lvlText w:val="§"/>
      <w:lvlJc w:val="left"/>
      <w:pPr>
        <w:ind w:left="2160" w:hanging="360"/>
        <w:jc w:val="both"/>
      </w:pPr>
      <w:rPr>
        <w:rFonts w:ascii="Wingdings" w:eastAsia="Wingdings" w:hAnsi="Wingdings"/>
        <w:w w:val="100"/>
        <w:sz w:val="20"/>
        <w:szCs w:val="20"/>
        <w:shd w:val="clear" w:color="auto" w:fill="auto"/>
      </w:rPr>
    </w:lvl>
    <w:lvl w:ilvl="3" w:tplc="05C257FC">
      <w:start w:val="1"/>
      <w:numFmt w:val="bullet"/>
      <w:lvlText w:val="·"/>
      <w:lvlJc w:val="left"/>
      <w:pPr>
        <w:ind w:left="2880" w:hanging="360"/>
        <w:jc w:val="both"/>
      </w:pPr>
      <w:rPr>
        <w:rFonts w:ascii="Symbol" w:eastAsia="Symbol" w:hAnsi="Symbol"/>
        <w:w w:val="100"/>
        <w:sz w:val="20"/>
        <w:szCs w:val="20"/>
        <w:shd w:val="clear" w:color="auto" w:fill="auto"/>
      </w:rPr>
    </w:lvl>
    <w:lvl w:ilvl="4" w:tplc="DEA2A53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FBC68A4">
      <w:start w:val="1"/>
      <w:numFmt w:val="bullet"/>
      <w:lvlText w:val="§"/>
      <w:lvlJc w:val="left"/>
      <w:pPr>
        <w:ind w:left="4320" w:hanging="360"/>
        <w:jc w:val="both"/>
      </w:pPr>
      <w:rPr>
        <w:rFonts w:ascii="Wingdings" w:eastAsia="Wingdings" w:hAnsi="Wingdings"/>
        <w:w w:val="100"/>
        <w:sz w:val="20"/>
        <w:szCs w:val="20"/>
        <w:shd w:val="clear" w:color="auto" w:fill="auto"/>
      </w:rPr>
    </w:lvl>
    <w:lvl w:ilvl="6" w:tplc="E01C3AD6">
      <w:start w:val="1"/>
      <w:numFmt w:val="bullet"/>
      <w:lvlText w:val="·"/>
      <w:lvlJc w:val="left"/>
      <w:pPr>
        <w:ind w:left="5040" w:hanging="360"/>
        <w:jc w:val="both"/>
      </w:pPr>
      <w:rPr>
        <w:rFonts w:ascii="Symbol" w:eastAsia="Symbol" w:hAnsi="Symbol"/>
        <w:w w:val="100"/>
        <w:sz w:val="20"/>
        <w:szCs w:val="20"/>
        <w:shd w:val="clear" w:color="auto" w:fill="auto"/>
      </w:rPr>
    </w:lvl>
    <w:lvl w:ilvl="7" w:tplc="A7FE29B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B18E21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2" w15:restartNumberingAfterBreak="0">
    <w:nsid w:val="2F00001F"/>
    <w:multiLevelType w:val="hybridMultilevel"/>
    <w:tmpl w:val="28D68C50"/>
    <w:lvl w:ilvl="0" w:tplc="DEA4FEAE">
      <w:start w:val="2"/>
      <w:numFmt w:val="bullet"/>
      <w:lvlText w:val="-"/>
      <w:lvlJc w:val="left"/>
      <w:pPr>
        <w:ind w:left="720" w:hanging="360"/>
        <w:jc w:val="both"/>
      </w:pPr>
      <w:rPr>
        <w:rFonts w:ascii="Times New Roman" w:eastAsia="Times New Roman" w:hAnsi="Times New Roman"/>
        <w:w w:val="100"/>
        <w:sz w:val="20"/>
        <w:szCs w:val="20"/>
        <w:shd w:val="clear" w:color="auto" w:fill="auto"/>
      </w:rPr>
    </w:lvl>
    <w:lvl w:ilvl="1" w:tplc="E7A0722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1FC3724">
      <w:start w:val="1"/>
      <w:numFmt w:val="bullet"/>
      <w:lvlText w:val="§"/>
      <w:lvlJc w:val="left"/>
      <w:pPr>
        <w:ind w:left="2160" w:hanging="360"/>
        <w:jc w:val="both"/>
      </w:pPr>
      <w:rPr>
        <w:rFonts w:ascii="Wingdings" w:eastAsia="Wingdings" w:hAnsi="Wingdings"/>
        <w:w w:val="100"/>
        <w:sz w:val="20"/>
        <w:szCs w:val="20"/>
        <w:shd w:val="clear" w:color="auto" w:fill="auto"/>
      </w:rPr>
    </w:lvl>
    <w:lvl w:ilvl="3" w:tplc="B66CFCC0">
      <w:start w:val="1"/>
      <w:numFmt w:val="bullet"/>
      <w:lvlText w:val="·"/>
      <w:lvlJc w:val="left"/>
      <w:pPr>
        <w:ind w:left="2880" w:hanging="360"/>
        <w:jc w:val="both"/>
      </w:pPr>
      <w:rPr>
        <w:rFonts w:ascii="Symbol" w:eastAsia="Symbol" w:hAnsi="Symbol"/>
        <w:w w:val="100"/>
        <w:sz w:val="20"/>
        <w:szCs w:val="20"/>
        <w:shd w:val="clear" w:color="auto" w:fill="auto"/>
      </w:rPr>
    </w:lvl>
    <w:lvl w:ilvl="4" w:tplc="F6FE2E0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6C44E310">
      <w:start w:val="1"/>
      <w:numFmt w:val="bullet"/>
      <w:lvlText w:val="§"/>
      <w:lvlJc w:val="left"/>
      <w:pPr>
        <w:ind w:left="4320" w:hanging="360"/>
        <w:jc w:val="both"/>
      </w:pPr>
      <w:rPr>
        <w:rFonts w:ascii="Wingdings" w:eastAsia="Wingdings" w:hAnsi="Wingdings"/>
        <w:w w:val="100"/>
        <w:sz w:val="20"/>
        <w:szCs w:val="20"/>
        <w:shd w:val="clear" w:color="auto" w:fill="auto"/>
      </w:rPr>
    </w:lvl>
    <w:lvl w:ilvl="6" w:tplc="769CCF92">
      <w:start w:val="1"/>
      <w:numFmt w:val="bullet"/>
      <w:lvlText w:val="·"/>
      <w:lvlJc w:val="left"/>
      <w:pPr>
        <w:ind w:left="5040" w:hanging="360"/>
        <w:jc w:val="both"/>
      </w:pPr>
      <w:rPr>
        <w:rFonts w:ascii="Symbol" w:eastAsia="Symbol" w:hAnsi="Symbol"/>
        <w:w w:val="100"/>
        <w:sz w:val="20"/>
        <w:szCs w:val="20"/>
        <w:shd w:val="clear" w:color="auto" w:fill="auto"/>
      </w:rPr>
    </w:lvl>
    <w:lvl w:ilvl="7" w:tplc="B51A4AF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13E71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3" w15:restartNumberingAfterBreak="0">
    <w:nsid w:val="2F000020"/>
    <w:multiLevelType w:val="hybridMultilevel"/>
    <w:tmpl w:val="4395FE0F"/>
    <w:lvl w:ilvl="0" w:tplc="EC2E53F2">
      <w:start w:val="1"/>
      <w:numFmt w:val="bullet"/>
      <w:lvlText w:val="·"/>
      <w:lvlJc w:val="left"/>
      <w:pPr>
        <w:ind w:left="360" w:hanging="360"/>
        <w:jc w:val="both"/>
      </w:pPr>
      <w:rPr>
        <w:rFonts w:ascii="Symbol" w:eastAsia="Symbol" w:hAnsi="Symbol"/>
        <w:w w:val="100"/>
        <w:sz w:val="20"/>
        <w:szCs w:val="20"/>
        <w:shd w:val="clear" w:color="auto" w:fill="auto"/>
      </w:rPr>
    </w:lvl>
    <w:lvl w:ilvl="1" w:tplc="DDA83100">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8AC6A18">
      <w:start w:val="1"/>
      <w:numFmt w:val="bullet"/>
      <w:lvlText w:val="§"/>
      <w:lvlJc w:val="left"/>
      <w:pPr>
        <w:ind w:left="1800" w:hanging="360"/>
        <w:jc w:val="both"/>
      </w:pPr>
      <w:rPr>
        <w:rFonts w:ascii="Wingdings" w:eastAsia="Wingdings" w:hAnsi="Wingdings"/>
        <w:w w:val="100"/>
        <w:sz w:val="20"/>
        <w:szCs w:val="20"/>
        <w:shd w:val="clear" w:color="auto" w:fill="auto"/>
      </w:rPr>
    </w:lvl>
    <w:lvl w:ilvl="3" w:tplc="9BEE734E">
      <w:start w:val="1"/>
      <w:numFmt w:val="bullet"/>
      <w:lvlText w:val="·"/>
      <w:lvlJc w:val="left"/>
      <w:pPr>
        <w:ind w:left="2520" w:hanging="360"/>
        <w:jc w:val="both"/>
      </w:pPr>
      <w:rPr>
        <w:rFonts w:ascii="Symbol" w:eastAsia="Symbol" w:hAnsi="Symbol"/>
        <w:w w:val="100"/>
        <w:sz w:val="20"/>
        <w:szCs w:val="20"/>
        <w:shd w:val="clear" w:color="auto" w:fill="auto"/>
      </w:rPr>
    </w:lvl>
    <w:lvl w:ilvl="4" w:tplc="035A12A8">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23167D82">
      <w:start w:val="1"/>
      <w:numFmt w:val="bullet"/>
      <w:lvlText w:val="§"/>
      <w:lvlJc w:val="left"/>
      <w:pPr>
        <w:ind w:left="3960" w:hanging="360"/>
        <w:jc w:val="both"/>
      </w:pPr>
      <w:rPr>
        <w:rFonts w:ascii="Wingdings" w:eastAsia="Wingdings" w:hAnsi="Wingdings"/>
        <w:w w:val="100"/>
        <w:sz w:val="20"/>
        <w:szCs w:val="20"/>
        <w:shd w:val="clear" w:color="auto" w:fill="auto"/>
      </w:rPr>
    </w:lvl>
    <w:lvl w:ilvl="6" w:tplc="4F421B78">
      <w:start w:val="1"/>
      <w:numFmt w:val="bullet"/>
      <w:lvlText w:val="·"/>
      <w:lvlJc w:val="left"/>
      <w:pPr>
        <w:ind w:left="4680" w:hanging="360"/>
        <w:jc w:val="both"/>
      </w:pPr>
      <w:rPr>
        <w:rFonts w:ascii="Symbol" w:eastAsia="Symbol" w:hAnsi="Symbol"/>
        <w:w w:val="100"/>
        <w:sz w:val="20"/>
        <w:szCs w:val="20"/>
        <w:shd w:val="clear" w:color="auto" w:fill="auto"/>
      </w:rPr>
    </w:lvl>
    <w:lvl w:ilvl="7" w:tplc="173CA94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40A8BFE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4" w15:restartNumberingAfterBreak="0">
    <w:nsid w:val="2F000021"/>
    <w:multiLevelType w:val="hybridMultilevel"/>
    <w:tmpl w:val="525A9D8C"/>
    <w:lvl w:ilvl="0" w:tplc="3272CD64">
      <w:numFmt w:val="bullet"/>
      <w:lvlText w:val="-"/>
      <w:lvlJc w:val="left"/>
      <w:pPr>
        <w:ind w:left="720" w:hanging="360"/>
        <w:jc w:val="both"/>
      </w:pPr>
      <w:rPr>
        <w:rFonts w:ascii="Calibri" w:eastAsia="Calibri" w:hAnsi="Calibri"/>
        <w:w w:val="100"/>
        <w:sz w:val="20"/>
        <w:szCs w:val="20"/>
        <w:shd w:val="clear" w:color="auto" w:fill="auto"/>
      </w:rPr>
    </w:lvl>
    <w:lvl w:ilvl="1" w:tplc="F15E6C7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5C6C086">
      <w:start w:val="1"/>
      <w:numFmt w:val="bullet"/>
      <w:lvlText w:val="§"/>
      <w:lvlJc w:val="left"/>
      <w:pPr>
        <w:ind w:left="2160" w:hanging="360"/>
        <w:jc w:val="both"/>
      </w:pPr>
      <w:rPr>
        <w:rFonts w:ascii="Wingdings" w:eastAsia="Wingdings" w:hAnsi="Wingdings"/>
        <w:w w:val="100"/>
        <w:sz w:val="20"/>
        <w:szCs w:val="20"/>
        <w:shd w:val="clear" w:color="auto" w:fill="auto"/>
      </w:rPr>
    </w:lvl>
    <w:lvl w:ilvl="3" w:tplc="8A9CE334">
      <w:start w:val="1"/>
      <w:numFmt w:val="bullet"/>
      <w:lvlText w:val="·"/>
      <w:lvlJc w:val="left"/>
      <w:pPr>
        <w:ind w:left="2880" w:hanging="360"/>
        <w:jc w:val="both"/>
      </w:pPr>
      <w:rPr>
        <w:rFonts w:ascii="Symbol" w:eastAsia="Symbol" w:hAnsi="Symbol"/>
        <w:w w:val="100"/>
        <w:sz w:val="20"/>
        <w:szCs w:val="20"/>
        <w:shd w:val="clear" w:color="auto" w:fill="auto"/>
      </w:rPr>
    </w:lvl>
    <w:lvl w:ilvl="4" w:tplc="D1F8C6A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1E468BA">
      <w:start w:val="1"/>
      <w:numFmt w:val="bullet"/>
      <w:lvlText w:val="§"/>
      <w:lvlJc w:val="left"/>
      <w:pPr>
        <w:ind w:left="4320" w:hanging="360"/>
        <w:jc w:val="both"/>
      </w:pPr>
      <w:rPr>
        <w:rFonts w:ascii="Wingdings" w:eastAsia="Wingdings" w:hAnsi="Wingdings"/>
        <w:w w:val="100"/>
        <w:sz w:val="20"/>
        <w:szCs w:val="20"/>
        <w:shd w:val="clear" w:color="auto" w:fill="auto"/>
      </w:rPr>
    </w:lvl>
    <w:lvl w:ilvl="6" w:tplc="111A8AEA">
      <w:start w:val="1"/>
      <w:numFmt w:val="bullet"/>
      <w:lvlText w:val="·"/>
      <w:lvlJc w:val="left"/>
      <w:pPr>
        <w:ind w:left="5040" w:hanging="360"/>
        <w:jc w:val="both"/>
      </w:pPr>
      <w:rPr>
        <w:rFonts w:ascii="Symbol" w:eastAsia="Symbol" w:hAnsi="Symbol"/>
        <w:w w:val="100"/>
        <w:sz w:val="20"/>
        <w:szCs w:val="20"/>
        <w:shd w:val="clear" w:color="auto" w:fill="auto"/>
      </w:rPr>
    </w:lvl>
    <w:lvl w:ilvl="7" w:tplc="A400139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A0C6ED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5" w15:restartNumberingAfterBreak="0">
    <w:nsid w:val="2F000022"/>
    <w:multiLevelType w:val="hybridMultilevel"/>
    <w:tmpl w:val="211D8D7E"/>
    <w:lvl w:ilvl="0" w:tplc="4A143246">
      <w:start w:val="1"/>
      <w:numFmt w:val="bullet"/>
      <w:lvlText w:val="·"/>
      <w:lvlJc w:val="left"/>
      <w:pPr>
        <w:ind w:left="720" w:hanging="360"/>
        <w:jc w:val="both"/>
      </w:pPr>
      <w:rPr>
        <w:rFonts w:ascii="Symbol" w:eastAsia="Symbol" w:hAnsi="Symbol"/>
        <w:w w:val="100"/>
        <w:sz w:val="20"/>
        <w:szCs w:val="20"/>
        <w:shd w:val="clear" w:color="auto" w:fill="auto"/>
      </w:rPr>
    </w:lvl>
    <w:lvl w:ilvl="1" w:tplc="FB24465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0FAC7D0">
      <w:start w:val="1"/>
      <w:numFmt w:val="bullet"/>
      <w:lvlText w:val="§"/>
      <w:lvlJc w:val="left"/>
      <w:pPr>
        <w:ind w:left="2160" w:hanging="360"/>
        <w:jc w:val="both"/>
      </w:pPr>
      <w:rPr>
        <w:rFonts w:ascii="Wingdings" w:eastAsia="Wingdings" w:hAnsi="Wingdings"/>
        <w:w w:val="100"/>
        <w:sz w:val="20"/>
        <w:szCs w:val="20"/>
        <w:shd w:val="clear" w:color="auto" w:fill="auto"/>
      </w:rPr>
    </w:lvl>
    <w:lvl w:ilvl="3" w:tplc="EBBE69A4">
      <w:start w:val="1"/>
      <w:numFmt w:val="bullet"/>
      <w:lvlText w:val="·"/>
      <w:lvlJc w:val="left"/>
      <w:pPr>
        <w:ind w:left="2880" w:hanging="360"/>
        <w:jc w:val="both"/>
      </w:pPr>
      <w:rPr>
        <w:rFonts w:ascii="Symbol" w:eastAsia="Symbol" w:hAnsi="Symbol"/>
        <w:w w:val="100"/>
        <w:sz w:val="20"/>
        <w:szCs w:val="20"/>
        <w:shd w:val="clear" w:color="auto" w:fill="auto"/>
      </w:rPr>
    </w:lvl>
    <w:lvl w:ilvl="4" w:tplc="34B42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CD0A496">
      <w:start w:val="1"/>
      <w:numFmt w:val="bullet"/>
      <w:lvlText w:val="§"/>
      <w:lvlJc w:val="left"/>
      <w:pPr>
        <w:ind w:left="4320" w:hanging="360"/>
        <w:jc w:val="both"/>
      </w:pPr>
      <w:rPr>
        <w:rFonts w:ascii="Wingdings" w:eastAsia="Wingdings" w:hAnsi="Wingdings"/>
        <w:w w:val="100"/>
        <w:sz w:val="20"/>
        <w:szCs w:val="20"/>
        <w:shd w:val="clear" w:color="auto" w:fill="auto"/>
      </w:rPr>
    </w:lvl>
    <w:lvl w:ilvl="6" w:tplc="99D05C36">
      <w:start w:val="1"/>
      <w:numFmt w:val="bullet"/>
      <w:lvlText w:val="·"/>
      <w:lvlJc w:val="left"/>
      <w:pPr>
        <w:ind w:left="5040" w:hanging="360"/>
        <w:jc w:val="both"/>
      </w:pPr>
      <w:rPr>
        <w:rFonts w:ascii="Symbol" w:eastAsia="Symbol" w:hAnsi="Symbol"/>
        <w:w w:val="100"/>
        <w:sz w:val="20"/>
        <w:szCs w:val="20"/>
        <w:shd w:val="clear" w:color="auto" w:fill="auto"/>
      </w:rPr>
    </w:lvl>
    <w:lvl w:ilvl="7" w:tplc="ED3CA0A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DDC122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6" w15:restartNumberingAfterBreak="0">
    <w:nsid w:val="2F000023"/>
    <w:multiLevelType w:val="hybridMultilevel"/>
    <w:tmpl w:val="41346D1B"/>
    <w:lvl w:ilvl="0" w:tplc="07B06754">
      <w:numFmt w:val="bullet"/>
      <w:lvlText w:val="-"/>
      <w:lvlJc w:val="left"/>
      <w:pPr>
        <w:ind w:left="720" w:hanging="360"/>
        <w:jc w:val="both"/>
      </w:pPr>
      <w:rPr>
        <w:rFonts w:ascii="Calibri" w:eastAsia="Calibri" w:hAnsi="Calibri"/>
        <w:w w:val="100"/>
        <w:sz w:val="20"/>
        <w:szCs w:val="20"/>
        <w:shd w:val="clear" w:color="auto" w:fill="auto"/>
      </w:rPr>
    </w:lvl>
    <w:lvl w:ilvl="1" w:tplc="7BB44BE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A11EABF6">
      <w:start w:val="1"/>
      <w:numFmt w:val="bullet"/>
      <w:lvlText w:val="§"/>
      <w:lvlJc w:val="left"/>
      <w:pPr>
        <w:ind w:left="2160" w:hanging="360"/>
        <w:jc w:val="both"/>
      </w:pPr>
      <w:rPr>
        <w:rFonts w:ascii="Wingdings" w:eastAsia="Wingdings" w:hAnsi="Wingdings"/>
        <w:w w:val="100"/>
        <w:sz w:val="20"/>
        <w:szCs w:val="20"/>
        <w:shd w:val="clear" w:color="auto" w:fill="auto"/>
      </w:rPr>
    </w:lvl>
    <w:lvl w:ilvl="3" w:tplc="871EFEF4">
      <w:start w:val="1"/>
      <w:numFmt w:val="bullet"/>
      <w:lvlText w:val="·"/>
      <w:lvlJc w:val="left"/>
      <w:pPr>
        <w:ind w:left="2880" w:hanging="360"/>
        <w:jc w:val="both"/>
      </w:pPr>
      <w:rPr>
        <w:rFonts w:ascii="Symbol" w:eastAsia="Symbol" w:hAnsi="Symbol"/>
        <w:w w:val="100"/>
        <w:sz w:val="20"/>
        <w:szCs w:val="20"/>
        <w:shd w:val="clear" w:color="auto" w:fill="auto"/>
      </w:rPr>
    </w:lvl>
    <w:lvl w:ilvl="4" w:tplc="95DC8EE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EB24F1C">
      <w:start w:val="1"/>
      <w:numFmt w:val="bullet"/>
      <w:lvlText w:val="§"/>
      <w:lvlJc w:val="left"/>
      <w:pPr>
        <w:ind w:left="4320" w:hanging="360"/>
        <w:jc w:val="both"/>
      </w:pPr>
      <w:rPr>
        <w:rFonts w:ascii="Wingdings" w:eastAsia="Wingdings" w:hAnsi="Wingdings"/>
        <w:w w:val="100"/>
        <w:sz w:val="20"/>
        <w:szCs w:val="20"/>
        <w:shd w:val="clear" w:color="auto" w:fill="auto"/>
      </w:rPr>
    </w:lvl>
    <w:lvl w:ilvl="6" w:tplc="53F68C1A">
      <w:start w:val="1"/>
      <w:numFmt w:val="bullet"/>
      <w:lvlText w:val="·"/>
      <w:lvlJc w:val="left"/>
      <w:pPr>
        <w:ind w:left="5040" w:hanging="360"/>
        <w:jc w:val="both"/>
      </w:pPr>
      <w:rPr>
        <w:rFonts w:ascii="Symbol" w:eastAsia="Symbol" w:hAnsi="Symbol"/>
        <w:w w:val="100"/>
        <w:sz w:val="20"/>
        <w:szCs w:val="20"/>
        <w:shd w:val="clear" w:color="auto" w:fill="auto"/>
      </w:rPr>
    </w:lvl>
    <w:lvl w:ilvl="7" w:tplc="5D88A50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0F6BCA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7" w15:restartNumberingAfterBreak="0">
    <w:nsid w:val="64670AA5"/>
    <w:multiLevelType w:val="hybridMultilevel"/>
    <w:tmpl w:val="1AA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87D9B"/>
    <w:multiLevelType w:val="multilevel"/>
    <w:tmpl w:val="FA1229E4"/>
    <w:lvl w:ilvl="0">
      <w:start w:val="4"/>
      <w:numFmt w:val="decimal"/>
      <w:lvlText w:val="%1"/>
      <w:lvlJc w:val="left"/>
      <w:pPr>
        <w:ind w:left="480" w:hanging="480"/>
      </w:pPr>
      <w:rPr>
        <w:rFonts w:hint="default"/>
      </w:rPr>
    </w:lvl>
    <w:lvl w:ilvl="1">
      <w:start w:val="3"/>
      <w:numFmt w:val="decimal"/>
      <w:lvlText w:val="%1.%2"/>
      <w:lvlJc w:val="left"/>
      <w:pPr>
        <w:ind w:left="1325" w:hanging="480"/>
      </w:pPr>
      <w:rPr>
        <w:rFonts w:hint="default"/>
      </w:rPr>
    </w:lvl>
    <w:lvl w:ilvl="2">
      <w:start w:val="6"/>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39" w15:restartNumberingAfterBreak="0">
    <w:nsid w:val="79E46E01"/>
    <w:multiLevelType w:val="hybridMultilevel"/>
    <w:tmpl w:val="DE24C9E8"/>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0"/>
  </w:num>
  <w:num w:numId="4">
    <w:abstractNumId w:val="27"/>
  </w:num>
  <w:num w:numId="5">
    <w:abstractNumId w:val="18"/>
  </w:num>
  <w:num w:numId="6">
    <w:abstractNumId w:val="13"/>
  </w:num>
  <w:num w:numId="7">
    <w:abstractNumId w:val="8"/>
  </w:num>
  <w:num w:numId="8">
    <w:abstractNumId w:val="11"/>
  </w:num>
  <w:num w:numId="9">
    <w:abstractNumId w:val="9"/>
  </w:num>
  <w:num w:numId="10">
    <w:abstractNumId w:val="25"/>
  </w:num>
  <w:num w:numId="11">
    <w:abstractNumId w:val="5"/>
  </w:num>
  <w:num w:numId="12">
    <w:abstractNumId w:val="6"/>
  </w:num>
  <w:num w:numId="13">
    <w:abstractNumId w:val="15"/>
  </w:num>
  <w:num w:numId="14">
    <w:abstractNumId w:val="19"/>
  </w:num>
  <w:num w:numId="15">
    <w:abstractNumId w:val="22"/>
  </w:num>
  <w:num w:numId="16">
    <w:abstractNumId w:val="12"/>
  </w:num>
  <w:num w:numId="17">
    <w:abstractNumId w:val="17"/>
  </w:num>
  <w:num w:numId="18">
    <w:abstractNumId w:val="3"/>
  </w:num>
  <w:num w:numId="19">
    <w:abstractNumId w:val="13"/>
  </w:num>
  <w:num w:numId="20">
    <w:abstractNumId w:val="10"/>
  </w:num>
  <w:num w:numId="21">
    <w:abstractNumId w:val="27"/>
  </w:num>
  <w:num w:numId="22">
    <w:abstractNumId w:val="24"/>
  </w:num>
  <w:num w:numId="23">
    <w:abstractNumId w:val="20"/>
  </w:num>
  <w:num w:numId="24">
    <w:abstractNumId w:val="23"/>
  </w:num>
  <w:num w:numId="25">
    <w:abstractNumId w:val="16"/>
  </w:num>
  <w:num w:numId="26">
    <w:abstractNumId w:val="21"/>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2"/>
  </w:num>
  <w:num w:numId="31">
    <w:abstractNumId w:val="31"/>
  </w:num>
  <w:num w:numId="32">
    <w:abstractNumId w:val="1"/>
  </w:num>
  <w:num w:numId="33">
    <w:abstractNumId w:val="28"/>
  </w:num>
  <w:num w:numId="34">
    <w:abstractNumId w:val="30"/>
  </w:num>
  <w:num w:numId="35">
    <w:abstractNumId w:val="29"/>
  </w:num>
  <w:num w:numId="36">
    <w:abstractNumId w:val="35"/>
  </w:num>
  <w:num w:numId="37">
    <w:abstractNumId w:val="33"/>
  </w:num>
  <w:num w:numId="38">
    <w:abstractNumId w:val="34"/>
  </w:num>
  <w:num w:numId="39">
    <w:abstractNumId w:val="32"/>
  </w:num>
  <w:num w:numId="40">
    <w:abstractNumId w:val="3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defaultTabStop w:val="720"/>
  <w:hyphenationZone w:val="425"/>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B1A6771-38A2-452D-89D1-E719E57ABAE2"/>
    <w:docVar w:name="LW_COVERPAGE_TYPE" w:val="1"/>
    <w:docVar w:name="LW_CROSSREFERENCE" w:val="&lt;UNUSED&gt;"/>
    <w:docVar w:name="LW_DocType" w:val="NORMAL"/>
    <w:docVar w:name="LW_EMISSION" w:val="14.1.2020"/>
    <w:docVar w:name="LW_EMISSION_ISODATE" w:val="2020-01-1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3?\u1072?\u1085? \u1079?\u1072? \u1080?\u1085?\u1074?\u1077?\u1089?\u1090?\u1080?\u1094?\u1080?\u1080? \u1079?\u1072? \u1091?\u1089?\u1090?\u1086?\u1081?\u1095?\u1080?\u1074?\u1072? \u1045?\u1074?\u1088?\u1086?\u1087?\u1072?_x000d__x000d__x000b__x000b_&lt;FMT:Font=Calibri Cyr&gt;\u1055?\u1083?\u1072?\u1085? \u1079?\u1072? \u1080?\u1085?\u1074?\u1077?\u1089?\u1090?\u1080?\u1094?\u1080?\u1080? \u1085?\u1072? \u1045?\u1074?\u1088?\u1086?\u1087?\u1077?\u1081?\u1089?\u1082?\u1080?\u1103? \u1079?\u1077?\u1083?\u1077?\u1085? \u1087?\u1072?\u1082?\u1090?&lt;/FMT&gt;_x000d__x000d__x000b__x000d__x000d__x000b__x000d__x000d__x000b__x000d__x000d__x000b__x000d__x000d__x000b__x000d__x000d__x000b__x000d__x000d__x000b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59459F"/>
    <w:rsid w:val="00246BD0"/>
    <w:rsid w:val="0059459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keepNext/>
      <w:numPr>
        <w:numId w:val="1"/>
      </w:numPr>
      <w:outlineLvl w:val="0"/>
    </w:pPr>
    <w:rPr>
      <w:rFonts w:ascii="Times New Roman" w:hAnsi="Times New Roman"/>
      <w:b/>
      <w:smallCaps/>
      <w:sz w:val="24"/>
      <w:szCs w:val="24"/>
    </w:rPr>
  </w:style>
  <w:style w:type="paragraph" w:styleId="Heading2">
    <w:name w:val="heading 2"/>
    <w:basedOn w:val="Normal"/>
    <w:link w:val="Heading2Char"/>
    <w:uiPriority w:val="8"/>
    <w:qFormat/>
    <w:pPr>
      <w:keepNext/>
      <w:numPr>
        <w:ilvl w:val="1"/>
        <w:numId w:val="1"/>
      </w:numPr>
      <w:tabs>
        <w:tab w:val="left" w:pos="482"/>
      </w:tabs>
      <w:outlineLvl w:val="1"/>
    </w:pPr>
    <w:rPr>
      <w:rFonts w:ascii="Times New Roman" w:hAnsi="Times New Roman"/>
      <w:b/>
      <w:sz w:val="24"/>
      <w:szCs w:val="24"/>
    </w:rPr>
  </w:style>
  <w:style w:type="paragraph" w:styleId="Heading3">
    <w:name w:val="heading 3"/>
    <w:basedOn w:val="Normal"/>
    <w:next w:val="Normal"/>
    <w:link w:val="Heading3Char"/>
    <w:uiPriority w:val="9"/>
    <w:qFormat/>
    <w:pPr>
      <w:keepNext/>
      <w:numPr>
        <w:ilvl w:val="2"/>
        <w:numId w:val="1"/>
      </w:numPr>
      <w:tabs>
        <w:tab w:val="left" w:pos="482"/>
      </w:tabs>
      <w:outlineLvl w:val="2"/>
    </w:pPr>
    <w:rPr>
      <w:rFonts w:ascii="Times New Roman" w:hAnsi="Times New Roman"/>
      <w:i/>
      <w:sz w:val="24"/>
      <w:szCs w:val="24"/>
    </w:rPr>
  </w:style>
  <w:style w:type="paragraph" w:styleId="Heading4">
    <w:name w:val="heading 4"/>
    <w:basedOn w:val="Normal"/>
    <w:next w:val="Normal"/>
    <w:link w:val="Heading4Char"/>
    <w:uiPriority w:val="10"/>
    <w:qFormat/>
    <w:pPr>
      <w:keepNext/>
      <w:numPr>
        <w:ilvl w:val="3"/>
        <w:numId w:val="1"/>
      </w:numPr>
      <w:tabs>
        <w:tab w:val="left" w:pos="482"/>
      </w:tabs>
      <w:outlineLvl w:val="3"/>
    </w:pPr>
    <w:rPr>
      <w:rFonts w:ascii="Times New Roman" w:hAnsi="Times New Roman"/>
      <w:sz w:val="24"/>
      <w:szCs w:val="24"/>
    </w:rPr>
  </w:style>
  <w:style w:type="paragraph" w:styleId="Heading5">
    <w:name w:val="heading 5"/>
    <w:basedOn w:val="Normal"/>
    <w:next w:val="Normal"/>
    <w:link w:val="Heading5Char"/>
    <w:uiPriority w:val="11"/>
    <w:semiHidden/>
    <w:pPr>
      <w:keepNext/>
      <w:numPr>
        <w:ilvl w:val="4"/>
        <w:numId w:val="1"/>
      </w:numPr>
      <w:tabs>
        <w:tab w:val="left" w:pos="482"/>
      </w:tabs>
      <w:outlineLvl w:val="4"/>
    </w:pPr>
    <w:rPr>
      <w:rFonts w:ascii="Times New Roman" w:hAnsi="Times New Roman"/>
      <w:sz w:val="24"/>
      <w:szCs w:val="24"/>
    </w:rPr>
  </w:style>
  <w:style w:type="paragraph" w:styleId="Heading6">
    <w:name w:val="heading 6"/>
    <w:basedOn w:val="Normal"/>
    <w:next w:val="Normal"/>
    <w:link w:val="Heading6Char"/>
    <w:uiPriority w:val="12"/>
    <w:semiHidden/>
    <w:pPr>
      <w:keepNext/>
      <w:numPr>
        <w:ilvl w:val="5"/>
        <w:numId w:val="1"/>
      </w:numPr>
      <w:tabs>
        <w:tab w:val="left" w:pos="482"/>
      </w:tabs>
      <w:outlineLvl w:val="5"/>
    </w:pPr>
    <w:rPr>
      <w:rFonts w:ascii="Times New Roman" w:hAnsi="Times New Roman"/>
      <w:sz w:val="24"/>
      <w:szCs w:val="24"/>
    </w:rPr>
  </w:style>
  <w:style w:type="paragraph" w:styleId="Heading7">
    <w:name w:val="heading 7"/>
    <w:basedOn w:val="Normal"/>
    <w:next w:val="Normal"/>
    <w:link w:val="Heading7Char"/>
    <w:uiPriority w:val="13"/>
    <w:semiHidden/>
    <w:pPr>
      <w:keepNext/>
      <w:numPr>
        <w:ilvl w:val="6"/>
        <w:numId w:val="1"/>
      </w:numPr>
      <w:tabs>
        <w:tab w:val="left" w:pos="482"/>
      </w:tabs>
      <w:outlineLvl w:val="6"/>
    </w:pPr>
    <w:rPr>
      <w:rFonts w:ascii="Times New Roman" w:hAnsi="Times New Roman"/>
      <w:sz w:val="24"/>
      <w:szCs w:val="24"/>
    </w:rPr>
  </w:style>
  <w:style w:type="paragraph" w:styleId="Heading8">
    <w:name w:val="heading 8"/>
    <w:basedOn w:val="Normal"/>
    <w:next w:val="Normal"/>
    <w:link w:val="Heading8Char"/>
    <w:uiPriority w:val="14"/>
    <w:semiHidden/>
    <w:pPr>
      <w:keepNext/>
      <w:numPr>
        <w:ilvl w:val="7"/>
        <w:numId w:val="1"/>
      </w:numPr>
      <w:tabs>
        <w:tab w:val="left" w:pos="482"/>
      </w:tabs>
      <w:outlineLvl w:val="7"/>
    </w:pPr>
    <w:rPr>
      <w:rFonts w:ascii="Times New Roman" w:hAnsi="Times New Roman"/>
      <w:sz w:val="24"/>
      <w:szCs w:val="24"/>
    </w:rPr>
  </w:style>
  <w:style w:type="paragraph" w:styleId="Heading9">
    <w:name w:val="heading 9"/>
    <w:basedOn w:val="Normal"/>
    <w:next w:val="Normal"/>
    <w:link w:val="Heading9Char"/>
    <w:uiPriority w:val="15"/>
    <w:semiHidden/>
    <w:pPr>
      <w:keepNext/>
      <w:numPr>
        <w:ilvl w:val="8"/>
        <w:numId w:val="1"/>
      </w:numPr>
      <w:tabs>
        <w:tab w:val="left" w:pos="482"/>
      </w:tabs>
      <w:outlineLvl w:val="8"/>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000000" w:fill="auto"/>
    </w:rPr>
  </w:style>
  <w:style w:type="paragraph" w:styleId="ListParagraph">
    <w:name w:val="List Paragraph"/>
    <w:basedOn w:val="Normal"/>
    <w:link w:val="ListParagraphChar"/>
    <w:uiPriority w:val="26"/>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hAnsi="Times New Roman"/>
      <w:sz w:val="24"/>
      <w:szCs w:val="24"/>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basedOn w:val="DefaultParagraphFont"/>
    <w:link w:val="Heading2"/>
    <w:uiPriority w:val="8"/>
    <w:rPr>
      <w:rFonts w:ascii="Times New Roman" w:eastAsia="Times New Roman" w:hAnsi="Times New Roman"/>
      <w:b/>
      <w:w w:val="100"/>
      <w:sz w:val="24"/>
      <w:szCs w:val="24"/>
      <w:shd w:val="clear" w:color="000000" w:fill="auto"/>
    </w:rPr>
  </w:style>
  <w:style w:type="character" w:customStyle="1" w:styleId="Heading3Char">
    <w:name w:val="Heading 3 Char"/>
    <w:basedOn w:val="DefaultParagraphFont"/>
    <w:link w:val="Heading3"/>
    <w:rPr>
      <w:rFonts w:ascii="Times New Roman" w:eastAsia="Times New Roman" w:hAnsi="Times New Roman"/>
      <w:i/>
      <w:w w:val="100"/>
      <w:sz w:val="24"/>
      <w:szCs w:val="24"/>
      <w:shd w:val="clear" w:color="000000"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000000" w:fill="auto"/>
    </w:rPr>
  </w:style>
  <w:style w:type="character" w:customStyle="1" w:styleId="Heading5Char">
    <w:name w:val="Heading 5 Char"/>
    <w:basedOn w:val="DefaultParagraphFont"/>
    <w:link w:val="Heading5"/>
    <w:semiHidden/>
    <w:rPr>
      <w:rFonts w:ascii="Times New Roman" w:eastAsia="Times New Roman" w:hAnsi="Times New Roman"/>
      <w:w w:val="100"/>
      <w:sz w:val="24"/>
      <w:szCs w:val="24"/>
      <w:shd w:val="clear" w:color="000000" w:fill="auto"/>
    </w:rPr>
  </w:style>
  <w:style w:type="character" w:customStyle="1" w:styleId="Heading6Char">
    <w:name w:val="Heading 6 Char"/>
    <w:basedOn w:val="DefaultParagraphFont"/>
    <w:link w:val="Heading6"/>
    <w:semiHidden/>
    <w:rPr>
      <w:rFonts w:ascii="Times New Roman" w:eastAsia="Times New Roman" w:hAnsi="Times New Roman"/>
      <w:w w:val="100"/>
      <w:sz w:val="24"/>
      <w:szCs w:val="24"/>
      <w:shd w:val="clear" w:color="000000" w:fill="auto"/>
    </w:rPr>
  </w:style>
  <w:style w:type="character" w:customStyle="1" w:styleId="Heading7Char">
    <w:name w:val="Heading 7 Char"/>
    <w:basedOn w:val="DefaultParagraphFont"/>
    <w:link w:val="Heading7"/>
    <w:semiHidden/>
    <w:rPr>
      <w:rFonts w:ascii="Times New Roman" w:eastAsia="Times New Roman" w:hAnsi="Times New Roman"/>
      <w:w w:val="100"/>
      <w:sz w:val="24"/>
      <w:szCs w:val="24"/>
      <w:shd w:val="clear" w:color="000000" w:fill="auto"/>
    </w:rPr>
  </w:style>
  <w:style w:type="character" w:customStyle="1" w:styleId="Heading8Char">
    <w:name w:val="Heading 8 Char"/>
    <w:basedOn w:val="DefaultParagraphFont"/>
    <w:link w:val="Heading8"/>
    <w:semiHidden/>
    <w:rPr>
      <w:rFonts w:ascii="Times New Roman" w:eastAsia="Times New Roman" w:hAnsi="Times New Roman"/>
      <w:w w:val="100"/>
      <w:sz w:val="24"/>
      <w:szCs w:val="24"/>
      <w:shd w:val="clear" w:color="000000" w:fill="auto"/>
    </w:rPr>
  </w:style>
  <w:style w:type="character" w:customStyle="1" w:styleId="Heading9Char">
    <w:name w:val="Heading 9 Char"/>
    <w:basedOn w:val="DefaultParagraphFont"/>
    <w:link w:val="Heading9"/>
    <w:semiHidden/>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357" w:hanging="357"/>
      <w:jc w:val="both"/>
    </w:pPr>
    <w:rPr>
      <w:rFonts w:ascii="Times New Roman" w:hAnsi="Times New Roman"/>
      <w:sz w:val="20"/>
      <w:szCs w:val="20"/>
    </w:rPr>
  </w:style>
  <w:style w:type="character" w:customStyle="1" w:styleId="FootnoteTextChar">
    <w:name w:val="Footnote Text Char"/>
    <w:basedOn w:val="DefaultParagraphFont"/>
    <w:link w:val="FootnoteText"/>
    <w:qFormat/>
    <w:rPr>
      <w:rFonts w:ascii="Times New Roman" w:eastAsia="Times New Roman" w:hAnsi="Times New Roman"/>
      <w:w w:val="100"/>
      <w:sz w:val="20"/>
      <w:szCs w:val="20"/>
      <w:shd w:val="clear" w:color="000000" w:fill="auto"/>
    </w:rPr>
  </w:style>
  <w:style w:type="paragraph" w:customStyle="1" w:styleId="Text1">
    <w:name w:val="Text 1"/>
    <w:basedOn w:val="Normal"/>
    <w:qFormat/>
    <w:pPr>
      <w:ind w:left="482"/>
      <w:jc w:val="both"/>
    </w:pPr>
    <w:rPr>
      <w:rFonts w:ascii="Times New Roman" w:hAnsi="Times New Roman"/>
      <w:sz w:val="24"/>
      <w:szCs w:val="24"/>
    </w:rPr>
  </w:style>
  <w:style w:type="paragraph" w:customStyle="1" w:styleId="Text2">
    <w:name w:val="Text 2"/>
    <w:basedOn w:val="Normal"/>
    <w:qFormat/>
    <w:pPr>
      <w:ind w:left="1077"/>
      <w:jc w:val="both"/>
    </w:pPr>
    <w:rPr>
      <w:rFonts w:ascii="Times New Roman" w:hAnsi="Times New Roman"/>
      <w:sz w:val="24"/>
      <w:szCs w:val="24"/>
    </w:rPr>
  </w:style>
  <w:style w:type="character" w:customStyle="1" w:styleId="ListParagraphChar">
    <w:name w:val="List Paragraph Char"/>
    <w:basedOn w:val="DefaultParagraphFont"/>
    <w:link w:val="ListParagraph"/>
    <w:uiPriority w:val="26"/>
    <w:qFormat/>
  </w:style>
  <w:style w:type="character" w:customStyle="1" w:styleId="BriefingtextChar">
    <w:name w:val="Briefing text Char"/>
    <w:basedOn w:val="DefaultParagraphFont"/>
    <w:link w:val="Briefingtext"/>
    <w:rPr>
      <w:rFonts w:ascii="Arial" w:eastAsia="Arial" w:hAnsi="Arial"/>
      <w:w w:val="100"/>
      <w:sz w:val="20"/>
      <w:szCs w:val="20"/>
      <w:shd w:val="clear" w:color="000000" w:fill="auto"/>
    </w:rPr>
  </w:style>
  <w:style w:type="paragraph" w:customStyle="1" w:styleId="Briefingtext">
    <w:name w:val="Briefing text"/>
    <w:basedOn w:val="Normal"/>
    <w:link w:val="BriefingtextChar"/>
    <w:pPr>
      <w:jc w:val="both"/>
    </w:pPr>
    <w:rPr>
      <w:rFonts w:ascii="Arial" w:eastAsia="Arial" w:hAnsi="Arial"/>
      <w:sz w:val="20"/>
      <w:szCs w:val="20"/>
    </w:rPr>
  </w:style>
  <w:style w:type="character" w:styleId="FootnoteReference">
    <w:name w:val="footnote reference"/>
    <w:basedOn w:val="DefaultParagraphFont"/>
    <w:link w:val="SUPERSCharCharCharCharCharCharCharChar"/>
    <w:unhideWhenUsed/>
    <w:qFormat/>
    <w:rPr>
      <w:w w:val="100"/>
      <w:sz w:val="20"/>
      <w:szCs w:val="20"/>
      <w:shd w:val="clear" w:color="000000" w:fill="auto"/>
      <w:vertAlign w:val="superscript"/>
    </w:rPr>
  </w:style>
  <w:style w:type="paragraph" w:customStyle="1" w:styleId="SUPERSCharCharCharCharCharCharCharChar">
    <w:name w:val="SUPERS Char Char Char Char Char Char Char Char"/>
    <w:basedOn w:val="Normal"/>
    <w:link w:val="FootnoteReference"/>
    <w:rPr>
      <w:sz w:val="20"/>
      <w:szCs w:val="20"/>
      <w:vertAlign w:val="superscript"/>
    </w:rPr>
  </w:style>
  <w:style w:type="character" w:customStyle="1" w:styleId="Bodytext2">
    <w:name w:val="Body text|2_"/>
    <w:basedOn w:val="DefaultParagraphFont"/>
    <w:link w:val="Bodytext20"/>
    <w:rPr>
      <w:w w:val="100"/>
      <w:sz w:val="20"/>
      <w:szCs w:val="20"/>
      <w:shd w:val="clear" w:color="000000" w:fill="FFFFFF"/>
    </w:rPr>
  </w:style>
  <w:style w:type="paragraph" w:customStyle="1" w:styleId="Bodytext20">
    <w:name w:val="Body text|2"/>
    <w:basedOn w:val="Normal"/>
    <w:link w:val="Bodytext2"/>
    <w:qFormat/>
    <w:pPr>
      <w:shd w:val="clear" w:color="000000" w:fill="FFFFFF"/>
      <w:ind w:hanging="460"/>
      <w:jc w:val="both"/>
    </w:pPr>
  </w:style>
  <w:style w:type="paragraph" w:styleId="NormalWeb">
    <w:name w:val="Normal (Web)"/>
    <w:basedOn w:val="Normal"/>
    <w:unhideWhenUsed/>
    <w:rPr>
      <w:rFonts w:ascii="Times New Roman" w:hAnsi="Times New Roman"/>
      <w:sz w:val="24"/>
      <w:szCs w:val="24"/>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paragraph" w:customStyle="1" w:styleId="FootnotesymbolCarZchn">
    <w:name w:val="Footnote symbol Car Zchn"/>
    <w:basedOn w:val="Normal"/>
    <w:pPr>
      <w:jc w:val="both"/>
    </w:pPr>
    <w:rPr>
      <w:sz w:val="20"/>
      <w:szCs w:val="20"/>
      <w:vertAlign w:val="superscript"/>
    </w:rPr>
  </w:style>
  <w:style w:type="paragraph" w:customStyle="1" w:styleId="Default">
    <w:name w:val="Default"/>
    <w:pPr>
      <w:autoSpaceDE w:val="0"/>
      <w:autoSpaceDN w:val="0"/>
    </w:pPr>
    <w:rPr>
      <w:rFonts w:ascii="EYInterstate" w:eastAsia="EYInterstate" w:hAnsi="EYInterstate"/>
      <w:color w:val="000000"/>
      <w:sz w:val="24"/>
      <w:szCs w:val="24"/>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styleId="Revision">
    <w:name w:val="Revision"/>
    <w:semiHidden/>
  </w:style>
  <w:style w:type="table" w:customStyle="1" w:styleId="TableGrid1">
    <w:name w:val="Table Grid1"/>
    <w:basedOn w:val="TableNormal"/>
    <w:next w:val="Table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775">
      <w:bodyDiv w:val="1"/>
      <w:marLeft w:val="0"/>
      <w:marRight w:val="0"/>
      <w:marTop w:val="0"/>
      <w:marBottom w:val="0"/>
      <w:divBdr>
        <w:top w:val="none" w:sz="0" w:space="0" w:color="auto"/>
        <w:left w:val="none" w:sz="0" w:space="0" w:color="auto"/>
        <w:bottom w:val="none" w:sz="0" w:space="0" w:color="auto"/>
        <w:right w:val="none" w:sz="0" w:space="0" w:color="auto"/>
      </w:divBdr>
    </w:div>
    <w:div w:id="530920188">
      <w:bodyDiv w:val="1"/>
      <w:marLeft w:val="0"/>
      <w:marRight w:val="0"/>
      <w:marTop w:val="0"/>
      <w:marBottom w:val="0"/>
      <w:divBdr>
        <w:top w:val="none" w:sz="0" w:space="0" w:color="auto"/>
        <w:left w:val="none" w:sz="0" w:space="0" w:color="auto"/>
        <w:bottom w:val="none" w:sz="0" w:space="0" w:color="auto"/>
        <w:right w:val="none" w:sz="0" w:space="0" w:color="auto"/>
      </w:divBdr>
    </w:div>
    <w:div w:id="534465212">
      <w:bodyDiv w:val="1"/>
      <w:marLeft w:val="0"/>
      <w:marRight w:val="0"/>
      <w:marTop w:val="0"/>
      <w:marBottom w:val="0"/>
      <w:divBdr>
        <w:top w:val="none" w:sz="0" w:space="0" w:color="auto"/>
        <w:left w:val="none" w:sz="0" w:space="0" w:color="auto"/>
        <w:bottom w:val="none" w:sz="0" w:space="0" w:color="auto"/>
        <w:right w:val="none" w:sz="0" w:space="0" w:color="auto"/>
      </w:divBdr>
      <w:divsChild>
        <w:div w:id="354045454">
          <w:marLeft w:val="0"/>
          <w:marRight w:val="0"/>
          <w:marTop w:val="0"/>
          <w:marBottom w:val="0"/>
          <w:divBdr>
            <w:top w:val="none" w:sz="0" w:space="0" w:color="auto"/>
            <w:left w:val="none" w:sz="0" w:space="0" w:color="auto"/>
            <w:bottom w:val="none" w:sz="0" w:space="0" w:color="auto"/>
            <w:right w:val="none" w:sz="0" w:space="0" w:color="auto"/>
          </w:divBdr>
          <w:divsChild>
            <w:div w:id="446436634">
              <w:marLeft w:val="0"/>
              <w:marRight w:val="0"/>
              <w:marTop w:val="0"/>
              <w:marBottom w:val="450"/>
              <w:divBdr>
                <w:top w:val="none" w:sz="0" w:space="0" w:color="auto"/>
                <w:left w:val="none" w:sz="0" w:space="0" w:color="auto"/>
                <w:bottom w:val="none" w:sz="0" w:space="0" w:color="auto"/>
                <w:right w:val="none" w:sz="0" w:space="0" w:color="auto"/>
              </w:divBdr>
              <w:divsChild>
                <w:div w:id="290598809">
                  <w:marLeft w:val="0"/>
                  <w:marRight w:val="0"/>
                  <w:marTop w:val="0"/>
                  <w:marBottom w:val="0"/>
                  <w:divBdr>
                    <w:top w:val="none" w:sz="0" w:space="0" w:color="auto"/>
                    <w:left w:val="none" w:sz="0" w:space="0" w:color="auto"/>
                    <w:bottom w:val="none" w:sz="0" w:space="0" w:color="auto"/>
                    <w:right w:val="none" w:sz="0" w:space="0" w:color="auto"/>
                  </w:divBdr>
                  <w:divsChild>
                    <w:div w:id="454326304">
                      <w:marLeft w:val="-225"/>
                      <w:marRight w:val="-225"/>
                      <w:marTop w:val="0"/>
                      <w:marBottom w:val="0"/>
                      <w:divBdr>
                        <w:top w:val="none" w:sz="0" w:space="0" w:color="auto"/>
                        <w:left w:val="none" w:sz="0" w:space="0" w:color="auto"/>
                        <w:bottom w:val="none" w:sz="0" w:space="0" w:color="auto"/>
                        <w:right w:val="none" w:sz="0" w:space="0" w:color="auto"/>
                      </w:divBdr>
                      <w:divsChild>
                        <w:div w:id="775640184">
                          <w:marLeft w:val="0"/>
                          <w:marRight w:val="0"/>
                          <w:marTop w:val="0"/>
                          <w:marBottom w:val="0"/>
                          <w:divBdr>
                            <w:top w:val="none" w:sz="0" w:space="0" w:color="auto"/>
                            <w:left w:val="none" w:sz="0" w:space="0" w:color="auto"/>
                            <w:bottom w:val="none" w:sz="0" w:space="0" w:color="auto"/>
                            <w:right w:val="none" w:sz="0" w:space="0" w:color="auto"/>
                          </w:divBdr>
                          <w:divsChild>
                            <w:div w:id="1479222469">
                              <w:marLeft w:val="0"/>
                              <w:marRight w:val="0"/>
                              <w:marTop w:val="0"/>
                              <w:marBottom w:val="0"/>
                              <w:divBdr>
                                <w:top w:val="none" w:sz="0" w:space="0" w:color="auto"/>
                                <w:left w:val="none" w:sz="0" w:space="0" w:color="auto"/>
                                <w:bottom w:val="none" w:sz="0" w:space="0" w:color="auto"/>
                                <w:right w:val="none" w:sz="0" w:space="0" w:color="auto"/>
                              </w:divBdr>
                              <w:divsChild>
                                <w:div w:id="1748770080">
                                  <w:marLeft w:val="-225"/>
                                  <w:marRight w:val="-225"/>
                                  <w:marTop w:val="0"/>
                                  <w:marBottom w:val="0"/>
                                  <w:divBdr>
                                    <w:top w:val="none" w:sz="0" w:space="0" w:color="auto"/>
                                    <w:left w:val="none" w:sz="0" w:space="0" w:color="auto"/>
                                    <w:bottom w:val="none" w:sz="0" w:space="0" w:color="auto"/>
                                    <w:right w:val="none" w:sz="0" w:space="0" w:color="auto"/>
                                  </w:divBdr>
                                  <w:divsChild>
                                    <w:div w:id="13043990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sChild>
                                            <w:div w:id="1049457745">
                                              <w:marLeft w:val="0"/>
                                              <w:marRight w:val="0"/>
                                              <w:marTop w:val="0"/>
                                              <w:marBottom w:val="0"/>
                                              <w:divBdr>
                                                <w:top w:val="none" w:sz="0" w:space="0" w:color="auto"/>
                                                <w:left w:val="none" w:sz="0" w:space="0" w:color="auto"/>
                                                <w:bottom w:val="none" w:sz="0" w:space="0" w:color="auto"/>
                                                <w:right w:val="none" w:sz="0" w:space="0" w:color="auto"/>
                                              </w:divBdr>
                                              <w:divsChild>
                                                <w:div w:id="1512797247">
                                                  <w:marLeft w:val="0"/>
                                                  <w:marRight w:val="0"/>
                                                  <w:marTop w:val="0"/>
                                                  <w:marBottom w:val="0"/>
                                                  <w:divBdr>
                                                    <w:top w:val="none" w:sz="0" w:space="0" w:color="auto"/>
                                                    <w:left w:val="none" w:sz="0" w:space="0" w:color="auto"/>
                                                    <w:bottom w:val="none" w:sz="0" w:space="0" w:color="auto"/>
                                                    <w:right w:val="none" w:sz="0" w:space="0" w:color="auto"/>
                                                  </w:divBdr>
                                                  <w:divsChild>
                                                    <w:div w:id="247858932">
                                                      <w:marLeft w:val="0"/>
                                                      <w:marRight w:val="0"/>
                                                      <w:marTop w:val="0"/>
                                                      <w:marBottom w:val="0"/>
                                                      <w:divBdr>
                                                        <w:top w:val="none" w:sz="0" w:space="0" w:color="auto"/>
                                                        <w:left w:val="none" w:sz="0" w:space="0" w:color="auto"/>
                                                        <w:bottom w:val="none" w:sz="0" w:space="0" w:color="auto"/>
                                                        <w:right w:val="none" w:sz="0" w:space="0" w:color="auto"/>
                                                      </w:divBdr>
                                                      <w:divsChild>
                                                        <w:div w:id="1858612981">
                                                          <w:marLeft w:val="0"/>
                                                          <w:marRight w:val="0"/>
                                                          <w:marTop w:val="0"/>
                                                          <w:marBottom w:val="0"/>
                                                          <w:divBdr>
                                                            <w:top w:val="none" w:sz="0" w:space="0" w:color="auto"/>
                                                            <w:left w:val="none" w:sz="0" w:space="0" w:color="auto"/>
                                                            <w:bottom w:val="none" w:sz="0" w:space="0" w:color="auto"/>
                                                            <w:right w:val="none" w:sz="0" w:space="0" w:color="auto"/>
                                                          </w:divBdr>
                                                          <w:divsChild>
                                                            <w:div w:id="473177483">
                                                              <w:marLeft w:val="0"/>
                                                              <w:marRight w:val="0"/>
                                                              <w:marTop w:val="0"/>
                                                              <w:marBottom w:val="0"/>
                                                              <w:divBdr>
                                                                <w:top w:val="none" w:sz="0" w:space="0" w:color="auto"/>
                                                                <w:left w:val="none" w:sz="0" w:space="0" w:color="auto"/>
                                                                <w:bottom w:val="none" w:sz="0" w:space="0" w:color="auto"/>
                                                                <w:right w:val="none" w:sz="0" w:space="0" w:color="auto"/>
                                                              </w:divBdr>
                                                              <w:divsChild>
                                                                <w:div w:id="1947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457506">
      <w:bodyDiv w:val="1"/>
      <w:marLeft w:val="0"/>
      <w:marRight w:val="0"/>
      <w:marTop w:val="0"/>
      <w:marBottom w:val="0"/>
      <w:divBdr>
        <w:top w:val="none" w:sz="0" w:space="0" w:color="auto"/>
        <w:left w:val="none" w:sz="0" w:space="0" w:color="auto"/>
        <w:bottom w:val="none" w:sz="0" w:space="0" w:color="auto"/>
        <w:right w:val="none" w:sz="0" w:space="0" w:color="auto"/>
      </w:divBdr>
    </w:div>
    <w:div w:id="616831639">
      <w:bodyDiv w:val="1"/>
      <w:marLeft w:val="0"/>
      <w:marRight w:val="0"/>
      <w:marTop w:val="0"/>
      <w:marBottom w:val="0"/>
      <w:divBdr>
        <w:top w:val="none" w:sz="0" w:space="0" w:color="auto"/>
        <w:left w:val="none" w:sz="0" w:space="0" w:color="auto"/>
        <w:bottom w:val="none" w:sz="0" w:space="0" w:color="auto"/>
        <w:right w:val="none" w:sz="0" w:space="0" w:color="auto"/>
      </w:divBdr>
    </w:div>
    <w:div w:id="622856318">
      <w:bodyDiv w:val="1"/>
      <w:marLeft w:val="0"/>
      <w:marRight w:val="0"/>
      <w:marTop w:val="0"/>
      <w:marBottom w:val="0"/>
      <w:divBdr>
        <w:top w:val="none" w:sz="0" w:space="0" w:color="auto"/>
        <w:left w:val="none" w:sz="0" w:space="0" w:color="auto"/>
        <w:bottom w:val="none" w:sz="0" w:space="0" w:color="auto"/>
        <w:right w:val="none" w:sz="0" w:space="0" w:color="auto"/>
      </w:divBdr>
    </w:div>
    <w:div w:id="796262671">
      <w:bodyDiv w:val="1"/>
      <w:marLeft w:val="0"/>
      <w:marRight w:val="0"/>
      <w:marTop w:val="0"/>
      <w:marBottom w:val="0"/>
      <w:divBdr>
        <w:top w:val="none" w:sz="0" w:space="0" w:color="auto"/>
        <w:left w:val="none" w:sz="0" w:space="0" w:color="auto"/>
        <w:bottom w:val="none" w:sz="0" w:space="0" w:color="auto"/>
        <w:right w:val="none" w:sz="0" w:space="0" w:color="auto"/>
      </w:divBdr>
    </w:div>
    <w:div w:id="1033068842">
      <w:bodyDiv w:val="1"/>
      <w:marLeft w:val="0"/>
      <w:marRight w:val="0"/>
      <w:marTop w:val="0"/>
      <w:marBottom w:val="0"/>
      <w:divBdr>
        <w:top w:val="none" w:sz="0" w:space="0" w:color="auto"/>
        <w:left w:val="none" w:sz="0" w:space="0" w:color="auto"/>
        <w:bottom w:val="none" w:sz="0" w:space="0" w:color="auto"/>
        <w:right w:val="none" w:sz="0" w:space="0" w:color="auto"/>
      </w:divBdr>
    </w:div>
    <w:div w:id="1286041767">
      <w:bodyDiv w:val="1"/>
      <w:marLeft w:val="0"/>
      <w:marRight w:val="0"/>
      <w:marTop w:val="0"/>
      <w:marBottom w:val="0"/>
      <w:divBdr>
        <w:top w:val="none" w:sz="0" w:space="0" w:color="auto"/>
        <w:left w:val="none" w:sz="0" w:space="0" w:color="auto"/>
        <w:bottom w:val="none" w:sz="0" w:space="0" w:color="auto"/>
        <w:right w:val="none" w:sz="0" w:space="0" w:color="auto"/>
      </w:divBdr>
    </w:div>
    <w:div w:id="1470249602">
      <w:bodyDiv w:val="1"/>
      <w:marLeft w:val="0"/>
      <w:marRight w:val="0"/>
      <w:marTop w:val="0"/>
      <w:marBottom w:val="0"/>
      <w:divBdr>
        <w:top w:val="none" w:sz="0" w:space="0" w:color="auto"/>
        <w:left w:val="none" w:sz="0" w:space="0" w:color="auto"/>
        <w:bottom w:val="none" w:sz="0" w:space="0" w:color="auto"/>
        <w:right w:val="none" w:sz="0" w:space="0" w:color="auto"/>
      </w:divBdr>
    </w:div>
    <w:div w:id="1672102341">
      <w:bodyDiv w:val="1"/>
      <w:marLeft w:val="0"/>
      <w:marRight w:val="0"/>
      <w:marTop w:val="0"/>
      <w:marBottom w:val="0"/>
      <w:divBdr>
        <w:top w:val="none" w:sz="0" w:space="0" w:color="auto"/>
        <w:left w:val="none" w:sz="0" w:space="0" w:color="auto"/>
        <w:bottom w:val="none" w:sz="0" w:space="0" w:color="auto"/>
        <w:right w:val="none" w:sz="0" w:space="0" w:color="auto"/>
      </w:divBdr>
    </w:div>
    <w:div w:id="1739787477">
      <w:bodyDiv w:val="1"/>
      <w:marLeft w:val="0"/>
      <w:marRight w:val="0"/>
      <w:marTop w:val="0"/>
      <w:marBottom w:val="0"/>
      <w:divBdr>
        <w:top w:val="none" w:sz="0" w:space="0" w:color="auto"/>
        <w:left w:val="none" w:sz="0" w:space="0" w:color="auto"/>
        <w:bottom w:val="none" w:sz="0" w:space="0" w:color="auto"/>
        <w:right w:val="none" w:sz="0" w:space="0" w:color="auto"/>
      </w:divBdr>
    </w:div>
    <w:div w:id="1797723413">
      <w:bodyDiv w:val="1"/>
      <w:marLeft w:val="0"/>
      <w:marRight w:val="0"/>
      <w:marTop w:val="0"/>
      <w:marBottom w:val="0"/>
      <w:divBdr>
        <w:top w:val="none" w:sz="0" w:space="0" w:color="auto"/>
        <w:left w:val="none" w:sz="0" w:space="0" w:color="auto"/>
        <w:bottom w:val="none" w:sz="0" w:space="0" w:color="auto"/>
        <w:right w:val="none" w:sz="0" w:space="0" w:color="auto"/>
      </w:divBdr>
    </w:div>
    <w:div w:id="1886868868">
      <w:bodyDiv w:val="1"/>
      <w:marLeft w:val="0"/>
      <w:marRight w:val="0"/>
      <w:marTop w:val="0"/>
      <w:marBottom w:val="0"/>
      <w:divBdr>
        <w:top w:val="none" w:sz="0" w:space="0" w:color="auto"/>
        <w:left w:val="none" w:sz="0" w:space="0" w:color="auto"/>
        <w:bottom w:val="none" w:sz="0" w:space="0" w:color="auto"/>
        <w:right w:val="none" w:sz="0" w:space="0" w:color="auto"/>
      </w:divBdr>
    </w:div>
    <w:div w:id="1909146796">
      <w:bodyDiv w:val="1"/>
      <w:marLeft w:val="0"/>
      <w:marRight w:val="0"/>
      <w:marTop w:val="0"/>
      <w:marBottom w:val="0"/>
      <w:divBdr>
        <w:top w:val="none" w:sz="0" w:space="0" w:color="auto"/>
        <w:left w:val="none" w:sz="0" w:space="0" w:color="auto"/>
        <w:bottom w:val="none" w:sz="0" w:space="0" w:color="auto"/>
        <w:right w:val="none" w:sz="0" w:space="0" w:color="auto"/>
      </w:divBdr>
    </w:div>
    <w:div w:id="21304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6562-2AAF-4314-A9F6-0D89FF5A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9708</Words>
  <Characters>61646</Characters>
  <Application>Microsoft Office Word</Application>
  <DocSecurity>0</DocSecurity>
  <Lines>963</Lines>
  <Paragraphs>212</Paragraphs>
  <MMClips>0</MMClip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Manager/>
  <Company/>
  <LinksUpToDate>false</LinksUpToDate>
  <CharactersWithSpaces>71142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2020-01-16T09:49:00Z</dcterms:created>
  <dcterms:modified xsi:type="dcterms:W3CDTF">2020-01-16T13:57:00Z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