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alt="F5FFEAC8-C0CD-4F4E-B1AF-F37567E27677" style="width:450.75pt;height:393.3pt">
            <v:imagedata r:id="rId9" o:title=""/>
          </v:shape>
        </w:pict>
      </w:r>
    </w:p>
    <w:p>
      <w:pPr>
        <w:rPr>
          <w:noProof/>
        </w:rPr>
        <w:sectPr>
          <w:footerReference w:type="default" r:id="rId10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rFonts w:eastAsia="Arial Unicode MS"/>
          <w:noProof/>
        </w:rPr>
      </w:pPr>
      <w:r>
        <w:t>1.</w:t>
      </w:r>
      <w:r>
        <w:tab/>
      </w:r>
      <w:r>
        <w:rPr>
          <w:noProof/>
        </w:rPr>
        <w:t>Предмет на предложението</w:t>
      </w:r>
    </w:p>
    <w:p>
      <w:pPr>
        <w:rPr>
          <w:rFonts w:eastAsia="Arial Unicode MS"/>
          <w:noProof/>
        </w:rPr>
      </w:pPr>
      <w:r>
        <w:rPr>
          <w:noProof/>
        </w:rPr>
        <w:t xml:space="preserve">Настоящото предложение се отнася до решението за установяване на позицията, която трябва да се заеме от името на Съюза в рамките на </w:t>
      </w:r>
      <w:r>
        <w:rPr>
          <w:noProof/>
          <w:u w:color="000000"/>
          <w:bdr w:val="nil"/>
        </w:rPr>
        <w:t>Комисията за упойващите вещества</w:t>
      </w:r>
      <w:r>
        <w:t xml:space="preserve"> </w:t>
      </w:r>
      <w:r>
        <w:rPr>
          <w:noProof/>
        </w:rPr>
        <w:t xml:space="preserve">във връзка с предвиденото приемане на </w:t>
      </w:r>
      <w:r>
        <w:rPr>
          <w:noProof/>
          <w:u w:color="000000"/>
          <w:bdr w:val="nil"/>
        </w:rPr>
        <w:t>промени в списъците към Конвенцията на Организацията на обединените нации (ООН) за борба срещу незаконния трафик на упойващи и психотропни вещества от 1988 г. въз основа на препоръките на Международния орган за контрол на упойващите вещества.</w:t>
      </w:r>
    </w:p>
    <w:p>
      <w:pPr>
        <w:pStyle w:val="ManualHeading1"/>
        <w:rPr>
          <w:noProof/>
        </w:rPr>
      </w:pPr>
      <w:r>
        <w:t>2.</w:t>
      </w:r>
      <w:r>
        <w:tab/>
      </w:r>
      <w:r>
        <w:rPr>
          <w:noProof/>
        </w:rPr>
        <w:t>Контекст на предложението</w:t>
      </w:r>
    </w:p>
    <w:p>
      <w:pPr>
        <w:pStyle w:val="ManualHeading2"/>
        <w:rPr>
          <w:noProof/>
        </w:rPr>
      </w:pPr>
      <w:r>
        <w:t>2.1.</w:t>
      </w:r>
      <w:r>
        <w:tab/>
      </w:r>
      <w:r>
        <w:rPr>
          <w:noProof/>
        </w:rPr>
        <w:t>Конвенцията на Организацията на обединените нации (ООН) за борба срещу незаконния трафик на упойващи и психотропни вещества от 1988 г.</w:t>
      </w:r>
    </w:p>
    <w:p>
      <w:pPr>
        <w:autoSpaceDE w:val="0"/>
        <w:autoSpaceDN w:val="0"/>
        <w:adjustRightInd w:val="0"/>
        <w:spacing w:after="240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  <w:u w:color="000000"/>
          <w:bdr w:val="nil"/>
        </w:rPr>
        <w:t>Конвенцията на Организацията на обединените нации (ООН) за борба срещу незаконния трафик на упойващи и психотропни вещества от 1988 г. („Конвенцията“) има за цел да насърчава сътрудничеството между страните, за да могат те да се справят по-ефективно с различните аспекти на незаконния трафик на упойващи и психотропни вещества, който има международно измерение. При изпълнение на задълженията си съгласно Конвенцията страните вземат необходимите мерки, включително законодателни и административни мерки, в съответствие с основополагащите разпоредби на своите съответни вътрешни законодателни системи. Конвенцията влезе в сила на 11 ноември 1990 г. ЕС</w:t>
      </w:r>
      <w:r>
        <w:rPr>
          <w:rStyle w:val="FootnoteReference"/>
          <w:noProof/>
        </w:rPr>
        <w:footnoteReference w:id="1"/>
      </w:r>
      <w:r>
        <w:rPr>
          <w:noProof/>
          <w:u w:color="000000"/>
          <w:bdr w:val="nil"/>
        </w:rPr>
        <w:t xml:space="preserve"> и неговите държави членки са страни по Конвенцията. </w:t>
      </w:r>
    </w:p>
    <w:p>
      <w:pPr>
        <w:pStyle w:val="ManualHeading2"/>
        <w:rPr>
          <w:noProof/>
        </w:rPr>
      </w:pPr>
      <w:r>
        <w:t>2.2.</w:t>
      </w:r>
      <w:r>
        <w:tab/>
      </w:r>
      <w:r>
        <w:rPr>
          <w:noProof/>
          <w:u w:color="000000"/>
          <w:bdr w:val="nil"/>
        </w:rPr>
        <w:t>Комисията за упойващите вещества</w:t>
      </w:r>
    </w:p>
    <w:p>
      <w:pPr>
        <w:autoSpaceDE w:val="0"/>
        <w:autoSpaceDN w:val="0"/>
        <w:adjustRightInd w:val="0"/>
        <w:spacing w:after="240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  <w:u w:color="000000"/>
          <w:bdr w:val="nil"/>
        </w:rPr>
        <w:t>Комисията за упойващите вещества е комисия към Икономическия и социален съвет на ООН и нейните функции и правомощия са, наред с другото, предвидени в Конвенцията. Тя се състои от 53 държави — членки на ООН, избрани от ECOSOC. Понастоящем 13 държави членки</w:t>
      </w:r>
      <w:r>
        <w:rPr>
          <w:noProof/>
        </w:rPr>
        <w:t xml:space="preserve"> </w:t>
      </w:r>
      <w:r>
        <w:rPr>
          <w:rStyle w:val="FootnoteReference"/>
          <w:noProof/>
        </w:rPr>
        <w:footnoteReference w:id="2"/>
      </w:r>
      <w:r>
        <w:rPr>
          <w:noProof/>
          <w:u w:color="000000"/>
          <w:bdr w:val="nil"/>
        </w:rPr>
        <w:t>са членове на Комисията за упойващите вещества с право на глас. Съюзът има статут на наблюдател в CND.</w:t>
      </w:r>
    </w:p>
    <w:p>
      <w:pPr>
        <w:rPr>
          <w:noProof/>
        </w:rPr>
      </w:pPr>
      <w:r>
        <w:rPr>
          <w:noProof/>
          <w:u w:color="000000"/>
          <w:bdr w:val="nil"/>
        </w:rPr>
        <w:t>Като взема предвид забележките, изпратени от страните, и забележките и препоръките на Международния орган за контрол на упойващите вещества, чиято оценка е определяща, що се отнася до научните въпроси, и като взема също надлежно предвид всякакви други относими фактори, Комисията за упойващите вещества може да реши с мнозинство от две трети на своите членове да включи дадено вещество в списъците към Конвенцията.</w:t>
      </w:r>
    </w:p>
    <w:p>
      <w:pPr>
        <w:pStyle w:val="ManualHeading2"/>
        <w:rPr>
          <w:noProof/>
        </w:rPr>
      </w:pPr>
      <w:r>
        <w:t>2.3.</w:t>
      </w:r>
      <w:r>
        <w:tab/>
      </w:r>
      <w:r>
        <w:rPr>
          <w:noProof/>
        </w:rPr>
        <w:t>Предвиденият акт на</w:t>
      </w:r>
      <w:r>
        <w:t xml:space="preserve"> </w:t>
      </w:r>
      <w:r>
        <w:rPr>
          <w:noProof/>
          <w:u w:color="000000"/>
          <w:bdr w:val="nil"/>
        </w:rPr>
        <w:t>Комисията за упойващите вещества</w:t>
      </w:r>
    </w:p>
    <w:p>
      <w:pPr>
        <w:rPr>
          <w:rFonts w:eastAsia="Arial Unicode MS"/>
          <w:noProof/>
        </w:rPr>
      </w:pPr>
      <w:r>
        <w:rPr>
          <w:noProof/>
          <w:u w:color="000000"/>
          <w:bdr w:val="nil"/>
        </w:rPr>
        <w:t xml:space="preserve">От 2 до 6 март 2020 г. на своята шестдесет и трета сесия, Комисията за упойващите вещества трябва да приеме решение за добавяне на едно вещество в списъците към Конвенцията („предложеният акт“), а именно веществото </w:t>
      </w:r>
      <w:r>
        <w:rPr>
          <w:noProof/>
        </w:rPr>
        <w:t xml:space="preserve"> метил</w:t>
      </w:r>
      <w:r>
        <w:rPr>
          <w:i/>
          <w:noProof/>
        </w:rPr>
        <w:t xml:space="preserve"> алфа</w:t>
      </w:r>
      <w:r>
        <w:rPr>
          <w:noProof/>
        </w:rPr>
        <w:t>-фенилацетоацетат (MAPA)</w:t>
      </w:r>
      <w:r>
        <w:rPr>
          <w:noProof/>
          <w:u w:color="000000"/>
          <w:bdr w:val="nil"/>
        </w:rPr>
        <w:t>.</w:t>
      </w:r>
    </w:p>
    <w:p>
      <w:pPr>
        <w:rPr>
          <w:noProof/>
          <w:szCs w:val="24"/>
          <w:shd w:val="clear" w:color="auto" w:fill="FFFFFF"/>
        </w:rPr>
      </w:pPr>
      <w:r>
        <w:rPr>
          <w:noProof/>
        </w:rPr>
        <w:lastRenderedPageBreak/>
        <w:t>С предложени акт се цели веществото метил</w:t>
      </w:r>
      <w:r>
        <w:rPr>
          <w:i/>
          <w:noProof/>
        </w:rPr>
        <w:t xml:space="preserve"> алфа</w:t>
      </w:r>
      <w:r>
        <w:rPr>
          <w:noProof/>
        </w:rPr>
        <w:t>-фенилацетоацетат (MAPA)</w:t>
      </w:r>
      <w:r>
        <w:rPr>
          <w:noProof/>
          <w:u w:color="000000"/>
          <w:bdr w:val="nil"/>
        </w:rPr>
        <w:t xml:space="preserve"> да се включи в списъка на веществата, фигуриращи в списъците към Конвенцията, с цел</w:t>
      </w:r>
      <w:r>
        <w:rPr>
          <w:noProof/>
        </w:rPr>
        <w:t xml:space="preserve"> </w:t>
      </w:r>
      <w:r>
        <w:rPr>
          <w:noProof/>
          <w:shd w:val="clear" w:color="auto" w:fill="FFFFFF"/>
        </w:rPr>
        <w:t>да се изиска държавите да приемат мерки за контрол и наблюдение на законната търговия с</w:t>
      </w:r>
      <w:r>
        <w:rPr>
          <w:noProof/>
        </w:rPr>
        <w:t xml:space="preserve"> метил </w:t>
      </w:r>
      <w:r>
        <w:rPr>
          <w:i/>
          <w:noProof/>
        </w:rPr>
        <w:t>алфа</w:t>
      </w:r>
      <w:r>
        <w:rPr>
          <w:noProof/>
        </w:rPr>
        <w:t>-фенилацетоацетат (MAPA)</w:t>
      </w:r>
      <w:r>
        <w:rPr>
          <w:noProof/>
          <w:u w:color="000000"/>
          <w:bdr w:val="nil"/>
        </w:rPr>
        <w:t xml:space="preserve"> </w:t>
      </w:r>
      <w:r>
        <w:rPr>
          <w:noProof/>
          <w:shd w:val="clear" w:color="auto" w:fill="FFFFFF"/>
        </w:rPr>
        <w:t xml:space="preserve"> като основно средство за предотвратяване на злоупотреби.</w:t>
      </w:r>
    </w:p>
    <w:p>
      <w:pPr>
        <w:autoSpaceDE w:val="0"/>
        <w:autoSpaceDN w:val="0"/>
        <w:adjustRightInd w:val="0"/>
        <w:spacing w:after="240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  <w:u w:color="000000"/>
          <w:bdr w:val="nil"/>
        </w:rPr>
        <w:t>Съгласно Конвенцията решенията на Комисията за упойващите вещества стават обвързващи, освен ако в рамките на предвидения срок някоя от страните поиска от Икономическия и социален съвет да преразгледа решението</w:t>
      </w:r>
      <w:r>
        <w:rPr>
          <w:rStyle w:val="FootnoteReference"/>
          <w:noProof/>
          <w:u w:color="000000"/>
          <w:bdr w:val="nil"/>
        </w:rPr>
        <w:footnoteReference w:id="3"/>
      </w:r>
      <w:r>
        <w:rPr>
          <w:noProof/>
          <w:u w:color="000000"/>
          <w:bdr w:val="nil"/>
        </w:rPr>
        <w:t>. Решенията на ECOSOC по въпроса са окончателни. Предвидените актове ще станат обвързващи за страните в съответствие с член 12 от Конвенцията, в чиито съответни разпоредби се предвижда следното:</w:t>
      </w:r>
    </w:p>
    <w:p>
      <w:pPr>
        <w:autoSpaceDE w:val="0"/>
        <w:autoSpaceDN w:val="0"/>
        <w:adjustRightInd w:val="0"/>
        <w:spacing w:after="240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  <w:u w:color="000000"/>
          <w:bdr w:val="nil"/>
        </w:rPr>
        <w:t>„Всяко решение, взето от комисията в съответствие с този член, се съобщава от генералния секретар на всички държави и други организации, които са или могат да станат страни по тази конвенция, и на органа. То влиза в сила за всяка страна 180 дни от датата, на която то е било съобщено.</w:t>
      </w:r>
    </w:p>
    <w:p>
      <w:pPr>
        <w:autoSpaceDE w:val="0"/>
        <w:autoSpaceDN w:val="0"/>
        <w:adjustRightInd w:val="0"/>
        <w:spacing w:after="240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  <w:u w:color="000000"/>
          <w:bdr w:val="nil"/>
        </w:rPr>
        <w:t>Решенията, взети от комисията в съответствие с този член, се внасят в съвета за преразглеждане, ако в периода от 180 дни от датата на тяхното съобщаване някоя страна подаде молба за това. Молбата трябва да бъде адресирана до генералния секретар и придружена от всички съществени сведения в нейна подкрепа.</w:t>
      </w:r>
    </w:p>
    <w:p>
      <w:pPr>
        <w:autoSpaceDE w:val="0"/>
        <w:autoSpaceDN w:val="0"/>
        <w:adjustRightInd w:val="0"/>
        <w:spacing w:after="240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  <w:u w:color="000000"/>
          <w:bdr w:val="nil"/>
        </w:rPr>
        <w:t>Генералният секретар изпраща копие от молбата и съществените сведения на комисията, органа и всички страни с молба да представят своите забележки в срок 90 дни. Всички получени забележки се изпращат на съвета за проучване.</w:t>
      </w:r>
    </w:p>
    <w:p>
      <w:pPr>
        <w:autoSpaceDE w:val="0"/>
        <w:autoSpaceDN w:val="0"/>
        <w:adjustRightInd w:val="0"/>
        <w:spacing w:after="240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  <w:u w:color="000000"/>
          <w:bdr w:val="nil"/>
        </w:rPr>
        <w:t>Съветът може да потвърди или отмени решението на комисията. Неговото решение се съобщава на всички държави и други организации, които са или могат да станат страни по конвенцията, на комисията и на органа.“</w:t>
      </w:r>
    </w:p>
    <w:p>
      <w:pPr>
        <w:pStyle w:val="ManualHeading1"/>
        <w:rPr>
          <w:rFonts w:eastAsia="Arial Unicode MS"/>
          <w:noProof/>
        </w:rPr>
      </w:pPr>
      <w:r>
        <w:t>3.</w:t>
      </w:r>
      <w:r>
        <w:tab/>
      </w:r>
      <w:r>
        <w:rPr>
          <w:noProof/>
        </w:rPr>
        <w:t>Позицията, която трябва да се заеме от името на Съюза</w:t>
      </w:r>
    </w:p>
    <w:p>
      <w:pPr>
        <w:autoSpaceDE w:val="0"/>
        <w:autoSpaceDN w:val="0"/>
        <w:adjustRightInd w:val="0"/>
        <w:spacing w:after="240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</w:rPr>
        <w:t>На 15 ноември 2019 г. Комисията беше уведомена, че Международният орган за контрол на упойващите вещества препоръчва в списък I към Конвенцията да се добави едно вещество, а именно метил алфа-фенилацетоацетат (MAPA).</w:t>
      </w:r>
      <w:r>
        <w:rPr>
          <w:noProof/>
          <w:u w:color="000000"/>
          <w:bdr w:val="nil"/>
        </w:rPr>
        <w:t xml:space="preserve"> </w:t>
      </w:r>
    </w:p>
    <w:p>
      <w:pPr>
        <w:autoSpaceDE w:val="0"/>
        <w:autoSpaceDN w:val="0"/>
        <w:adjustRightInd w:val="0"/>
        <w:rPr>
          <w:noProof/>
          <w:szCs w:val="24"/>
        </w:rPr>
      </w:pPr>
      <w:r>
        <w:rPr>
          <w:noProof/>
          <w:u w:color="000000"/>
          <w:bdr w:val="nil"/>
        </w:rPr>
        <w:t xml:space="preserve">Съгласно оценката на Международния орган за контрол на упойващите вещества, веществото </w:t>
      </w:r>
      <w:r>
        <w:rPr>
          <w:noProof/>
        </w:rPr>
        <w:t xml:space="preserve">метил </w:t>
      </w:r>
      <w:r>
        <w:rPr>
          <w:i/>
          <w:noProof/>
        </w:rPr>
        <w:t>алфа</w:t>
      </w:r>
      <w:r>
        <w:rPr>
          <w:noProof/>
        </w:rPr>
        <w:t>-фенилацетоацетат (</w:t>
      </w:r>
      <w:r>
        <w:rPr>
          <w:noProof/>
          <w:u w:color="000000"/>
          <w:bdr w:val="nil"/>
        </w:rPr>
        <w:t xml:space="preserve">MAPA) </w:t>
      </w:r>
      <w:r>
        <w:rPr>
          <w:noProof/>
        </w:rPr>
        <w:t xml:space="preserve"> често се използва при незаконното производство на амфетамин и метамфетамин. Има данни, че обемът и обхватът на незаконното производство на тези упойващи и психотропни вещества представлява сериозен социален проблем и проблем за общественото здравеопазване, което налага посоченото вещество да бъде поставено под международен контрол.  Освен това, веществото метил </w:t>
      </w:r>
      <w:r>
        <w:rPr>
          <w:i/>
          <w:noProof/>
        </w:rPr>
        <w:t>алфа</w:t>
      </w:r>
      <w:r>
        <w:rPr>
          <w:noProof/>
        </w:rPr>
        <w:t>-фенилацетоацетат няма известна законна употреба, освен в малко количества за научни изследвания и разработки, както и за лабораторни анализи.</w:t>
      </w:r>
    </w:p>
    <w:p>
      <w:pPr>
        <w:autoSpaceDE w:val="0"/>
        <w:autoSpaceDN w:val="0"/>
        <w:adjustRightInd w:val="0"/>
        <w:spacing w:after="240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  <w:u w:color="000000"/>
          <w:bdr w:val="nil"/>
        </w:rPr>
        <w:t xml:space="preserve">Незаконното производство на амфетамин и метамфетамин е сериозен проблем в Съюза. Тези незаконно произвеждани упойващи и психотропни вещества създават значителни проблеми за общественото здравеопазване и социални проблеми в Съюза. Освен това тези упойващи и психотропни вещества се изнасят за трети държави от организирани престъпни групи в Съюза. </w:t>
      </w:r>
    </w:p>
    <w:p>
      <w:pPr>
        <w:rPr>
          <w:noProof/>
          <w:szCs w:val="24"/>
        </w:rPr>
      </w:pPr>
      <w:r>
        <w:rPr>
          <w:noProof/>
        </w:rPr>
        <w:lastRenderedPageBreak/>
        <w:t xml:space="preserve">Следва да се отбележи, че след дискусии през май 2019 г. в рамките на групата експерти от ЕС по въпросите на прекурсорите на наркотичните вещества Комисията в момента е в процес на изготвяне на делегиран регламент, с който се добавят редица вещества, в това число и метил </w:t>
      </w:r>
      <w:r>
        <w:rPr>
          <w:i/>
          <w:noProof/>
        </w:rPr>
        <w:t>алфа</w:t>
      </w:r>
      <w:r>
        <w:rPr>
          <w:noProof/>
        </w:rPr>
        <w:t>-фенилацетоацетат (МАРА), към приложение 1 към Регламент (ЕО) № 273/2004 на Европейския парламент и на Съвета от 11 февруари 2004 г. относно прекурсорите на наркотичните вещества и към приложението към Регламент (ЕО) 111/2005 на Съвета от 22 декември 2004 г. за определяне на правила за мониторинг на търговията между Съюзa и трети страни в областта на прекурсорите.</w:t>
      </w:r>
      <w:r>
        <w:rPr>
          <w:rStyle w:val="FootnoteReference"/>
          <w:noProof/>
          <w:u w:color="000000"/>
          <w:bdr w:val="nil"/>
        </w:rPr>
        <w:t xml:space="preserve"> </w:t>
      </w:r>
      <w:r>
        <w:rPr>
          <w:rStyle w:val="FootnoteReference"/>
          <w:noProof/>
          <w:u w:color="000000"/>
          <w:bdr w:val="nil"/>
        </w:rPr>
        <w:footnoteReference w:id="4"/>
      </w:r>
    </w:p>
    <w:p>
      <w:pPr>
        <w:autoSpaceDE w:val="0"/>
        <w:autoSpaceDN w:val="0"/>
        <w:adjustRightInd w:val="0"/>
        <w:spacing w:after="240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  <w:u w:color="000000"/>
          <w:bdr w:val="nil"/>
        </w:rPr>
        <w:t>Във връзка с това държавите — членки на Съюза следва да изразят позицията в Комисията за упойващите вещества в подкрепа на добавянето</w:t>
      </w:r>
      <w:r>
        <w:rPr>
          <w:noProof/>
        </w:rPr>
        <w:t xml:space="preserve"> на метил </w:t>
      </w:r>
      <w:r>
        <w:rPr>
          <w:i/>
          <w:noProof/>
        </w:rPr>
        <w:t>алфа</w:t>
      </w:r>
      <w:r>
        <w:rPr>
          <w:noProof/>
        </w:rPr>
        <w:t xml:space="preserve">-фенилацетоацетат (MAPA) в </w:t>
      </w:r>
      <w:r>
        <w:rPr>
          <w:noProof/>
          <w:u w:color="000000"/>
          <w:bdr w:val="nil"/>
        </w:rPr>
        <w:t>Списък I към Конвенцията</w:t>
      </w:r>
      <w:r>
        <w:rPr>
          <w:noProof/>
        </w:rPr>
        <w:t>.</w:t>
      </w:r>
    </w:p>
    <w:p>
      <w:pPr>
        <w:rPr>
          <w:rFonts w:eastAsia="Arial Unicode MS"/>
          <w:noProof/>
        </w:rPr>
      </w:pPr>
      <w:r>
        <w:rPr>
          <w:noProof/>
          <w:u w:color="000000"/>
          <w:bdr w:val="nil"/>
        </w:rPr>
        <w:t>Промените в списъците към Конвенцията се отразяват пряко върху приложното поле на правото на ЕС в областта на контрола върху прекурсорите на наркотични вещества, тъй като добавените в списъците към Конвенцията вещества трябва да бъдат включени в правния ред на Съюза. За да се гарантира това, на Комисията са предоставени правомощия да приема делегирани актове.</w:t>
      </w:r>
    </w:p>
    <w:p>
      <w:pPr>
        <w:pStyle w:val="ManualHeading1"/>
        <w:rPr>
          <w:noProof/>
        </w:rPr>
      </w:pPr>
      <w:r>
        <w:t>4.</w:t>
      </w:r>
      <w:r>
        <w:tab/>
      </w:r>
      <w:r>
        <w:rPr>
          <w:noProof/>
        </w:rPr>
        <w:t>Правно основание</w:t>
      </w:r>
    </w:p>
    <w:p>
      <w:pPr>
        <w:pStyle w:val="ManualHeading2"/>
        <w:rPr>
          <w:noProof/>
        </w:rPr>
      </w:pPr>
      <w:r>
        <w:t>4.1.</w:t>
      </w:r>
      <w:r>
        <w:tab/>
      </w:r>
      <w:r>
        <w:rPr>
          <w:noProof/>
        </w:rPr>
        <w:t>Процесуалноправно основание</w:t>
      </w:r>
    </w:p>
    <w:p>
      <w:pPr>
        <w:pStyle w:val="ManualHeading3"/>
        <w:rPr>
          <w:noProof/>
        </w:rPr>
      </w:pPr>
      <w:r>
        <w:t>4.1.1.</w:t>
      </w:r>
      <w:r>
        <w:tab/>
      </w:r>
      <w:r>
        <w:rPr>
          <w:noProof/>
        </w:rPr>
        <w:t>Принципи</w:t>
      </w:r>
    </w:p>
    <w:p>
      <w:pPr>
        <w:rPr>
          <w:noProof/>
        </w:rPr>
      </w:pPr>
      <w:r>
        <w:rPr>
          <w:noProof/>
        </w:rPr>
        <w:t>В член 218, параграф 9 от Договора за функционирането на Европейския съюз (ДФЕС) се предвижда приемането на решения за установяване на „</w:t>
      </w:r>
      <w:r>
        <w:rPr>
          <w:i/>
          <w:iCs/>
          <w:noProof/>
        </w:rPr>
        <w:t>позициите, които трябва да се заемат от името на Съюза в рамките на орган, създаден със споразумение, когато този орган има за задача да приема актове с правно действие, с изключение на актовете за допълнение или изменение на институционалната рамка на споразумението</w:t>
      </w:r>
      <w:r>
        <w:rPr>
          <w:noProof/>
        </w:rPr>
        <w:t>“.</w:t>
      </w:r>
    </w:p>
    <w:p>
      <w:pPr>
        <w:rPr>
          <w:noProof/>
        </w:rPr>
      </w:pPr>
      <w:r>
        <w:rPr>
          <w:noProof/>
        </w:rPr>
        <w:t>Член 218, параграф 9 от ДФЕС се прилага независимо от това дали Съюзът е член на органа или страна по споразумението</w:t>
      </w:r>
      <w:r>
        <w:rPr>
          <w:rStyle w:val="FootnoteReference"/>
          <w:noProof/>
        </w:rPr>
        <w:footnoteReference w:id="5"/>
      </w:r>
      <w:r>
        <w:rPr>
          <w:noProof/>
        </w:rPr>
        <w:t>.</w:t>
      </w:r>
    </w:p>
    <w:p>
      <w:pPr>
        <w:rPr>
          <w:noProof/>
        </w:rPr>
      </w:pPr>
      <w:r>
        <w:rPr>
          <w:noProof/>
        </w:rPr>
        <w:t xml:space="preserve">Понятието </w:t>
      </w:r>
      <w:r>
        <w:rPr>
          <w:i/>
          <w:noProof/>
        </w:rPr>
        <w:t>„актове с правно действие“</w:t>
      </w:r>
      <w:r>
        <w:rPr>
          <w:noProof/>
        </w:rPr>
        <w:t xml:space="preserve"> включва актовете с правно действие по силата на нормите на международното право, които уреждат съответния орган. То включва и инструментите, които нямат задължителен характер съгласно международното право, но са </w:t>
      </w:r>
      <w:r>
        <w:rPr>
          <w:i/>
          <w:noProof/>
        </w:rPr>
        <w:t>„годни да окажат съществено въздействие върху съдържанието на приеманата от законодателя на Съюза нормативна уредба“.</w:t>
      </w:r>
      <w:r>
        <w:rPr>
          <w:rStyle w:val="FootnoteReference"/>
          <w:noProof/>
        </w:rPr>
        <w:footnoteReference w:id="6"/>
      </w:r>
    </w:p>
    <w:p>
      <w:pPr>
        <w:pStyle w:val="ManualHeading3"/>
        <w:rPr>
          <w:noProof/>
        </w:rPr>
      </w:pPr>
      <w:r>
        <w:t>4.1.2.</w:t>
      </w:r>
      <w:r>
        <w:tab/>
      </w:r>
      <w:r>
        <w:rPr>
          <w:noProof/>
        </w:rPr>
        <w:t>Приложение в конкретния случай</w:t>
      </w:r>
    </w:p>
    <w:p>
      <w:pPr>
        <w:autoSpaceDE w:val="0"/>
        <w:autoSpaceDN w:val="0"/>
        <w:adjustRightInd w:val="0"/>
        <w:spacing w:after="240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  <w:u w:color="000000"/>
          <w:bdr w:val="nil"/>
        </w:rPr>
        <w:t>Комисията за упойващите вещества</w:t>
      </w:r>
      <w:r>
        <w:rPr>
          <w:noProof/>
        </w:rPr>
        <w:t xml:space="preserve"> е орган, създаден със споразумение, а именно Конвенцията на Организацията на обединените нации за борба срещу незаконния трафик на упойващи и психотропни вещества.</w:t>
      </w:r>
    </w:p>
    <w:p>
      <w:r>
        <w:rPr>
          <w:noProof/>
        </w:rPr>
        <w:lastRenderedPageBreak/>
        <w:t xml:space="preserve">Актовете, които </w:t>
      </w:r>
      <w:r>
        <w:rPr>
          <w:noProof/>
          <w:u w:color="000000"/>
          <w:bdr w:val="nil"/>
        </w:rPr>
        <w:t>Комисията за упойващите вещества</w:t>
      </w:r>
      <w:r>
        <w:rPr>
          <w:noProof/>
        </w:rPr>
        <w:t xml:space="preserve"> има за задача да приеме, представляват актове с правно действие. Предвидените актове ще бъдат обвързващи съгласно международното право в съответствие с член 12 от Конвенцията на </w:t>
      </w:r>
      <w:r>
        <w:rPr>
          <w:noProof/>
          <w:u w:color="000000"/>
          <w:bdr w:val="nil"/>
        </w:rPr>
        <w:t>Организацията на обединените нации за борба срещу незаконния трафик на упойващи и психотропни вещества</w:t>
      </w:r>
      <w:r>
        <w:rPr>
          <w:noProof/>
        </w:rPr>
        <w:t>. Предвидените актове са годни да окажат съществено въздействие върху съдържанието на законодателството на ЕС, и по-специално:</w:t>
      </w:r>
      <w:r>
        <w:rPr>
          <w:noProof/>
          <w:u w:color="000000"/>
          <w:bdr w:val="nil"/>
        </w:rPr>
        <w:t xml:space="preserve"> Регламент (ЕО) № 111/2005 на Съвета от 22 декември 2004 г. за определяне на правила за мониторинг на търговията между Съюза и трети страни в областта на прекурсорите (ОВ L 22, 26.1.2005 г., стр. 1) и Регламент (ЕО) № 273/2004 на Европейския парламент и на Съвета от 11 февруари 2004 г. относно прекурсорите на наркотичните вещества.</w:t>
      </w:r>
      <w:r>
        <w:rPr>
          <w:noProof/>
        </w:rPr>
        <w:t xml:space="preserve"> Това е така, защото </w:t>
      </w:r>
      <w:r>
        <w:rPr>
          <w:noProof/>
          <w:u w:color="000000"/>
          <w:bdr w:val="nil"/>
        </w:rPr>
        <w:t>промените в списъците към Конвенцията се отразяват пряко върху приложното поле на правото на ЕС в областта на контрола върху прекурсорите на наркотични вещества, тъй като добавените в списъците към Конвенцията вещества трябва да бъдат включени в правния ред на Съюза</w:t>
      </w:r>
      <w:r>
        <w:rPr>
          <w:noProof/>
        </w:rPr>
        <w:t>.</w:t>
      </w:r>
    </w:p>
    <w:p>
      <w:pPr>
        <w:rPr>
          <w:noProof/>
        </w:rPr>
      </w:pPr>
      <w:r>
        <w:rPr>
          <w:noProof/>
        </w:rPr>
        <w:t>Предвиденият акт не допълва, нито изменя институционалната рамка на споразумението.</w:t>
      </w:r>
    </w:p>
    <w:p>
      <w:pPr>
        <w:rPr>
          <w:noProof/>
        </w:rPr>
      </w:pPr>
      <w:r>
        <w:rPr>
          <w:noProof/>
        </w:rPr>
        <w:t>Поради това процесуалноправното основание за предложеното решение е член 218, параграф 9 от ДФЕС.</w:t>
      </w:r>
    </w:p>
    <w:p>
      <w:pPr>
        <w:pStyle w:val="ManualHeading2"/>
        <w:rPr>
          <w:noProof/>
        </w:rPr>
      </w:pPr>
      <w:r>
        <w:t>4.2.</w:t>
      </w:r>
      <w:r>
        <w:tab/>
      </w:r>
      <w:r>
        <w:rPr>
          <w:noProof/>
        </w:rPr>
        <w:t>Материалноправно основание</w:t>
      </w:r>
    </w:p>
    <w:p>
      <w:pPr>
        <w:pStyle w:val="ManualHeading3"/>
        <w:rPr>
          <w:noProof/>
        </w:rPr>
      </w:pPr>
      <w:r>
        <w:t>4.2.1.</w:t>
      </w:r>
      <w:r>
        <w:tab/>
      </w:r>
      <w:r>
        <w:rPr>
          <w:noProof/>
        </w:rPr>
        <w:t>Принципи</w:t>
      </w:r>
    </w:p>
    <w:p>
      <w:pPr>
        <w:rPr>
          <w:noProof/>
        </w:rPr>
      </w:pPr>
      <w:r>
        <w:rPr>
          <w:noProof/>
        </w:rPr>
        <w:t>Материалноправното основание за дадено решение съгласно член 218, параграф 9 от ДФЕС зависи преди всичко от целта и съдържанието на предвидения акт, във връзка с който се заема позиция от името на Съюза. Ако предвиденият акт преследва две цели или се състои от две части и ако едната от целите или частите може да се определи като основна, докато другата е само акцесорна, решението съгласно член 218, параграф 9 от ДФЕС трябва да се основава на едно-единствено материалноправно основание, а именно на изискваното от основната или преобладаващата цел или част.</w:t>
      </w:r>
    </w:p>
    <w:p>
      <w:pPr>
        <w:pStyle w:val="ManualHeading3"/>
        <w:rPr>
          <w:noProof/>
        </w:rPr>
      </w:pPr>
      <w:r>
        <w:t>4.2.2.</w:t>
      </w:r>
      <w:r>
        <w:tab/>
      </w:r>
      <w:r>
        <w:rPr>
          <w:noProof/>
        </w:rPr>
        <w:t>Приложение в конкретния случай</w:t>
      </w:r>
    </w:p>
    <w:p>
      <w:pPr>
        <w:rPr>
          <w:noProof/>
        </w:rPr>
      </w:pPr>
      <w:r>
        <w:rPr>
          <w:noProof/>
        </w:rPr>
        <w:t>Основната цел и съдържанието на предвидения акт са свързани с общата търговска политика.</w:t>
      </w:r>
    </w:p>
    <w:p>
      <w:pPr>
        <w:autoSpaceDE w:val="0"/>
        <w:autoSpaceDN w:val="0"/>
        <w:adjustRightInd w:val="0"/>
        <w:spacing w:after="240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</w:rPr>
        <w:t xml:space="preserve">Поради това материалноправното основание за предложеното решение е </w:t>
      </w:r>
      <w:r>
        <w:rPr>
          <w:noProof/>
          <w:u w:color="000000"/>
          <w:bdr w:val="nil"/>
        </w:rPr>
        <w:t>член 207 от Договора за функционирането на Европейския съюз</w:t>
      </w:r>
      <w:r>
        <w:rPr>
          <w:noProof/>
        </w:rPr>
        <w:t>.</w:t>
      </w:r>
    </w:p>
    <w:p>
      <w:pPr>
        <w:pStyle w:val="ManualHeading2"/>
        <w:rPr>
          <w:noProof/>
        </w:rPr>
      </w:pPr>
      <w:r>
        <w:t>4.3.</w:t>
      </w:r>
      <w:r>
        <w:tab/>
      </w:r>
      <w:r>
        <w:rPr>
          <w:noProof/>
        </w:rPr>
        <w:t>Заключение</w:t>
      </w:r>
    </w:p>
    <w:p>
      <w:pPr>
        <w:rPr>
          <w:noProof/>
        </w:rPr>
      </w:pPr>
      <w:r>
        <w:rPr>
          <w:noProof/>
        </w:rPr>
        <w:t>Правното основание на предложеното решение следва да бъде член 207 от ДФЕС във връзка с член 218, параграф 9 от ДФЕС.</w:t>
      </w:r>
    </w:p>
    <w:p>
      <w:pPr>
        <w:pStyle w:val="ManualHeading1"/>
        <w:rPr>
          <w:noProof/>
        </w:rPr>
      </w:pPr>
      <w:r>
        <w:t>5.</w:t>
      </w:r>
      <w:r>
        <w:tab/>
      </w:r>
      <w:r>
        <w:rPr>
          <w:noProof/>
        </w:rPr>
        <w:t>Публикуване на предвидения акт</w:t>
      </w:r>
    </w:p>
    <w:p>
      <w:pPr>
        <w:rPr>
          <w:noProof/>
        </w:rPr>
      </w:pPr>
      <w:r>
        <w:rPr>
          <w:noProof/>
        </w:rPr>
        <w:t xml:space="preserve">Тъй като актовете на Комисията за упойващите вещества ще изменят списъците към Конвенцията на Организацията на обединените нации за борба срещу незаконния трафик на упойващи и психотропни вещества, </w:t>
      </w:r>
      <w:r>
        <w:t xml:space="preserve"> </w:t>
      </w:r>
      <w:r>
        <w:rPr>
          <w:noProof/>
        </w:rPr>
        <w:t xml:space="preserve">е целесъобразно след приемането им те да бъдат публикувани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.</w:t>
      </w:r>
    </w:p>
    <w:p>
      <w:pPr>
        <w:rPr>
          <w:noProof/>
        </w:rPr>
      </w:pPr>
    </w:p>
    <w:p>
      <w:pPr>
        <w:rPr>
          <w:noProof/>
        </w:rPr>
        <w:sectPr>
          <w:footerReference w:type="default" r:id="rId11"/>
          <w:footerReference w:type="first" r:id="rId12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lastRenderedPageBreak/>
        <w:t>2020/0007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относно позицията, която да бъде заета от името на Европейския съюз в рамките на шестдесет и третата сесия на Комисията за упойващите вещества, във връзка с добавянето на вещества в Списък I към Конвенцията на Организацията на обединените нации за борба срещу незаконния трафик на упойващи и психотропни вещества</w:t>
      </w:r>
    </w:p>
    <w:p>
      <w:pPr>
        <w:pStyle w:val="Institutionquiagit"/>
        <w:rPr>
          <w:b/>
          <w:noProof/>
        </w:rPr>
      </w:pPr>
      <w:r>
        <w:rPr>
          <w:b/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 207</w:t>
      </w:r>
      <w:r>
        <w:t xml:space="preserve"> </w:t>
      </w:r>
      <w:r>
        <w:rPr>
          <w:noProof/>
        </w:rPr>
        <w:t>във връзка с член 218, параграф 9 от него,</w:t>
      </w:r>
    </w:p>
    <w:p>
      <w:pPr>
        <w:rPr>
          <w:noProof/>
        </w:rPr>
      </w:pPr>
      <w:r>
        <w:rPr>
          <w:noProof/>
        </w:rPr>
        <w:t xml:space="preserve">като взе предвид предложението на Европейската комисия, 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Конвенцията на Организацията на обединените нации за борба срещу незаконния трафик на упойващи и психотропни вещества от 1988 г. („Конвенцията“) влезе в сила на 11 ноември 1990 г. и беше сключена от името на Европейската икономическа общност с Решение 90/611/ЕИО на Съвета</w:t>
      </w:r>
      <w:r>
        <w:rPr>
          <w:rStyle w:val="FootnoteReference"/>
          <w:noProof/>
        </w:rPr>
        <w:footnoteReference w:id="7"/>
      </w:r>
      <w:r>
        <w:rPr>
          <w:rStyle w:val="FootnoteReference"/>
          <w:noProof/>
        </w:rPr>
        <w:t xml:space="preserve">.  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Съгласно член 12, параграфи 2—7</w:t>
      </w:r>
      <w:r>
        <w:t xml:space="preserve"> </w:t>
      </w:r>
      <w:r>
        <w:rPr>
          <w:noProof/>
        </w:rPr>
        <w:t xml:space="preserve"> от Конвенцията в списъците към Конвенцията, в които са изброени прекурсори на наркотични вещества, е възможно да бъдат добавяни нови вещества. 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По време на своята шестдесет и трета сесия, която ще се състои от 2 до 6 март 2020 г. във Виена, Комисията за упойващите вещества следва да вземе решение относно добавянето на едно ново вещество в списъците към Конвенцията.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Целесъобразно е да се установи позицията, която трябва да се заеме от името на Съюза в рамките на Комисията за упойващите вещества, тъй като решението ще бъде обвързващо за Съюза и е годно да окаже съществено въздействие върху съдържанието на правото на Съюза, по-специално върху Регламент (ЕО) № 111/2005 на Съвета от 22 декември 2004 г. за определяне на правила за мониторинг на търговията между Съюза и трети страни в областта на прекурсорите</w:t>
      </w:r>
      <w:r>
        <w:rPr>
          <w:rStyle w:val="FootnoteReference"/>
          <w:noProof/>
        </w:rPr>
        <w:footnoteReference w:id="8"/>
      </w:r>
      <w:r>
        <w:rPr>
          <w:noProof/>
        </w:rPr>
        <w:t xml:space="preserve"> и Регламент (ЕО) № 273/2004 на Европейския парламент и на Съвета от 11 февруари 2004 г. относно прекурсорите на наркотичните вещества</w:t>
      </w:r>
      <w:r>
        <w:rPr>
          <w:rStyle w:val="FootnoteReference"/>
          <w:noProof/>
        </w:rPr>
        <w:footnoteReference w:id="9"/>
      </w:r>
      <w:r>
        <w:rPr>
          <w:rStyle w:val="FootnoteReference"/>
          <w:noProof/>
        </w:rPr>
        <w:t xml:space="preserve"> </w:t>
      </w:r>
      <w:r>
        <w:rPr>
          <w:noProof/>
        </w:rPr>
        <w:t>.</w:t>
      </w:r>
    </w:p>
    <w:p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 xml:space="preserve">Съгласно оценката на Международния орган за контрол на упойващите вещества, веществото метил </w:t>
      </w:r>
      <w:r>
        <w:rPr>
          <w:i/>
          <w:noProof/>
        </w:rPr>
        <w:t>алфа</w:t>
      </w:r>
      <w:r>
        <w:rPr>
          <w:noProof/>
        </w:rPr>
        <w:t xml:space="preserve">-фенилацетоацетат (MAPA)  често се използва при незаконното производство на амфетамин и метамфетамин. Има данни, че обемът и обхватът на незаконното производство на упойващи и психотропни вещества представлява сериозен социален проблем и проблем за общественото </w:t>
      </w:r>
      <w:r>
        <w:rPr>
          <w:noProof/>
        </w:rPr>
        <w:lastRenderedPageBreak/>
        <w:t xml:space="preserve">здравеопазване, което налага те да бъдат поставени под международен контрол. Незаконното производство на амфетамин и метамфетамин създава значителни проблеми за общественото здравеопазване и социални проблеми в Съюза. Инцидентите, свързани с трафика на метил </w:t>
      </w:r>
      <w:r>
        <w:rPr>
          <w:i/>
          <w:noProof/>
        </w:rPr>
        <w:t>алфа</w:t>
      </w:r>
      <w:r>
        <w:rPr>
          <w:noProof/>
        </w:rPr>
        <w:t>-фенилацетоацетат (МАРА) са все по-чести и с по-големи количества, а организирани престъпни групи в Съюза се занимават с незаконен износ на амфетамин и метамфетамин в трети държави.</w:t>
      </w:r>
    </w:p>
    <w:p>
      <w:pPr>
        <w:pStyle w:val="ManualConsidrant"/>
        <w:rPr>
          <w:noProof/>
        </w:rPr>
      </w:pPr>
      <w:r>
        <w:t>(6)</w:t>
      </w:r>
      <w:r>
        <w:tab/>
      </w:r>
      <w:r>
        <w:rPr>
          <w:noProof/>
        </w:rPr>
        <w:t>Позицията на Съюза трябва да бъде изразена от държавите — членки на Съюза, които са членове на Комисията за упойващите вещества</w:t>
      </w:r>
      <w:r>
        <w:t>.</w:t>
      </w:r>
    </w:p>
    <w:p>
      <w:pPr>
        <w:pStyle w:val="Formuledadoption"/>
        <w:rPr>
          <w:noProof/>
        </w:rPr>
      </w:pPr>
      <w:r>
        <w:rPr>
          <w:noProof/>
        </w:rPr>
        <w:t>ПРИЕ НАСТОЯЩОТО РЕШЕНИЕ: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bCs/>
          <w:noProof/>
          <w:szCs w:val="24"/>
        </w:rPr>
      </w:pPr>
      <w:r>
        <w:rPr>
          <w:noProof/>
        </w:rPr>
        <w:t>Позицията, която трябва да се заеме от името на Съюза на шестдесет и третата сесия на Комисията за упойващите вещества, е следната:</w:t>
      </w:r>
    </w:p>
    <w:p>
      <w:pPr>
        <w:rPr>
          <w:noProof/>
        </w:rPr>
      </w:pPr>
      <w:r>
        <w:rPr>
          <w:noProof/>
        </w:rPr>
        <w:t xml:space="preserve">веществото метил </w:t>
      </w:r>
      <w:r>
        <w:rPr>
          <w:i/>
          <w:noProof/>
        </w:rPr>
        <w:t>алфа</w:t>
      </w:r>
      <w:r>
        <w:rPr>
          <w:noProof/>
        </w:rPr>
        <w:t xml:space="preserve">-фенилацетоацетат (МАРА) да се включи в Списък I към Конвенцията 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rPr>
          <w:noProof/>
        </w:rPr>
      </w:pPr>
      <w:r>
        <w:rPr>
          <w:noProof/>
        </w:rPr>
        <w:t>Позицията по член 1 се изразява съвместно от държавите — членки на Съюза, които са членове на Комисията за упойващите вещества.</w:t>
      </w:r>
    </w:p>
    <w:p>
      <w:pPr>
        <w:pStyle w:val="Titrearticle"/>
        <w:rPr>
          <w:noProof/>
        </w:rPr>
      </w:pPr>
      <w:r>
        <w:rPr>
          <w:noProof/>
        </w:rPr>
        <w:t>Член 3</w:t>
      </w:r>
    </w:p>
    <w:p>
      <w:pPr>
        <w:rPr>
          <w:noProof/>
        </w:rPr>
      </w:pPr>
      <w:r>
        <w:rPr>
          <w:noProof/>
        </w:rPr>
        <w:t>Адресати на настоящото решение са държавите членки.</w:t>
      </w:r>
    </w:p>
    <w:p>
      <w:pPr>
        <w:pStyle w:val="Fait"/>
        <w:rPr>
          <w:noProof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6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Решение на Съвета от 22 октомври 1990 г. относно сключването от името на Европейската икономическа общност на Конвенцията на Организацията на обединените нации за борба срещу незаконния трафик на упойващи и психотропни вещества (OВ L 326, 24.11.1990 г., стр. 56).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Белгия, Чехия, Германия, Испания, Франция, Хърватия, Италия, Унгария, Нидерландия, Австрия, Полша, Швеция и Обединеното кралство. Членството в Обединеното кралство в ЕС подлежи на промяна в резултат на искането на Обединеното кралство да се оттегли от членството си в ЕС.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Член 12, параграф 7 от Конвенцията на ООН от 1988 г.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>Регламент (ЕО) № 111/2005 на Съвета от 22 декември 2004 г. за определяне на правила за мониторинг на търговията между Съюза и трети страни в областта на прекурсорите (ОВ L 22, 26.1.2005 г., стр. 1) и Регламент (ЕО) № 273/2004 на Европейския парламент и на Съвета от 11 февруари 2004 г. относно прекурсорите на наркотичните вещества (ОВ L 47, 18.2.2004 г., стр. 1).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ab/>
        <w:t xml:space="preserve">Решение на Съда на Европейския съюз от 7 октомври 2014 г., Германия/Съвет, C-399/12, ECLI:EU:C:2014:2258, т. 64. </w:t>
      </w:r>
    </w:p>
  </w:footnote>
  <w:footnote w:id="6">
    <w:p>
      <w:pPr>
        <w:pStyle w:val="FootnoteText"/>
      </w:pPr>
      <w:r>
        <w:rPr>
          <w:rStyle w:val="FootnoteReference"/>
        </w:rPr>
        <w:footnoteRef/>
      </w:r>
      <w:r>
        <w:tab/>
        <w:t xml:space="preserve">Решение на Съда на ЕС от 7 октомври 2014 г. по дело Германия/Съвет, C-399/12, ECLI:EU:C:2014:2258, т. 61—64. </w:t>
      </w:r>
    </w:p>
  </w:footnote>
  <w:footnote w:id="7">
    <w:p>
      <w:pPr>
        <w:pStyle w:val="Footnote"/>
        <w:spacing w:after="0"/>
        <w:rPr>
          <w:rStyle w:val="FootnoteTextChar"/>
          <w:lang w:val="bg-BG"/>
        </w:rPr>
      </w:pPr>
      <w:r>
        <w:rPr>
          <w:rStyle w:val="FootnoteReference"/>
        </w:rPr>
        <w:footnoteRef/>
      </w:r>
      <w:r>
        <w:tab/>
      </w:r>
      <w:r>
        <w:rPr>
          <w:rStyle w:val="FootnoteTextChar"/>
          <w:lang w:val="bg-BG"/>
        </w:rPr>
        <w:t xml:space="preserve">ОВ </w:t>
      </w:r>
      <w:r>
        <w:rPr>
          <w:rStyle w:val="FootnoteTextChar"/>
        </w:rPr>
        <w:t>L</w:t>
      </w:r>
      <w:r>
        <w:rPr>
          <w:rStyle w:val="FootnoteTextChar"/>
          <w:lang w:val="bg-BG"/>
        </w:rPr>
        <w:t xml:space="preserve"> 326, 24.11.1990</w:t>
      </w:r>
      <w:r>
        <w:rPr>
          <w:rStyle w:val="FootnoteTextChar"/>
        </w:rPr>
        <w:t> </w:t>
      </w:r>
      <w:r>
        <w:rPr>
          <w:rStyle w:val="FootnoteTextChar"/>
          <w:lang w:val="bg-BG"/>
        </w:rPr>
        <w:t>г., стр.</w:t>
      </w:r>
      <w:r>
        <w:rPr>
          <w:rStyle w:val="FootnoteTextChar"/>
        </w:rPr>
        <w:t> </w:t>
      </w:r>
      <w:r>
        <w:rPr>
          <w:rStyle w:val="FootnoteTextChar"/>
          <w:lang w:val="bg-BG"/>
        </w:rPr>
        <w:t>56.</w:t>
      </w:r>
    </w:p>
  </w:footnote>
  <w:footnote w:id="8">
    <w:p>
      <w:pPr>
        <w:pStyle w:val="FootnoteText"/>
        <w:ind w:left="0" w:firstLine="0"/>
      </w:pPr>
      <w:r>
        <w:rPr>
          <w:rStyle w:val="FootnoteReference"/>
        </w:rPr>
        <w:footnoteRef/>
      </w:r>
      <w:r>
        <w:tab/>
        <w:t>ОВ L 22, 26.1.2005 г., стр. 1</w:t>
      </w:r>
    </w:p>
  </w:footnote>
  <w:footnote w:id="9">
    <w:p>
      <w:pPr>
        <w:pStyle w:val="FootnoteText"/>
      </w:pPr>
      <w:r>
        <w:rPr>
          <w:rStyle w:val="FootnoteReference"/>
        </w:rPr>
        <w:footnoteRef/>
      </w:r>
      <w:r>
        <w:tab/>
        <w:t>ОВ L 47, 18.2.2004 г., стр. 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78F0EF2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89F63E2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670CA5D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5DCA6DD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C65402F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47B095C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3D16C0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3230C9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8"/>
  </w:num>
  <w:num w:numId="19">
    <w:abstractNumId w:val="14"/>
  </w:num>
  <w:num w:numId="20">
    <w:abstractNumId w:val="16"/>
  </w:num>
  <w:num w:numId="21">
    <w:abstractNumId w:val="17"/>
  </w:num>
  <w:num w:numId="22">
    <w:abstractNumId w:val="10"/>
  </w:num>
  <w:num w:numId="23">
    <w:abstractNumId w:val="15"/>
  </w:num>
  <w:num w:numId="24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01-10 09:30:20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1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9"/>
    <w:docVar w:name="DQCResult_UnknownFonts" w:val="0;0"/>
    <w:docVar w:name="DQCResult_UnknownStyles" w:val="0;1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F5FFEAC8-C0CD-4F4E-B1AF-F37567E27677"/>
    <w:docVar w:name="LW_COVERPAGE_TYPE" w:val="1"/>
    <w:docVar w:name="LW_CROSSREFERENCE" w:val="&lt;UNUSED&gt;"/>
    <w:docVar w:name="LW_DocType" w:val="COM"/>
    <w:docVar w:name="LW_EMISSION" w:val="17.1.2020"/>
    <w:docVar w:name="LW_EMISSION_ISODATE" w:val="2020-01-17"/>
    <w:docVar w:name="LW_EMISSION_LOCATION" w:val="BRX"/>
    <w:docVar w:name="LW_EMISSION_PREFIX" w:val="Брюксел, "/>
    <w:docVar w:name="LW_EMISSION_SUFFIX" w:val=" \u1075?."/>
    <w:docVar w:name="LW_ID_DOCMODEL" w:val="SJ-043"/>
    <w:docVar w:name="LW_ID_DOCSIGNATURE" w:val="SJ-019"/>
    <w:docVar w:name="LW_ID_DOCSTRUCTURE" w:val="COM/PL/ORG"/>
    <w:docVar w:name="LW_ID_DOCTYPE" w:val="SJ-043"/>
    <w:docVar w:name="LW_ID_EXP.MOTIFS.NEW" w:val="EM_PL2_"/>
    <w:docVar w:name="LW_ID_STATUT" w:val="SJ-019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007"/>
    <w:docVar w:name="LW_REF.II.NEW.CP_YEAR" w:val="2020"/>
    <w:docVar w:name="LW_REF.INST.NEW" w:val="COM"/>
    <w:docVar w:name="LW_REF.INST.NEW_ADOPTED" w:val="final"/>
    <w:docVar w:name="LW_REF.INST.NEW_TEXT" w:val="(2020) 17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TATUT.CP" w:val="\u1055?\u1088?\u1077?\u1076?\u1083?\u1086?\u1078?\u1077?\u1085?\u1080?\u1077? \u1079?\u1072?"/>
    <w:docVar w:name="LW_SUPERTITRE" w:val="&lt;UNUSED&gt;"/>
    <w:docVar w:name="LW_TITRE.OBJ.CP" w:val="\u1086?\u1090?\u1085?\u1086?\u1089?\u1085?\u1086? \u1087?\u1086?\u1079?\u1080?\u1094?\u1080?\u1103?\u1090?\u1072?, \u1082?\u1086?\u1103?\u1090?\u1086? \u1076?\u1072? \u1073?\u1098?\u1076?\u1077? \u1079?\u1072?\u1077?\u1090?\u1072? \u1086?\u1090? \u1080?\u1084?\u1077?\u1090?\u1086? \u1085?\u1072? \u1045?\u1074?\u1088?\u1086?\u1087?\u1077?\u1081?\u1089?\u1082?\u1080?\u1103? \u1089?\u1098?\u1102?\u1079? \u1074? \u1088?\u1072?\u1084?\u1082?\u1080?\u1090?\u1077? \u1085?\u1072? \u1096?\u1077?\u1089?\u1090?\u1076?\u1077?\u1089?\u1077?\u1090? \u1080? \u1090?\u1088?\u1077?\u1090?\u1072?\u1090?\u1072? \u1089?\u1077?\u1089?\u1080?\u1103? \u1085?\u1072? \u1050?\u1086?\u1084?\u1080?\u1089?\u1080?\u1103?\u1090?\u1072? \u1079?\u1072? \u1091?\u1087?\u1086?\u1081?\u1074?\u1072?\u1097?\u1080?\u1090?\u1077? \u1074?\u1077?\u1097?\u1077?\u1089?\u1090?\u1074?\u1072?, \u1074?\u1098?\u1074? \u1074?\u1088?\u1098?\u1079?\u1082?\u1072? \u1089? \u1076?\u1086?\u1073?\u1072?\u1074?\u1103?\u1085?\u1077?\u1090?\u1086? \u1085?\u1072? \u1074?\u1077?\u1097?\u1077?\u1089?\u1090?\u1074?\u1072? \u1074? \u1057?\u1087?\u1080?\u1089?\u1098?\u1082? I \u1082?\u1098?\u1084? \u1050?\u1086?\u1085?\u1074?\u1077?\u1085?\u1094?\u1080?\u1103?\u1090?\u1072? \u1085?\u1072? \u1054?\u1088?\u1075?\u1072?\u1085?\u1080?\u1079?\u1072?\u1094?\u1080?\u1103?\u1090?\u1072? \u1085?\u1072? \u1086?\u1073?\u1077?\u1076?\u1080?\u1085?\u1077?\u1085?\u1080?\u1090?\u1077? \u1085?\u1072?\u1094?\u1080?\u1080? \u1079?\u1072? \u1073?\u1086?\u1088?\u1073?\u1072? \u1089?\u1088?\u1077?\u1097?\u1091? \u1085?\u1077?\u1079?\u1072?\u1082?\u1086?\u1085?\u1085?\u1080?\u1103? \u1090?\u1088?\u1072?\u1092?\u1080?\u1082? \u1085?\u1072? \u1091?\u1087?\u1086?\u1081?\u1074?\u1072?\u1097?\u1080? \u1080? \u1087?\u1089?\u1080?\u1093?\u1086?\u1090?\u1088?\u1086?\u1087?\u1085?\u1080? \u1074?\u1077?\u1097?\u1077?\u1089?\u1090?\u1074?\u1072?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">
    <w:name w:val="Footnote"/>
    <w:basedOn w:val="Normal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1"/>
      </w:numPr>
    </w:pPr>
  </w:style>
  <w:style w:type="paragraph" w:customStyle="1" w:styleId="Tiret1">
    <w:name w:val="Tiret 1"/>
    <w:basedOn w:val="Point1"/>
    <w:pPr>
      <w:numPr>
        <w:numId w:val="12"/>
      </w:numPr>
    </w:pPr>
  </w:style>
  <w:style w:type="paragraph" w:customStyle="1" w:styleId="Tiret2">
    <w:name w:val="Tiret 2"/>
    <w:basedOn w:val="Point2"/>
    <w:pPr>
      <w:numPr>
        <w:numId w:val="13"/>
      </w:numPr>
    </w:pPr>
  </w:style>
  <w:style w:type="paragraph" w:customStyle="1" w:styleId="Tiret3">
    <w:name w:val="Tiret 3"/>
    <w:basedOn w:val="Point3"/>
    <w:pPr>
      <w:numPr>
        <w:numId w:val="14"/>
      </w:numPr>
    </w:pPr>
  </w:style>
  <w:style w:type="paragraph" w:customStyle="1" w:styleId="Tiret4">
    <w:name w:val="Tiret 4"/>
    <w:basedOn w:val="Point4"/>
    <w:pPr>
      <w:numPr>
        <w:numId w:val="1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8"/>
      </w:numPr>
    </w:pPr>
  </w:style>
  <w:style w:type="paragraph" w:customStyle="1" w:styleId="Point1number">
    <w:name w:val="Point 1 (number)"/>
    <w:basedOn w:val="Normal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pPr>
      <w:numPr>
        <w:ilvl w:val="8"/>
        <w:numId w:val="18"/>
      </w:numPr>
    </w:pPr>
  </w:style>
  <w:style w:type="paragraph" w:customStyle="1" w:styleId="Bullet0">
    <w:name w:val="Bullet 0"/>
    <w:basedOn w:val="Normal"/>
    <w:pPr>
      <w:numPr>
        <w:numId w:val="19"/>
      </w:numPr>
    </w:pPr>
  </w:style>
  <w:style w:type="paragraph" w:customStyle="1" w:styleId="Bullet1">
    <w:name w:val="Bullet 1"/>
    <w:basedOn w:val="Normal"/>
    <w:pPr>
      <w:numPr>
        <w:numId w:val="20"/>
      </w:numPr>
    </w:pPr>
  </w:style>
  <w:style w:type="paragraph" w:customStyle="1" w:styleId="Bullet2">
    <w:name w:val="Bullet 2"/>
    <w:basedOn w:val="Normal"/>
    <w:pPr>
      <w:numPr>
        <w:numId w:val="21"/>
      </w:numPr>
    </w:pPr>
  </w:style>
  <w:style w:type="paragraph" w:customStyle="1" w:styleId="Bullet3">
    <w:name w:val="Bullet 3"/>
    <w:basedOn w:val="Normal"/>
    <w:pPr>
      <w:numPr>
        <w:numId w:val="22"/>
      </w:numPr>
    </w:pPr>
  </w:style>
  <w:style w:type="paragraph" w:customStyle="1" w:styleId="Bullet4">
    <w:name w:val="Bullet 4"/>
    <w:basedOn w:val="Normal"/>
    <w:pPr>
      <w:numPr>
        <w:numId w:val="23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">
    <w:name w:val="Footnote"/>
    <w:basedOn w:val="Normal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1"/>
      </w:numPr>
    </w:pPr>
  </w:style>
  <w:style w:type="paragraph" w:customStyle="1" w:styleId="Tiret1">
    <w:name w:val="Tiret 1"/>
    <w:basedOn w:val="Point1"/>
    <w:pPr>
      <w:numPr>
        <w:numId w:val="12"/>
      </w:numPr>
    </w:pPr>
  </w:style>
  <w:style w:type="paragraph" w:customStyle="1" w:styleId="Tiret2">
    <w:name w:val="Tiret 2"/>
    <w:basedOn w:val="Point2"/>
    <w:pPr>
      <w:numPr>
        <w:numId w:val="13"/>
      </w:numPr>
    </w:pPr>
  </w:style>
  <w:style w:type="paragraph" w:customStyle="1" w:styleId="Tiret3">
    <w:name w:val="Tiret 3"/>
    <w:basedOn w:val="Point3"/>
    <w:pPr>
      <w:numPr>
        <w:numId w:val="14"/>
      </w:numPr>
    </w:pPr>
  </w:style>
  <w:style w:type="paragraph" w:customStyle="1" w:styleId="Tiret4">
    <w:name w:val="Tiret 4"/>
    <w:basedOn w:val="Point4"/>
    <w:pPr>
      <w:numPr>
        <w:numId w:val="1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8"/>
      </w:numPr>
    </w:pPr>
  </w:style>
  <w:style w:type="paragraph" w:customStyle="1" w:styleId="Point1number">
    <w:name w:val="Point 1 (number)"/>
    <w:basedOn w:val="Normal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pPr>
      <w:numPr>
        <w:ilvl w:val="8"/>
        <w:numId w:val="18"/>
      </w:numPr>
    </w:pPr>
  </w:style>
  <w:style w:type="paragraph" w:customStyle="1" w:styleId="Bullet0">
    <w:name w:val="Bullet 0"/>
    <w:basedOn w:val="Normal"/>
    <w:pPr>
      <w:numPr>
        <w:numId w:val="19"/>
      </w:numPr>
    </w:pPr>
  </w:style>
  <w:style w:type="paragraph" w:customStyle="1" w:styleId="Bullet1">
    <w:name w:val="Bullet 1"/>
    <w:basedOn w:val="Normal"/>
    <w:pPr>
      <w:numPr>
        <w:numId w:val="20"/>
      </w:numPr>
    </w:pPr>
  </w:style>
  <w:style w:type="paragraph" w:customStyle="1" w:styleId="Bullet2">
    <w:name w:val="Bullet 2"/>
    <w:basedOn w:val="Normal"/>
    <w:pPr>
      <w:numPr>
        <w:numId w:val="21"/>
      </w:numPr>
    </w:pPr>
  </w:style>
  <w:style w:type="paragraph" w:customStyle="1" w:styleId="Bullet3">
    <w:name w:val="Bullet 3"/>
    <w:basedOn w:val="Normal"/>
    <w:pPr>
      <w:numPr>
        <w:numId w:val="22"/>
      </w:numPr>
    </w:pPr>
  </w:style>
  <w:style w:type="paragraph" w:customStyle="1" w:styleId="Bullet4">
    <w:name w:val="Bullet 4"/>
    <w:basedOn w:val="Normal"/>
    <w:pPr>
      <w:numPr>
        <w:numId w:val="23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A9A62DE-B322-4407-937F-85E25E216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7</Pages>
  <Words>2074</Words>
  <Characters>11764</Characters>
  <Application>Microsoft Office Word</Application>
  <DocSecurity>0</DocSecurity>
  <Lines>221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WES PDFC Administrator</cp:lastModifiedBy>
  <cp:revision>19</cp:revision>
  <cp:lastPrinted>2019-12-17T09:18:00Z</cp:lastPrinted>
  <dcterms:created xsi:type="dcterms:W3CDTF">2020-01-09T16:18:00Z</dcterms:created>
  <dcterms:modified xsi:type="dcterms:W3CDTF">2020-01-10T08:30:00Z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7.0.9.0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7.0.1, Build 20190916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SJ-043</vt:lpwstr>
  </property>
  <property fmtid="{D5CDD505-2E9C-101B-9397-08002B2CF9AE}" pid="10" name="DQCStatus">
    <vt:lpwstr>Green (DQC version 03)</vt:lpwstr>
  </property>
</Properties>
</file>