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DA7" w:rsidRDefault="00531C5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BE53060-8571-414C-BCC1-5F5197E3505C" style="width:450.25pt;height:434.15pt">
            <v:imagedata r:id="rId14" o:title=""/>
          </v:shape>
        </w:pict>
      </w:r>
    </w:p>
    <w:p w:rsidR="00B40DA7" w:rsidRDefault="00B40DA7">
      <w:pPr>
        <w:rPr>
          <w:noProof/>
          <w:lang w:eastAsia="de-DE"/>
        </w:rPr>
        <w:sectPr w:rsidR="00B40DA7">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26"/>
        </w:sectPr>
      </w:pPr>
      <w:bookmarkStart w:id="1" w:name="_GoBack"/>
      <w:bookmarkEnd w:id="0"/>
      <w:bookmarkEnd w:id="1"/>
    </w:p>
    <w:p w:rsidR="00B40DA7" w:rsidRDefault="00531C5A">
      <w:pPr>
        <w:spacing w:after="360"/>
        <w:jc w:val="center"/>
        <w:outlineLvl w:val="0"/>
        <w:rPr>
          <w:b/>
          <w:noProof/>
          <w:sz w:val="28"/>
          <w:szCs w:val="28"/>
          <w:u w:val="single"/>
          <w:lang w:eastAsia="de-DE"/>
        </w:rPr>
      </w:pPr>
      <w:r>
        <w:rPr>
          <w:b/>
          <w:bCs/>
          <w:noProof/>
          <w:sz w:val="28"/>
          <w:szCs w:val="28"/>
          <w:u w:val="single"/>
          <w:lang w:eastAsia="de-DE"/>
        </w:rPr>
        <w:lastRenderedPageBreak/>
        <w:t>Annex I: New initiatives</w:t>
      </w:r>
      <w:r>
        <w:rPr>
          <w:rStyle w:val="FootnoteReference"/>
          <w:noProof/>
          <w:sz w:val="20"/>
        </w:rPr>
        <w:footnoteReference w:id="2"/>
      </w:r>
    </w:p>
    <w:tbl>
      <w:tblPr>
        <w:tblStyle w:val="TableGrid"/>
        <w:tblW w:w="14827" w:type="dxa"/>
        <w:tblLayout w:type="fixed"/>
        <w:tblCellMar>
          <w:top w:w="57" w:type="dxa"/>
          <w:left w:w="85" w:type="dxa"/>
          <w:bottom w:w="57" w:type="dxa"/>
          <w:right w:w="85" w:type="dxa"/>
        </w:tblCellMar>
        <w:tblLook w:val="04A0" w:firstRow="1" w:lastRow="0" w:firstColumn="1" w:lastColumn="0" w:noHBand="0" w:noVBand="1"/>
      </w:tblPr>
      <w:tblGrid>
        <w:gridCol w:w="511"/>
        <w:gridCol w:w="4252"/>
        <w:gridCol w:w="10064"/>
      </w:tblGrid>
      <w:tr w:rsidR="00B40DA7">
        <w:trPr>
          <w:cantSplit/>
          <w:tblHeader/>
        </w:trPr>
        <w:tc>
          <w:tcPr>
            <w:tcW w:w="511" w:type="dxa"/>
            <w:tcBorders>
              <w:top w:val="single" w:sz="4" w:space="0" w:color="auto"/>
              <w:left w:val="single" w:sz="4" w:space="0" w:color="auto"/>
              <w:bottom w:val="single" w:sz="4" w:space="0" w:color="auto"/>
              <w:right w:val="single" w:sz="4" w:space="0" w:color="auto"/>
            </w:tcBorders>
            <w:shd w:val="clear" w:color="auto" w:fill="99CCFF"/>
            <w:vAlign w:val="center"/>
          </w:tcPr>
          <w:p w:rsidR="00B40DA7" w:rsidRDefault="00531C5A">
            <w:pPr>
              <w:spacing w:after="0"/>
              <w:rPr>
                <w:b/>
                <w:bCs/>
                <w:noProof/>
                <w:sz w:val="20"/>
              </w:rPr>
            </w:pPr>
            <w:r>
              <w:rPr>
                <w:b/>
                <w:bCs/>
                <w:noProof/>
                <w:sz w:val="20"/>
              </w:rPr>
              <w:t>No.</w:t>
            </w:r>
          </w:p>
        </w:tc>
        <w:tc>
          <w:tcPr>
            <w:tcW w:w="4252" w:type="dxa"/>
            <w:tcBorders>
              <w:top w:val="single" w:sz="4" w:space="0" w:color="auto"/>
              <w:left w:val="single" w:sz="4" w:space="0" w:color="auto"/>
              <w:bottom w:val="single" w:sz="4" w:space="0" w:color="auto"/>
              <w:right w:val="single" w:sz="4" w:space="0" w:color="auto"/>
            </w:tcBorders>
            <w:shd w:val="clear" w:color="auto" w:fill="99CCFF"/>
            <w:vAlign w:val="center"/>
          </w:tcPr>
          <w:p w:rsidR="00B40DA7" w:rsidRDefault="00531C5A">
            <w:pPr>
              <w:spacing w:before="60" w:after="60"/>
              <w:jc w:val="center"/>
              <w:rPr>
                <w:b/>
                <w:bCs/>
                <w:noProof/>
                <w:sz w:val="20"/>
              </w:rPr>
            </w:pPr>
            <w:r>
              <w:rPr>
                <w:b/>
                <w:bCs/>
                <w:noProof/>
                <w:sz w:val="20"/>
              </w:rPr>
              <w:t>Policy objective</w:t>
            </w:r>
          </w:p>
        </w:tc>
        <w:tc>
          <w:tcPr>
            <w:tcW w:w="10064" w:type="dxa"/>
            <w:tcBorders>
              <w:top w:val="single" w:sz="4" w:space="0" w:color="auto"/>
              <w:left w:val="single" w:sz="4" w:space="0" w:color="auto"/>
              <w:bottom w:val="single" w:sz="4" w:space="0" w:color="auto"/>
              <w:right w:val="single" w:sz="4" w:space="0" w:color="auto"/>
            </w:tcBorders>
            <w:shd w:val="clear" w:color="auto" w:fill="99CCFF"/>
            <w:vAlign w:val="center"/>
          </w:tcPr>
          <w:p w:rsidR="00B40DA7" w:rsidRDefault="00531C5A">
            <w:pPr>
              <w:spacing w:after="0"/>
              <w:jc w:val="center"/>
              <w:rPr>
                <w:b/>
                <w:bCs/>
                <w:noProof/>
                <w:sz w:val="20"/>
              </w:rPr>
            </w:pPr>
            <w:r>
              <w:rPr>
                <w:b/>
                <w:bCs/>
                <w:noProof/>
                <w:sz w:val="20"/>
              </w:rPr>
              <w:t>Initiatives</w:t>
            </w:r>
          </w:p>
        </w:tc>
      </w:tr>
      <w:tr w:rsidR="00B40DA7">
        <w:trPr>
          <w:cantSplit/>
        </w:trPr>
        <w:tc>
          <w:tcPr>
            <w:tcW w:w="14827" w:type="dxa"/>
            <w:gridSpan w:val="3"/>
            <w:tcBorders>
              <w:top w:val="single" w:sz="4" w:space="0" w:color="auto"/>
              <w:left w:val="single" w:sz="4" w:space="0" w:color="auto"/>
              <w:bottom w:val="single" w:sz="4" w:space="0" w:color="auto"/>
            </w:tcBorders>
            <w:shd w:val="clear" w:color="auto" w:fill="9ACA3C" w:themeFill="accent1"/>
          </w:tcPr>
          <w:p w:rsidR="00B40DA7" w:rsidRDefault="00531C5A">
            <w:pPr>
              <w:keepNext/>
              <w:spacing w:before="60" w:after="60"/>
              <w:jc w:val="left"/>
              <w:rPr>
                <w:b/>
                <w:bCs/>
                <w:noProof/>
                <w:color w:val="FFFFFF" w:themeColor="background1"/>
                <w:sz w:val="20"/>
              </w:rPr>
            </w:pPr>
            <w:r>
              <w:rPr>
                <w:b/>
                <w:bCs/>
                <w:noProof/>
                <w:color w:val="FFFFFF" w:themeColor="background1"/>
                <w:sz w:val="20"/>
              </w:rPr>
              <w:t>A European Green Deal</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jc w:val="left"/>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jc w:val="left"/>
              <w:rPr>
                <w:noProof/>
                <w:sz w:val="20"/>
              </w:rPr>
            </w:pPr>
            <w:r>
              <w:rPr>
                <w:b/>
                <w:bCs/>
                <w:noProof/>
                <w:color w:val="000000"/>
                <w:sz w:val="20"/>
              </w:rPr>
              <w:t>The European Green Deal</w:t>
            </w:r>
          </w:p>
        </w:tc>
        <w:tc>
          <w:tcPr>
            <w:tcW w:w="10064"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jc w:val="left"/>
              <w:rPr>
                <w:noProof/>
                <w:sz w:val="20"/>
              </w:rPr>
            </w:pPr>
            <w:r>
              <w:rPr>
                <w:b/>
                <w:bCs/>
                <w:noProof/>
                <w:sz w:val="20"/>
              </w:rPr>
              <w:t>Communication on the European Green Deal</w:t>
            </w:r>
            <w:r>
              <w:rPr>
                <w:noProof/>
                <w:sz w:val="20"/>
              </w:rPr>
              <w:t xml:space="preserve"> (non-legislative, Q4 2019); </w:t>
            </w:r>
            <w:r>
              <w:rPr>
                <w:noProof/>
                <w:sz w:val="20"/>
              </w:rPr>
              <w:br/>
            </w:r>
            <w:r>
              <w:rPr>
                <w:b/>
                <w:bCs/>
                <w:noProof/>
                <w:sz w:val="20"/>
              </w:rPr>
              <w:t>European Climate Law enshrining the 2050 climate neutrality objective</w:t>
            </w:r>
            <w:r>
              <w:rPr>
                <w:noProof/>
                <w:sz w:val="20"/>
              </w:rPr>
              <w:t xml:space="preserve"> (legislative, Article 192(1) TFEU, Q1 2020); </w:t>
            </w:r>
            <w:r>
              <w:rPr>
                <w:noProof/>
                <w:sz w:val="20"/>
              </w:rPr>
              <w:br/>
            </w:r>
            <w:r>
              <w:rPr>
                <w:b/>
                <w:bCs/>
                <w:noProof/>
                <w:sz w:val="20"/>
              </w:rPr>
              <w:t>The European Climate Pact</w:t>
            </w:r>
            <w:r>
              <w:rPr>
                <w:noProof/>
                <w:sz w:val="20"/>
              </w:rPr>
              <w:t xml:space="preserve"> (non-legislative, Q3 2020)</w:t>
            </w:r>
          </w:p>
        </w:tc>
      </w:tr>
      <w:tr w:rsidR="00B40DA7">
        <w:trPr>
          <w:cantSplit/>
        </w:trPr>
        <w:tc>
          <w:tcPr>
            <w:tcW w:w="511" w:type="dxa"/>
            <w:tcBorders>
              <w:bottom w:val="single" w:sz="4" w:space="0" w:color="auto"/>
              <w:right w:val="single" w:sz="4" w:space="0" w:color="auto"/>
            </w:tcBorders>
            <w:shd w:val="clear" w:color="auto" w:fill="FFFFFF" w:themeFill="background1"/>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rsidR="00B40DA7" w:rsidRDefault="00531C5A">
            <w:pPr>
              <w:spacing w:after="0"/>
              <w:rPr>
                <w:noProof/>
                <w:sz w:val="20"/>
              </w:rPr>
            </w:pPr>
            <w:r>
              <w:rPr>
                <w:b/>
                <w:noProof/>
                <w:color w:val="000000"/>
                <w:sz w:val="20"/>
              </w:rPr>
              <w:t>Financing the sustainable transition</w:t>
            </w:r>
          </w:p>
        </w:tc>
        <w:tc>
          <w:tcPr>
            <w:tcW w:w="10064"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rsidR="00B40DA7" w:rsidRDefault="00531C5A">
            <w:pPr>
              <w:spacing w:after="0"/>
              <w:jc w:val="left"/>
              <w:rPr>
                <w:noProof/>
                <w:sz w:val="20"/>
              </w:rPr>
            </w:pPr>
            <w:r>
              <w:rPr>
                <w:b/>
                <w:bCs/>
                <w:noProof/>
                <w:color w:val="000000"/>
                <w:sz w:val="20"/>
              </w:rPr>
              <w:t xml:space="preserve">European Green </w:t>
            </w:r>
            <w:r>
              <w:rPr>
                <w:b/>
                <w:bCs/>
                <w:noProof/>
                <w:color w:val="000000"/>
                <w:sz w:val="20"/>
              </w:rPr>
              <w:t>Deal Investment Plan</w:t>
            </w:r>
            <w:r>
              <w:rPr>
                <w:noProof/>
                <w:color w:val="000000"/>
                <w:sz w:val="20"/>
              </w:rPr>
              <w:t xml:space="preserve"> (non-legislative, Q1 2020); </w:t>
            </w:r>
            <w:r>
              <w:rPr>
                <w:noProof/>
                <w:color w:val="000000"/>
                <w:sz w:val="20"/>
              </w:rPr>
              <w:br/>
            </w:r>
            <w:r>
              <w:rPr>
                <w:b/>
                <w:bCs/>
                <w:noProof/>
                <w:sz w:val="20"/>
              </w:rPr>
              <w:t>Just Transition Fund</w:t>
            </w:r>
            <w:r>
              <w:rPr>
                <w:noProof/>
                <w:sz w:val="20"/>
              </w:rPr>
              <w:t xml:space="preserve"> (legislative, Article 175 TFEU, Q1 2020); </w:t>
            </w:r>
            <w:r>
              <w:rPr>
                <w:noProof/>
                <w:sz w:val="20"/>
              </w:rPr>
              <w:br/>
            </w:r>
            <w:r>
              <w:rPr>
                <w:b/>
                <w:bCs/>
                <w:noProof/>
                <w:color w:val="000000"/>
                <w:sz w:val="20"/>
              </w:rPr>
              <w:t>Renewed Sustainable Finance Strategy</w:t>
            </w:r>
            <w:r>
              <w:rPr>
                <w:noProof/>
                <w:color w:val="000000"/>
                <w:sz w:val="20"/>
              </w:rPr>
              <w:t xml:space="preserve"> (non-legislative, Q3 2020);</w:t>
            </w:r>
            <w:r>
              <w:rPr>
                <w:noProof/>
                <w:sz w:val="20"/>
              </w:rPr>
              <w:t xml:space="preserve"> </w:t>
            </w:r>
          </w:p>
          <w:p w:rsidR="00B40DA7" w:rsidRDefault="00531C5A">
            <w:pPr>
              <w:spacing w:after="0"/>
              <w:jc w:val="left"/>
              <w:rPr>
                <w:noProof/>
                <w:sz w:val="20"/>
              </w:rPr>
            </w:pPr>
            <w:r>
              <w:rPr>
                <w:b/>
                <w:bCs/>
                <w:noProof/>
                <w:color w:val="000000"/>
                <w:sz w:val="20"/>
              </w:rPr>
              <w:t>Review of the Non-Financial Reporting Directive</w:t>
            </w:r>
            <w:r>
              <w:rPr>
                <w:noProof/>
                <w:color w:val="000000"/>
                <w:sz w:val="20"/>
              </w:rPr>
              <w:t xml:space="preserve"> (legislative,</w:t>
            </w:r>
            <w:r>
              <w:rPr>
                <w:noProof/>
                <w:sz w:val="20"/>
              </w:rPr>
              <w:t xml:space="preserve"> incl. impact a</w:t>
            </w:r>
            <w:r>
              <w:rPr>
                <w:noProof/>
                <w:sz w:val="20"/>
              </w:rPr>
              <w:t xml:space="preserve">ssessment, </w:t>
            </w:r>
            <w:r>
              <w:rPr>
                <w:noProof/>
                <w:color w:val="000000"/>
                <w:sz w:val="20"/>
              </w:rPr>
              <w:t>Article 114 TFEU, Q4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rPr>
                <w:noProof/>
                <w:sz w:val="20"/>
              </w:rPr>
            </w:pPr>
            <w:r>
              <w:rPr>
                <w:b/>
                <w:bCs/>
                <w:noProof/>
                <w:sz w:val="20"/>
              </w:rPr>
              <w:t>Commission contribution to COP26 in Glasgow</w:t>
            </w:r>
          </w:p>
        </w:tc>
        <w:tc>
          <w:tcPr>
            <w:tcW w:w="10064"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jc w:val="left"/>
              <w:rPr>
                <w:noProof/>
                <w:sz w:val="20"/>
              </w:rPr>
            </w:pPr>
            <w:r>
              <w:rPr>
                <w:b/>
                <w:bCs/>
                <w:noProof/>
                <w:sz w:val="20"/>
              </w:rPr>
              <w:t xml:space="preserve">2030 Climate Target Plan </w:t>
            </w:r>
            <w:r>
              <w:rPr>
                <w:noProof/>
                <w:sz w:val="20"/>
              </w:rPr>
              <w:t xml:space="preserve">(non-legislative, incl. impact assessment, Q3 2020); </w:t>
            </w:r>
            <w:r>
              <w:rPr>
                <w:noProof/>
                <w:sz w:val="20"/>
              </w:rPr>
              <w:br/>
            </w:r>
            <w:r>
              <w:rPr>
                <w:b/>
                <w:bCs/>
                <w:noProof/>
                <w:sz w:val="20"/>
              </w:rPr>
              <w:t>New EU Strategy on Adaptation to Climate Change</w:t>
            </w:r>
            <w:r>
              <w:rPr>
                <w:noProof/>
                <w:sz w:val="20"/>
              </w:rPr>
              <w:t xml:space="preserve"> (non-legislative, Q4 2020);</w:t>
            </w:r>
          </w:p>
          <w:p w:rsidR="00B40DA7" w:rsidRDefault="00531C5A">
            <w:pPr>
              <w:spacing w:after="0"/>
              <w:jc w:val="left"/>
              <w:rPr>
                <w:noProof/>
                <w:sz w:val="20"/>
              </w:rPr>
            </w:pPr>
            <w:r>
              <w:rPr>
                <w:b/>
                <w:bCs/>
                <w:noProof/>
                <w:sz w:val="20"/>
              </w:rPr>
              <w:t xml:space="preserve">New EU Forest </w:t>
            </w:r>
            <w:r>
              <w:rPr>
                <w:b/>
                <w:bCs/>
                <w:noProof/>
                <w:sz w:val="20"/>
              </w:rPr>
              <w:t>Strategy</w:t>
            </w:r>
            <w:r>
              <w:rPr>
                <w:noProof/>
                <w:sz w:val="20"/>
              </w:rPr>
              <w:t xml:space="preserve"> (non-legislative, Q4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rsidR="00B40DA7" w:rsidRDefault="00531C5A">
            <w:pPr>
              <w:spacing w:after="0"/>
              <w:rPr>
                <w:b/>
                <w:noProof/>
                <w:color w:val="000000"/>
                <w:sz w:val="20"/>
              </w:rPr>
            </w:pPr>
            <w:r>
              <w:rPr>
                <w:b/>
                <w:noProof/>
                <w:color w:val="000000"/>
                <w:sz w:val="20"/>
              </w:rPr>
              <w:t>Sustainability of food systems</w:t>
            </w:r>
          </w:p>
        </w:tc>
        <w:tc>
          <w:tcPr>
            <w:tcW w:w="10064" w:type="dxa"/>
            <w:tcBorders>
              <w:bottom w:val="single" w:sz="4" w:space="0" w:color="auto"/>
            </w:tcBorders>
            <w:tcMar>
              <w:top w:w="85" w:type="dxa"/>
              <w:bottom w:w="85" w:type="dxa"/>
            </w:tcMar>
          </w:tcPr>
          <w:p w:rsidR="00B40DA7" w:rsidRDefault="00531C5A">
            <w:pPr>
              <w:spacing w:after="0"/>
              <w:jc w:val="left"/>
              <w:rPr>
                <w:noProof/>
                <w:color w:val="FF0000"/>
                <w:sz w:val="20"/>
              </w:rPr>
            </w:pPr>
            <w:r>
              <w:rPr>
                <w:b/>
                <w:bCs/>
                <w:noProof/>
                <w:sz w:val="20"/>
              </w:rPr>
              <w:t>‘Farm to Fork’ Strategy</w:t>
            </w:r>
            <w:r>
              <w:rPr>
                <w:noProof/>
                <w:sz w:val="20"/>
              </w:rPr>
              <w:t xml:space="preserve"> (non-legislative, Q1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rsidR="00B40DA7" w:rsidRDefault="00531C5A">
            <w:pPr>
              <w:spacing w:after="0"/>
              <w:rPr>
                <w:b/>
                <w:bCs/>
                <w:noProof/>
                <w:color w:val="000000"/>
                <w:sz w:val="20"/>
              </w:rPr>
            </w:pPr>
            <w:r>
              <w:rPr>
                <w:b/>
                <w:bCs/>
                <w:noProof/>
                <w:sz w:val="20"/>
              </w:rPr>
              <w:t>Decarbonising energy</w:t>
            </w:r>
          </w:p>
        </w:tc>
        <w:tc>
          <w:tcPr>
            <w:tcW w:w="10064" w:type="dxa"/>
            <w:tcBorders>
              <w:bottom w:val="single" w:sz="4" w:space="0" w:color="auto"/>
            </w:tcBorders>
            <w:tcMar>
              <w:top w:w="85" w:type="dxa"/>
              <w:bottom w:w="85" w:type="dxa"/>
            </w:tcMar>
          </w:tcPr>
          <w:p w:rsidR="00B40DA7" w:rsidRDefault="00531C5A">
            <w:pPr>
              <w:spacing w:after="0"/>
              <w:jc w:val="left"/>
              <w:rPr>
                <w:noProof/>
                <w:sz w:val="20"/>
              </w:rPr>
            </w:pPr>
            <w:r>
              <w:rPr>
                <w:b/>
                <w:bCs/>
                <w:noProof/>
                <w:sz w:val="20"/>
              </w:rPr>
              <w:t>Strategy for smart sector integration</w:t>
            </w:r>
            <w:r>
              <w:rPr>
                <w:noProof/>
                <w:sz w:val="20"/>
              </w:rPr>
              <w:t xml:space="preserve"> (non-legislative, Q2 2020);</w:t>
            </w:r>
          </w:p>
          <w:p w:rsidR="00B40DA7" w:rsidRDefault="00531C5A">
            <w:pPr>
              <w:spacing w:after="0"/>
              <w:jc w:val="left"/>
              <w:rPr>
                <w:noProof/>
                <w:sz w:val="20"/>
              </w:rPr>
            </w:pPr>
            <w:r>
              <w:rPr>
                <w:b/>
                <w:noProof/>
                <w:sz w:val="20"/>
              </w:rPr>
              <w:t>Renovation wave</w:t>
            </w:r>
            <w:r>
              <w:rPr>
                <w:noProof/>
                <w:sz w:val="20"/>
              </w:rPr>
              <w:t xml:space="preserve"> (non-legislative, Q3 2020);</w:t>
            </w:r>
          </w:p>
          <w:p w:rsidR="00B40DA7" w:rsidRDefault="00531C5A">
            <w:pPr>
              <w:spacing w:after="0"/>
              <w:jc w:val="left"/>
              <w:rPr>
                <w:noProof/>
                <w:sz w:val="20"/>
              </w:rPr>
            </w:pPr>
            <w:r>
              <w:rPr>
                <w:b/>
                <w:noProof/>
                <w:sz w:val="20"/>
              </w:rPr>
              <w:t>Offshore renewable energy</w:t>
            </w:r>
            <w:r>
              <w:rPr>
                <w:noProof/>
                <w:sz w:val="20"/>
              </w:rPr>
              <w:t xml:space="preserve"> (non-legislative, Q4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rsidR="00B40DA7" w:rsidRDefault="00531C5A">
            <w:pPr>
              <w:spacing w:after="0"/>
              <w:jc w:val="left"/>
              <w:rPr>
                <w:b/>
                <w:bCs/>
                <w:noProof/>
                <w:color w:val="000000"/>
                <w:sz w:val="20"/>
              </w:rPr>
            </w:pPr>
            <w:r>
              <w:rPr>
                <w:b/>
                <w:bCs/>
                <w:noProof/>
                <w:sz w:val="20"/>
              </w:rPr>
              <w:t>Sustainable production and consumption</w:t>
            </w:r>
          </w:p>
        </w:tc>
        <w:tc>
          <w:tcPr>
            <w:tcW w:w="10064" w:type="dxa"/>
            <w:tcBorders>
              <w:bottom w:val="single" w:sz="4" w:space="0" w:color="auto"/>
            </w:tcBorders>
            <w:tcMar>
              <w:top w:w="85" w:type="dxa"/>
              <w:bottom w:w="85" w:type="dxa"/>
            </w:tcMar>
          </w:tcPr>
          <w:p w:rsidR="00B40DA7" w:rsidRDefault="00531C5A">
            <w:pPr>
              <w:spacing w:after="0"/>
              <w:jc w:val="left"/>
              <w:rPr>
                <w:noProof/>
                <w:sz w:val="20"/>
              </w:rPr>
            </w:pPr>
            <w:r>
              <w:rPr>
                <w:b/>
                <w:bCs/>
                <w:noProof/>
                <w:sz w:val="20"/>
              </w:rPr>
              <w:t>New Circular Economy Action Plan</w:t>
            </w:r>
            <w:r>
              <w:rPr>
                <w:noProof/>
                <w:sz w:val="20"/>
              </w:rPr>
              <w:t xml:space="preserve"> (non-legislative, Q1 2020);</w:t>
            </w:r>
          </w:p>
          <w:p w:rsidR="00B40DA7" w:rsidRDefault="00531C5A">
            <w:pPr>
              <w:spacing w:after="0"/>
              <w:jc w:val="left"/>
              <w:rPr>
                <w:b/>
                <w:bCs/>
                <w:noProof/>
                <w:sz w:val="20"/>
              </w:rPr>
            </w:pPr>
            <w:r>
              <w:rPr>
                <w:b/>
                <w:bCs/>
                <w:noProof/>
                <w:sz w:val="20"/>
              </w:rPr>
              <w:t xml:space="preserve">Empowering the consumer for the green transition </w:t>
            </w:r>
            <w:r>
              <w:rPr>
                <w:noProof/>
                <w:sz w:val="20"/>
              </w:rPr>
              <w:t xml:space="preserve">(legislative, incl. impact assessment, Article 114 </w:t>
            </w:r>
            <w:r>
              <w:rPr>
                <w:noProof/>
                <w:sz w:val="20"/>
              </w:rPr>
              <w:t>TFEU, Q4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rsidR="00B40DA7" w:rsidRDefault="00531C5A">
            <w:pPr>
              <w:spacing w:after="0"/>
              <w:rPr>
                <w:noProof/>
                <w:sz w:val="20"/>
              </w:rPr>
            </w:pPr>
            <w:r>
              <w:rPr>
                <w:b/>
                <w:bCs/>
                <w:noProof/>
                <w:sz w:val="20"/>
              </w:rPr>
              <w:t>Protecting our environment</w:t>
            </w:r>
          </w:p>
        </w:tc>
        <w:tc>
          <w:tcPr>
            <w:tcW w:w="10064" w:type="dxa"/>
            <w:tcBorders>
              <w:bottom w:val="single" w:sz="4" w:space="0" w:color="auto"/>
            </w:tcBorders>
            <w:tcMar>
              <w:top w:w="85" w:type="dxa"/>
              <w:bottom w:w="85" w:type="dxa"/>
            </w:tcMar>
          </w:tcPr>
          <w:p w:rsidR="00B40DA7" w:rsidRDefault="00531C5A">
            <w:pPr>
              <w:spacing w:after="0"/>
              <w:jc w:val="left"/>
              <w:rPr>
                <w:b/>
                <w:bCs/>
                <w:noProof/>
                <w:sz w:val="20"/>
              </w:rPr>
            </w:pPr>
            <w:r>
              <w:rPr>
                <w:b/>
                <w:bCs/>
                <w:noProof/>
                <w:sz w:val="20"/>
              </w:rPr>
              <w:t>EU Biodiversity Strategy for 2030</w:t>
            </w:r>
            <w:r>
              <w:rPr>
                <w:noProof/>
                <w:sz w:val="20"/>
              </w:rPr>
              <w:t xml:space="preserve"> (non-legislative, Q1 2020);</w:t>
            </w:r>
            <w:r>
              <w:rPr>
                <w:b/>
                <w:bCs/>
                <w:noProof/>
                <w:sz w:val="20"/>
              </w:rPr>
              <w:t xml:space="preserve"> </w:t>
            </w:r>
          </w:p>
          <w:p w:rsidR="00B40DA7" w:rsidRDefault="00531C5A">
            <w:pPr>
              <w:spacing w:after="0"/>
              <w:jc w:val="left"/>
              <w:rPr>
                <w:noProof/>
                <w:sz w:val="20"/>
              </w:rPr>
            </w:pPr>
            <w:r>
              <w:rPr>
                <w:b/>
                <w:bCs/>
                <w:noProof/>
                <w:sz w:val="20"/>
              </w:rPr>
              <w:t>8</w:t>
            </w:r>
            <w:r>
              <w:rPr>
                <w:b/>
                <w:bCs/>
                <w:noProof/>
                <w:sz w:val="20"/>
                <w:vertAlign w:val="superscript"/>
              </w:rPr>
              <w:t>th</w:t>
            </w:r>
            <w:r>
              <w:rPr>
                <w:b/>
                <w:bCs/>
                <w:noProof/>
                <w:sz w:val="20"/>
              </w:rPr>
              <w:t xml:space="preserve"> Environmental Action Programme</w:t>
            </w:r>
            <w:r>
              <w:rPr>
                <w:noProof/>
                <w:sz w:val="20"/>
              </w:rPr>
              <w:t xml:space="preserve"> (legislative, Article 192(3) TFEU, Q2 2020)</w:t>
            </w:r>
            <w:r>
              <w:rPr>
                <w:bCs/>
                <w:noProof/>
                <w:sz w:val="20"/>
              </w:rPr>
              <w:t>;</w:t>
            </w:r>
            <w:r>
              <w:rPr>
                <w:b/>
                <w:bCs/>
                <w:noProof/>
                <w:sz w:val="20"/>
              </w:rPr>
              <w:br/>
              <w:t>Chemicals strategy for sustainability</w:t>
            </w:r>
            <w:r>
              <w:rPr>
                <w:noProof/>
                <w:sz w:val="20"/>
              </w:rPr>
              <w:t xml:space="preserve"> (non-legislative, Q3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rPr>
                <w:b/>
                <w:bCs/>
                <w:noProof/>
                <w:sz w:val="20"/>
              </w:rPr>
            </w:pPr>
            <w:r>
              <w:rPr>
                <w:b/>
                <w:bCs/>
                <w:noProof/>
                <w:sz w:val="20"/>
              </w:rPr>
              <w:t>Sustainable and smart mobility</w:t>
            </w:r>
          </w:p>
        </w:tc>
        <w:tc>
          <w:tcPr>
            <w:tcW w:w="10064"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jc w:val="left"/>
              <w:rPr>
                <w:noProof/>
                <w:sz w:val="20"/>
              </w:rPr>
            </w:pPr>
            <w:r>
              <w:rPr>
                <w:b/>
                <w:bCs/>
                <w:noProof/>
                <w:sz w:val="20"/>
              </w:rPr>
              <w:t>Strategy for sustainable and smart mobility</w:t>
            </w:r>
            <w:r>
              <w:rPr>
                <w:noProof/>
                <w:sz w:val="20"/>
              </w:rPr>
              <w:t xml:space="preserve"> (non-legislative, Q4 2020);</w:t>
            </w:r>
          </w:p>
          <w:p w:rsidR="00B40DA7" w:rsidRDefault="00531C5A">
            <w:pPr>
              <w:spacing w:after="0"/>
              <w:jc w:val="left"/>
              <w:rPr>
                <w:noProof/>
                <w:sz w:val="20"/>
              </w:rPr>
            </w:pPr>
            <w:r>
              <w:rPr>
                <w:b/>
                <w:bCs/>
                <w:noProof/>
                <w:sz w:val="20"/>
              </w:rPr>
              <w:t>ReFuelEU Aviation - Sustainable Aviation Fuels</w:t>
            </w:r>
            <w:r>
              <w:rPr>
                <w:noProof/>
                <w:sz w:val="20"/>
              </w:rPr>
              <w:t xml:space="preserve"> (legislative, incl. impact assessment, Article 100(2) TFEU and/or Article 192(1) TFEU, Q4 2020);</w:t>
            </w:r>
          </w:p>
          <w:p w:rsidR="00B40DA7" w:rsidRDefault="00531C5A">
            <w:pPr>
              <w:spacing w:after="0"/>
              <w:jc w:val="left"/>
              <w:rPr>
                <w:noProof/>
                <w:sz w:val="20"/>
              </w:rPr>
            </w:pPr>
            <w:r>
              <w:rPr>
                <w:b/>
                <w:bCs/>
                <w:noProof/>
                <w:sz w:val="20"/>
              </w:rPr>
              <w:t>FuelEU Ma</w:t>
            </w:r>
            <w:r>
              <w:rPr>
                <w:b/>
                <w:bCs/>
                <w:noProof/>
                <w:sz w:val="20"/>
              </w:rPr>
              <w:t>ritime - Green European Maritime Space</w:t>
            </w:r>
            <w:r>
              <w:rPr>
                <w:noProof/>
                <w:sz w:val="20"/>
              </w:rPr>
              <w:t xml:space="preserve"> (legislative, incl. impact assessment, Article 100(2) TFEU and/or Article 192(1) TFEU, Q4 2020)</w:t>
            </w:r>
          </w:p>
        </w:tc>
      </w:tr>
      <w:tr w:rsidR="00B40DA7">
        <w:trPr>
          <w:cantSplit/>
        </w:trPr>
        <w:tc>
          <w:tcPr>
            <w:tcW w:w="14827" w:type="dxa"/>
            <w:gridSpan w:val="3"/>
            <w:tcBorders>
              <w:bottom w:val="single" w:sz="4" w:space="0" w:color="auto"/>
            </w:tcBorders>
            <w:shd w:val="clear" w:color="auto" w:fill="18BAA8" w:themeFill="accent2"/>
          </w:tcPr>
          <w:p w:rsidR="00B40DA7" w:rsidRDefault="00531C5A">
            <w:pPr>
              <w:keepNext/>
              <w:spacing w:before="60" w:after="60"/>
              <w:rPr>
                <w:b/>
                <w:bCs/>
                <w:noProof/>
                <w:sz w:val="20"/>
              </w:rPr>
            </w:pPr>
            <w:r>
              <w:rPr>
                <w:b/>
                <w:bCs/>
                <w:noProof/>
                <w:color w:val="FFFFFF" w:themeColor="background1"/>
                <w:sz w:val="20"/>
              </w:rPr>
              <w:lastRenderedPageBreak/>
              <w:t>A Europe Fit for the Digital Age</w:t>
            </w:r>
          </w:p>
        </w:tc>
      </w:tr>
      <w:tr w:rsidR="00B40DA7">
        <w:trPr>
          <w:cantSplit/>
        </w:trPr>
        <w:tc>
          <w:tcPr>
            <w:tcW w:w="511" w:type="dxa"/>
            <w:tcBorders>
              <w:bottom w:val="single" w:sz="4" w:space="0" w:color="auto"/>
              <w:right w:val="single" w:sz="4" w:space="0" w:color="auto"/>
            </w:tcBorders>
          </w:tcPr>
          <w:p w:rsidR="00B40DA7" w:rsidRDefault="00531C5A">
            <w:pPr>
              <w:pStyle w:val="ListParagraph"/>
              <w:numPr>
                <w:ilvl w:val="0"/>
                <w:numId w:val="18"/>
              </w:numPr>
              <w:spacing w:after="0"/>
              <w:ind w:left="426"/>
              <w:rPr>
                <w:noProof/>
                <w:sz w:val="20"/>
              </w:rPr>
            </w:pPr>
            <w:r>
              <w:rPr>
                <w:noProof/>
                <w:color w:val="FFFFFF" w:themeColor="background1"/>
                <w:sz w:val="20"/>
              </w:rPr>
              <w:t>.</w:t>
            </w:r>
          </w:p>
        </w:tc>
        <w:tc>
          <w:tcPr>
            <w:tcW w:w="4252" w:type="dxa"/>
            <w:tcBorders>
              <w:left w:val="single" w:sz="4" w:space="0" w:color="auto"/>
              <w:bottom w:val="single" w:sz="4" w:space="0" w:color="auto"/>
            </w:tcBorders>
            <w:tcMar>
              <w:top w:w="85" w:type="dxa"/>
              <w:bottom w:w="85" w:type="dxa"/>
            </w:tcMar>
          </w:tcPr>
          <w:p w:rsidR="00B40DA7" w:rsidRDefault="00531C5A">
            <w:pPr>
              <w:spacing w:after="0"/>
              <w:rPr>
                <w:b/>
                <w:bCs/>
                <w:noProof/>
                <w:color w:val="000000"/>
                <w:sz w:val="20"/>
              </w:rPr>
            </w:pPr>
            <w:r>
              <w:rPr>
                <w:b/>
                <w:bCs/>
                <w:noProof/>
                <w:color w:val="000000"/>
                <w:sz w:val="20"/>
              </w:rPr>
              <w:t>Europe fit for the digital age</w:t>
            </w:r>
          </w:p>
        </w:tc>
        <w:tc>
          <w:tcPr>
            <w:tcW w:w="10064" w:type="dxa"/>
            <w:tcBorders>
              <w:bottom w:val="single" w:sz="4" w:space="0" w:color="auto"/>
            </w:tcBorders>
            <w:tcMar>
              <w:top w:w="85" w:type="dxa"/>
              <w:bottom w:w="85" w:type="dxa"/>
            </w:tcMar>
          </w:tcPr>
          <w:p w:rsidR="00B40DA7" w:rsidRDefault="00531C5A">
            <w:pPr>
              <w:spacing w:after="0"/>
              <w:jc w:val="left"/>
              <w:rPr>
                <w:b/>
                <w:bCs/>
                <w:noProof/>
                <w:color w:val="000000" w:themeColor="text1"/>
                <w:sz w:val="20"/>
              </w:rPr>
            </w:pPr>
            <w:r>
              <w:rPr>
                <w:b/>
                <w:bCs/>
                <w:noProof/>
                <w:color w:val="000000" w:themeColor="text1"/>
                <w:sz w:val="20"/>
              </w:rPr>
              <w:t>A Strategy for Europe - Fit for the Digital Age</w:t>
            </w:r>
            <w:r>
              <w:rPr>
                <w:noProof/>
                <w:color w:val="000000" w:themeColor="text1"/>
                <w:sz w:val="20"/>
              </w:rPr>
              <w:t xml:space="preserve"> (non-legislative, Q1 2020);</w:t>
            </w:r>
            <w:r>
              <w:rPr>
                <w:b/>
                <w:bCs/>
                <w:noProof/>
                <w:color w:val="000000" w:themeColor="text1"/>
                <w:sz w:val="20"/>
              </w:rPr>
              <w:t xml:space="preserve"> </w:t>
            </w:r>
          </w:p>
          <w:p w:rsidR="00B40DA7" w:rsidRDefault="00531C5A">
            <w:pPr>
              <w:spacing w:after="0"/>
              <w:jc w:val="left"/>
              <w:rPr>
                <w:noProof/>
                <w:color w:val="000000" w:themeColor="text1"/>
                <w:sz w:val="20"/>
              </w:rPr>
            </w:pPr>
            <w:r>
              <w:rPr>
                <w:b/>
                <w:bCs/>
                <w:noProof/>
                <w:color w:val="000000" w:themeColor="text1"/>
                <w:sz w:val="20"/>
              </w:rPr>
              <w:t>Digital Education Action Plan (update)</w:t>
            </w:r>
            <w:r>
              <w:rPr>
                <w:noProof/>
                <w:color w:val="000000" w:themeColor="text1"/>
                <w:sz w:val="20"/>
              </w:rPr>
              <w:t xml:space="preserve"> (non-legislative, Q2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rPr>
                <w:noProof/>
                <w:sz w:val="20"/>
              </w:rPr>
            </w:pPr>
            <w:r>
              <w:rPr>
                <w:b/>
                <w:bCs/>
                <w:noProof/>
                <w:sz w:val="20"/>
              </w:rPr>
              <w:t>A European approach to Artificial Intelligence</w:t>
            </w:r>
          </w:p>
        </w:tc>
        <w:tc>
          <w:tcPr>
            <w:tcW w:w="10064"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jc w:val="left"/>
              <w:rPr>
                <w:noProof/>
                <w:color w:val="000000" w:themeColor="text1"/>
                <w:sz w:val="20"/>
              </w:rPr>
            </w:pPr>
            <w:r>
              <w:rPr>
                <w:b/>
                <w:bCs/>
                <w:noProof/>
                <w:color w:val="000000" w:themeColor="text1"/>
                <w:sz w:val="20"/>
              </w:rPr>
              <w:t xml:space="preserve">White Paper on Artificial Intelligence </w:t>
            </w:r>
            <w:r>
              <w:rPr>
                <w:noProof/>
                <w:color w:val="000000" w:themeColor="text1"/>
                <w:sz w:val="20"/>
              </w:rPr>
              <w:t>(non-legislative, Q1 2020);</w:t>
            </w:r>
          </w:p>
          <w:p w:rsidR="00B40DA7" w:rsidRDefault="00531C5A">
            <w:pPr>
              <w:spacing w:after="0"/>
              <w:jc w:val="left"/>
              <w:rPr>
                <w:noProof/>
                <w:color w:val="000000" w:themeColor="text1"/>
                <w:sz w:val="20"/>
              </w:rPr>
            </w:pPr>
            <w:r>
              <w:rPr>
                <w:b/>
                <w:noProof/>
                <w:color w:val="000000" w:themeColor="text1"/>
                <w:sz w:val="20"/>
              </w:rPr>
              <w:t>European Strategy for Data</w:t>
            </w:r>
            <w:r>
              <w:rPr>
                <w:noProof/>
                <w:color w:val="000000" w:themeColor="text1"/>
                <w:sz w:val="20"/>
              </w:rPr>
              <w:t xml:space="preserve"> (non-legislative, Q1 2020);</w:t>
            </w:r>
          </w:p>
          <w:p w:rsidR="00B40DA7" w:rsidRDefault="00531C5A">
            <w:pPr>
              <w:spacing w:after="0"/>
              <w:jc w:val="left"/>
              <w:rPr>
                <w:noProof/>
                <w:sz w:val="20"/>
              </w:rPr>
            </w:pPr>
            <w:r>
              <w:rPr>
                <w:b/>
                <w:bCs/>
                <w:noProof/>
                <w:color w:val="000000" w:themeColor="text1"/>
                <w:sz w:val="20"/>
              </w:rPr>
              <w:t>Follow-up to the White Paper on Artificial Intelligence, including on safety, liability, fundamental rights and data</w:t>
            </w:r>
            <w:r>
              <w:rPr>
                <w:noProof/>
                <w:color w:val="000000" w:themeColor="text1"/>
                <w:sz w:val="20"/>
              </w:rPr>
              <w:t xml:space="preserve"> (legislative, incl. impact assessment, Article 114 TFEU, </w:t>
            </w:r>
            <w:r>
              <w:rPr>
                <w:noProof/>
                <w:sz w:val="20"/>
              </w:rPr>
              <w:t>Q4 2020</w:t>
            </w:r>
            <w:r>
              <w:rPr>
                <w:noProof/>
                <w:color w:val="000000" w:themeColor="text1"/>
                <w:sz w:val="20"/>
              </w:rPr>
              <w:t>)</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rPr>
                <w:b/>
                <w:bCs/>
                <w:noProof/>
                <w:sz w:val="20"/>
              </w:rPr>
            </w:pPr>
            <w:r>
              <w:rPr>
                <w:b/>
                <w:bCs/>
                <w:noProof/>
                <w:sz w:val="20"/>
              </w:rPr>
              <w:t>Digital services</w:t>
            </w:r>
          </w:p>
        </w:tc>
        <w:tc>
          <w:tcPr>
            <w:tcW w:w="10064"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rPr>
                <w:noProof/>
                <w:sz w:val="20"/>
              </w:rPr>
            </w:pPr>
            <w:r>
              <w:rPr>
                <w:b/>
                <w:bCs/>
                <w:noProof/>
                <w:color w:val="000000" w:themeColor="text1"/>
                <w:sz w:val="20"/>
              </w:rPr>
              <w:t>Digital Services Act</w:t>
            </w:r>
            <w:r>
              <w:rPr>
                <w:noProof/>
                <w:color w:val="000000" w:themeColor="text1"/>
                <w:sz w:val="20"/>
              </w:rPr>
              <w:t xml:space="preserve"> (legislative, incl. impact assessment, Article 114 TFEU, Q4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rPr>
                <w:b/>
                <w:bCs/>
                <w:noProof/>
                <w:sz w:val="20"/>
              </w:rPr>
            </w:pPr>
            <w:r>
              <w:rPr>
                <w:b/>
                <w:bCs/>
                <w:noProof/>
                <w:sz w:val="20"/>
              </w:rPr>
              <w:t>Increasing cybersecurity</w:t>
            </w:r>
          </w:p>
        </w:tc>
        <w:tc>
          <w:tcPr>
            <w:tcW w:w="10064"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rPr>
                <w:b/>
                <w:bCs/>
                <w:noProof/>
                <w:color w:val="000000" w:themeColor="text1"/>
                <w:sz w:val="20"/>
              </w:rPr>
            </w:pPr>
            <w:r>
              <w:rPr>
                <w:b/>
                <w:bCs/>
                <w:noProof/>
                <w:sz w:val="20"/>
              </w:rPr>
              <w:t>Review of the Directive on security of network and information systems (NIS Directive)</w:t>
            </w:r>
            <w:r>
              <w:rPr>
                <w:noProof/>
                <w:sz w:val="20"/>
              </w:rPr>
              <w:t xml:space="preserve"> (legislative, incl. impact assessment, Article 114 TFEU, Q4 2020)</w:t>
            </w:r>
          </w:p>
        </w:tc>
      </w:tr>
      <w:tr w:rsidR="00B40DA7">
        <w:trPr>
          <w:cantSplit/>
        </w:trPr>
        <w:tc>
          <w:tcPr>
            <w:tcW w:w="511" w:type="dxa"/>
            <w:tcBorders>
              <w:right w:val="single" w:sz="4" w:space="0" w:color="auto"/>
            </w:tcBorders>
            <w:shd w:val="clear" w:color="auto" w:fill="FFFFFF" w:themeFill="background1"/>
          </w:tcPr>
          <w:p w:rsidR="00B40DA7" w:rsidRDefault="00B40DA7">
            <w:pPr>
              <w:pStyle w:val="ListParagraph"/>
              <w:numPr>
                <w:ilvl w:val="0"/>
                <w:numId w:val="18"/>
              </w:numPr>
              <w:spacing w:after="0"/>
              <w:ind w:left="426"/>
              <w:rPr>
                <w:noProof/>
                <w:sz w:val="20"/>
              </w:rPr>
            </w:pPr>
          </w:p>
        </w:tc>
        <w:tc>
          <w:tcPr>
            <w:tcW w:w="4252" w:type="dxa"/>
            <w:tcBorders>
              <w:left w:val="single" w:sz="4" w:space="0" w:color="auto"/>
            </w:tcBorders>
            <w:shd w:val="clear" w:color="auto" w:fill="FFFFFF" w:themeFill="background1"/>
            <w:tcMar>
              <w:top w:w="85" w:type="dxa"/>
              <w:bottom w:w="85" w:type="dxa"/>
            </w:tcMar>
          </w:tcPr>
          <w:p w:rsidR="00B40DA7" w:rsidRDefault="00531C5A">
            <w:pPr>
              <w:spacing w:after="0"/>
              <w:rPr>
                <w:b/>
                <w:bCs/>
                <w:noProof/>
                <w:color w:val="000000"/>
                <w:sz w:val="20"/>
              </w:rPr>
            </w:pPr>
            <w:r>
              <w:rPr>
                <w:b/>
                <w:bCs/>
                <w:noProof/>
                <w:sz w:val="20"/>
              </w:rPr>
              <w:t>Digital</w:t>
            </w:r>
            <w:r>
              <w:rPr>
                <w:b/>
                <w:bCs/>
                <w:noProof/>
                <w:sz w:val="20"/>
              </w:rPr>
              <w:t xml:space="preserve"> for consumers</w:t>
            </w:r>
          </w:p>
        </w:tc>
        <w:tc>
          <w:tcPr>
            <w:tcW w:w="10064" w:type="dxa"/>
            <w:shd w:val="clear" w:color="auto" w:fill="FFFFFF" w:themeFill="background1"/>
            <w:tcMar>
              <w:top w:w="85" w:type="dxa"/>
              <w:bottom w:w="85" w:type="dxa"/>
            </w:tcMar>
          </w:tcPr>
          <w:p w:rsidR="00B40DA7" w:rsidRDefault="00531C5A">
            <w:pPr>
              <w:spacing w:after="0"/>
              <w:rPr>
                <w:noProof/>
                <w:sz w:val="20"/>
              </w:rPr>
            </w:pPr>
            <w:r>
              <w:rPr>
                <w:b/>
                <w:bCs/>
                <w:noProof/>
                <w:sz w:val="20"/>
              </w:rPr>
              <w:t>Common chargers for mobile phones and similar devices</w:t>
            </w:r>
            <w:r>
              <w:rPr>
                <w:noProof/>
                <w:sz w:val="20"/>
              </w:rPr>
              <w:t xml:space="preserve"> (legislative, incl. impact assessment, Article 114 TFEU, Q3 2020);</w:t>
            </w:r>
          </w:p>
          <w:p w:rsidR="00B40DA7" w:rsidRDefault="00531C5A">
            <w:pPr>
              <w:spacing w:after="0"/>
              <w:rPr>
                <w:noProof/>
                <w:sz w:val="20"/>
              </w:rPr>
            </w:pPr>
            <w:r>
              <w:rPr>
                <w:b/>
                <w:bCs/>
                <w:noProof/>
                <w:color w:val="000000" w:themeColor="text1"/>
                <w:sz w:val="20"/>
              </w:rPr>
              <w:t>Review of the Roaming Regulation</w:t>
            </w:r>
            <w:r>
              <w:rPr>
                <w:noProof/>
                <w:color w:val="000000" w:themeColor="text1"/>
                <w:sz w:val="20"/>
              </w:rPr>
              <w:t xml:space="preserve"> (legislative, incl. impact assessment, </w:t>
            </w:r>
            <w:r>
              <w:rPr>
                <w:noProof/>
                <w:sz w:val="20"/>
              </w:rPr>
              <w:t>Article 114 TFEU, Q4 2020)</w:t>
            </w:r>
          </w:p>
        </w:tc>
      </w:tr>
      <w:tr w:rsidR="00B40DA7">
        <w:trPr>
          <w:cantSplit/>
        </w:trPr>
        <w:tc>
          <w:tcPr>
            <w:tcW w:w="511" w:type="dxa"/>
            <w:tcBorders>
              <w:bottom w:val="single" w:sz="4" w:space="0" w:color="auto"/>
              <w:right w:val="single" w:sz="4" w:space="0" w:color="auto"/>
            </w:tcBorders>
          </w:tcPr>
          <w:p w:rsidR="00B40DA7" w:rsidRDefault="00531C5A">
            <w:pPr>
              <w:pStyle w:val="ListParagraph"/>
              <w:numPr>
                <w:ilvl w:val="0"/>
                <w:numId w:val="18"/>
              </w:numPr>
              <w:spacing w:after="0"/>
              <w:ind w:left="426"/>
              <w:rPr>
                <w:noProof/>
                <w:sz w:val="20"/>
              </w:rPr>
            </w:pPr>
            <w:r>
              <w:rPr>
                <w:noProof/>
                <w:color w:val="FFFFFF" w:themeColor="background1"/>
                <w:sz w:val="20"/>
              </w:rPr>
              <w:t>.</w:t>
            </w:r>
          </w:p>
        </w:tc>
        <w:tc>
          <w:tcPr>
            <w:tcW w:w="4252"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rPr>
                <w:noProof/>
                <w:sz w:val="20"/>
              </w:rPr>
            </w:pPr>
            <w:r>
              <w:rPr>
                <w:b/>
                <w:bCs/>
                <w:noProof/>
                <w:sz w:val="20"/>
              </w:rPr>
              <w:t xml:space="preserve">A new industrial </w:t>
            </w:r>
            <w:r>
              <w:rPr>
                <w:b/>
                <w:bCs/>
                <w:noProof/>
                <w:sz w:val="20"/>
              </w:rPr>
              <w:t>strategy for Europe</w:t>
            </w:r>
          </w:p>
        </w:tc>
        <w:tc>
          <w:tcPr>
            <w:tcW w:w="10064"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jc w:val="left"/>
              <w:rPr>
                <w:noProof/>
                <w:sz w:val="20"/>
              </w:rPr>
            </w:pPr>
            <w:r>
              <w:rPr>
                <w:b/>
                <w:bCs/>
                <w:noProof/>
                <w:sz w:val="20"/>
              </w:rPr>
              <w:t>Industrial Strategy</w:t>
            </w:r>
            <w:r>
              <w:rPr>
                <w:noProof/>
                <w:sz w:val="20"/>
              </w:rPr>
              <w:t xml:space="preserve"> (non-legislative, Q1 2020); </w:t>
            </w:r>
          </w:p>
          <w:p w:rsidR="00B40DA7" w:rsidRDefault="00531C5A">
            <w:pPr>
              <w:spacing w:after="0"/>
              <w:jc w:val="left"/>
              <w:rPr>
                <w:b/>
                <w:bCs/>
                <w:noProof/>
                <w:sz w:val="20"/>
              </w:rPr>
            </w:pPr>
            <w:r>
              <w:rPr>
                <w:b/>
                <w:bCs/>
                <w:noProof/>
                <w:sz w:val="20"/>
              </w:rPr>
              <w:t xml:space="preserve">Single Market Barriers Report </w:t>
            </w:r>
            <w:r>
              <w:rPr>
                <w:noProof/>
                <w:sz w:val="20"/>
              </w:rPr>
              <w:t>(non-legislative, Q1 2020);</w:t>
            </w:r>
            <w:r>
              <w:rPr>
                <w:b/>
                <w:bCs/>
                <w:noProof/>
                <w:sz w:val="20"/>
              </w:rPr>
              <w:t xml:space="preserve"> </w:t>
            </w:r>
          </w:p>
          <w:p w:rsidR="00B40DA7" w:rsidRDefault="00531C5A">
            <w:pPr>
              <w:spacing w:after="0"/>
              <w:jc w:val="left"/>
              <w:rPr>
                <w:noProof/>
                <w:sz w:val="20"/>
              </w:rPr>
            </w:pPr>
            <w:r>
              <w:rPr>
                <w:b/>
                <w:bCs/>
                <w:noProof/>
                <w:sz w:val="20"/>
              </w:rPr>
              <w:t>Single Market Enforcement Action Plan</w:t>
            </w:r>
            <w:r>
              <w:rPr>
                <w:noProof/>
                <w:sz w:val="20"/>
              </w:rPr>
              <w:t xml:space="preserve"> (non-legislative, Q1 2020); </w:t>
            </w:r>
          </w:p>
          <w:p w:rsidR="00B40DA7" w:rsidRDefault="00531C5A">
            <w:pPr>
              <w:spacing w:after="0"/>
              <w:jc w:val="left"/>
              <w:rPr>
                <w:noProof/>
                <w:sz w:val="20"/>
              </w:rPr>
            </w:pPr>
            <w:r>
              <w:rPr>
                <w:b/>
                <w:bCs/>
                <w:noProof/>
                <w:sz w:val="20"/>
              </w:rPr>
              <w:t>SME Strategy</w:t>
            </w:r>
            <w:r>
              <w:rPr>
                <w:noProof/>
                <w:sz w:val="20"/>
              </w:rPr>
              <w:t xml:space="preserve"> (non-legislative, Q1 2020); </w:t>
            </w:r>
          </w:p>
          <w:p w:rsidR="00B40DA7" w:rsidRDefault="00531C5A">
            <w:pPr>
              <w:spacing w:after="0"/>
              <w:jc w:val="left"/>
              <w:rPr>
                <w:noProof/>
                <w:sz w:val="20"/>
              </w:rPr>
            </w:pPr>
            <w:r>
              <w:rPr>
                <w:b/>
                <w:bCs/>
                <w:noProof/>
                <w:sz w:val="20"/>
              </w:rPr>
              <w:t xml:space="preserve">White Paper on an </w:t>
            </w:r>
            <w:r>
              <w:rPr>
                <w:b/>
                <w:bCs/>
                <w:noProof/>
                <w:sz w:val="20"/>
              </w:rPr>
              <w:t>Instrument on Foreign Subsidies</w:t>
            </w:r>
            <w:r>
              <w:rPr>
                <w:noProof/>
                <w:sz w:val="20"/>
              </w:rPr>
              <w:t xml:space="preserve"> (non-legislative, Q2 2020)</w:t>
            </w:r>
          </w:p>
        </w:tc>
      </w:tr>
      <w:tr w:rsidR="00B40DA7">
        <w:trPr>
          <w:cantSplit/>
        </w:trPr>
        <w:tc>
          <w:tcPr>
            <w:tcW w:w="511" w:type="dxa"/>
            <w:tcBorders>
              <w:right w:val="single" w:sz="4" w:space="0" w:color="auto"/>
            </w:tcBorders>
            <w:shd w:val="clear" w:color="auto" w:fill="FFFFFF" w:themeFill="background1"/>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rsidR="00B40DA7" w:rsidRDefault="00531C5A">
            <w:pPr>
              <w:spacing w:after="0"/>
              <w:rPr>
                <w:b/>
                <w:bCs/>
                <w:noProof/>
                <w:sz w:val="20"/>
              </w:rPr>
            </w:pPr>
            <w:r>
              <w:rPr>
                <w:b/>
                <w:bCs/>
                <w:noProof/>
                <w:sz w:val="20"/>
              </w:rPr>
              <w:t>Aviation services package</w:t>
            </w:r>
          </w:p>
        </w:tc>
        <w:tc>
          <w:tcPr>
            <w:tcW w:w="10064"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rsidR="00B40DA7" w:rsidRDefault="00531C5A">
            <w:pPr>
              <w:spacing w:after="0"/>
              <w:jc w:val="left"/>
              <w:rPr>
                <w:noProof/>
                <w:sz w:val="20"/>
              </w:rPr>
            </w:pPr>
            <w:r>
              <w:rPr>
                <w:b/>
                <w:bCs/>
                <w:noProof/>
                <w:sz w:val="20"/>
              </w:rPr>
              <w:t>Revision of airport charges</w:t>
            </w:r>
            <w:r>
              <w:rPr>
                <w:noProof/>
                <w:sz w:val="20"/>
              </w:rPr>
              <w:t xml:space="preserve"> (legislative, incl. impact assessment, Article 100(2) TFEU, Q4 2020); </w:t>
            </w:r>
            <w:r>
              <w:rPr>
                <w:b/>
                <w:bCs/>
                <w:noProof/>
                <w:sz w:val="20"/>
              </w:rPr>
              <w:t>Revision of the provision of air services</w:t>
            </w:r>
            <w:r>
              <w:rPr>
                <w:noProof/>
                <w:sz w:val="20"/>
              </w:rPr>
              <w:t xml:space="preserve"> (legislative, incl. impact assessment, Article 100(2) TFEU, Q4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rPr>
                <w:b/>
                <w:bCs/>
                <w:noProof/>
                <w:sz w:val="20"/>
              </w:rPr>
            </w:pPr>
            <w:r>
              <w:rPr>
                <w:b/>
                <w:bCs/>
                <w:noProof/>
                <w:sz w:val="20"/>
              </w:rPr>
              <w:t>Towards a European Research Area</w:t>
            </w:r>
          </w:p>
        </w:tc>
        <w:tc>
          <w:tcPr>
            <w:tcW w:w="10064"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jc w:val="left"/>
              <w:rPr>
                <w:b/>
                <w:bCs/>
                <w:noProof/>
                <w:sz w:val="20"/>
              </w:rPr>
            </w:pPr>
            <w:r>
              <w:rPr>
                <w:b/>
                <w:bCs/>
                <w:noProof/>
                <w:sz w:val="20"/>
              </w:rPr>
              <w:t>Communication on the Future of Research and Innovation and the European Research Area</w:t>
            </w:r>
            <w:r>
              <w:rPr>
                <w:noProof/>
                <w:sz w:val="20"/>
              </w:rPr>
              <w:t xml:space="preserve"> (non-legislative, Q2 2020);</w:t>
            </w:r>
            <w:r>
              <w:rPr>
                <w:b/>
                <w:bCs/>
                <w:noProof/>
                <w:sz w:val="20"/>
              </w:rPr>
              <w:t xml:space="preserve"> </w:t>
            </w:r>
          </w:p>
          <w:p w:rsidR="00B40DA7" w:rsidRDefault="00531C5A">
            <w:pPr>
              <w:spacing w:after="0"/>
              <w:jc w:val="left"/>
              <w:rPr>
                <w:noProof/>
                <w:sz w:val="20"/>
              </w:rPr>
            </w:pPr>
            <w:r>
              <w:rPr>
                <w:b/>
                <w:bCs/>
                <w:noProof/>
                <w:sz w:val="20"/>
              </w:rPr>
              <w:t xml:space="preserve">Communication on Horizon Europe </w:t>
            </w:r>
            <w:r>
              <w:rPr>
                <w:b/>
                <w:bCs/>
                <w:noProof/>
                <w:sz w:val="20"/>
              </w:rPr>
              <w:t>research and innovation missions</w:t>
            </w:r>
            <w:r>
              <w:rPr>
                <w:noProof/>
                <w:sz w:val="20"/>
              </w:rPr>
              <w:t xml:space="preserve"> (non-legislative, Q4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rPr>
                <w:b/>
                <w:bCs/>
                <w:noProof/>
                <w:sz w:val="20"/>
              </w:rPr>
            </w:pPr>
            <w:r>
              <w:rPr>
                <w:b/>
                <w:bCs/>
                <w:noProof/>
                <w:sz w:val="20"/>
              </w:rPr>
              <w:t>Digital finance</w:t>
            </w:r>
          </w:p>
        </w:tc>
        <w:tc>
          <w:tcPr>
            <w:tcW w:w="10064"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jc w:val="left"/>
              <w:rPr>
                <w:noProof/>
                <w:sz w:val="20"/>
              </w:rPr>
            </w:pPr>
            <w:r>
              <w:rPr>
                <w:b/>
                <w:bCs/>
                <w:noProof/>
                <w:sz w:val="20"/>
              </w:rPr>
              <w:t>Action Plan on FinTech including a Strategy on an Integrated EU Payments Market</w:t>
            </w:r>
            <w:r>
              <w:rPr>
                <w:noProof/>
                <w:sz w:val="20"/>
              </w:rPr>
              <w:t xml:space="preserve"> (non-legislative, Q3 2020);</w:t>
            </w:r>
            <w:r>
              <w:rPr>
                <w:noProof/>
                <w:sz w:val="20"/>
              </w:rPr>
              <w:br/>
            </w:r>
            <w:r>
              <w:rPr>
                <w:b/>
                <w:bCs/>
                <w:noProof/>
                <w:sz w:val="20"/>
              </w:rPr>
              <w:t>Proposal on Crypto Assets</w:t>
            </w:r>
            <w:r>
              <w:rPr>
                <w:noProof/>
                <w:sz w:val="20"/>
              </w:rPr>
              <w:t xml:space="preserve"> (legislative, incl. impact assessment, Article 114 TFEU, Q3 2020); </w:t>
            </w:r>
          </w:p>
          <w:p w:rsidR="00B40DA7" w:rsidRDefault="00531C5A">
            <w:pPr>
              <w:spacing w:after="0"/>
              <w:jc w:val="left"/>
              <w:rPr>
                <w:noProof/>
                <w:sz w:val="20"/>
              </w:rPr>
            </w:pPr>
            <w:r>
              <w:rPr>
                <w:b/>
                <w:bCs/>
                <w:noProof/>
                <w:sz w:val="20"/>
              </w:rPr>
              <w:t>Cross-sectoral financial services act on operational and cyber resilience</w:t>
            </w:r>
            <w:r>
              <w:rPr>
                <w:noProof/>
                <w:sz w:val="20"/>
              </w:rPr>
              <w:t xml:space="preserve"> (legislative, incl. impact assessment, Article 114 TFEU, Q3 2020)</w:t>
            </w:r>
          </w:p>
        </w:tc>
      </w:tr>
      <w:tr w:rsidR="00B40DA7">
        <w:trPr>
          <w:cantSplit/>
        </w:trPr>
        <w:tc>
          <w:tcPr>
            <w:tcW w:w="14827" w:type="dxa"/>
            <w:gridSpan w:val="3"/>
            <w:tcBorders>
              <w:bottom w:val="single" w:sz="4" w:space="0" w:color="auto"/>
            </w:tcBorders>
            <w:shd w:val="clear" w:color="auto" w:fill="F68A42" w:themeFill="accent3"/>
          </w:tcPr>
          <w:p w:rsidR="00B40DA7" w:rsidRDefault="00531C5A">
            <w:pPr>
              <w:keepNext/>
              <w:spacing w:before="60" w:after="60"/>
              <w:rPr>
                <w:b/>
                <w:bCs/>
                <w:noProof/>
                <w:sz w:val="20"/>
              </w:rPr>
            </w:pPr>
            <w:r>
              <w:rPr>
                <w:b/>
                <w:bCs/>
                <w:noProof/>
                <w:color w:val="FFFFFF" w:themeColor="background1"/>
                <w:sz w:val="20"/>
              </w:rPr>
              <w:t>An Economy that Works for People</w:t>
            </w:r>
          </w:p>
        </w:tc>
      </w:tr>
      <w:tr w:rsidR="00B40DA7">
        <w:trPr>
          <w:cantSplit/>
        </w:trPr>
        <w:tc>
          <w:tcPr>
            <w:tcW w:w="511" w:type="dxa"/>
            <w:tcBorders>
              <w:right w:val="single" w:sz="4" w:space="0" w:color="auto"/>
            </w:tcBorders>
          </w:tcPr>
          <w:p w:rsidR="00B40DA7" w:rsidRDefault="00B40DA7">
            <w:pPr>
              <w:pStyle w:val="ListParagraph"/>
              <w:numPr>
                <w:ilvl w:val="0"/>
                <w:numId w:val="18"/>
              </w:numPr>
              <w:spacing w:after="0"/>
              <w:ind w:left="426"/>
              <w:rPr>
                <w:noProof/>
                <w:color w:val="FFFFFF" w:themeColor="background1"/>
                <w:sz w:val="20"/>
              </w:rPr>
            </w:pPr>
          </w:p>
        </w:tc>
        <w:tc>
          <w:tcPr>
            <w:tcW w:w="4252"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rPr>
                <w:b/>
                <w:bCs/>
                <w:noProof/>
                <w:sz w:val="20"/>
              </w:rPr>
            </w:pPr>
            <w:r>
              <w:rPr>
                <w:b/>
                <w:bCs/>
                <w:noProof/>
                <w:sz w:val="20"/>
              </w:rPr>
              <w:t xml:space="preserve">Social </w:t>
            </w:r>
            <w:r>
              <w:rPr>
                <w:b/>
                <w:bCs/>
                <w:noProof/>
                <w:sz w:val="20"/>
              </w:rPr>
              <w:t>Europe</w:t>
            </w:r>
          </w:p>
        </w:tc>
        <w:tc>
          <w:tcPr>
            <w:tcW w:w="10064"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jc w:val="left"/>
              <w:rPr>
                <w:b/>
                <w:bCs/>
                <w:noProof/>
                <w:sz w:val="20"/>
              </w:rPr>
            </w:pPr>
            <w:r>
              <w:rPr>
                <w:b/>
                <w:bCs/>
                <w:noProof/>
                <w:sz w:val="20"/>
              </w:rPr>
              <w:t xml:space="preserve">A Strong Social Europe for Just Transitions </w:t>
            </w:r>
            <w:r>
              <w:rPr>
                <w:noProof/>
                <w:sz w:val="20"/>
              </w:rPr>
              <w:t xml:space="preserve">(non-legislative, Q1 2020); </w:t>
            </w:r>
            <w:r>
              <w:rPr>
                <w:noProof/>
                <w:sz w:val="20"/>
              </w:rPr>
              <w:br/>
            </w:r>
            <w:r>
              <w:rPr>
                <w:b/>
                <w:bCs/>
                <w:noProof/>
                <w:sz w:val="20"/>
              </w:rPr>
              <w:t>Fair minimum wages for workers in the EU</w:t>
            </w:r>
            <w:r>
              <w:rPr>
                <w:noProof/>
                <w:sz w:val="20"/>
              </w:rPr>
              <w:t xml:space="preserve"> (Articles 153(1)b, 153(2) and 154 TFEU, Q1/Q3 2020);</w:t>
            </w:r>
            <w:r>
              <w:rPr>
                <w:noProof/>
                <w:sz w:val="20"/>
              </w:rPr>
              <w:br/>
            </w:r>
            <w:r>
              <w:rPr>
                <w:b/>
                <w:bCs/>
                <w:noProof/>
                <w:sz w:val="20"/>
              </w:rPr>
              <w:t>Reinforcing the Youth Guarantee</w:t>
            </w:r>
            <w:r>
              <w:rPr>
                <w:noProof/>
                <w:sz w:val="20"/>
              </w:rPr>
              <w:t xml:space="preserve"> (non-legislative, Q2 2020);</w:t>
            </w:r>
            <w:r>
              <w:rPr>
                <w:noProof/>
                <w:sz w:val="20"/>
              </w:rPr>
              <w:br/>
            </w:r>
            <w:r>
              <w:rPr>
                <w:b/>
                <w:bCs/>
                <w:noProof/>
                <w:sz w:val="20"/>
              </w:rPr>
              <w:t xml:space="preserve">European Unemployment </w:t>
            </w:r>
            <w:r>
              <w:rPr>
                <w:b/>
                <w:bCs/>
                <w:noProof/>
                <w:sz w:val="20"/>
              </w:rPr>
              <w:t xml:space="preserve">Reinsurance Scheme </w:t>
            </w:r>
            <w:r>
              <w:rPr>
                <w:noProof/>
                <w:sz w:val="20"/>
              </w:rPr>
              <w:t>(legislative, incl. impact assessment, Q4 2020)</w:t>
            </w:r>
          </w:p>
        </w:tc>
      </w:tr>
      <w:tr w:rsidR="00B40DA7">
        <w:trPr>
          <w:cantSplit/>
        </w:trPr>
        <w:tc>
          <w:tcPr>
            <w:tcW w:w="511" w:type="dxa"/>
            <w:tcBorders>
              <w:bottom w:val="single" w:sz="4" w:space="0" w:color="auto"/>
              <w:right w:val="single" w:sz="4" w:space="0" w:color="auto"/>
            </w:tcBorders>
            <w:shd w:val="clear" w:color="auto" w:fill="FFFFFF" w:themeFill="background1"/>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shd w:val="clear" w:color="auto" w:fill="FFFFFF" w:themeFill="background1"/>
            <w:tcMar>
              <w:top w:w="85" w:type="dxa"/>
              <w:bottom w:w="85" w:type="dxa"/>
            </w:tcMar>
          </w:tcPr>
          <w:p w:rsidR="00B40DA7" w:rsidRDefault="00531C5A">
            <w:pPr>
              <w:spacing w:after="0"/>
              <w:rPr>
                <w:b/>
                <w:bCs/>
                <w:noProof/>
                <w:color w:val="000000"/>
                <w:sz w:val="20"/>
              </w:rPr>
            </w:pPr>
            <w:r>
              <w:rPr>
                <w:b/>
                <w:bCs/>
                <w:noProof/>
                <w:sz w:val="20"/>
              </w:rPr>
              <w:t>Economic Governance</w:t>
            </w:r>
          </w:p>
        </w:tc>
        <w:tc>
          <w:tcPr>
            <w:tcW w:w="10064" w:type="dxa"/>
            <w:tcBorders>
              <w:bottom w:val="single" w:sz="4" w:space="0" w:color="auto"/>
            </w:tcBorders>
            <w:shd w:val="clear" w:color="auto" w:fill="auto"/>
            <w:tcMar>
              <w:top w:w="85" w:type="dxa"/>
              <w:bottom w:w="85" w:type="dxa"/>
            </w:tcMar>
          </w:tcPr>
          <w:p w:rsidR="00B40DA7" w:rsidRDefault="00531C5A">
            <w:pPr>
              <w:spacing w:after="0"/>
              <w:rPr>
                <w:b/>
                <w:bCs/>
                <w:noProof/>
                <w:sz w:val="20"/>
              </w:rPr>
            </w:pPr>
            <w:r>
              <w:rPr>
                <w:b/>
                <w:bCs/>
                <w:noProof/>
                <w:sz w:val="20"/>
              </w:rPr>
              <w:t xml:space="preserve">Review of the Economic Governance Framework </w:t>
            </w:r>
            <w:r>
              <w:rPr>
                <w:noProof/>
                <w:sz w:val="20"/>
              </w:rPr>
              <w:t>(non-legislative, Q1 2020)</w:t>
            </w:r>
          </w:p>
        </w:tc>
      </w:tr>
      <w:tr w:rsidR="00B40DA7">
        <w:trPr>
          <w:cantSplit/>
        </w:trPr>
        <w:tc>
          <w:tcPr>
            <w:tcW w:w="511" w:type="dxa"/>
            <w:tcBorders>
              <w:bottom w:val="single" w:sz="4" w:space="0" w:color="auto"/>
              <w:right w:val="single" w:sz="4" w:space="0" w:color="auto"/>
            </w:tcBorders>
            <w:shd w:val="clear" w:color="auto" w:fill="FFFFFF" w:themeFill="background1"/>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shd w:val="clear" w:color="auto" w:fill="FFFFFF" w:themeFill="background1"/>
            <w:tcMar>
              <w:top w:w="85" w:type="dxa"/>
              <w:bottom w:w="85" w:type="dxa"/>
            </w:tcMar>
          </w:tcPr>
          <w:p w:rsidR="00B40DA7" w:rsidRDefault="00531C5A">
            <w:pPr>
              <w:spacing w:after="0"/>
              <w:rPr>
                <w:b/>
                <w:bCs/>
                <w:noProof/>
                <w:sz w:val="20"/>
              </w:rPr>
            </w:pPr>
            <w:r>
              <w:rPr>
                <w:b/>
                <w:bCs/>
                <w:noProof/>
                <w:sz w:val="20"/>
              </w:rPr>
              <w:t>Deepening the Capital Markets Union</w:t>
            </w:r>
          </w:p>
        </w:tc>
        <w:tc>
          <w:tcPr>
            <w:tcW w:w="10064" w:type="dxa"/>
            <w:tcBorders>
              <w:left w:val="single" w:sz="4" w:space="0" w:color="auto"/>
              <w:bottom w:val="single" w:sz="4" w:space="0" w:color="auto"/>
              <w:right w:val="single" w:sz="4" w:space="0" w:color="auto"/>
            </w:tcBorders>
            <w:shd w:val="clear" w:color="auto" w:fill="auto"/>
            <w:tcMar>
              <w:top w:w="85" w:type="dxa"/>
              <w:bottom w:w="85" w:type="dxa"/>
            </w:tcMar>
          </w:tcPr>
          <w:p w:rsidR="00B40DA7" w:rsidRDefault="00531C5A">
            <w:pPr>
              <w:spacing w:after="0"/>
              <w:jc w:val="left"/>
              <w:rPr>
                <w:noProof/>
                <w:sz w:val="20"/>
              </w:rPr>
            </w:pPr>
            <w:r>
              <w:rPr>
                <w:b/>
                <w:bCs/>
                <w:noProof/>
                <w:sz w:val="20"/>
              </w:rPr>
              <w:t>Action Plan on the Capital Markets Union</w:t>
            </w:r>
            <w:r>
              <w:rPr>
                <w:noProof/>
                <w:sz w:val="20"/>
              </w:rPr>
              <w:t xml:space="preserve"> (non-legislative, Q3 2020); </w:t>
            </w:r>
          </w:p>
          <w:p w:rsidR="00B40DA7" w:rsidRDefault="00531C5A">
            <w:pPr>
              <w:spacing w:after="0"/>
              <w:jc w:val="left"/>
              <w:rPr>
                <w:noProof/>
                <w:sz w:val="20"/>
              </w:rPr>
            </w:pPr>
            <w:r>
              <w:rPr>
                <w:b/>
                <w:bCs/>
                <w:noProof/>
                <w:sz w:val="20"/>
              </w:rPr>
              <w:t>Review of the regulatory framework for investment firms and market operators (MiFIDII and MiFIR), including the establishment of an EU consolidated tape</w:t>
            </w:r>
            <w:r>
              <w:rPr>
                <w:noProof/>
                <w:sz w:val="20"/>
              </w:rPr>
              <w:t xml:space="preserve"> (legislative, incl. impact assessment, Articles 53(1) and 114(1) TFEU, Q3</w:t>
            </w:r>
            <w:r>
              <w:rPr>
                <w:noProof/>
                <w:sz w:val="20"/>
              </w:rPr>
              <w:t xml:space="preserve"> 2020); </w:t>
            </w:r>
          </w:p>
          <w:p w:rsidR="00B40DA7" w:rsidRDefault="00531C5A">
            <w:pPr>
              <w:spacing w:after="0"/>
              <w:jc w:val="left"/>
              <w:rPr>
                <w:noProof/>
                <w:sz w:val="20"/>
              </w:rPr>
            </w:pPr>
            <w:r>
              <w:rPr>
                <w:b/>
                <w:bCs/>
                <w:noProof/>
                <w:sz w:val="20"/>
              </w:rPr>
              <w:t>Review of the Benchmark Regulation</w:t>
            </w:r>
            <w:r>
              <w:rPr>
                <w:noProof/>
                <w:sz w:val="20"/>
              </w:rPr>
              <w:t xml:space="preserve"> (legislative, incl. impact assessment, Article 114 (1) TFEU, Q3 2020)</w:t>
            </w:r>
          </w:p>
        </w:tc>
      </w:tr>
      <w:tr w:rsidR="00B40DA7">
        <w:trPr>
          <w:cantSplit/>
        </w:trPr>
        <w:tc>
          <w:tcPr>
            <w:tcW w:w="511" w:type="dxa"/>
            <w:tcBorders>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rsidR="00B40DA7" w:rsidRDefault="00531C5A">
            <w:pPr>
              <w:spacing w:after="0"/>
              <w:rPr>
                <w:b/>
                <w:bCs/>
                <w:noProof/>
                <w:color w:val="000000"/>
                <w:sz w:val="20"/>
              </w:rPr>
            </w:pPr>
            <w:r>
              <w:rPr>
                <w:b/>
                <w:bCs/>
                <w:noProof/>
                <w:sz w:val="20"/>
              </w:rPr>
              <w:t>Completing the Banking Union</w:t>
            </w:r>
          </w:p>
        </w:tc>
        <w:tc>
          <w:tcPr>
            <w:tcW w:w="10064" w:type="dxa"/>
            <w:tcMar>
              <w:top w:w="85" w:type="dxa"/>
              <w:bottom w:w="85" w:type="dxa"/>
            </w:tcMar>
          </w:tcPr>
          <w:p w:rsidR="00B40DA7" w:rsidRDefault="00531C5A">
            <w:pPr>
              <w:spacing w:after="0"/>
              <w:jc w:val="left"/>
              <w:rPr>
                <w:noProof/>
                <w:sz w:val="20"/>
              </w:rPr>
            </w:pPr>
            <w:r>
              <w:rPr>
                <w:b/>
                <w:bCs/>
                <w:noProof/>
                <w:sz w:val="20"/>
              </w:rPr>
              <w:t>Action Plan on Anti-Money Laundering</w:t>
            </w:r>
            <w:r>
              <w:rPr>
                <w:noProof/>
                <w:sz w:val="20"/>
              </w:rPr>
              <w:t xml:space="preserve"> (non-legislative, Q1 2020); </w:t>
            </w:r>
          </w:p>
          <w:p w:rsidR="00B40DA7" w:rsidRDefault="00531C5A">
            <w:pPr>
              <w:spacing w:after="0"/>
              <w:jc w:val="left"/>
              <w:rPr>
                <w:noProof/>
                <w:sz w:val="20"/>
              </w:rPr>
            </w:pPr>
            <w:r>
              <w:rPr>
                <w:b/>
                <w:bCs/>
                <w:noProof/>
                <w:sz w:val="20"/>
              </w:rPr>
              <w:t xml:space="preserve">Review of the Capital Requirements </w:t>
            </w:r>
            <w:r>
              <w:rPr>
                <w:b/>
                <w:bCs/>
                <w:noProof/>
                <w:sz w:val="20"/>
              </w:rPr>
              <w:t>legislation</w:t>
            </w:r>
            <w:r>
              <w:rPr>
                <w:noProof/>
                <w:sz w:val="20"/>
              </w:rPr>
              <w:t xml:space="preserve"> (legislative, incl. impact assessment, Articles 114 TFEU (CRR) and 53 TFEU (CRD), Q2 2020)</w:t>
            </w:r>
          </w:p>
        </w:tc>
      </w:tr>
      <w:tr w:rsidR="00B40DA7">
        <w:trPr>
          <w:cantSplit/>
        </w:trPr>
        <w:tc>
          <w:tcPr>
            <w:tcW w:w="511" w:type="dxa"/>
            <w:tcBorders>
              <w:right w:val="single" w:sz="4" w:space="0" w:color="auto"/>
            </w:tcBorders>
            <w:shd w:val="clear" w:color="auto" w:fill="FFFFFF" w:themeFill="background1"/>
          </w:tcPr>
          <w:p w:rsidR="00B40DA7" w:rsidRDefault="00B40DA7">
            <w:pPr>
              <w:pStyle w:val="ListParagraph"/>
              <w:numPr>
                <w:ilvl w:val="0"/>
                <w:numId w:val="18"/>
              </w:numPr>
              <w:spacing w:after="0"/>
              <w:ind w:left="426"/>
              <w:rPr>
                <w:noProof/>
                <w:sz w:val="20"/>
              </w:rPr>
            </w:pPr>
          </w:p>
        </w:tc>
        <w:tc>
          <w:tcPr>
            <w:tcW w:w="4252" w:type="dxa"/>
            <w:tcBorders>
              <w:left w:val="single" w:sz="4" w:space="0" w:color="auto"/>
            </w:tcBorders>
            <w:shd w:val="clear" w:color="auto" w:fill="FFFFFF" w:themeFill="background1"/>
            <w:tcMar>
              <w:top w:w="85" w:type="dxa"/>
              <w:bottom w:w="85" w:type="dxa"/>
            </w:tcMar>
          </w:tcPr>
          <w:p w:rsidR="00B40DA7" w:rsidRDefault="00531C5A">
            <w:pPr>
              <w:spacing w:after="0"/>
              <w:rPr>
                <w:b/>
                <w:bCs/>
                <w:noProof/>
                <w:color w:val="000000"/>
                <w:sz w:val="20"/>
              </w:rPr>
            </w:pPr>
            <w:r>
              <w:rPr>
                <w:b/>
                <w:bCs/>
                <w:noProof/>
                <w:sz w:val="20"/>
              </w:rPr>
              <w:t>Effective taxation</w:t>
            </w:r>
          </w:p>
        </w:tc>
        <w:tc>
          <w:tcPr>
            <w:tcW w:w="10064" w:type="dxa"/>
            <w:shd w:val="clear" w:color="auto" w:fill="FFFFFF" w:themeFill="background1"/>
            <w:tcMar>
              <w:top w:w="85" w:type="dxa"/>
              <w:bottom w:w="85" w:type="dxa"/>
            </w:tcMar>
          </w:tcPr>
          <w:p w:rsidR="00B40DA7" w:rsidRDefault="00531C5A">
            <w:pPr>
              <w:pStyle w:val="Default"/>
              <w:rPr>
                <w:b/>
                <w:bCs/>
                <w:noProof/>
                <w:sz w:val="20"/>
                <w:szCs w:val="20"/>
              </w:rPr>
            </w:pPr>
            <w:r>
              <w:rPr>
                <w:b/>
                <w:bCs/>
                <w:noProof/>
                <w:sz w:val="20"/>
                <w:szCs w:val="20"/>
              </w:rPr>
              <w:t>Business Taxation for the 21st century</w:t>
            </w:r>
            <w:r>
              <w:rPr>
                <w:noProof/>
                <w:sz w:val="20"/>
                <w:szCs w:val="20"/>
              </w:rPr>
              <w:t xml:space="preserve"> (non-legislative, Q2 2020);</w:t>
            </w:r>
            <w:r>
              <w:rPr>
                <w:b/>
                <w:bCs/>
                <w:noProof/>
                <w:sz w:val="20"/>
                <w:szCs w:val="20"/>
              </w:rPr>
              <w:t xml:space="preserve"> </w:t>
            </w:r>
          </w:p>
          <w:p w:rsidR="00B40DA7" w:rsidRDefault="00531C5A">
            <w:pPr>
              <w:pStyle w:val="Default"/>
              <w:rPr>
                <w:noProof/>
                <w:sz w:val="20"/>
                <w:szCs w:val="20"/>
              </w:rPr>
            </w:pPr>
            <w:r>
              <w:rPr>
                <w:b/>
                <w:bCs/>
                <w:noProof/>
                <w:sz w:val="20"/>
                <w:szCs w:val="20"/>
              </w:rPr>
              <w:t>Action Plan to fight tax evasion and to make taxation simple and</w:t>
            </w:r>
            <w:r>
              <w:rPr>
                <w:b/>
                <w:bCs/>
                <w:noProof/>
                <w:sz w:val="20"/>
                <w:szCs w:val="20"/>
              </w:rPr>
              <w:t xml:space="preserve"> easy</w:t>
            </w:r>
            <w:r>
              <w:rPr>
                <w:noProof/>
                <w:sz w:val="20"/>
                <w:szCs w:val="20"/>
              </w:rPr>
              <w:t xml:space="preserve"> (legislative and non-legislative, incl. impact assessment, Articles 113 and 115 TFEU, Q2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rsidR="00B40DA7" w:rsidRDefault="00531C5A">
            <w:pPr>
              <w:spacing w:after="0"/>
              <w:rPr>
                <w:b/>
                <w:bCs/>
                <w:noProof/>
                <w:color w:val="000000"/>
                <w:sz w:val="20"/>
              </w:rPr>
            </w:pPr>
            <w:r>
              <w:rPr>
                <w:b/>
                <w:bCs/>
                <w:noProof/>
                <w:sz w:val="20"/>
              </w:rPr>
              <w:t>Customs Union Package</w:t>
            </w:r>
          </w:p>
        </w:tc>
        <w:tc>
          <w:tcPr>
            <w:tcW w:w="10064" w:type="dxa"/>
            <w:tcBorders>
              <w:bottom w:val="single" w:sz="4" w:space="0" w:color="auto"/>
            </w:tcBorders>
            <w:tcMar>
              <w:top w:w="85" w:type="dxa"/>
              <w:bottom w:w="85" w:type="dxa"/>
            </w:tcMar>
          </w:tcPr>
          <w:p w:rsidR="00B40DA7" w:rsidRDefault="00531C5A">
            <w:pPr>
              <w:pStyle w:val="Default"/>
              <w:rPr>
                <w:noProof/>
                <w:sz w:val="20"/>
                <w:szCs w:val="20"/>
              </w:rPr>
            </w:pPr>
            <w:r>
              <w:rPr>
                <w:b/>
                <w:noProof/>
                <w:sz w:val="20"/>
                <w:szCs w:val="20"/>
              </w:rPr>
              <w:t>Action Plan on the Customs Union</w:t>
            </w:r>
            <w:r>
              <w:rPr>
                <w:noProof/>
                <w:sz w:val="20"/>
                <w:szCs w:val="20"/>
              </w:rPr>
              <w:t xml:space="preserve"> (non-legislative, Q2 2020); </w:t>
            </w:r>
          </w:p>
          <w:p w:rsidR="00B40DA7" w:rsidRDefault="00531C5A">
            <w:pPr>
              <w:pStyle w:val="Default"/>
              <w:rPr>
                <w:noProof/>
                <w:sz w:val="20"/>
                <w:szCs w:val="20"/>
              </w:rPr>
            </w:pPr>
            <w:r>
              <w:rPr>
                <w:b/>
                <w:noProof/>
                <w:sz w:val="20"/>
                <w:szCs w:val="20"/>
              </w:rPr>
              <w:t>Proposal on Customs Single Window</w:t>
            </w:r>
            <w:r>
              <w:rPr>
                <w:noProof/>
                <w:sz w:val="20"/>
                <w:szCs w:val="20"/>
              </w:rPr>
              <w:t xml:space="preserve"> (legislative, incl. impact assessment, Articles 33 and 114 TFEU, Q3 2020)</w:t>
            </w:r>
          </w:p>
        </w:tc>
      </w:tr>
      <w:tr w:rsidR="00B40DA7">
        <w:trPr>
          <w:cantSplit/>
        </w:trPr>
        <w:tc>
          <w:tcPr>
            <w:tcW w:w="14827" w:type="dxa"/>
            <w:gridSpan w:val="3"/>
            <w:tcBorders>
              <w:bottom w:val="single" w:sz="4" w:space="0" w:color="auto"/>
            </w:tcBorders>
            <w:shd w:val="clear" w:color="auto" w:fill="585EAA" w:themeFill="accent4"/>
          </w:tcPr>
          <w:p w:rsidR="00B40DA7" w:rsidRDefault="00531C5A">
            <w:pPr>
              <w:keepNext/>
              <w:spacing w:before="60" w:after="60"/>
              <w:rPr>
                <w:b/>
                <w:bCs/>
                <w:noProof/>
                <w:sz w:val="20"/>
              </w:rPr>
            </w:pPr>
            <w:r>
              <w:rPr>
                <w:b/>
                <w:bCs/>
                <w:noProof/>
                <w:color w:val="FFFFFF" w:themeColor="background1"/>
                <w:sz w:val="20"/>
              </w:rPr>
              <w:t>A Stronger Europe in the World</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rsidR="00B40DA7" w:rsidRDefault="00531C5A">
            <w:pPr>
              <w:spacing w:after="0"/>
              <w:rPr>
                <w:noProof/>
                <w:sz w:val="20"/>
              </w:rPr>
            </w:pPr>
            <w:r>
              <w:rPr>
                <w:b/>
                <w:bCs/>
                <w:noProof/>
                <w:sz w:val="20"/>
              </w:rPr>
              <w:t>International cooperation</w:t>
            </w:r>
          </w:p>
        </w:tc>
        <w:tc>
          <w:tcPr>
            <w:tcW w:w="10064" w:type="dxa"/>
            <w:tcBorders>
              <w:bottom w:val="single" w:sz="4" w:space="0" w:color="auto"/>
            </w:tcBorders>
            <w:tcMar>
              <w:top w:w="85" w:type="dxa"/>
              <w:bottom w:w="85" w:type="dxa"/>
            </w:tcMar>
          </w:tcPr>
          <w:p w:rsidR="00B40DA7" w:rsidRDefault="00531C5A">
            <w:pPr>
              <w:spacing w:after="0"/>
              <w:jc w:val="left"/>
              <w:rPr>
                <w:noProof/>
                <w:sz w:val="20"/>
              </w:rPr>
            </w:pPr>
            <w:r>
              <w:rPr>
                <w:b/>
                <w:noProof/>
                <w:sz w:val="20"/>
              </w:rPr>
              <w:t>Signature and conclusion of the Agreement between the EU and the countries of Africa, the Caribbean and the Pacific</w:t>
            </w:r>
            <w:r>
              <w:rPr>
                <w:noProof/>
                <w:sz w:val="20"/>
              </w:rPr>
              <w:t xml:space="preserve"> (legislative, Articles 217 and 218 TFEU, Q3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rsidR="00B40DA7" w:rsidRDefault="00531C5A">
            <w:pPr>
              <w:spacing w:after="0"/>
              <w:rPr>
                <w:noProof/>
                <w:color w:val="000000" w:themeColor="text1"/>
                <w:sz w:val="20"/>
              </w:rPr>
            </w:pPr>
            <w:r>
              <w:rPr>
                <w:b/>
                <w:bCs/>
                <w:noProof/>
                <w:sz w:val="20"/>
              </w:rPr>
              <w:t>Financial sovereignty</w:t>
            </w:r>
          </w:p>
        </w:tc>
        <w:tc>
          <w:tcPr>
            <w:tcW w:w="10064" w:type="dxa"/>
            <w:tcBorders>
              <w:bottom w:val="single" w:sz="4" w:space="0" w:color="auto"/>
            </w:tcBorders>
            <w:tcMar>
              <w:top w:w="85" w:type="dxa"/>
              <w:bottom w:w="85" w:type="dxa"/>
            </w:tcMar>
          </w:tcPr>
          <w:p w:rsidR="00B40DA7" w:rsidRDefault="00531C5A">
            <w:pPr>
              <w:spacing w:after="0"/>
              <w:jc w:val="left"/>
              <w:rPr>
                <w:noProof/>
                <w:sz w:val="20"/>
              </w:rPr>
            </w:pPr>
            <w:r>
              <w:rPr>
                <w:b/>
                <w:noProof/>
                <w:sz w:val="20"/>
              </w:rPr>
              <w:t xml:space="preserve">Strengthening Europe’s Economic and Financial Sovereignty </w:t>
            </w:r>
            <w:r>
              <w:rPr>
                <w:noProof/>
                <w:sz w:val="20"/>
              </w:rPr>
              <w:t>(non-legislative, Q3 2020)</w:t>
            </w:r>
          </w:p>
        </w:tc>
      </w:tr>
      <w:tr w:rsidR="00B40DA7">
        <w:trPr>
          <w:cantSplit/>
        </w:trPr>
        <w:tc>
          <w:tcPr>
            <w:tcW w:w="511" w:type="dxa"/>
            <w:tcBorders>
              <w:right w:val="single" w:sz="4" w:space="0" w:color="auto"/>
            </w:tcBorders>
          </w:tcPr>
          <w:p w:rsidR="00B40DA7" w:rsidRDefault="00B40DA7">
            <w:pPr>
              <w:pStyle w:val="ListParagraph"/>
              <w:numPr>
                <w:ilvl w:val="0"/>
                <w:numId w:val="18"/>
              </w:numPr>
              <w:spacing w:after="0"/>
              <w:ind w:left="426"/>
              <w:rPr>
                <w:noProof/>
                <w:sz w:val="20"/>
                <w:lang w:val="en-IE"/>
              </w:rPr>
            </w:pPr>
          </w:p>
        </w:tc>
        <w:tc>
          <w:tcPr>
            <w:tcW w:w="4252" w:type="dxa"/>
            <w:tcBorders>
              <w:left w:val="single" w:sz="4" w:space="0" w:color="auto"/>
            </w:tcBorders>
            <w:tcMar>
              <w:top w:w="85" w:type="dxa"/>
              <w:bottom w:w="85" w:type="dxa"/>
            </w:tcMar>
          </w:tcPr>
          <w:p w:rsidR="00B40DA7" w:rsidRDefault="00531C5A">
            <w:pPr>
              <w:spacing w:after="0"/>
              <w:rPr>
                <w:b/>
                <w:bCs/>
                <w:noProof/>
                <w:color w:val="000000"/>
                <w:sz w:val="20"/>
              </w:rPr>
            </w:pPr>
            <w:r>
              <w:rPr>
                <w:b/>
                <w:bCs/>
                <w:noProof/>
                <w:sz w:val="20"/>
              </w:rPr>
              <w:t>Africa Strategy</w:t>
            </w:r>
          </w:p>
        </w:tc>
        <w:tc>
          <w:tcPr>
            <w:tcW w:w="10064" w:type="dxa"/>
            <w:tcMar>
              <w:top w:w="85" w:type="dxa"/>
              <w:bottom w:w="85" w:type="dxa"/>
            </w:tcMar>
          </w:tcPr>
          <w:p w:rsidR="00B40DA7" w:rsidRDefault="00531C5A">
            <w:pPr>
              <w:spacing w:after="0"/>
              <w:jc w:val="left"/>
              <w:rPr>
                <w:noProof/>
                <w:sz w:val="20"/>
              </w:rPr>
            </w:pPr>
            <w:r>
              <w:rPr>
                <w:b/>
                <w:bCs/>
                <w:noProof/>
                <w:sz w:val="20"/>
              </w:rPr>
              <w:t>Towards a comprehensive Strategy with Africa</w:t>
            </w:r>
            <w:r>
              <w:rPr>
                <w:noProof/>
                <w:sz w:val="20"/>
              </w:rPr>
              <w:t xml:space="preserve"> (non-legislative, Q1 2020)</w:t>
            </w:r>
          </w:p>
        </w:tc>
      </w:tr>
      <w:tr w:rsidR="00B40DA7">
        <w:trPr>
          <w:cantSplit/>
        </w:trPr>
        <w:tc>
          <w:tcPr>
            <w:tcW w:w="511" w:type="dxa"/>
            <w:tcBorders>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rsidR="00B40DA7" w:rsidRDefault="00531C5A">
            <w:pPr>
              <w:spacing w:after="0"/>
              <w:rPr>
                <w:b/>
                <w:bCs/>
                <w:noProof/>
                <w:sz w:val="20"/>
              </w:rPr>
            </w:pPr>
            <w:r>
              <w:rPr>
                <w:b/>
                <w:bCs/>
                <w:noProof/>
                <w:sz w:val="20"/>
              </w:rPr>
              <w:t>Enlargement</w:t>
            </w:r>
          </w:p>
        </w:tc>
        <w:tc>
          <w:tcPr>
            <w:tcW w:w="10064" w:type="dxa"/>
            <w:tcMar>
              <w:top w:w="85" w:type="dxa"/>
              <w:bottom w:w="85" w:type="dxa"/>
            </w:tcMar>
          </w:tcPr>
          <w:p w:rsidR="00B40DA7" w:rsidRDefault="00531C5A">
            <w:pPr>
              <w:spacing w:after="0"/>
              <w:jc w:val="left"/>
              <w:rPr>
                <w:b/>
                <w:noProof/>
                <w:sz w:val="20"/>
              </w:rPr>
            </w:pPr>
            <w:r>
              <w:rPr>
                <w:b/>
                <w:noProof/>
                <w:sz w:val="20"/>
              </w:rPr>
              <w:t>Enhancing the accession process – A credible EU perspective for the Western Balkans</w:t>
            </w:r>
            <w:r>
              <w:rPr>
                <w:noProof/>
                <w:sz w:val="20"/>
              </w:rPr>
              <w:t xml:space="preserve"> (non-legislative, Q1 2020);</w:t>
            </w:r>
          </w:p>
          <w:p w:rsidR="00B40DA7" w:rsidRDefault="00531C5A">
            <w:pPr>
              <w:spacing w:after="0"/>
              <w:jc w:val="left"/>
              <w:rPr>
                <w:b/>
                <w:bCs/>
                <w:noProof/>
                <w:sz w:val="20"/>
              </w:rPr>
            </w:pPr>
            <w:r>
              <w:rPr>
                <w:b/>
                <w:noProof/>
                <w:sz w:val="20"/>
              </w:rPr>
              <w:t xml:space="preserve">Stepping up our engagement with the Western Balkans – The Commission’s contribution to the EU-Western Balkans Summit </w:t>
            </w:r>
            <w:r>
              <w:rPr>
                <w:noProof/>
                <w:sz w:val="20"/>
              </w:rPr>
              <w:t>(non-legislativ</w:t>
            </w:r>
            <w:r>
              <w:rPr>
                <w:noProof/>
                <w:sz w:val="20"/>
              </w:rPr>
              <w:t>e, Q2 2020)</w:t>
            </w:r>
          </w:p>
        </w:tc>
      </w:tr>
      <w:tr w:rsidR="00B40DA7">
        <w:trPr>
          <w:cantSplit/>
        </w:trPr>
        <w:tc>
          <w:tcPr>
            <w:tcW w:w="511" w:type="dxa"/>
            <w:tcBorders>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rsidR="00B40DA7" w:rsidRDefault="00531C5A">
            <w:pPr>
              <w:spacing w:after="0"/>
              <w:rPr>
                <w:b/>
                <w:bCs/>
                <w:noProof/>
                <w:sz w:val="20"/>
              </w:rPr>
            </w:pPr>
            <w:r>
              <w:rPr>
                <w:b/>
                <w:bCs/>
                <w:noProof/>
                <w:sz w:val="20"/>
              </w:rPr>
              <w:t xml:space="preserve">Eastern Partnership </w:t>
            </w:r>
          </w:p>
        </w:tc>
        <w:tc>
          <w:tcPr>
            <w:tcW w:w="10064" w:type="dxa"/>
            <w:tcMar>
              <w:top w:w="85" w:type="dxa"/>
              <w:bottom w:w="85" w:type="dxa"/>
            </w:tcMar>
          </w:tcPr>
          <w:p w:rsidR="00B40DA7" w:rsidRDefault="00531C5A">
            <w:pPr>
              <w:spacing w:after="0"/>
              <w:jc w:val="left"/>
              <w:rPr>
                <w:b/>
                <w:bCs/>
                <w:noProof/>
                <w:sz w:val="20"/>
              </w:rPr>
            </w:pPr>
            <w:r>
              <w:rPr>
                <w:b/>
                <w:bCs/>
                <w:noProof/>
                <w:sz w:val="20"/>
              </w:rPr>
              <w:t>Eastern Partnership post 2020</w:t>
            </w:r>
            <w:r>
              <w:rPr>
                <w:noProof/>
                <w:sz w:val="20"/>
              </w:rPr>
              <w:t xml:space="preserve"> (non-legislative, Q1 2020)</w:t>
            </w:r>
          </w:p>
        </w:tc>
      </w:tr>
      <w:tr w:rsidR="00B40DA7">
        <w:trPr>
          <w:cantSplit/>
        </w:trPr>
        <w:tc>
          <w:tcPr>
            <w:tcW w:w="511" w:type="dxa"/>
            <w:tcBorders>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rsidR="00B40DA7" w:rsidRDefault="00531C5A">
            <w:pPr>
              <w:spacing w:after="0"/>
              <w:rPr>
                <w:b/>
                <w:bCs/>
                <w:noProof/>
                <w:sz w:val="20"/>
              </w:rPr>
            </w:pPr>
            <w:r>
              <w:rPr>
                <w:b/>
                <w:bCs/>
                <w:noProof/>
                <w:sz w:val="20"/>
              </w:rPr>
              <w:t>Human Rights, Democracy and Gender Equality</w:t>
            </w:r>
          </w:p>
        </w:tc>
        <w:tc>
          <w:tcPr>
            <w:tcW w:w="10064" w:type="dxa"/>
            <w:tcMar>
              <w:top w:w="85" w:type="dxa"/>
              <w:bottom w:w="85" w:type="dxa"/>
            </w:tcMar>
          </w:tcPr>
          <w:p w:rsidR="00B40DA7" w:rsidRDefault="00531C5A">
            <w:pPr>
              <w:spacing w:after="0"/>
              <w:jc w:val="left"/>
              <w:rPr>
                <w:b/>
                <w:bCs/>
                <w:noProof/>
                <w:sz w:val="20"/>
              </w:rPr>
            </w:pPr>
            <w:r>
              <w:rPr>
                <w:b/>
                <w:bCs/>
                <w:noProof/>
                <w:sz w:val="20"/>
              </w:rPr>
              <w:t xml:space="preserve">Action Plan on Human Rights and Democracy (2020-2024) </w:t>
            </w:r>
            <w:r>
              <w:rPr>
                <w:noProof/>
                <w:sz w:val="20"/>
              </w:rPr>
              <w:t>(legislative and non-legislative,</w:t>
            </w:r>
            <w:r>
              <w:rPr>
                <w:b/>
                <w:bCs/>
                <w:noProof/>
                <w:sz w:val="20"/>
              </w:rPr>
              <w:t xml:space="preserve"> </w:t>
            </w:r>
            <w:r>
              <w:rPr>
                <w:noProof/>
                <w:sz w:val="20"/>
              </w:rPr>
              <w:t>Q1 2020);</w:t>
            </w:r>
            <w:r>
              <w:rPr>
                <w:b/>
                <w:bCs/>
                <w:noProof/>
                <w:sz w:val="20"/>
              </w:rPr>
              <w:br/>
              <w:t>EU Action Plan on Ge</w:t>
            </w:r>
            <w:r>
              <w:rPr>
                <w:b/>
                <w:bCs/>
                <w:noProof/>
                <w:sz w:val="20"/>
              </w:rPr>
              <w:t>nder Equality and Women Empowerment in External Relations for 2021-2025</w:t>
            </w:r>
            <w:r>
              <w:rPr>
                <w:noProof/>
                <w:sz w:val="20"/>
              </w:rPr>
              <w:t xml:space="preserve"> (non-legislative, Q4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rsidR="00B40DA7" w:rsidRDefault="00531C5A">
            <w:pPr>
              <w:spacing w:after="0"/>
              <w:rPr>
                <w:b/>
                <w:bCs/>
                <w:noProof/>
                <w:color w:val="000000"/>
                <w:sz w:val="20"/>
              </w:rPr>
            </w:pPr>
            <w:r>
              <w:rPr>
                <w:b/>
                <w:bCs/>
                <w:noProof/>
                <w:sz w:val="20"/>
              </w:rPr>
              <w:t>WTO reform</w:t>
            </w:r>
          </w:p>
        </w:tc>
        <w:tc>
          <w:tcPr>
            <w:tcW w:w="10064" w:type="dxa"/>
            <w:tcBorders>
              <w:bottom w:val="single" w:sz="4" w:space="0" w:color="auto"/>
            </w:tcBorders>
            <w:tcMar>
              <w:top w:w="85" w:type="dxa"/>
              <w:bottom w:w="85" w:type="dxa"/>
            </w:tcMar>
          </w:tcPr>
          <w:p w:rsidR="00B40DA7" w:rsidRDefault="00531C5A">
            <w:pPr>
              <w:spacing w:after="0"/>
              <w:jc w:val="left"/>
              <w:rPr>
                <w:noProof/>
                <w:sz w:val="20"/>
              </w:rPr>
            </w:pPr>
            <w:r>
              <w:rPr>
                <w:b/>
                <w:bCs/>
                <w:noProof/>
                <w:sz w:val="20"/>
              </w:rPr>
              <w:t>WTO reform initiative</w:t>
            </w:r>
            <w:r>
              <w:rPr>
                <w:noProof/>
                <w:sz w:val="20"/>
              </w:rPr>
              <w:t xml:space="preserve"> (non-legislative, Q4 2020)</w:t>
            </w:r>
          </w:p>
        </w:tc>
      </w:tr>
      <w:tr w:rsidR="00B40DA7">
        <w:trPr>
          <w:cantSplit/>
        </w:trPr>
        <w:tc>
          <w:tcPr>
            <w:tcW w:w="14827" w:type="dxa"/>
            <w:gridSpan w:val="3"/>
            <w:tcBorders>
              <w:bottom w:val="single" w:sz="4" w:space="0" w:color="auto"/>
            </w:tcBorders>
            <w:shd w:val="clear" w:color="auto" w:fill="DA5C57" w:themeFill="accent6"/>
          </w:tcPr>
          <w:p w:rsidR="00B40DA7" w:rsidRDefault="00531C5A">
            <w:pPr>
              <w:keepNext/>
              <w:spacing w:before="60" w:after="60"/>
              <w:rPr>
                <w:b/>
                <w:bCs/>
                <w:noProof/>
                <w:sz w:val="20"/>
              </w:rPr>
            </w:pPr>
            <w:r>
              <w:rPr>
                <w:b/>
                <w:bCs/>
                <w:noProof/>
                <w:color w:val="FFFFFF" w:themeColor="background1"/>
                <w:sz w:val="20"/>
              </w:rPr>
              <w:t>Promoting our European Way of Life</w:t>
            </w:r>
          </w:p>
        </w:tc>
      </w:tr>
      <w:tr w:rsidR="00B40DA7">
        <w:trPr>
          <w:cantSplit/>
        </w:trPr>
        <w:tc>
          <w:tcPr>
            <w:tcW w:w="511" w:type="dxa"/>
            <w:tcBorders>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rsidR="00B40DA7" w:rsidRDefault="00531C5A">
            <w:pPr>
              <w:spacing w:after="0"/>
              <w:rPr>
                <w:b/>
                <w:bCs/>
                <w:noProof/>
                <w:color w:val="000000"/>
                <w:sz w:val="20"/>
              </w:rPr>
            </w:pPr>
            <w:r>
              <w:rPr>
                <w:b/>
                <w:bCs/>
                <w:noProof/>
                <w:sz w:val="20"/>
              </w:rPr>
              <w:t>Fostering skills, education and inclusion</w:t>
            </w:r>
          </w:p>
        </w:tc>
        <w:tc>
          <w:tcPr>
            <w:tcW w:w="10064" w:type="dxa"/>
            <w:tcMar>
              <w:top w:w="85" w:type="dxa"/>
              <w:bottom w:w="85" w:type="dxa"/>
            </w:tcMar>
          </w:tcPr>
          <w:p w:rsidR="00B40DA7" w:rsidRDefault="00531C5A">
            <w:pPr>
              <w:spacing w:after="0"/>
              <w:jc w:val="left"/>
              <w:rPr>
                <w:noProof/>
                <w:sz w:val="20"/>
              </w:rPr>
            </w:pPr>
            <w:r>
              <w:rPr>
                <w:b/>
                <w:bCs/>
                <w:noProof/>
                <w:sz w:val="20"/>
              </w:rPr>
              <w:t xml:space="preserve">Updated Skills </w:t>
            </w:r>
            <w:r>
              <w:rPr>
                <w:b/>
                <w:bCs/>
                <w:noProof/>
                <w:sz w:val="20"/>
              </w:rPr>
              <w:t>Agenda for Europe</w:t>
            </w:r>
            <w:r>
              <w:rPr>
                <w:noProof/>
                <w:sz w:val="20"/>
              </w:rPr>
              <w:t xml:space="preserve"> (non-legislative, Q1 2020);</w:t>
            </w:r>
            <w:r>
              <w:rPr>
                <w:noProof/>
                <w:sz w:val="20"/>
              </w:rPr>
              <w:br/>
            </w:r>
            <w:r>
              <w:rPr>
                <w:b/>
                <w:bCs/>
                <w:noProof/>
                <w:sz w:val="20"/>
              </w:rPr>
              <w:t>Achieving the European Education Area</w:t>
            </w:r>
            <w:r>
              <w:rPr>
                <w:noProof/>
                <w:sz w:val="20"/>
              </w:rPr>
              <w:t xml:space="preserve"> (non-legislative, Q3 2020); </w:t>
            </w:r>
          </w:p>
          <w:p w:rsidR="00B40DA7" w:rsidRDefault="00531C5A">
            <w:pPr>
              <w:spacing w:after="0"/>
              <w:jc w:val="left"/>
              <w:rPr>
                <w:noProof/>
                <w:sz w:val="20"/>
              </w:rPr>
            </w:pPr>
            <w:r>
              <w:rPr>
                <w:b/>
                <w:bCs/>
                <w:noProof/>
                <w:sz w:val="20"/>
              </w:rPr>
              <w:t>Action Plan on Integration and Inclusion</w:t>
            </w:r>
            <w:r>
              <w:rPr>
                <w:noProof/>
                <w:sz w:val="20"/>
              </w:rPr>
              <w:t xml:space="preserve"> (non-legislative, Q4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rsidR="00B40DA7" w:rsidRDefault="00531C5A">
            <w:pPr>
              <w:spacing w:after="0"/>
              <w:rPr>
                <w:b/>
                <w:bCs/>
                <w:noProof/>
                <w:color w:val="000000"/>
                <w:sz w:val="20"/>
              </w:rPr>
            </w:pPr>
            <w:r>
              <w:rPr>
                <w:b/>
                <w:bCs/>
                <w:noProof/>
                <w:sz w:val="20"/>
              </w:rPr>
              <w:t>A New Pact on Migration and Asylum</w:t>
            </w:r>
          </w:p>
        </w:tc>
        <w:tc>
          <w:tcPr>
            <w:tcW w:w="10064" w:type="dxa"/>
            <w:tcBorders>
              <w:bottom w:val="single" w:sz="4" w:space="0" w:color="auto"/>
            </w:tcBorders>
            <w:tcMar>
              <w:top w:w="85" w:type="dxa"/>
              <w:bottom w:w="85" w:type="dxa"/>
            </w:tcMar>
          </w:tcPr>
          <w:p w:rsidR="00B40DA7" w:rsidRDefault="00531C5A">
            <w:pPr>
              <w:spacing w:after="0"/>
              <w:jc w:val="left"/>
              <w:rPr>
                <w:noProof/>
                <w:sz w:val="20"/>
              </w:rPr>
            </w:pPr>
            <w:r>
              <w:rPr>
                <w:b/>
                <w:bCs/>
                <w:noProof/>
                <w:sz w:val="20"/>
              </w:rPr>
              <w:t>A New Pact on Migration and Asylum and</w:t>
            </w:r>
            <w:r>
              <w:rPr>
                <w:b/>
                <w:bCs/>
                <w:noProof/>
                <w:sz w:val="20"/>
              </w:rPr>
              <w:t xml:space="preserve"> accompanying legal proposals</w:t>
            </w:r>
            <w:r>
              <w:rPr>
                <w:noProof/>
                <w:sz w:val="20"/>
              </w:rPr>
              <w:t xml:space="preserve"> (non-legislative and legislative, Articles 78 and 79 TFEU, Q1 2020)</w:t>
            </w:r>
            <w:r>
              <w:rPr>
                <w:b/>
                <w:bCs/>
                <w:noProof/>
                <w:sz w:val="20"/>
              </w:rPr>
              <w:br/>
            </w:r>
          </w:p>
        </w:tc>
      </w:tr>
      <w:tr w:rsidR="00B40DA7">
        <w:trPr>
          <w:cantSplit/>
        </w:trPr>
        <w:tc>
          <w:tcPr>
            <w:tcW w:w="511" w:type="dxa"/>
            <w:tcBorders>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rsidR="00B40DA7" w:rsidRDefault="00531C5A">
            <w:pPr>
              <w:spacing w:after="0"/>
              <w:rPr>
                <w:noProof/>
                <w:sz w:val="20"/>
              </w:rPr>
            </w:pPr>
            <w:r>
              <w:rPr>
                <w:b/>
                <w:bCs/>
                <w:noProof/>
                <w:sz w:val="20"/>
              </w:rPr>
              <w:t>Fostering Europe’s security</w:t>
            </w:r>
          </w:p>
        </w:tc>
        <w:tc>
          <w:tcPr>
            <w:tcW w:w="10064" w:type="dxa"/>
            <w:tcMar>
              <w:top w:w="85" w:type="dxa"/>
              <w:bottom w:w="85" w:type="dxa"/>
            </w:tcMar>
          </w:tcPr>
          <w:p w:rsidR="00B40DA7" w:rsidRDefault="00531C5A">
            <w:pPr>
              <w:spacing w:after="0"/>
              <w:jc w:val="left"/>
              <w:rPr>
                <w:noProof/>
                <w:sz w:val="20"/>
              </w:rPr>
            </w:pPr>
            <w:r>
              <w:rPr>
                <w:b/>
                <w:bCs/>
                <w:noProof/>
                <w:sz w:val="20"/>
              </w:rPr>
              <w:t>A new Security Union Strategy</w:t>
            </w:r>
            <w:r>
              <w:rPr>
                <w:noProof/>
                <w:sz w:val="20"/>
              </w:rPr>
              <w:t xml:space="preserve"> (non-legislative, Q2 2020); </w:t>
            </w:r>
          </w:p>
          <w:p w:rsidR="00B40DA7" w:rsidRDefault="00531C5A">
            <w:pPr>
              <w:spacing w:after="0"/>
              <w:jc w:val="left"/>
              <w:rPr>
                <w:noProof/>
                <w:sz w:val="20"/>
              </w:rPr>
            </w:pPr>
            <w:r>
              <w:rPr>
                <w:b/>
                <w:bCs/>
                <w:noProof/>
                <w:sz w:val="20"/>
              </w:rPr>
              <w:t>Strengthening of Europol’s mandate</w:t>
            </w:r>
            <w:r>
              <w:rPr>
                <w:noProof/>
                <w:sz w:val="20"/>
              </w:rPr>
              <w:t xml:space="preserve"> (legislative, incl. impact assessment, Article 88 TFEU, Q4 2020); </w:t>
            </w:r>
            <w:r>
              <w:rPr>
                <w:noProof/>
                <w:sz w:val="20"/>
              </w:rPr>
              <w:br/>
            </w:r>
            <w:r>
              <w:rPr>
                <w:b/>
                <w:bCs/>
                <w:noProof/>
                <w:sz w:val="20"/>
              </w:rPr>
              <w:t>Proposal for additional measures on Critical Infrastructure Protection</w:t>
            </w:r>
            <w:r>
              <w:rPr>
                <w:noProof/>
                <w:sz w:val="20"/>
              </w:rPr>
              <w:t xml:space="preserve"> (legislative, incl. impact assessment, Q4 2020);</w:t>
            </w:r>
          </w:p>
          <w:p w:rsidR="00B40DA7" w:rsidRDefault="00531C5A">
            <w:pPr>
              <w:spacing w:after="0"/>
              <w:jc w:val="left"/>
              <w:rPr>
                <w:noProof/>
                <w:sz w:val="20"/>
              </w:rPr>
            </w:pPr>
            <w:r>
              <w:rPr>
                <w:b/>
                <w:bCs/>
                <w:noProof/>
                <w:sz w:val="20"/>
              </w:rPr>
              <w:t>A New EU Strategy towards the Eradication of Trafficking in Human Be</w:t>
            </w:r>
            <w:r>
              <w:rPr>
                <w:b/>
                <w:bCs/>
                <w:noProof/>
                <w:sz w:val="20"/>
              </w:rPr>
              <w:t>ings</w:t>
            </w:r>
            <w:r>
              <w:rPr>
                <w:noProof/>
                <w:sz w:val="20"/>
              </w:rPr>
              <w:t xml:space="preserve"> (non-legislative, Q4 2020);</w:t>
            </w:r>
          </w:p>
          <w:p w:rsidR="00B40DA7" w:rsidRDefault="00531C5A">
            <w:pPr>
              <w:spacing w:after="0"/>
              <w:jc w:val="left"/>
              <w:rPr>
                <w:noProof/>
                <w:sz w:val="20"/>
              </w:rPr>
            </w:pPr>
            <w:r>
              <w:rPr>
                <w:b/>
                <w:bCs/>
                <w:noProof/>
                <w:sz w:val="20"/>
              </w:rPr>
              <w:t>EU Strategy for a more effective fight against child sexual abuse</w:t>
            </w:r>
            <w:r>
              <w:rPr>
                <w:noProof/>
                <w:sz w:val="20"/>
              </w:rPr>
              <w:t xml:space="preserve"> (non-legislative, Q2 2020)</w:t>
            </w:r>
            <w:r>
              <w:rPr>
                <w:noProof/>
                <w:color w:val="000000" w:themeColor="text1"/>
                <w:sz w:val="20"/>
              </w:rPr>
              <w:t xml:space="preserve"> </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rsidR="00B40DA7" w:rsidRDefault="00531C5A">
            <w:pPr>
              <w:spacing w:after="0"/>
              <w:rPr>
                <w:noProof/>
                <w:sz w:val="20"/>
              </w:rPr>
            </w:pPr>
            <w:r>
              <w:rPr>
                <w:b/>
                <w:bCs/>
                <w:noProof/>
                <w:sz w:val="20"/>
              </w:rPr>
              <w:t>Protecting health</w:t>
            </w:r>
          </w:p>
        </w:tc>
        <w:tc>
          <w:tcPr>
            <w:tcW w:w="10064" w:type="dxa"/>
            <w:tcBorders>
              <w:bottom w:val="single" w:sz="4" w:space="0" w:color="auto"/>
            </w:tcBorders>
            <w:tcMar>
              <w:top w:w="85" w:type="dxa"/>
              <w:bottom w:w="85" w:type="dxa"/>
            </w:tcMar>
          </w:tcPr>
          <w:p w:rsidR="00B40DA7" w:rsidRDefault="00531C5A">
            <w:pPr>
              <w:spacing w:after="0"/>
              <w:jc w:val="left"/>
              <w:rPr>
                <w:noProof/>
                <w:sz w:val="20"/>
              </w:rPr>
            </w:pPr>
            <w:r>
              <w:rPr>
                <w:b/>
                <w:bCs/>
                <w:noProof/>
                <w:sz w:val="20"/>
              </w:rPr>
              <w:t>Europe’s Beating Cancer Plan</w:t>
            </w:r>
            <w:r>
              <w:rPr>
                <w:noProof/>
                <w:sz w:val="20"/>
              </w:rPr>
              <w:t xml:space="preserve"> (non-legislative, Q4 2020);</w:t>
            </w:r>
            <w:r>
              <w:rPr>
                <w:noProof/>
                <w:sz w:val="20"/>
              </w:rPr>
              <w:br/>
            </w:r>
            <w:r>
              <w:rPr>
                <w:b/>
                <w:bCs/>
                <w:noProof/>
                <w:sz w:val="20"/>
              </w:rPr>
              <w:t>A Pharmaceutical Strategy for Europe</w:t>
            </w:r>
            <w:r>
              <w:rPr>
                <w:noProof/>
                <w:sz w:val="20"/>
              </w:rPr>
              <w:t xml:space="preserve"> (non-legislative, Q4 2020)</w:t>
            </w:r>
          </w:p>
        </w:tc>
      </w:tr>
      <w:tr w:rsidR="00B40DA7">
        <w:trPr>
          <w:cantSplit/>
        </w:trPr>
        <w:tc>
          <w:tcPr>
            <w:tcW w:w="14827" w:type="dxa"/>
            <w:gridSpan w:val="3"/>
            <w:tcBorders>
              <w:bottom w:val="single" w:sz="4" w:space="0" w:color="auto"/>
            </w:tcBorders>
            <w:shd w:val="clear" w:color="auto" w:fill="00ADDC" w:themeFill="accent5"/>
          </w:tcPr>
          <w:p w:rsidR="00B40DA7" w:rsidRDefault="00531C5A">
            <w:pPr>
              <w:keepNext/>
              <w:spacing w:before="60" w:after="60"/>
              <w:rPr>
                <w:b/>
                <w:bCs/>
                <w:noProof/>
                <w:sz w:val="20"/>
              </w:rPr>
            </w:pPr>
            <w:r>
              <w:rPr>
                <w:b/>
                <w:bCs/>
                <w:noProof/>
                <w:color w:val="FFFFFF" w:themeColor="background1"/>
                <w:sz w:val="20"/>
              </w:rPr>
              <w:t>A New Push for European Democracy</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rsidR="00B40DA7" w:rsidRDefault="00531C5A">
            <w:pPr>
              <w:spacing w:after="0"/>
              <w:rPr>
                <w:noProof/>
                <w:sz w:val="20"/>
              </w:rPr>
            </w:pPr>
            <w:r>
              <w:rPr>
                <w:b/>
                <w:bCs/>
                <w:noProof/>
                <w:sz w:val="20"/>
              </w:rPr>
              <w:t>Consumer agenda</w:t>
            </w:r>
          </w:p>
        </w:tc>
        <w:tc>
          <w:tcPr>
            <w:tcW w:w="10064" w:type="dxa"/>
            <w:tcBorders>
              <w:bottom w:val="single" w:sz="4" w:space="0" w:color="auto"/>
            </w:tcBorders>
            <w:tcMar>
              <w:top w:w="85" w:type="dxa"/>
              <w:bottom w:w="85" w:type="dxa"/>
            </w:tcMar>
          </w:tcPr>
          <w:p w:rsidR="00B40DA7" w:rsidRDefault="00531C5A">
            <w:pPr>
              <w:spacing w:after="0"/>
              <w:rPr>
                <w:noProof/>
                <w:sz w:val="20"/>
              </w:rPr>
            </w:pPr>
            <w:r>
              <w:rPr>
                <w:b/>
                <w:noProof/>
                <w:sz w:val="20"/>
              </w:rPr>
              <w:t>A new Consumer Agenda</w:t>
            </w:r>
            <w:r>
              <w:rPr>
                <w:noProof/>
                <w:sz w:val="20"/>
              </w:rPr>
              <w:t xml:space="preserve"> (non-legislative, Q4 2020)</w:t>
            </w:r>
          </w:p>
        </w:tc>
      </w:tr>
      <w:tr w:rsidR="00B40DA7">
        <w:trPr>
          <w:cantSplit/>
        </w:trPr>
        <w:tc>
          <w:tcPr>
            <w:tcW w:w="511" w:type="dxa"/>
            <w:tcBorders>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rsidR="00B40DA7" w:rsidRDefault="00531C5A">
            <w:pPr>
              <w:spacing w:after="0"/>
              <w:rPr>
                <w:noProof/>
                <w:sz w:val="20"/>
              </w:rPr>
            </w:pPr>
            <w:r>
              <w:rPr>
                <w:b/>
                <w:bCs/>
                <w:noProof/>
                <w:sz w:val="20"/>
              </w:rPr>
              <w:t>Addressing the impact of demographic change</w:t>
            </w:r>
          </w:p>
        </w:tc>
        <w:tc>
          <w:tcPr>
            <w:tcW w:w="10064" w:type="dxa"/>
            <w:tcMar>
              <w:top w:w="85" w:type="dxa"/>
              <w:bottom w:w="85" w:type="dxa"/>
            </w:tcMar>
          </w:tcPr>
          <w:p w:rsidR="00B40DA7" w:rsidRDefault="00531C5A">
            <w:pPr>
              <w:spacing w:after="0"/>
              <w:jc w:val="left"/>
              <w:rPr>
                <w:b/>
                <w:bCs/>
                <w:noProof/>
                <w:sz w:val="20"/>
              </w:rPr>
            </w:pPr>
            <w:r>
              <w:rPr>
                <w:b/>
                <w:bCs/>
                <w:noProof/>
                <w:sz w:val="20"/>
              </w:rPr>
              <w:t>Report</w:t>
            </w:r>
            <w:r>
              <w:rPr>
                <w:b/>
                <w:noProof/>
                <w:sz w:val="20"/>
              </w:rPr>
              <w:t xml:space="preserve"> on the Impact of Demographic Change </w:t>
            </w:r>
            <w:r>
              <w:rPr>
                <w:noProof/>
                <w:sz w:val="20"/>
              </w:rPr>
              <w:t>(non-legislative, Q1 2020);</w:t>
            </w:r>
            <w:r>
              <w:rPr>
                <w:b/>
                <w:bCs/>
                <w:noProof/>
                <w:sz w:val="20"/>
              </w:rPr>
              <w:br/>
              <w:t xml:space="preserve">Green </w:t>
            </w:r>
            <w:r>
              <w:rPr>
                <w:b/>
                <w:bCs/>
                <w:noProof/>
                <w:sz w:val="20"/>
              </w:rPr>
              <w:t>Paper on Ageing</w:t>
            </w:r>
            <w:r>
              <w:rPr>
                <w:noProof/>
                <w:sz w:val="20"/>
              </w:rPr>
              <w:t xml:space="preserve"> (non-legislative, Q4 2020) </w:t>
            </w:r>
          </w:p>
        </w:tc>
      </w:tr>
      <w:tr w:rsidR="00B40DA7">
        <w:trPr>
          <w:cantSplit/>
        </w:trPr>
        <w:tc>
          <w:tcPr>
            <w:tcW w:w="511" w:type="dxa"/>
            <w:tcBorders>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rsidR="00B40DA7" w:rsidRDefault="00531C5A">
            <w:pPr>
              <w:spacing w:after="0"/>
              <w:jc w:val="left"/>
              <w:rPr>
                <w:noProof/>
                <w:sz w:val="20"/>
              </w:rPr>
            </w:pPr>
            <w:r>
              <w:rPr>
                <w:b/>
                <w:bCs/>
                <w:noProof/>
                <w:sz w:val="20"/>
              </w:rPr>
              <w:t>Equality and non-discrimination initiatives</w:t>
            </w:r>
          </w:p>
        </w:tc>
        <w:tc>
          <w:tcPr>
            <w:tcW w:w="10064" w:type="dxa"/>
            <w:tcMar>
              <w:top w:w="85" w:type="dxa"/>
              <w:bottom w:w="85" w:type="dxa"/>
            </w:tcMar>
          </w:tcPr>
          <w:p w:rsidR="00B40DA7" w:rsidRDefault="00531C5A">
            <w:pPr>
              <w:spacing w:after="0"/>
              <w:jc w:val="left"/>
              <w:rPr>
                <w:noProof/>
                <w:sz w:val="20"/>
              </w:rPr>
            </w:pPr>
            <w:r>
              <w:rPr>
                <w:b/>
                <w:bCs/>
                <w:noProof/>
                <w:sz w:val="20"/>
              </w:rPr>
              <w:t>European Gender Equality Strategy</w:t>
            </w:r>
            <w:r>
              <w:rPr>
                <w:noProof/>
                <w:sz w:val="20"/>
              </w:rPr>
              <w:t xml:space="preserve"> (non-legislative, Q1 2020)</w:t>
            </w:r>
            <w:r>
              <w:rPr>
                <w:b/>
                <w:bCs/>
                <w:noProof/>
                <w:sz w:val="20"/>
              </w:rPr>
              <w:t>, followed by binding pay transparency measures</w:t>
            </w:r>
            <w:r>
              <w:rPr>
                <w:noProof/>
                <w:sz w:val="20"/>
              </w:rPr>
              <w:t xml:space="preserve"> (legislative, incl. impact assessment, Article 157 TFEU, Q4 2020);</w:t>
            </w:r>
            <w:r>
              <w:rPr>
                <w:noProof/>
                <w:sz w:val="20"/>
              </w:rPr>
              <w:br/>
            </w:r>
            <w:r>
              <w:rPr>
                <w:b/>
                <w:bCs/>
                <w:noProof/>
                <w:sz w:val="20"/>
              </w:rPr>
              <w:t>LGBTI Equality Strategy</w:t>
            </w:r>
            <w:r>
              <w:rPr>
                <w:noProof/>
                <w:sz w:val="20"/>
              </w:rPr>
              <w:t xml:space="preserve"> (non-legislative, Q4 2020);</w:t>
            </w:r>
            <w:r>
              <w:rPr>
                <w:noProof/>
                <w:sz w:val="20"/>
              </w:rPr>
              <w:br/>
            </w:r>
            <w:r>
              <w:rPr>
                <w:b/>
                <w:bCs/>
                <w:noProof/>
                <w:sz w:val="20"/>
              </w:rPr>
              <w:t>Post 2020 EU Framework on Roma Equality and Inclusion Strategies</w:t>
            </w:r>
            <w:r>
              <w:rPr>
                <w:noProof/>
                <w:sz w:val="20"/>
              </w:rPr>
              <w:t xml:space="preserve"> (non-legislative, Q4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rPr>
                <w:b/>
                <w:bCs/>
                <w:noProof/>
                <w:sz w:val="20"/>
              </w:rPr>
            </w:pPr>
            <w:r>
              <w:rPr>
                <w:b/>
                <w:bCs/>
                <w:noProof/>
                <w:sz w:val="20"/>
              </w:rPr>
              <w:t>Democracy</w:t>
            </w:r>
          </w:p>
        </w:tc>
        <w:tc>
          <w:tcPr>
            <w:tcW w:w="10064" w:type="dxa"/>
            <w:tcBorders>
              <w:left w:val="single" w:sz="4" w:space="0" w:color="auto"/>
              <w:bottom w:val="single" w:sz="4" w:space="0" w:color="auto"/>
              <w:right w:val="single" w:sz="4" w:space="0" w:color="auto"/>
            </w:tcBorders>
            <w:tcMar>
              <w:top w:w="85" w:type="dxa"/>
              <w:bottom w:w="85" w:type="dxa"/>
            </w:tcMar>
          </w:tcPr>
          <w:p w:rsidR="00B40DA7" w:rsidRDefault="00531C5A">
            <w:pPr>
              <w:spacing w:after="0"/>
              <w:rPr>
                <w:noProof/>
                <w:sz w:val="20"/>
              </w:rPr>
            </w:pPr>
            <w:r>
              <w:rPr>
                <w:b/>
                <w:bCs/>
                <w:noProof/>
                <w:sz w:val="20"/>
              </w:rPr>
              <w:t>European Democracy Action Plan</w:t>
            </w:r>
            <w:r>
              <w:rPr>
                <w:noProof/>
                <w:sz w:val="20"/>
              </w:rPr>
              <w:t xml:space="preserve"> (</w:t>
            </w:r>
            <w:r>
              <w:rPr>
                <w:noProof/>
                <w:sz w:val="20"/>
              </w:rPr>
              <w:t>non-legislative and legislative, incl. impact assessment, Articles 224 and 114 TFEU, Q4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rsidR="00B40DA7" w:rsidRDefault="00531C5A">
            <w:pPr>
              <w:spacing w:after="0"/>
              <w:rPr>
                <w:noProof/>
                <w:sz w:val="20"/>
              </w:rPr>
            </w:pPr>
            <w:r>
              <w:rPr>
                <w:b/>
                <w:bCs/>
                <w:noProof/>
                <w:sz w:val="20"/>
              </w:rPr>
              <w:t>Future of Europe</w:t>
            </w:r>
          </w:p>
        </w:tc>
        <w:tc>
          <w:tcPr>
            <w:tcW w:w="10064" w:type="dxa"/>
            <w:tcBorders>
              <w:bottom w:val="single" w:sz="4" w:space="0" w:color="auto"/>
            </w:tcBorders>
            <w:tcMar>
              <w:top w:w="85" w:type="dxa"/>
              <w:bottom w:w="85" w:type="dxa"/>
            </w:tcMar>
          </w:tcPr>
          <w:p w:rsidR="00B40DA7" w:rsidRDefault="00531C5A">
            <w:pPr>
              <w:spacing w:after="0"/>
              <w:rPr>
                <w:noProof/>
                <w:sz w:val="20"/>
              </w:rPr>
            </w:pPr>
            <w:r>
              <w:rPr>
                <w:b/>
                <w:noProof/>
                <w:sz w:val="20"/>
              </w:rPr>
              <w:t xml:space="preserve">Shaping the Conference on the Future of Europe </w:t>
            </w:r>
            <w:r>
              <w:rPr>
                <w:noProof/>
                <w:sz w:val="20"/>
              </w:rPr>
              <w:t>(non-legislative, Q1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rsidR="00B40DA7" w:rsidRDefault="00531C5A">
            <w:pPr>
              <w:spacing w:after="0"/>
              <w:rPr>
                <w:noProof/>
                <w:sz w:val="20"/>
              </w:rPr>
            </w:pPr>
            <w:r>
              <w:rPr>
                <w:b/>
                <w:bCs/>
                <w:noProof/>
                <w:sz w:val="20"/>
              </w:rPr>
              <w:t>Rule of Law</w:t>
            </w:r>
          </w:p>
        </w:tc>
        <w:tc>
          <w:tcPr>
            <w:tcW w:w="10064" w:type="dxa"/>
            <w:tcBorders>
              <w:bottom w:val="single" w:sz="4" w:space="0" w:color="auto"/>
            </w:tcBorders>
            <w:tcMar>
              <w:top w:w="85" w:type="dxa"/>
              <w:bottom w:w="85" w:type="dxa"/>
            </w:tcMar>
          </w:tcPr>
          <w:p w:rsidR="00B40DA7" w:rsidRDefault="00531C5A">
            <w:pPr>
              <w:spacing w:after="0"/>
              <w:rPr>
                <w:noProof/>
                <w:sz w:val="20"/>
              </w:rPr>
            </w:pPr>
            <w:r>
              <w:rPr>
                <w:b/>
                <w:bCs/>
                <w:noProof/>
                <w:sz w:val="20"/>
              </w:rPr>
              <w:t>2020 Annual Rule of Law Report</w:t>
            </w:r>
            <w:r>
              <w:rPr>
                <w:noProof/>
                <w:sz w:val="20"/>
              </w:rPr>
              <w:t xml:space="preserve"> (non-legislative, Q3 2020)</w:t>
            </w:r>
          </w:p>
        </w:tc>
      </w:tr>
      <w:tr w:rsidR="00B40DA7">
        <w:trPr>
          <w:cantSplit/>
        </w:trPr>
        <w:tc>
          <w:tcPr>
            <w:tcW w:w="511" w:type="dxa"/>
            <w:tcBorders>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tcBorders>
            <w:tcMar>
              <w:top w:w="85" w:type="dxa"/>
              <w:bottom w:w="85" w:type="dxa"/>
            </w:tcMar>
          </w:tcPr>
          <w:p w:rsidR="00B40DA7" w:rsidRDefault="00531C5A">
            <w:pPr>
              <w:spacing w:after="0"/>
              <w:rPr>
                <w:b/>
                <w:bCs/>
                <w:noProof/>
                <w:color w:val="000000"/>
                <w:sz w:val="20"/>
              </w:rPr>
            </w:pPr>
            <w:r>
              <w:rPr>
                <w:b/>
                <w:bCs/>
                <w:noProof/>
                <w:sz w:val="20"/>
              </w:rPr>
              <w:t>Fundamental rights</w:t>
            </w:r>
          </w:p>
        </w:tc>
        <w:tc>
          <w:tcPr>
            <w:tcW w:w="10064" w:type="dxa"/>
            <w:tcMar>
              <w:top w:w="85" w:type="dxa"/>
              <w:bottom w:w="85" w:type="dxa"/>
            </w:tcMar>
          </w:tcPr>
          <w:p w:rsidR="00B40DA7" w:rsidRDefault="00531C5A">
            <w:pPr>
              <w:spacing w:after="0"/>
              <w:jc w:val="left"/>
              <w:rPr>
                <w:noProof/>
                <w:sz w:val="20"/>
              </w:rPr>
            </w:pPr>
            <w:r>
              <w:rPr>
                <w:b/>
                <w:bCs/>
                <w:noProof/>
                <w:sz w:val="20"/>
              </w:rPr>
              <w:t>New Strategy for the Implementation of the Charter of Fundamental Rights</w:t>
            </w:r>
            <w:r>
              <w:rPr>
                <w:noProof/>
                <w:sz w:val="20"/>
              </w:rPr>
              <w:t xml:space="preserve"> (non-legislative, Q4 2020);</w:t>
            </w:r>
            <w:r>
              <w:rPr>
                <w:noProof/>
                <w:sz w:val="20"/>
              </w:rPr>
              <w:br/>
            </w:r>
            <w:r>
              <w:rPr>
                <w:b/>
                <w:bCs/>
                <w:noProof/>
                <w:sz w:val="20"/>
              </w:rPr>
              <w:t>EU Strategy for Victims’ Rights</w:t>
            </w:r>
            <w:r>
              <w:rPr>
                <w:noProof/>
                <w:sz w:val="20"/>
              </w:rPr>
              <w:t xml:space="preserve"> (non-legislative, Q2 2020); </w:t>
            </w:r>
          </w:p>
          <w:p w:rsidR="00B40DA7" w:rsidRDefault="00531C5A">
            <w:pPr>
              <w:spacing w:after="0"/>
              <w:jc w:val="left"/>
              <w:rPr>
                <w:noProof/>
                <w:sz w:val="20"/>
              </w:rPr>
            </w:pPr>
            <w:r>
              <w:rPr>
                <w:b/>
                <w:bCs/>
                <w:noProof/>
                <w:sz w:val="20"/>
              </w:rPr>
              <w:t>Report on the application of the General Data</w:t>
            </w:r>
            <w:r>
              <w:rPr>
                <w:b/>
                <w:bCs/>
                <w:noProof/>
                <w:sz w:val="20"/>
              </w:rPr>
              <w:t xml:space="preserve"> Protection Regulation (GDPR)</w:t>
            </w:r>
            <w:r>
              <w:rPr>
                <w:noProof/>
                <w:sz w:val="20"/>
              </w:rPr>
              <w:t xml:space="preserve"> (non-legislative, Q2 2020);</w:t>
            </w:r>
            <w:r>
              <w:rPr>
                <w:noProof/>
                <w:sz w:val="20"/>
              </w:rPr>
              <w:br/>
            </w:r>
            <w:r>
              <w:rPr>
                <w:b/>
                <w:bCs/>
                <w:noProof/>
                <w:sz w:val="20"/>
              </w:rPr>
              <w:t>Alignment of relevant Union law enforcement rules with regard to data protection</w:t>
            </w:r>
            <w:r>
              <w:rPr>
                <w:noProof/>
                <w:sz w:val="20"/>
              </w:rPr>
              <w:t xml:space="preserve"> (non-legislative, Q2 2020)</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tcPr>
          <w:p w:rsidR="00B40DA7" w:rsidRDefault="00531C5A">
            <w:pPr>
              <w:spacing w:after="0"/>
              <w:rPr>
                <w:noProof/>
                <w:sz w:val="20"/>
              </w:rPr>
            </w:pPr>
            <w:r>
              <w:rPr>
                <w:b/>
                <w:bCs/>
                <w:noProof/>
                <w:sz w:val="20"/>
              </w:rPr>
              <w:t>Better Regulation</w:t>
            </w:r>
          </w:p>
        </w:tc>
        <w:tc>
          <w:tcPr>
            <w:tcW w:w="10064" w:type="dxa"/>
            <w:tcBorders>
              <w:bottom w:val="single" w:sz="4" w:space="0" w:color="auto"/>
            </w:tcBorders>
            <w:tcMar>
              <w:top w:w="85" w:type="dxa"/>
              <w:bottom w:w="85" w:type="dxa"/>
            </w:tcMar>
          </w:tcPr>
          <w:p w:rsidR="00B40DA7" w:rsidRDefault="00531C5A">
            <w:pPr>
              <w:spacing w:after="0"/>
              <w:rPr>
                <w:noProof/>
                <w:sz w:val="20"/>
              </w:rPr>
            </w:pPr>
            <w:r>
              <w:rPr>
                <w:b/>
                <w:noProof/>
                <w:sz w:val="20"/>
              </w:rPr>
              <w:t xml:space="preserve">Communication on Better Regulation </w:t>
            </w:r>
            <w:r>
              <w:rPr>
                <w:noProof/>
                <w:sz w:val="20"/>
              </w:rPr>
              <w:t xml:space="preserve">(non-legislative, Q2 2020) </w:t>
            </w:r>
          </w:p>
        </w:tc>
      </w:tr>
      <w:tr w:rsidR="00B40DA7">
        <w:trPr>
          <w:cantSplit/>
        </w:trPr>
        <w:tc>
          <w:tcPr>
            <w:tcW w:w="511" w:type="dxa"/>
            <w:tcBorders>
              <w:bottom w:val="single" w:sz="4" w:space="0" w:color="auto"/>
              <w:right w:val="single" w:sz="4" w:space="0" w:color="auto"/>
            </w:tcBorders>
          </w:tcPr>
          <w:p w:rsidR="00B40DA7" w:rsidRDefault="00B40DA7">
            <w:pPr>
              <w:pStyle w:val="ListParagraph"/>
              <w:numPr>
                <w:ilvl w:val="0"/>
                <w:numId w:val="18"/>
              </w:numPr>
              <w:spacing w:after="0"/>
              <w:ind w:left="426"/>
              <w:rPr>
                <w:noProof/>
                <w:sz w:val="20"/>
              </w:rPr>
            </w:pPr>
          </w:p>
        </w:tc>
        <w:tc>
          <w:tcPr>
            <w:tcW w:w="4252" w:type="dxa"/>
            <w:tcBorders>
              <w:left w:val="single" w:sz="4" w:space="0" w:color="auto"/>
              <w:bottom w:val="single" w:sz="4" w:space="0" w:color="auto"/>
            </w:tcBorders>
            <w:tcMar>
              <w:top w:w="85" w:type="dxa"/>
              <w:bottom w:w="85" w:type="dxa"/>
            </w:tcMar>
            <w:vAlign w:val="center"/>
          </w:tcPr>
          <w:p w:rsidR="00B40DA7" w:rsidRDefault="00531C5A">
            <w:pPr>
              <w:spacing w:after="0"/>
              <w:rPr>
                <w:noProof/>
                <w:sz w:val="20"/>
              </w:rPr>
            </w:pPr>
            <w:r>
              <w:rPr>
                <w:b/>
                <w:bCs/>
                <w:noProof/>
                <w:sz w:val="20"/>
              </w:rPr>
              <w:t>Foresight</w:t>
            </w:r>
          </w:p>
        </w:tc>
        <w:tc>
          <w:tcPr>
            <w:tcW w:w="10064" w:type="dxa"/>
            <w:tcMar>
              <w:top w:w="85" w:type="dxa"/>
              <w:bottom w:w="85" w:type="dxa"/>
            </w:tcMar>
            <w:vAlign w:val="center"/>
          </w:tcPr>
          <w:p w:rsidR="00B40DA7" w:rsidRDefault="00531C5A">
            <w:pPr>
              <w:spacing w:after="0"/>
              <w:rPr>
                <w:noProof/>
                <w:sz w:val="20"/>
              </w:rPr>
            </w:pPr>
            <w:r>
              <w:rPr>
                <w:b/>
                <w:noProof/>
                <w:sz w:val="20"/>
              </w:rPr>
              <w:t>2020 Annual Foresight Report</w:t>
            </w:r>
            <w:r>
              <w:rPr>
                <w:noProof/>
                <w:sz w:val="20"/>
              </w:rPr>
              <w:t xml:space="preserve"> (non-legislative, Q2 2020)</w:t>
            </w:r>
          </w:p>
        </w:tc>
      </w:tr>
    </w:tbl>
    <w:p w:rsidR="00B40DA7" w:rsidRDefault="00B40DA7">
      <w:pPr>
        <w:spacing w:after="0"/>
        <w:rPr>
          <w:noProof/>
          <w:sz w:val="20"/>
        </w:rPr>
      </w:pPr>
    </w:p>
    <w:p w:rsidR="00B40DA7" w:rsidRDefault="00531C5A">
      <w:pPr>
        <w:spacing w:after="0"/>
        <w:jc w:val="left"/>
        <w:rPr>
          <w:noProof/>
          <w:sz w:val="20"/>
        </w:rPr>
      </w:pPr>
      <w:r>
        <w:rPr>
          <w:noProof/>
          <w:sz w:val="20"/>
        </w:rPr>
        <w:br w:type="page"/>
      </w:r>
    </w:p>
    <w:p w:rsidR="00B40DA7" w:rsidRDefault="00531C5A">
      <w:pPr>
        <w:keepNext/>
        <w:tabs>
          <w:tab w:val="left" w:pos="651"/>
          <w:tab w:val="left" w:pos="2054"/>
          <w:tab w:val="left" w:pos="4893"/>
        </w:tabs>
        <w:spacing w:after="600" w:line="276" w:lineRule="auto"/>
        <w:jc w:val="center"/>
        <w:rPr>
          <w:b/>
          <w:noProof/>
          <w:sz w:val="28"/>
          <w:szCs w:val="28"/>
          <w:u w:val="single"/>
          <w:lang w:eastAsia="de-DE"/>
        </w:rPr>
      </w:pPr>
      <w:r>
        <w:rPr>
          <w:b/>
          <w:bCs/>
          <w:noProof/>
          <w:sz w:val="28"/>
          <w:szCs w:val="28"/>
          <w:u w:val="single"/>
          <w:lang w:eastAsia="de-DE"/>
        </w:rPr>
        <w:t>Annex II: REFIT initiatives</w:t>
      </w:r>
      <w:r>
        <w:rPr>
          <w:rStyle w:val="FootnoteReference"/>
          <w:b/>
          <w:bCs/>
          <w:noProof/>
          <w:sz w:val="28"/>
          <w:szCs w:val="28"/>
          <w:u w:val="single"/>
          <w:lang w:eastAsia="de-DE"/>
        </w:rPr>
        <w:footnoteReference w:id="3"/>
      </w:r>
    </w:p>
    <w:tbl>
      <w:tblPr>
        <w:tblW w:w="14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647"/>
        <w:gridCol w:w="4400"/>
        <w:gridCol w:w="9780"/>
      </w:tblGrid>
      <w:tr w:rsidR="00B40DA7">
        <w:trPr>
          <w:cantSplit/>
          <w:tblHeader/>
        </w:trPr>
        <w:tc>
          <w:tcPr>
            <w:tcW w:w="647" w:type="dxa"/>
            <w:tcBorders>
              <w:bottom w:val="single" w:sz="4" w:space="0" w:color="auto"/>
            </w:tcBorders>
            <w:shd w:val="clear" w:color="auto" w:fill="99CCFF"/>
            <w:vAlign w:val="center"/>
          </w:tcPr>
          <w:p w:rsidR="00B40DA7" w:rsidRDefault="00531C5A">
            <w:pPr>
              <w:keepNext/>
              <w:spacing w:after="0" w:line="276" w:lineRule="auto"/>
              <w:jc w:val="center"/>
              <w:rPr>
                <w:rFonts w:eastAsiaTheme="minorHAnsi" w:cstheme="minorBidi"/>
                <w:b/>
                <w:noProof/>
                <w:sz w:val="20"/>
                <w:lang w:eastAsia="en-US"/>
              </w:rPr>
            </w:pPr>
            <w:r>
              <w:rPr>
                <w:rFonts w:eastAsia="MS Mincho" w:cstheme="minorBidi"/>
                <w:b/>
                <w:bCs/>
                <w:noProof/>
                <w:sz w:val="20"/>
                <w:lang w:eastAsia="ja-JP"/>
              </w:rPr>
              <w:t>No.</w:t>
            </w:r>
          </w:p>
        </w:tc>
        <w:tc>
          <w:tcPr>
            <w:tcW w:w="4400" w:type="dxa"/>
            <w:tcBorders>
              <w:bottom w:val="single" w:sz="4" w:space="0" w:color="auto"/>
            </w:tcBorders>
            <w:shd w:val="clear" w:color="auto" w:fill="99CCFF"/>
            <w:vAlign w:val="center"/>
          </w:tcPr>
          <w:p w:rsidR="00B40DA7" w:rsidRDefault="00531C5A">
            <w:pPr>
              <w:keepNext/>
              <w:spacing w:after="0" w:line="276" w:lineRule="auto"/>
              <w:jc w:val="center"/>
              <w:rPr>
                <w:rFonts w:eastAsiaTheme="minorHAnsi" w:cstheme="minorBidi"/>
                <w:b/>
                <w:noProof/>
                <w:sz w:val="20"/>
                <w:lang w:eastAsia="en-US"/>
              </w:rPr>
            </w:pPr>
            <w:r>
              <w:rPr>
                <w:rFonts w:eastAsiaTheme="minorHAnsi" w:cstheme="minorBidi"/>
                <w:b/>
                <w:noProof/>
                <w:sz w:val="20"/>
                <w:lang w:eastAsia="en-US"/>
              </w:rPr>
              <w:t>Title</w:t>
            </w:r>
          </w:p>
        </w:tc>
        <w:tc>
          <w:tcPr>
            <w:tcW w:w="9780" w:type="dxa"/>
            <w:tcBorders>
              <w:bottom w:val="single" w:sz="4" w:space="0" w:color="auto"/>
            </w:tcBorders>
            <w:shd w:val="clear" w:color="auto" w:fill="99CCFF"/>
            <w:vAlign w:val="center"/>
          </w:tcPr>
          <w:p w:rsidR="00B40DA7" w:rsidRDefault="00531C5A">
            <w:pPr>
              <w:keepNext/>
              <w:spacing w:after="0" w:line="276" w:lineRule="auto"/>
              <w:jc w:val="center"/>
              <w:rPr>
                <w:rFonts w:eastAsiaTheme="minorHAnsi" w:cstheme="minorBidi"/>
                <w:b/>
                <w:noProof/>
                <w:sz w:val="20"/>
                <w:lang w:eastAsia="en-US"/>
              </w:rPr>
            </w:pPr>
            <w:r>
              <w:rPr>
                <w:rFonts w:eastAsiaTheme="minorHAnsi" w:cstheme="minorBidi"/>
                <w:b/>
                <w:noProof/>
                <w:sz w:val="20"/>
                <w:lang w:eastAsia="en-US"/>
              </w:rPr>
              <w:t>Simplification objective / potential</w:t>
            </w:r>
            <w:r>
              <w:rPr>
                <w:rFonts w:eastAsiaTheme="minorHAnsi" w:cstheme="minorBidi"/>
                <w:noProof/>
                <w:sz w:val="20"/>
                <w:lang w:eastAsia="en-US"/>
              </w:rPr>
              <w:t xml:space="preserve"> (short explanation of the REFIT objective of the revisions, and simplification potential for evaluations and fitness checks)</w:t>
            </w:r>
          </w:p>
        </w:tc>
      </w:tr>
      <w:tr w:rsidR="00B40DA7">
        <w:trPr>
          <w:cantSplit/>
        </w:trPr>
        <w:tc>
          <w:tcPr>
            <w:tcW w:w="14827" w:type="dxa"/>
            <w:gridSpan w:val="3"/>
            <w:tcBorders>
              <w:top w:val="single" w:sz="4" w:space="0" w:color="auto"/>
              <w:left w:val="single" w:sz="4" w:space="0" w:color="auto"/>
              <w:bottom w:val="single" w:sz="4" w:space="0" w:color="auto"/>
            </w:tcBorders>
            <w:shd w:val="clear" w:color="auto" w:fill="9ACA3C" w:themeFill="accent1"/>
          </w:tcPr>
          <w:p w:rsidR="00B40DA7" w:rsidRDefault="00531C5A">
            <w:pPr>
              <w:keepNext/>
              <w:spacing w:before="60" w:after="60"/>
              <w:rPr>
                <w:b/>
                <w:bCs/>
                <w:noProof/>
                <w:sz w:val="20"/>
              </w:rPr>
            </w:pPr>
            <w:r>
              <w:rPr>
                <w:b/>
                <w:bCs/>
                <w:noProof/>
                <w:color w:val="FFFFFF" w:themeColor="background1"/>
                <w:sz w:val="20"/>
              </w:rPr>
              <w:t>A European Green Deal</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noProof/>
                <w:color w:val="000000"/>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keepNext/>
              <w:spacing w:after="0"/>
              <w:rPr>
                <w:rFonts w:eastAsiaTheme="minorEastAsia" w:cstheme="minorBidi"/>
                <w:b/>
                <w:bCs/>
                <w:noProof/>
                <w:sz w:val="20"/>
                <w:lang w:eastAsia="en-US"/>
              </w:rPr>
            </w:pPr>
            <w:r>
              <w:rPr>
                <w:rFonts w:eastAsiaTheme="minorEastAsia" w:cstheme="minorBidi"/>
                <w:b/>
                <w:bCs/>
                <w:noProof/>
                <w:sz w:val="20"/>
                <w:lang w:eastAsia="en-US"/>
              </w:rPr>
              <w:t xml:space="preserve">Evaluation of marketing standards (contained in the single Common Market Organisation (CMO) Regulation, </w:t>
            </w:r>
            <w:r>
              <w:rPr>
                <w:rFonts w:eastAsiaTheme="minorEastAsia" w:cstheme="minorBidi"/>
                <w:b/>
                <w:bCs/>
                <w:noProof/>
                <w:sz w:val="20"/>
                <w:lang w:eastAsia="en-US"/>
              </w:rPr>
              <w:t>the ”breakfast directives” and CMO secondary legislation)</w:t>
            </w:r>
          </w:p>
        </w:tc>
        <w:tc>
          <w:tcPr>
            <w:tcW w:w="9780" w:type="dxa"/>
            <w:tcBorders>
              <w:top w:val="single" w:sz="4" w:space="0" w:color="auto"/>
              <w:left w:val="single" w:sz="4" w:space="0" w:color="auto"/>
              <w:bottom w:val="single" w:sz="4" w:space="0" w:color="auto"/>
            </w:tcBorders>
          </w:tcPr>
          <w:p w:rsidR="00B40DA7" w:rsidRDefault="00531C5A">
            <w:pPr>
              <w:keepNext/>
              <w:spacing w:after="0"/>
              <w:rPr>
                <w:rFonts w:eastAsiaTheme="minorEastAsia" w:cstheme="minorBidi"/>
                <w:noProof/>
                <w:sz w:val="20"/>
                <w:lang w:eastAsia="en-US"/>
              </w:rPr>
            </w:pPr>
            <w:r>
              <w:rPr>
                <w:rFonts w:eastAsiaTheme="minorEastAsia" w:cstheme="minorBidi"/>
                <w:noProof/>
                <w:sz w:val="20"/>
                <w:lang w:eastAsia="en-US"/>
              </w:rPr>
              <w:t xml:space="preserve">The evaluation of marketing standards will help to assess the coherence between the various pieces of legislation as well as to identify potential for simplification. The evaluation's results might </w:t>
            </w:r>
            <w:r>
              <w:rPr>
                <w:rFonts w:eastAsiaTheme="minorEastAsia" w:cstheme="minorBidi"/>
                <w:noProof/>
                <w:sz w:val="20"/>
                <w:lang w:eastAsia="en-US"/>
              </w:rPr>
              <w:t>serve as a basis for the reflection on the need for regulatory changes related to marketing standards.</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noProof/>
                <w:color w:val="000000"/>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keepNext/>
              <w:spacing w:after="0"/>
              <w:rPr>
                <w:rFonts w:eastAsiaTheme="minorEastAsia" w:cstheme="minorBidi"/>
                <w:b/>
                <w:bCs/>
                <w:noProof/>
                <w:sz w:val="20"/>
                <w:lang w:eastAsia="en-US"/>
              </w:rPr>
            </w:pPr>
            <w:r>
              <w:rPr>
                <w:rFonts w:eastAsiaTheme="minorEastAsia" w:cstheme="minorBidi"/>
                <w:b/>
                <w:bCs/>
                <w:noProof/>
                <w:sz w:val="20"/>
                <w:lang w:eastAsia="en-US"/>
              </w:rPr>
              <w:t>Evaluation of Geographical Indications and Traditional Specialities Guaranteed protected in the EU</w:t>
            </w:r>
          </w:p>
        </w:tc>
        <w:tc>
          <w:tcPr>
            <w:tcW w:w="9780" w:type="dxa"/>
            <w:tcBorders>
              <w:top w:val="single" w:sz="4" w:space="0" w:color="auto"/>
              <w:left w:val="single" w:sz="4" w:space="0" w:color="auto"/>
              <w:bottom w:val="single" w:sz="4" w:space="0" w:color="auto"/>
            </w:tcBorders>
          </w:tcPr>
          <w:p w:rsidR="00B40DA7" w:rsidRDefault="00531C5A">
            <w:pPr>
              <w:keepNext/>
              <w:spacing w:after="0"/>
              <w:rPr>
                <w:rFonts w:eastAsiaTheme="minorEastAsia" w:cstheme="minorBidi"/>
                <w:noProof/>
                <w:sz w:val="20"/>
                <w:lang w:eastAsia="en-US"/>
              </w:rPr>
            </w:pPr>
            <w:r>
              <w:rPr>
                <w:rFonts w:eastAsiaTheme="minorEastAsia" w:cstheme="minorBidi"/>
                <w:noProof/>
                <w:sz w:val="20"/>
                <w:lang w:eastAsia="en-US"/>
              </w:rPr>
              <w:t>The evaluation of geographical indications and tradi</w:t>
            </w:r>
            <w:r>
              <w:rPr>
                <w:rFonts w:eastAsiaTheme="minorEastAsia" w:cstheme="minorBidi"/>
                <w:noProof/>
                <w:sz w:val="20"/>
                <w:lang w:eastAsia="en-US"/>
              </w:rPr>
              <w:t>tional specialities guarantees will help to assess the coherence between the various pieces of the legal framework for EU quality schemes and will provide the opportunity to consider the need for its improvement (modernisation, simplification and streamlin</w:t>
            </w:r>
            <w:r>
              <w:rPr>
                <w:rFonts w:eastAsiaTheme="minorEastAsia" w:cstheme="minorBidi"/>
                <w:noProof/>
                <w:sz w:val="20"/>
                <w:lang w:eastAsia="en-US"/>
              </w:rPr>
              <w:t>ing). Its results might serve as basis to reflect on the need for regulatory changes related to EU quality schemes.</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noProof/>
                <w:color w:val="000000"/>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keepNext/>
              <w:spacing w:after="0"/>
              <w:rPr>
                <w:rFonts w:eastAsiaTheme="minorEastAsia" w:cstheme="minorBidi"/>
                <w:b/>
                <w:bCs/>
                <w:noProof/>
                <w:sz w:val="20"/>
                <w:lang w:eastAsia="en-US"/>
              </w:rPr>
            </w:pPr>
            <w:r>
              <w:rPr>
                <w:rFonts w:eastAsiaTheme="minorEastAsia" w:cstheme="minorBidi"/>
                <w:b/>
                <w:bCs/>
                <w:noProof/>
                <w:sz w:val="20"/>
                <w:lang w:eastAsia="en-US"/>
              </w:rPr>
              <w:t xml:space="preserve">Revision of the Guidelines on certain State aid measures in the context of the greenhouse gas emission allowance trading scheme post-2020 </w:t>
            </w:r>
          </w:p>
        </w:tc>
        <w:tc>
          <w:tcPr>
            <w:tcW w:w="9780" w:type="dxa"/>
            <w:tcBorders>
              <w:top w:val="single" w:sz="4" w:space="0" w:color="auto"/>
              <w:left w:val="single" w:sz="4" w:space="0" w:color="auto"/>
              <w:bottom w:val="single" w:sz="4" w:space="0" w:color="auto"/>
            </w:tcBorders>
          </w:tcPr>
          <w:p w:rsidR="00B40DA7" w:rsidRDefault="00531C5A">
            <w:pPr>
              <w:keepNext/>
              <w:spacing w:after="0"/>
              <w:rPr>
                <w:rFonts w:eastAsiaTheme="minorEastAsia" w:cstheme="minorBidi"/>
                <w:noProof/>
                <w:sz w:val="20"/>
                <w:lang w:eastAsia="en-US"/>
              </w:rPr>
            </w:pPr>
            <w:r>
              <w:rPr>
                <w:rFonts w:eastAsiaTheme="minorEastAsia" w:cstheme="minorBidi"/>
                <w:noProof/>
                <w:sz w:val="20"/>
                <w:lang w:eastAsia="en-US"/>
              </w:rPr>
              <w:t>Member States can compensate some electro-intensive users for part of the higher electricity costs resulting from the EU Emissions Trading Scheme. The objective of such compensation is to minimise carbon leakage risk, which materialises when emission cost</w:t>
            </w:r>
            <w:r>
              <w:rPr>
                <w:rFonts w:eastAsiaTheme="minorEastAsia" w:cstheme="minorBidi"/>
                <w:noProof/>
                <w:sz w:val="20"/>
                <w:lang w:eastAsia="en-US"/>
              </w:rPr>
              <w:t>s cause relocation from the EU to third countries without comparable constraints. The existing rules allowing for compensation will be revised to ensure that they are adapted to the new Emissions Trading Scheme for the period 2021-2030.</w:t>
            </w:r>
            <w:r>
              <w:rPr>
                <w:noProof/>
                <w:sz w:val="20"/>
              </w:rPr>
              <w:t xml:space="preserve"> (non-legislative, incl. impact assessment, Q4 2020)</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noProof/>
                <w:color w:val="000000"/>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keepNext/>
              <w:spacing w:after="0"/>
              <w:rPr>
                <w:rFonts w:eastAsiaTheme="minorEastAsia" w:cstheme="minorBidi"/>
                <w:b/>
                <w:bCs/>
                <w:noProof/>
                <w:sz w:val="20"/>
                <w:lang w:eastAsia="en-US"/>
              </w:rPr>
            </w:pPr>
            <w:r>
              <w:rPr>
                <w:rFonts w:eastAsiaTheme="minorEastAsia" w:cstheme="minorBidi"/>
                <w:b/>
                <w:bCs/>
                <w:noProof/>
                <w:sz w:val="20"/>
                <w:lang w:eastAsia="en-US"/>
              </w:rPr>
              <w:t xml:space="preserve">Revision of the Trans-European Energy Networks (TEN-E) Regulation </w:t>
            </w:r>
          </w:p>
        </w:tc>
        <w:tc>
          <w:tcPr>
            <w:tcW w:w="9780" w:type="dxa"/>
            <w:tcBorders>
              <w:top w:val="single" w:sz="4" w:space="0" w:color="auto"/>
              <w:left w:val="single" w:sz="4" w:space="0" w:color="auto"/>
              <w:bottom w:val="single" w:sz="4" w:space="0" w:color="auto"/>
            </w:tcBorders>
          </w:tcPr>
          <w:p w:rsidR="00B40DA7" w:rsidRDefault="00531C5A">
            <w:pPr>
              <w:keepNext/>
              <w:spacing w:after="0"/>
              <w:rPr>
                <w:rFonts w:eastAsiaTheme="minorEastAsia" w:cstheme="minorBidi"/>
                <w:i/>
                <w:iCs/>
                <w:noProof/>
                <w:sz w:val="20"/>
                <w:lang w:eastAsia="en-US"/>
              </w:rPr>
            </w:pPr>
            <w:r>
              <w:rPr>
                <w:rFonts w:eastAsiaTheme="minorEastAsia" w:cstheme="minorBidi"/>
                <w:noProof/>
                <w:sz w:val="20"/>
                <w:lang w:eastAsia="en-US"/>
              </w:rPr>
              <w:t>This initiative will ensure that the TEN-E Regulation is fully in line with the European Green Deal and the Union’s long-term decarbon</w:t>
            </w:r>
            <w:r>
              <w:rPr>
                <w:rFonts w:eastAsiaTheme="minorEastAsia" w:cstheme="minorBidi"/>
                <w:noProof/>
                <w:sz w:val="20"/>
                <w:lang w:eastAsia="en-US"/>
              </w:rPr>
              <w:t>isation objectives while contributing to sector and market integration, security of supply and competition.</w:t>
            </w:r>
            <w:r>
              <w:rPr>
                <w:noProof/>
                <w:sz w:val="20"/>
              </w:rPr>
              <w:t xml:space="preserve"> (legislative, incl. impact assessment, Articles 170-171 TFEU, Q4 2020)</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noProof/>
                <w:color w:val="000000"/>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keepNext/>
              <w:spacing w:after="0"/>
              <w:rPr>
                <w:rFonts w:eastAsiaTheme="minorEastAsia" w:cstheme="minorBidi"/>
                <w:b/>
                <w:bCs/>
                <w:noProof/>
                <w:sz w:val="20"/>
                <w:lang w:eastAsia="en-US"/>
              </w:rPr>
            </w:pPr>
            <w:r>
              <w:rPr>
                <w:rFonts w:eastAsiaTheme="minorEastAsia" w:cstheme="minorBidi"/>
                <w:b/>
                <w:bCs/>
                <w:noProof/>
                <w:sz w:val="20"/>
                <w:lang w:eastAsia="en-US"/>
              </w:rPr>
              <w:t>Evaluation of Directive 2011/65/EU on the restriction of the use of certain</w:t>
            </w:r>
            <w:r>
              <w:rPr>
                <w:rFonts w:eastAsiaTheme="minorEastAsia" w:cstheme="minorBidi"/>
                <w:b/>
                <w:bCs/>
                <w:noProof/>
                <w:sz w:val="20"/>
                <w:lang w:eastAsia="en-US"/>
              </w:rPr>
              <w:t xml:space="preserve"> hazardous substances in electrical and electronic equipment (ROHS)</w:t>
            </w:r>
          </w:p>
        </w:tc>
        <w:tc>
          <w:tcPr>
            <w:tcW w:w="9780" w:type="dxa"/>
            <w:tcBorders>
              <w:top w:val="single" w:sz="4" w:space="0" w:color="auto"/>
              <w:left w:val="single" w:sz="4" w:space="0" w:color="auto"/>
              <w:bottom w:val="single" w:sz="4" w:space="0" w:color="auto"/>
            </w:tcBorders>
          </w:tcPr>
          <w:p w:rsidR="00B40DA7" w:rsidRDefault="00531C5A">
            <w:pPr>
              <w:keepNext/>
              <w:spacing w:after="0"/>
              <w:rPr>
                <w:rFonts w:eastAsiaTheme="minorEastAsia" w:cstheme="minorBidi"/>
                <w:noProof/>
                <w:sz w:val="20"/>
                <w:lang w:eastAsia="en-US"/>
              </w:rPr>
            </w:pPr>
            <w:r>
              <w:rPr>
                <w:rFonts w:eastAsiaTheme="minorEastAsia" w:cstheme="minorBidi"/>
                <w:noProof/>
                <w:sz w:val="20"/>
                <w:lang w:eastAsia="en-US"/>
              </w:rPr>
              <w:t xml:space="preserve">The evaluation of the ROHS Directive will assess its effectiveness and efficiency in terms of the procedure for adopting substance restrictions and granting exemptions to restrictions. It </w:t>
            </w:r>
            <w:r>
              <w:rPr>
                <w:rFonts w:eastAsiaTheme="minorEastAsia" w:cstheme="minorBidi"/>
                <w:noProof/>
                <w:sz w:val="20"/>
                <w:lang w:eastAsia="en-US"/>
              </w:rPr>
              <w:t>will also assess its coherence with and relevance to other EU legislation, in particular, in light of the evaluations of REACH and Ecodesign Directive.</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noProof/>
                <w:color w:val="000000"/>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keepNext/>
              <w:spacing w:after="0"/>
              <w:rPr>
                <w:rFonts w:eastAsiaTheme="minorEastAsia" w:cstheme="minorBidi"/>
                <w:b/>
                <w:bCs/>
                <w:noProof/>
                <w:sz w:val="20"/>
                <w:lang w:eastAsia="en-US"/>
              </w:rPr>
            </w:pPr>
            <w:r>
              <w:rPr>
                <w:rFonts w:eastAsiaTheme="minorEastAsia" w:cstheme="minorBidi"/>
                <w:b/>
                <w:bCs/>
                <w:noProof/>
                <w:sz w:val="20"/>
                <w:lang w:eastAsia="en-US"/>
              </w:rPr>
              <w:t xml:space="preserve">Evaluation of Directive 2000/53/EU on end-of-life vehicles (ELV)  </w:t>
            </w:r>
          </w:p>
        </w:tc>
        <w:tc>
          <w:tcPr>
            <w:tcW w:w="9780" w:type="dxa"/>
            <w:tcBorders>
              <w:top w:val="single" w:sz="4" w:space="0" w:color="auto"/>
              <w:left w:val="single" w:sz="4" w:space="0" w:color="auto"/>
              <w:bottom w:val="single" w:sz="4" w:space="0" w:color="auto"/>
            </w:tcBorders>
          </w:tcPr>
          <w:p w:rsidR="00B40DA7" w:rsidRDefault="00531C5A">
            <w:pPr>
              <w:keepNext/>
              <w:spacing w:after="0"/>
              <w:rPr>
                <w:rFonts w:eastAsiaTheme="minorEastAsia" w:cstheme="minorBidi"/>
                <w:noProof/>
                <w:sz w:val="20"/>
                <w:lang w:eastAsia="en-US"/>
              </w:rPr>
            </w:pPr>
            <w:r>
              <w:rPr>
                <w:rFonts w:eastAsiaTheme="minorEastAsia" w:cstheme="minorBidi"/>
                <w:noProof/>
                <w:sz w:val="20"/>
                <w:lang w:eastAsia="en-US"/>
              </w:rPr>
              <w:t>The evaluation of the ELV Directive</w:t>
            </w:r>
            <w:r>
              <w:rPr>
                <w:rFonts w:eastAsiaTheme="minorEastAsia" w:cstheme="minorBidi"/>
                <w:noProof/>
                <w:sz w:val="20"/>
                <w:lang w:eastAsia="en-US"/>
              </w:rPr>
              <w:t xml:space="preserve"> will assess its effectiveness, efficiency, coherence with other legislation and relevance in light of the wider policy objectives on circular economy, plastics, resource efficiency, raw materials etc.</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noProof/>
                <w:color w:val="000000"/>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keepNext/>
              <w:spacing w:after="0"/>
              <w:rPr>
                <w:rFonts w:eastAsiaTheme="minorEastAsia" w:cstheme="minorBidi"/>
                <w:b/>
                <w:bCs/>
                <w:noProof/>
                <w:sz w:val="20"/>
                <w:lang w:eastAsia="en-US"/>
              </w:rPr>
            </w:pPr>
            <w:r>
              <w:rPr>
                <w:rFonts w:eastAsiaTheme="minorEastAsia" w:cstheme="minorBidi"/>
                <w:b/>
                <w:bCs/>
                <w:noProof/>
                <w:sz w:val="20"/>
                <w:lang w:eastAsia="en-US"/>
              </w:rPr>
              <w:t>Evaluation of the Directive 2010/75/EU on industrial</w:t>
            </w:r>
            <w:r>
              <w:rPr>
                <w:rFonts w:eastAsiaTheme="minorEastAsia" w:cstheme="minorBidi"/>
                <w:b/>
                <w:bCs/>
                <w:noProof/>
                <w:sz w:val="20"/>
                <w:lang w:eastAsia="en-US"/>
              </w:rPr>
              <w:t xml:space="preserve"> emissions (IED)</w:t>
            </w:r>
          </w:p>
        </w:tc>
        <w:tc>
          <w:tcPr>
            <w:tcW w:w="9780" w:type="dxa"/>
            <w:tcBorders>
              <w:top w:val="single" w:sz="4" w:space="0" w:color="auto"/>
              <w:left w:val="single" w:sz="4" w:space="0" w:color="auto"/>
              <w:bottom w:val="single" w:sz="4" w:space="0" w:color="auto"/>
            </w:tcBorders>
          </w:tcPr>
          <w:p w:rsidR="00B40DA7" w:rsidRDefault="00531C5A">
            <w:pPr>
              <w:keepNext/>
              <w:spacing w:after="0"/>
              <w:rPr>
                <w:rFonts w:eastAsiaTheme="minorEastAsia" w:cstheme="minorBidi"/>
                <w:noProof/>
                <w:sz w:val="20"/>
                <w:lang w:eastAsia="en-US"/>
              </w:rPr>
            </w:pPr>
            <w:r>
              <w:rPr>
                <w:rFonts w:eastAsiaTheme="minorEastAsia" w:cstheme="minorBidi"/>
                <w:noProof/>
                <w:sz w:val="20"/>
                <w:lang w:eastAsia="en-US"/>
              </w:rPr>
              <w:t>The evaluation of the IED Directive will assess its effectiveness, efficiency, EU added-value, coherence with other legislation and relevance to address important (agro) industrial sources of air, water and soil pollution.</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noProof/>
                <w:color w:val="000000"/>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keepNext/>
              <w:spacing w:after="0"/>
              <w:rPr>
                <w:rFonts w:eastAsiaTheme="minorEastAsia" w:cstheme="minorBidi"/>
                <w:b/>
                <w:bCs/>
                <w:noProof/>
                <w:sz w:val="20"/>
                <w:lang w:eastAsia="en-US"/>
              </w:rPr>
            </w:pPr>
            <w:r>
              <w:rPr>
                <w:rFonts w:eastAsiaTheme="minorEastAsia" w:cstheme="minorBidi"/>
                <w:b/>
                <w:bCs/>
                <w:noProof/>
                <w:sz w:val="20"/>
                <w:lang w:eastAsia="en-US"/>
              </w:rPr>
              <w:t xml:space="preserve">Fitness check </w:t>
            </w:r>
            <w:r>
              <w:rPr>
                <w:rFonts w:eastAsiaTheme="minorEastAsia" w:cstheme="minorBidi"/>
                <w:b/>
                <w:bCs/>
                <w:noProof/>
                <w:sz w:val="20"/>
                <w:lang w:eastAsia="en-US"/>
              </w:rPr>
              <w:t>of EU rules against illegal logging (EU Timber Regulation,  Regulation (EU) No 995/2010 and EU FLEGT Regulation (EC) No 2173/200)</w:t>
            </w:r>
          </w:p>
        </w:tc>
        <w:tc>
          <w:tcPr>
            <w:tcW w:w="9780" w:type="dxa"/>
            <w:tcBorders>
              <w:top w:val="single" w:sz="4" w:space="0" w:color="auto"/>
              <w:left w:val="single" w:sz="4" w:space="0" w:color="auto"/>
              <w:bottom w:val="single" w:sz="4" w:space="0" w:color="auto"/>
            </w:tcBorders>
          </w:tcPr>
          <w:p w:rsidR="00B40DA7" w:rsidRDefault="00531C5A">
            <w:pPr>
              <w:keepNext/>
              <w:spacing w:after="0"/>
              <w:rPr>
                <w:rFonts w:eastAsiaTheme="minorEastAsia" w:cstheme="minorBidi"/>
                <w:noProof/>
                <w:sz w:val="20"/>
                <w:lang w:eastAsia="en-US"/>
              </w:rPr>
            </w:pPr>
            <w:r>
              <w:rPr>
                <w:rFonts w:eastAsiaTheme="minorEastAsia" w:cstheme="minorBidi"/>
                <w:noProof/>
                <w:sz w:val="20"/>
                <w:lang w:eastAsia="en-US"/>
              </w:rPr>
              <w:t>The fitness check will assess the effectiveness, efficiency, coherence, relevance and the EU added-value of the both regulatio</w:t>
            </w:r>
            <w:r>
              <w:rPr>
                <w:rFonts w:eastAsiaTheme="minorEastAsia" w:cstheme="minorBidi"/>
                <w:noProof/>
                <w:sz w:val="20"/>
                <w:lang w:eastAsia="en-US"/>
              </w:rPr>
              <w:t>ns in contributing to the fight against illegal logging globally. The lessons learnt from the fitness check will be useful for the assessment of demand side measures for other commodities.</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noProof/>
                <w:color w:val="000000"/>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keepNext/>
              <w:spacing w:after="0"/>
              <w:jc w:val="left"/>
              <w:rPr>
                <w:rFonts w:eastAsiaTheme="minorEastAsia" w:cstheme="minorBidi"/>
                <w:b/>
                <w:bCs/>
                <w:noProof/>
                <w:sz w:val="20"/>
                <w:lang w:eastAsia="en-US"/>
              </w:rPr>
            </w:pPr>
            <w:r>
              <w:rPr>
                <w:rFonts w:eastAsiaTheme="minorEastAsia" w:cstheme="minorBidi"/>
                <w:b/>
                <w:bCs/>
                <w:noProof/>
                <w:sz w:val="20"/>
                <w:lang w:eastAsia="en-US"/>
              </w:rPr>
              <w:t xml:space="preserve">Revision of the EU Battery Directive </w:t>
            </w:r>
          </w:p>
        </w:tc>
        <w:tc>
          <w:tcPr>
            <w:tcW w:w="9780" w:type="dxa"/>
            <w:tcBorders>
              <w:top w:val="single" w:sz="4" w:space="0" w:color="auto"/>
              <w:left w:val="single" w:sz="4" w:space="0" w:color="auto"/>
              <w:bottom w:val="single" w:sz="4" w:space="0" w:color="auto"/>
            </w:tcBorders>
            <w:vAlign w:val="center"/>
          </w:tcPr>
          <w:p w:rsidR="00B40DA7" w:rsidRDefault="00531C5A">
            <w:pPr>
              <w:keepNext/>
              <w:spacing w:after="0"/>
              <w:rPr>
                <w:rFonts w:eastAsiaTheme="minorEastAsia" w:cstheme="minorBidi"/>
                <w:noProof/>
                <w:sz w:val="20"/>
                <w:lang w:eastAsia="en-US"/>
              </w:rPr>
            </w:pPr>
            <w:r>
              <w:rPr>
                <w:rFonts w:eastAsiaTheme="minorEastAsia" w:cstheme="minorBidi"/>
                <w:noProof/>
                <w:sz w:val="20"/>
                <w:lang w:eastAsia="en-US"/>
              </w:rPr>
              <w:t>As concluded by the evaluat</w:t>
            </w:r>
            <w:r>
              <w:rPr>
                <w:rFonts w:eastAsiaTheme="minorEastAsia" w:cstheme="minorBidi"/>
                <w:noProof/>
                <w:sz w:val="20"/>
                <w:lang w:eastAsia="en-US"/>
              </w:rPr>
              <w:t>ion/implementation reports of the Batteries Directive, the revision should aim to better factor in circularity, improve sustainability and keep pace with technological developments. This is foreseen also in the Batteries Strategic Action Plan. Following th</w:t>
            </w:r>
            <w:r>
              <w:rPr>
                <w:rFonts w:eastAsiaTheme="minorEastAsia" w:cstheme="minorBidi"/>
                <w:noProof/>
                <w:sz w:val="20"/>
                <w:lang w:eastAsia="en-US"/>
              </w:rPr>
              <w:t xml:space="preserve">e conclusions of the reports on the Directive, the initiative will modify the Directive or a proposal for a new Regulation repealing the Directive will be prepared, to notably encompass end-of-life and sustainability requirements. </w:t>
            </w:r>
            <w:r>
              <w:rPr>
                <w:noProof/>
                <w:sz w:val="20"/>
              </w:rPr>
              <w:t>(legislative, incl. impac</w:t>
            </w:r>
            <w:r>
              <w:rPr>
                <w:noProof/>
                <w:sz w:val="20"/>
              </w:rPr>
              <w:t>t assessment; Q4 2020)</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noProof/>
                <w:color w:val="000000"/>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keepNext/>
              <w:spacing w:after="0"/>
              <w:rPr>
                <w:rFonts w:eastAsiaTheme="minorEastAsia" w:cstheme="minorBidi"/>
                <w:b/>
                <w:bCs/>
                <w:noProof/>
                <w:sz w:val="20"/>
                <w:lang w:eastAsia="en-US"/>
              </w:rPr>
            </w:pPr>
            <w:r>
              <w:rPr>
                <w:rFonts w:eastAsiaTheme="minorEastAsia" w:cstheme="minorBidi"/>
                <w:b/>
                <w:bCs/>
                <w:noProof/>
                <w:sz w:val="20"/>
                <w:lang w:eastAsia="en-US"/>
              </w:rPr>
              <w:t>Fitness Check on the relevant EU legislation on endocrine disruptors</w:t>
            </w:r>
          </w:p>
        </w:tc>
        <w:tc>
          <w:tcPr>
            <w:tcW w:w="9780" w:type="dxa"/>
            <w:tcBorders>
              <w:top w:val="single" w:sz="4" w:space="0" w:color="auto"/>
              <w:left w:val="single" w:sz="4" w:space="0" w:color="auto"/>
              <w:bottom w:val="single" w:sz="4" w:space="0" w:color="auto"/>
            </w:tcBorders>
          </w:tcPr>
          <w:p w:rsidR="00B40DA7" w:rsidRDefault="00531C5A">
            <w:pPr>
              <w:keepNext/>
              <w:spacing w:after="0"/>
              <w:rPr>
                <w:rFonts w:eastAsiaTheme="minorEastAsia" w:cstheme="minorBidi"/>
                <w:noProof/>
                <w:sz w:val="20"/>
                <w:lang w:eastAsia="en-US"/>
              </w:rPr>
            </w:pPr>
            <w:r>
              <w:rPr>
                <w:rFonts w:eastAsiaTheme="minorEastAsia" w:cstheme="minorBidi"/>
                <w:noProof/>
                <w:sz w:val="20"/>
                <w:lang w:eastAsia="en-US"/>
              </w:rPr>
              <w:t>Endocrine disruptors are substances that alter the functioning of the endocrine (hormonal) system and negatively affect the health of humans or animals. A variety</w:t>
            </w:r>
            <w:r>
              <w:rPr>
                <w:rFonts w:eastAsiaTheme="minorEastAsia" w:cstheme="minorBidi"/>
                <w:noProof/>
                <w:sz w:val="20"/>
                <w:lang w:eastAsia="en-US"/>
              </w:rPr>
              <w:t xml:space="preserve"> of EU measures regulates these substances. The fitness check will assess whether these measures deliver the overall objective to protect human health and the environment. It will assess the coherence, effectiveness, efficiency, relevance and EU added-valu</w:t>
            </w:r>
            <w:r>
              <w:rPr>
                <w:rFonts w:eastAsiaTheme="minorEastAsia" w:cstheme="minorBidi"/>
                <w:noProof/>
                <w:sz w:val="20"/>
                <w:lang w:eastAsia="en-US"/>
              </w:rPr>
              <w:t>e of EU legislation, with emphasis on coherence across the chemicals acquis.</w:t>
            </w:r>
          </w:p>
        </w:tc>
      </w:tr>
      <w:tr w:rsidR="00B40DA7">
        <w:trPr>
          <w:cantSplit/>
        </w:trPr>
        <w:tc>
          <w:tcPr>
            <w:tcW w:w="647" w:type="dxa"/>
            <w:tcBorders>
              <w:bottom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noProof/>
                <w:color w:val="000000"/>
                <w:sz w:val="20"/>
                <w:lang w:eastAsia="en-US"/>
              </w:rPr>
            </w:pPr>
          </w:p>
        </w:tc>
        <w:tc>
          <w:tcPr>
            <w:tcW w:w="4400" w:type="dxa"/>
            <w:tcBorders>
              <w:bottom w:val="single" w:sz="4" w:space="0" w:color="auto"/>
            </w:tcBorders>
          </w:tcPr>
          <w:p w:rsidR="00B40DA7" w:rsidRDefault="00531C5A">
            <w:pPr>
              <w:keepNext/>
              <w:spacing w:after="0"/>
              <w:rPr>
                <w:rFonts w:eastAsiaTheme="minorEastAsia" w:cstheme="minorBidi"/>
                <w:b/>
                <w:bCs/>
                <w:noProof/>
                <w:sz w:val="20"/>
                <w:lang w:eastAsia="en-US"/>
              </w:rPr>
            </w:pPr>
            <w:r>
              <w:rPr>
                <w:rFonts w:eastAsiaTheme="minorEastAsia" w:cstheme="minorBidi"/>
                <w:b/>
                <w:bCs/>
                <w:noProof/>
                <w:sz w:val="20"/>
                <w:lang w:eastAsia="en-US"/>
              </w:rPr>
              <w:t>Revision of the Marketing standards Regulation applicable to fishery and aquaculture products in the EU</w:t>
            </w:r>
          </w:p>
        </w:tc>
        <w:tc>
          <w:tcPr>
            <w:tcW w:w="9780" w:type="dxa"/>
            <w:tcBorders>
              <w:bottom w:val="single" w:sz="4" w:space="0" w:color="auto"/>
            </w:tcBorders>
          </w:tcPr>
          <w:p w:rsidR="00B40DA7" w:rsidRDefault="00531C5A">
            <w:pPr>
              <w:keepNext/>
              <w:spacing w:after="0"/>
              <w:rPr>
                <w:rFonts w:eastAsiaTheme="minorEastAsia" w:cstheme="minorBidi"/>
                <w:noProof/>
                <w:sz w:val="20"/>
                <w:lang w:eastAsia="en-US"/>
              </w:rPr>
            </w:pPr>
            <w:r>
              <w:rPr>
                <w:rFonts w:eastAsiaTheme="minorEastAsia" w:cstheme="minorBidi"/>
                <w:noProof/>
                <w:sz w:val="20"/>
                <w:lang w:eastAsia="en-US"/>
              </w:rPr>
              <w:t xml:space="preserve">This revision will simplify the legal set-up: one (EU) Regulation will </w:t>
            </w:r>
            <w:r>
              <w:rPr>
                <w:rFonts w:eastAsiaTheme="minorEastAsia" w:cstheme="minorBidi"/>
                <w:noProof/>
                <w:sz w:val="20"/>
                <w:lang w:eastAsia="en-US"/>
              </w:rPr>
              <w:t>replace three regulations currently covering also aquaculture products, transparency and consumer information. (legislative, incl. impact assessment, Article 43 TFEU, Common Fisheries Policy, Q4 2020)</w:t>
            </w:r>
          </w:p>
        </w:tc>
      </w:tr>
      <w:tr w:rsidR="00B40DA7">
        <w:trPr>
          <w:cantSplit/>
        </w:trPr>
        <w:tc>
          <w:tcPr>
            <w:tcW w:w="647" w:type="dxa"/>
            <w:tcBorders>
              <w:bottom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noProof/>
                <w:color w:val="000000"/>
                <w:sz w:val="20"/>
                <w:lang w:eastAsia="en-US"/>
              </w:rPr>
            </w:pPr>
          </w:p>
        </w:tc>
        <w:tc>
          <w:tcPr>
            <w:tcW w:w="4400" w:type="dxa"/>
            <w:tcBorders>
              <w:bottom w:val="single" w:sz="4" w:space="0" w:color="auto"/>
            </w:tcBorders>
          </w:tcPr>
          <w:p w:rsidR="00B40DA7" w:rsidRDefault="00531C5A">
            <w:pPr>
              <w:keepNext/>
              <w:spacing w:after="0"/>
              <w:jc w:val="left"/>
              <w:rPr>
                <w:rFonts w:eastAsiaTheme="minorEastAsia" w:cstheme="minorBidi"/>
                <w:b/>
                <w:bCs/>
                <w:noProof/>
                <w:sz w:val="20"/>
                <w:lang w:eastAsia="en-US"/>
              </w:rPr>
            </w:pPr>
            <w:r>
              <w:rPr>
                <w:rFonts w:eastAsiaTheme="minorEastAsia" w:cstheme="minorBidi"/>
                <w:b/>
                <w:bCs/>
                <w:noProof/>
                <w:sz w:val="20"/>
                <w:lang w:eastAsia="en-US"/>
              </w:rPr>
              <w:t xml:space="preserve">Evaluation of Regulation 913/2010 concerning a </w:t>
            </w:r>
            <w:r>
              <w:rPr>
                <w:rFonts w:eastAsiaTheme="minorEastAsia" w:cstheme="minorBidi"/>
                <w:b/>
                <w:bCs/>
                <w:noProof/>
                <w:sz w:val="20"/>
                <w:lang w:eastAsia="en-US"/>
              </w:rPr>
              <w:t>European rail network for competitive freight</w:t>
            </w:r>
            <w:r>
              <w:rPr>
                <w:rFonts w:eastAsiaTheme="minorHAnsi" w:cstheme="minorBidi"/>
                <w:b/>
                <w:noProof/>
                <w:sz w:val="20"/>
                <w:lang w:eastAsia="en-US"/>
              </w:rPr>
              <w:br/>
            </w:r>
            <w:r>
              <w:rPr>
                <w:rFonts w:eastAsiaTheme="minorEastAsia" w:cstheme="minorBidi"/>
                <w:b/>
                <w:bCs/>
                <w:noProof/>
                <w:sz w:val="20"/>
                <w:lang w:eastAsia="en-US"/>
              </w:rPr>
              <w:t>(Rail Freight Corridor Regulation)</w:t>
            </w:r>
          </w:p>
        </w:tc>
        <w:tc>
          <w:tcPr>
            <w:tcW w:w="9780" w:type="dxa"/>
            <w:tcBorders>
              <w:bottom w:val="single" w:sz="4" w:space="0" w:color="auto"/>
            </w:tcBorders>
          </w:tcPr>
          <w:p w:rsidR="00B40DA7" w:rsidRDefault="00531C5A">
            <w:pPr>
              <w:keepNext/>
              <w:spacing w:after="0"/>
              <w:jc w:val="left"/>
              <w:rPr>
                <w:rFonts w:eastAsiaTheme="minorEastAsia" w:cstheme="minorBidi"/>
                <w:noProof/>
                <w:sz w:val="20"/>
                <w:lang w:eastAsia="en-US"/>
              </w:rPr>
            </w:pPr>
            <w:r>
              <w:rPr>
                <w:rFonts w:eastAsiaTheme="minorEastAsia" w:cstheme="minorBidi"/>
                <w:noProof/>
                <w:sz w:val="20"/>
                <w:lang w:eastAsia="en-US"/>
              </w:rPr>
              <w:t>Increasing freight transport by rail is a key element of EU policy to reduce transport CO</w:t>
            </w:r>
            <w:r>
              <w:rPr>
                <w:rFonts w:eastAsiaTheme="minorEastAsia" w:cstheme="minorBidi"/>
                <w:noProof/>
                <w:sz w:val="20"/>
                <w:vertAlign w:val="subscript"/>
                <w:lang w:eastAsia="en-US"/>
              </w:rPr>
              <w:t>2</w:t>
            </w:r>
            <w:r>
              <w:rPr>
                <w:rFonts w:eastAsiaTheme="minorEastAsia" w:cstheme="minorBidi"/>
                <w:noProof/>
                <w:sz w:val="20"/>
                <w:lang w:eastAsia="en-US"/>
              </w:rPr>
              <w:t xml:space="preserve"> emissions, but it is facing difficulties. The Regulation on rail freight corridors aims to improve cooperation and coordination along a number of corridors with particular potential for developing international rail freight.</w:t>
            </w:r>
            <w:r>
              <w:rPr>
                <w:rFonts w:eastAsiaTheme="minorHAnsi" w:cstheme="minorBidi"/>
                <w:noProof/>
                <w:sz w:val="20"/>
                <w:lang w:eastAsia="en-US"/>
              </w:rPr>
              <w:br/>
            </w:r>
            <w:r>
              <w:rPr>
                <w:rFonts w:eastAsiaTheme="minorEastAsia" w:cstheme="minorBidi"/>
                <w:noProof/>
                <w:sz w:val="20"/>
                <w:lang w:eastAsia="en-US"/>
              </w:rPr>
              <w:t>Regulation (EU) 913/2010 conce</w:t>
            </w:r>
            <w:r>
              <w:rPr>
                <w:rFonts w:eastAsiaTheme="minorEastAsia" w:cstheme="minorBidi"/>
                <w:noProof/>
                <w:sz w:val="20"/>
                <w:lang w:eastAsia="en-US"/>
              </w:rPr>
              <w:t xml:space="preserve">rning a European rail network for competitive freight has entered into force in 2010, and nine rail freight corridors were established, with two more corridors added later. The aim of this evaluation is to provide a complete overview of the implementation </w:t>
            </w:r>
            <w:r>
              <w:rPr>
                <w:rFonts w:eastAsiaTheme="minorEastAsia" w:cstheme="minorBidi"/>
                <w:noProof/>
                <w:sz w:val="20"/>
                <w:lang w:eastAsia="en-US"/>
              </w:rPr>
              <w:t>of the Regulation as well as an assessment of its effects. It will be useful to determine what further action at EU level is needed to boost rail freight.</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b/>
                <w:noProof/>
                <w:color w:val="000000" w:themeColor="text1"/>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keepNext/>
              <w:spacing w:after="0"/>
              <w:jc w:val="left"/>
              <w:rPr>
                <w:rFonts w:eastAsiaTheme="minorEastAsia" w:cstheme="minorBidi"/>
                <w:b/>
                <w:bCs/>
                <w:noProof/>
                <w:sz w:val="20"/>
                <w:lang w:eastAsia="en-US"/>
              </w:rPr>
            </w:pPr>
            <w:r>
              <w:rPr>
                <w:rFonts w:eastAsiaTheme="minorEastAsia" w:cstheme="minorBidi"/>
                <w:b/>
                <w:bCs/>
                <w:noProof/>
                <w:sz w:val="20"/>
                <w:lang w:eastAsia="en-US"/>
              </w:rPr>
              <w:t xml:space="preserve">Evaluation of Directive 2009/128/EC on the Sustainable Use of Pesticides </w:t>
            </w:r>
          </w:p>
        </w:tc>
        <w:tc>
          <w:tcPr>
            <w:tcW w:w="9780" w:type="dxa"/>
            <w:tcBorders>
              <w:top w:val="single" w:sz="4" w:space="0" w:color="auto"/>
              <w:left w:val="single" w:sz="4" w:space="0" w:color="auto"/>
              <w:bottom w:val="single" w:sz="4" w:space="0" w:color="auto"/>
            </w:tcBorders>
          </w:tcPr>
          <w:p w:rsidR="00B40DA7" w:rsidRDefault="00531C5A">
            <w:pPr>
              <w:keepNext/>
              <w:spacing w:after="0"/>
              <w:rPr>
                <w:rFonts w:eastAsiaTheme="minorEastAsia" w:cstheme="minorBidi"/>
                <w:noProof/>
                <w:sz w:val="20"/>
                <w:lang w:eastAsia="en-US"/>
              </w:rPr>
            </w:pPr>
            <w:r>
              <w:rPr>
                <w:rFonts w:eastAsiaTheme="minorEastAsia" w:cstheme="minorBidi"/>
                <w:noProof/>
                <w:sz w:val="20"/>
                <w:lang w:eastAsia="en-US"/>
              </w:rPr>
              <w:t>This evaluation will look</w:t>
            </w:r>
            <w:r>
              <w:rPr>
                <w:rFonts w:eastAsiaTheme="minorEastAsia" w:cstheme="minorBidi"/>
                <w:noProof/>
                <w:sz w:val="20"/>
                <w:lang w:eastAsia="en-US"/>
              </w:rPr>
              <w:t xml:space="preserve">, </w:t>
            </w:r>
            <w:r>
              <w:rPr>
                <w:rFonts w:eastAsiaTheme="minorEastAsia" w:cstheme="minorBidi"/>
                <w:i/>
                <w:iCs/>
                <w:noProof/>
                <w:sz w:val="20"/>
                <w:lang w:eastAsia="en-US"/>
              </w:rPr>
              <w:t>inter alia</w:t>
            </w:r>
            <w:r>
              <w:rPr>
                <w:rFonts w:eastAsiaTheme="minorEastAsia" w:cstheme="minorBidi"/>
                <w:noProof/>
                <w:sz w:val="20"/>
                <w:lang w:eastAsia="en-US"/>
              </w:rPr>
              <w:t>, at the progress achieved by the Directive in reducing dependency on pesticides and stimulating the take-up of low-risk and non-chemical alternatives to pesticides. Simplification potential will also be considered, for example concerning the r</w:t>
            </w:r>
            <w:r>
              <w:rPr>
                <w:rFonts w:eastAsiaTheme="minorEastAsia" w:cstheme="minorBidi"/>
                <w:noProof/>
                <w:sz w:val="20"/>
                <w:lang w:eastAsia="en-US"/>
              </w:rPr>
              <w:t>ules for inspection of pesticides application equipment and new official control rules.</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b/>
                <w:noProof/>
                <w:color w:val="000000" w:themeColor="text1"/>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keepNext/>
              <w:spacing w:after="0"/>
              <w:jc w:val="left"/>
              <w:rPr>
                <w:rFonts w:eastAsiaTheme="minorEastAsia" w:cstheme="minorBidi"/>
                <w:b/>
                <w:bCs/>
                <w:noProof/>
                <w:sz w:val="20"/>
                <w:lang w:eastAsia="en-US"/>
              </w:rPr>
            </w:pPr>
            <w:r>
              <w:rPr>
                <w:rFonts w:eastAsiaTheme="minorEastAsia" w:cstheme="minorBidi"/>
                <w:b/>
                <w:bCs/>
                <w:noProof/>
                <w:sz w:val="20"/>
                <w:lang w:eastAsia="en-US"/>
              </w:rPr>
              <w:t xml:space="preserve">Evaluation of the EU Animal Welfare Strategy (2012-2015) </w:t>
            </w:r>
          </w:p>
        </w:tc>
        <w:tc>
          <w:tcPr>
            <w:tcW w:w="9780" w:type="dxa"/>
            <w:tcBorders>
              <w:top w:val="single" w:sz="4" w:space="0" w:color="auto"/>
              <w:left w:val="single" w:sz="4" w:space="0" w:color="auto"/>
              <w:bottom w:val="single" w:sz="4" w:space="0" w:color="auto"/>
            </w:tcBorders>
          </w:tcPr>
          <w:p w:rsidR="00B40DA7" w:rsidRDefault="00531C5A">
            <w:pPr>
              <w:keepNext/>
              <w:spacing w:after="0"/>
              <w:rPr>
                <w:rFonts w:eastAsiaTheme="minorEastAsia" w:cstheme="minorBidi"/>
                <w:b/>
                <w:bCs/>
                <w:noProof/>
                <w:sz w:val="20"/>
                <w:lang w:eastAsia="en-US"/>
              </w:rPr>
            </w:pPr>
            <w:r>
              <w:rPr>
                <w:rFonts w:eastAsiaTheme="minorEastAsia" w:cstheme="minorBidi"/>
                <w:noProof/>
                <w:sz w:val="20"/>
                <w:lang w:eastAsia="en-US"/>
              </w:rPr>
              <w:t xml:space="preserve">This evaluation will look at the extent to which the EU Animal Welfare Strategy has contributed to </w:t>
            </w:r>
            <w:r>
              <w:rPr>
                <w:rFonts w:eastAsiaTheme="minorEastAsia" w:cstheme="minorBidi"/>
                <w:noProof/>
                <w:sz w:val="20"/>
                <w:lang w:eastAsia="en-US"/>
              </w:rPr>
              <w:t>simplifying the EU animal welfare framework and at the remaining scope for simplification, having regard to the evolution of needs in this area.</w:t>
            </w:r>
          </w:p>
        </w:tc>
      </w:tr>
      <w:tr w:rsidR="00B40DA7">
        <w:trPr>
          <w:cantSplit/>
          <w:trHeight w:val="2027"/>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b/>
                <w:noProof/>
                <w:color w:val="000000" w:themeColor="text1"/>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keepNext/>
              <w:spacing w:after="0"/>
              <w:jc w:val="left"/>
              <w:rPr>
                <w:rFonts w:eastAsiaTheme="minorEastAsia" w:cstheme="minorBidi"/>
                <w:b/>
                <w:bCs/>
                <w:noProof/>
                <w:sz w:val="20"/>
                <w:lang w:eastAsia="en-US"/>
              </w:rPr>
            </w:pPr>
            <w:r>
              <w:rPr>
                <w:rFonts w:eastAsiaTheme="minorEastAsia" w:cstheme="minorBidi"/>
                <w:b/>
                <w:bCs/>
                <w:noProof/>
                <w:sz w:val="20"/>
                <w:lang w:eastAsia="en-US"/>
              </w:rPr>
              <w:t>Evaluation on authorisation of plant protection products and maximum residue levels for pesticides</w:t>
            </w:r>
          </w:p>
        </w:tc>
        <w:tc>
          <w:tcPr>
            <w:tcW w:w="9780" w:type="dxa"/>
            <w:tcBorders>
              <w:top w:val="single" w:sz="4" w:space="0" w:color="auto"/>
              <w:left w:val="single" w:sz="4" w:space="0" w:color="auto"/>
              <w:bottom w:val="single" w:sz="4" w:space="0" w:color="auto"/>
            </w:tcBorders>
          </w:tcPr>
          <w:p w:rsidR="00B40DA7" w:rsidRDefault="00531C5A">
            <w:pPr>
              <w:keepNext/>
              <w:spacing w:after="0"/>
              <w:rPr>
                <w:rFonts w:eastAsiaTheme="minorEastAsia" w:cstheme="minorBidi"/>
                <w:noProof/>
                <w:sz w:val="20"/>
                <w:lang w:eastAsia="en-US"/>
              </w:rPr>
            </w:pPr>
            <w:r>
              <w:rPr>
                <w:rFonts w:eastAsiaTheme="minorEastAsia" w:cstheme="minorBidi"/>
                <w:noProof/>
                <w:sz w:val="20"/>
                <w:lang w:eastAsia="en-US"/>
              </w:rPr>
              <w:t>This evalu</w:t>
            </w:r>
            <w:r>
              <w:rPr>
                <w:rFonts w:eastAsiaTheme="minorEastAsia" w:cstheme="minorBidi"/>
                <w:noProof/>
                <w:sz w:val="20"/>
                <w:lang w:eastAsia="en-US"/>
              </w:rPr>
              <w:t xml:space="preserve">ation covers the implementation and functioning of Regulation 1107/2009 on plant protection products and Regulation 396/2005 on maximum residue levels </w:t>
            </w:r>
            <w:r>
              <w:rPr>
                <w:rFonts w:eastAsia="Arial Unicode MS" w:cstheme="minorBidi"/>
                <w:noProof/>
                <w:sz w:val="20"/>
                <w:lang w:eastAsia="en-US"/>
              </w:rPr>
              <w:t xml:space="preserve">in all Member States since their applicability in June 2011 and September 2008, respectively. </w:t>
            </w:r>
            <w:r>
              <w:rPr>
                <w:rFonts w:eastAsiaTheme="minorEastAsia" w:cstheme="minorBidi"/>
                <w:noProof/>
                <w:sz w:val="20"/>
                <w:lang w:eastAsia="en-US"/>
              </w:rPr>
              <w:t>It proposes</w:t>
            </w:r>
            <w:r>
              <w:rPr>
                <w:rFonts w:eastAsiaTheme="minorEastAsia" w:cstheme="minorBidi"/>
                <w:noProof/>
                <w:sz w:val="20"/>
                <w:lang w:eastAsia="en-US"/>
              </w:rPr>
              <w:t xml:space="preserve"> possible ways to enhance the implementation of the Regulations in order to simplify or strengthen the current regulatory framework, e.g. to address delays and increase transparency, improve the zonal system for authorisation and mutual recognition of auth</w:t>
            </w:r>
            <w:r>
              <w:rPr>
                <w:rFonts w:eastAsiaTheme="minorEastAsia" w:cstheme="minorBidi"/>
                <w:noProof/>
                <w:sz w:val="20"/>
                <w:lang w:eastAsia="en-US"/>
              </w:rPr>
              <w:t>orisations, promote sustainable plant protection, low risk solutions and efficient risk mitigation, as well as to increase coherence and consistency between the Regulations and other EU legislation.</w:t>
            </w:r>
          </w:p>
          <w:p w:rsidR="00B40DA7" w:rsidRDefault="00531C5A">
            <w:pPr>
              <w:keepNext/>
              <w:spacing w:after="0"/>
              <w:rPr>
                <w:rFonts w:eastAsiaTheme="minorEastAsia" w:cstheme="minorBidi"/>
                <w:noProof/>
                <w:sz w:val="20"/>
                <w:lang w:eastAsia="en-US"/>
              </w:rPr>
            </w:pPr>
            <w:r>
              <w:rPr>
                <w:rFonts w:eastAsiaTheme="minorEastAsia" w:cstheme="minorBidi"/>
                <w:noProof/>
                <w:sz w:val="20"/>
                <w:lang w:eastAsia="en-US"/>
              </w:rPr>
              <w:t xml:space="preserve">The evaluation looks also into the issues raised in the </w:t>
            </w:r>
            <w:hyperlink r:id="rId21" w:history="1">
              <w:r>
                <w:rPr>
                  <w:rFonts w:eastAsiaTheme="minorEastAsia" w:cstheme="minorBidi"/>
                  <w:noProof/>
                  <w:color w:val="0000FF" w:themeColor="hyperlink"/>
                  <w:sz w:val="20"/>
                  <w:u w:val="single"/>
                  <w:lang w:eastAsia="en-US"/>
                </w:rPr>
                <w:t>REFIT Platform opinion XI.10.a</w:t>
              </w:r>
            </w:hyperlink>
            <w:r>
              <w:rPr>
                <w:rFonts w:eastAsiaTheme="minorEastAsia" w:cstheme="minorBidi"/>
                <w:noProof/>
                <w:sz w:val="20"/>
                <w:lang w:eastAsia="en-US"/>
              </w:rPr>
              <w:t xml:space="preserve"> on Multiple use/Multiple source substances – Chlorate adopted on 7/6/2017 and in the </w:t>
            </w:r>
            <w:hyperlink r:id="rId22" w:history="1">
              <w:r>
                <w:rPr>
                  <w:rFonts w:eastAsiaTheme="minorEastAsia" w:cstheme="minorBidi"/>
                  <w:noProof/>
                  <w:color w:val="0000FF" w:themeColor="hyperlink"/>
                  <w:sz w:val="20"/>
                  <w:u w:val="single"/>
                  <w:lang w:eastAsia="en-US"/>
                </w:rPr>
                <w:t>REFIT Platform opinion XI.22.a</w:t>
              </w:r>
            </w:hyperlink>
            <w:r>
              <w:rPr>
                <w:rFonts w:eastAsiaTheme="minorEastAsia" w:cstheme="minorBidi"/>
                <w:noProof/>
                <w:sz w:val="20"/>
                <w:lang w:eastAsia="en-US"/>
              </w:rPr>
              <w:t xml:space="preserve"> on the registration of plant protec</w:t>
            </w:r>
            <w:r>
              <w:rPr>
                <w:rFonts w:eastAsiaTheme="minorEastAsia" w:cstheme="minorBidi"/>
                <w:noProof/>
                <w:sz w:val="20"/>
                <w:lang w:eastAsia="en-US"/>
              </w:rPr>
              <w:t>tion products – adopted on 14/03/2019.</w:t>
            </w:r>
          </w:p>
        </w:tc>
      </w:tr>
      <w:tr w:rsidR="00B40DA7">
        <w:trPr>
          <w:cantSplit/>
          <w:trHeight w:val="1336"/>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b/>
                <w:noProof/>
                <w:color w:val="000000" w:themeColor="text1"/>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keepNext/>
              <w:spacing w:after="0"/>
              <w:jc w:val="left"/>
              <w:rPr>
                <w:rFonts w:eastAsiaTheme="minorEastAsia" w:cstheme="minorBidi"/>
                <w:b/>
                <w:bCs/>
                <w:noProof/>
                <w:sz w:val="20"/>
                <w:lang w:eastAsia="en-US"/>
              </w:rPr>
            </w:pPr>
            <w:r>
              <w:rPr>
                <w:rFonts w:eastAsiaTheme="minorEastAsia" w:cstheme="minorBidi"/>
                <w:b/>
                <w:bCs/>
                <w:noProof/>
                <w:sz w:val="20"/>
                <w:lang w:eastAsia="en-US"/>
              </w:rPr>
              <w:t>Evaluation of Regulation (EC) No 1924/2006 on nutrition and health claims made on food with regard to nutrient profiles and health claims made on plants and their preparations and of the general regulatory framework</w:t>
            </w:r>
            <w:r>
              <w:rPr>
                <w:rFonts w:eastAsiaTheme="minorEastAsia" w:cstheme="minorBidi"/>
                <w:b/>
                <w:bCs/>
                <w:noProof/>
                <w:sz w:val="20"/>
                <w:lang w:eastAsia="en-US"/>
              </w:rPr>
              <w:t xml:space="preserve"> for their use in foods</w:t>
            </w:r>
          </w:p>
        </w:tc>
        <w:tc>
          <w:tcPr>
            <w:tcW w:w="9780" w:type="dxa"/>
            <w:tcBorders>
              <w:top w:val="single" w:sz="4" w:space="0" w:color="auto"/>
              <w:left w:val="single" w:sz="4" w:space="0" w:color="auto"/>
              <w:bottom w:val="single" w:sz="4" w:space="0" w:color="auto"/>
            </w:tcBorders>
          </w:tcPr>
          <w:p w:rsidR="00B40DA7" w:rsidRDefault="00531C5A">
            <w:pPr>
              <w:keepNext/>
              <w:spacing w:after="0"/>
              <w:rPr>
                <w:rFonts w:eastAsiaTheme="minorEastAsia" w:cstheme="minorBidi"/>
                <w:noProof/>
                <w:sz w:val="20"/>
                <w:lang w:eastAsia="en-US"/>
              </w:rPr>
            </w:pPr>
            <w:r>
              <w:rPr>
                <w:rFonts w:eastAsiaTheme="minorEastAsia" w:cstheme="minorBidi"/>
                <w:noProof/>
                <w:sz w:val="20"/>
                <w:lang w:eastAsia="en-US"/>
              </w:rPr>
              <w:t xml:space="preserve">This evaluation looks at the issue raised by the </w:t>
            </w:r>
            <w:hyperlink r:id="rId23" w:history="1">
              <w:r>
                <w:rPr>
                  <w:rFonts w:eastAsiaTheme="minorEastAsia" w:cstheme="minorBidi"/>
                  <w:noProof/>
                  <w:color w:val="0000FF" w:themeColor="hyperlink"/>
                  <w:sz w:val="20"/>
                  <w:u w:val="single"/>
                  <w:lang w:eastAsia="en-US"/>
                </w:rPr>
                <w:t>REFIT Platform Opinion XI.11.a-b</w:t>
              </w:r>
            </w:hyperlink>
            <w:r>
              <w:rPr>
                <w:rFonts w:eastAsiaTheme="minorEastAsia" w:cstheme="minorBidi"/>
                <w:noProof/>
                <w:sz w:val="20"/>
                <w:lang w:eastAsia="en-US"/>
              </w:rPr>
              <w:t xml:space="preserve"> on the establishment of nutrient profiles. </w:t>
            </w:r>
            <w:r>
              <w:rPr>
                <w:rFonts w:eastAsiaTheme="minorEastAsia" w:cstheme="minorBidi"/>
                <w:noProof/>
                <w:sz w:val="20"/>
                <w:lang w:eastAsia="en-US"/>
              </w:rPr>
              <w:t>The evaluation assessed the impacts of the current situation (where no nutrient profiles exist at EU level). It looks at whether nutrient profiles are still fit for their purpose, warranted and adequate to ensure the objectives of the Claims Regulation. Th</w:t>
            </w:r>
            <w:r>
              <w:rPr>
                <w:rFonts w:eastAsiaTheme="minorEastAsia" w:cstheme="minorBidi"/>
                <w:noProof/>
                <w:sz w:val="20"/>
                <w:lang w:eastAsia="en-US"/>
              </w:rPr>
              <w:t xml:space="preserve">e results of this evaluation are also awaited to address the issues raised on Traditional Herbal Medicines Products Directive by businesses, as included in the </w:t>
            </w:r>
            <w:hyperlink r:id="rId24" w:history="1">
              <w:r>
                <w:rPr>
                  <w:rFonts w:eastAsiaTheme="minorEastAsia" w:cstheme="minorBidi"/>
                  <w:noProof/>
                  <w:color w:val="0000FF" w:themeColor="hyperlink"/>
                  <w:sz w:val="20"/>
                  <w:u w:val="single"/>
                  <w:lang w:eastAsia="en-US"/>
                </w:rPr>
                <w:t>REFIT Platform opin</w:t>
              </w:r>
              <w:r>
                <w:rPr>
                  <w:rFonts w:eastAsiaTheme="minorEastAsia" w:cstheme="minorBidi"/>
                  <w:noProof/>
                  <w:color w:val="0000FF" w:themeColor="hyperlink"/>
                  <w:sz w:val="20"/>
                  <w:u w:val="single"/>
                  <w:lang w:eastAsia="en-US"/>
                </w:rPr>
                <w:t>ion XI.6.a-b</w:t>
              </w:r>
            </w:hyperlink>
            <w:r>
              <w:rPr>
                <w:rFonts w:eastAsiaTheme="minorEastAsia" w:cstheme="minorBidi"/>
                <w:noProof/>
                <w:sz w:val="20"/>
                <w:lang w:eastAsia="en-US"/>
              </w:rPr>
              <w:t>.</w:t>
            </w:r>
          </w:p>
        </w:tc>
      </w:tr>
      <w:tr w:rsidR="00B40DA7">
        <w:trPr>
          <w:cantSplit/>
          <w:trHeight w:val="1380"/>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b/>
                <w:noProof/>
                <w:color w:val="000000" w:themeColor="text1"/>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keepNext/>
              <w:spacing w:after="0"/>
              <w:jc w:val="left"/>
              <w:rPr>
                <w:rFonts w:eastAsiaTheme="minorEastAsia" w:cstheme="minorBidi"/>
                <w:b/>
                <w:bCs/>
                <w:noProof/>
                <w:sz w:val="20"/>
                <w:lang w:eastAsia="en-US"/>
              </w:rPr>
            </w:pPr>
            <w:r>
              <w:rPr>
                <w:rFonts w:eastAsiaTheme="minorEastAsia" w:cstheme="minorBidi"/>
                <w:b/>
                <w:bCs/>
                <w:noProof/>
                <w:sz w:val="20"/>
                <w:lang w:eastAsia="en-US"/>
              </w:rPr>
              <w:t>Evaluation of Food Contact Materials</w:t>
            </w:r>
          </w:p>
        </w:tc>
        <w:tc>
          <w:tcPr>
            <w:tcW w:w="9780" w:type="dxa"/>
            <w:tcBorders>
              <w:top w:val="single" w:sz="4" w:space="0" w:color="auto"/>
              <w:left w:val="single" w:sz="4" w:space="0" w:color="auto"/>
              <w:bottom w:val="single" w:sz="4" w:space="0" w:color="auto"/>
            </w:tcBorders>
          </w:tcPr>
          <w:p w:rsidR="00B40DA7" w:rsidRDefault="00531C5A">
            <w:pPr>
              <w:keepNext/>
              <w:spacing w:after="0"/>
              <w:rPr>
                <w:rFonts w:eastAsiaTheme="minorEastAsia" w:cstheme="minorBidi"/>
                <w:noProof/>
                <w:sz w:val="20"/>
                <w:lang w:eastAsia="en-US"/>
              </w:rPr>
            </w:pPr>
            <w:r>
              <w:rPr>
                <w:rFonts w:eastAsiaTheme="minorEastAsia" w:cstheme="minorBidi"/>
                <w:noProof/>
                <w:sz w:val="20"/>
                <w:lang w:eastAsia="en-US"/>
              </w:rPr>
              <w:t xml:space="preserve">This evaluation scrutinises all aspects of the current EU food contact materials legislation, including the effectiveness of the declaration of compliance, which is currently required for specific measures at EU level. On the basis of this evaluation, the </w:t>
            </w:r>
            <w:r>
              <w:rPr>
                <w:rFonts w:eastAsiaTheme="minorEastAsia" w:cstheme="minorBidi"/>
                <w:noProof/>
                <w:sz w:val="20"/>
                <w:lang w:eastAsia="en-US"/>
              </w:rPr>
              <w:t xml:space="preserve">Commission will consider if further measures are necessary at EU level, including consideration of different issues such as the one raised by the </w:t>
            </w:r>
            <w:hyperlink r:id="rId25" w:history="1">
              <w:r>
                <w:rPr>
                  <w:rFonts w:eastAsiaTheme="minorEastAsia" w:cstheme="minorBidi"/>
                  <w:noProof/>
                  <w:color w:val="0000FF" w:themeColor="hyperlink"/>
                  <w:sz w:val="20"/>
                  <w:u w:val="single"/>
                  <w:lang w:eastAsia="en-US"/>
                </w:rPr>
                <w:t>REFIT Platform Opinion X</w:t>
              </w:r>
              <w:r>
                <w:rPr>
                  <w:rFonts w:eastAsiaTheme="minorEastAsia" w:cstheme="minorBidi"/>
                  <w:noProof/>
                  <w:color w:val="0000FF" w:themeColor="hyperlink"/>
                  <w:sz w:val="20"/>
                  <w:u w:val="single"/>
                  <w:lang w:eastAsia="en-US"/>
                </w:rPr>
                <w:t>I.1a</w:t>
              </w:r>
            </w:hyperlink>
            <w:r>
              <w:rPr>
                <w:rFonts w:eastAsiaTheme="minorEastAsia" w:cstheme="minorBidi"/>
                <w:noProof/>
                <w:sz w:val="20"/>
                <w:lang w:eastAsia="en-US"/>
              </w:rPr>
              <w:t>, which recommends a common European requirement for a declaration of compliance for all types of food contact materials.</w:t>
            </w:r>
          </w:p>
        </w:tc>
      </w:tr>
      <w:tr w:rsidR="00B40DA7">
        <w:trPr>
          <w:cantSplit/>
          <w:trHeight w:val="1380"/>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keepNext/>
              <w:numPr>
                <w:ilvl w:val="0"/>
                <w:numId w:val="23"/>
              </w:numPr>
              <w:spacing w:after="0" w:line="276" w:lineRule="auto"/>
              <w:jc w:val="left"/>
              <w:rPr>
                <w:rFonts w:eastAsiaTheme="minorHAnsi" w:cstheme="minorBidi"/>
                <w:b/>
                <w:noProof/>
                <w:color w:val="000000" w:themeColor="text1"/>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keepNext/>
              <w:spacing w:after="0"/>
              <w:jc w:val="left"/>
              <w:rPr>
                <w:rFonts w:eastAsiaTheme="minorEastAsia" w:cstheme="minorBidi"/>
                <w:b/>
                <w:bCs/>
                <w:noProof/>
                <w:sz w:val="20"/>
                <w:lang w:eastAsia="en-US"/>
              </w:rPr>
            </w:pPr>
            <w:r>
              <w:rPr>
                <w:rFonts w:eastAsiaTheme="minorEastAsia" w:cstheme="minorBidi"/>
                <w:b/>
                <w:bCs/>
                <w:noProof/>
                <w:sz w:val="20"/>
                <w:lang w:eastAsia="en-US"/>
              </w:rPr>
              <w:t>Evaluation of the Directive 2005/44/EC on harmonised river information services (RIS) on inland waterways in the Community</w:t>
            </w:r>
          </w:p>
        </w:tc>
        <w:tc>
          <w:tcPr>
            <w:tcW w:w="9780" w:type="dxa"/>
            <w:tcBorders>
              <w:top w:val="single" w:sz="4" w:space="0" w:color="auto"/>
              <w:left w:val="single" w:sz="4" w:space="0" w:color="auto"/>
              <w:bottom w:val="single" w:sz="4" w:space="0" w:color="auto"/>
            </w:tcBorders>
          </w:tcPr>
          <w:p w:rsidR="00B40DA7" w:rsidRDefault="00531C5A">
            <w:pPr>
              <w:keepNext/>
              <w:spacing w:after="0"/>
              <w:rPr>
                <w:rFonts w:eastAsiaTheme="minorEastAsia" w:cstheme="minorBidi"/>
                <w:noProof/>
                <w:sz w:val="20"/>
                <w:lang w:eastAsia="en-US"/>
              </w:rPr>
            </w:pPr>
            <w:r>
              <w:rPr>
                <w:rFonts w:eastAsiaTheme="minorEastAsia" w:cstheme="minorBidi"/>
                <w:noProof/>
                <w:sz w:val="20"/>
                <w:lang w:eastAsia="en-US"/>
              </w:rPr>
              <w:t>River</w:t>
            </w:r>
            <w:r>
              <w:rPr>
                <w:rFonts w:eastAsiaTheme="minorEastAsia" w:cstheme="minorBidi"/>
                <w:noProof/>
                <w:sz w:val="20"/>
                <w:lang w:eastAsia="en-US"/>
              </w:rPr>
              <w:t xml:space="preserve"> information services (RIS) make use of information and communication technology (ICT) to support safety, efficiency and environmental friendliness of inland waterway transport. The RIS Directive provides a framework for minimum requirements and technical </w:t>
            </w:r>
            <w:r>
              <w:rPr>
                <w:rFonts w:eastAsiaTheme="minorEastAsia" w:cstheme="minorBidi"/>
                <w:noProof/>
                <w:sz w:val="20"/>
                <w:lang w:eastAsia="en-US"/>
              </w:rPr>
              <w:t>specifications for the provision and implementation of RIS to assure harmonisation, interoperability and cross-border compatibility of Member States’ RIS systems for waterways of class IV or above. The evaluation looks at the Directive’s implementation and</w:t>
            </w:r>
            <w:r>
              <w:rPr>
                <w:rFonts w:eastAsiaTheme="minorEastAsia" w:cstheme="minorBidi"/>
                <w:noProof/>
                <w:sz w:val="20"/>
                <w:lang w:eastAsia="en-US"/>
              </w:rPr>
              <w:t xml:space="preserve"> at the sector’s recent organisational and technological developments, particularly of digital technologies. It also assesses potential areas for simplification in the process through which updates to the technical specifications under the Directive are be</w:t>
            </w:r>
            <w:r>
              <w:rPr>
                <w:rFonts w:eastAsiaTheme="minorEastAsia" w:cstheme="minorBidi"/>
                <w:noProof/>
                <w:sz w:val="20"/>
                <w:lang w:eastAsia="en-US"/>
              </w:rPr>
              <w:t>ing conceived.</w:t>
            </w:r>
          </w:p>
        </w:tc>
      </w:tr>
      <w:tr w:rsidR="00B40DA7">
        <w:trPr>
          <w:cantSplit/>
        </w:trPr>
        <w:tc>
          <w:tcPr>
            <w:tcW w:w="14827" w:type="dxa"/>
            <w:gridSpan w:val="3"/>
            <w:shd w:val="clear" w:color="auto" w:fill="18BAA8" w:themeFill="accent2"/>
          </w:tcPr>
          <w:p w:rsidR="00B40DA7" w:rsidRDefault="00531C5A">
            <w:pPr>
              <w:keepNext/>
              <w:spacing w:before="60" w:after="60"/>
              <w:rPr>
                <w:b/>
                <w:bCs/>
                <w:noProof/>
                <w:sz w:val="20"/>
              </w:rPr>
            </w:pPr>
            <w:r>
              <w:rPr>
                <w:b/>
                <w:bCs/>
                <w:noProof/>
                <w:color w:val="FFFFFF" w:themeColor="background1"/>
                <w:sz w:val="20"/>
              </w:rPr>
              <w:t>A Europe fit for the Digital Age</w:t>
            </w:r>
          </w:p>
        </w:tc>
      </w:tr>
      <w:tr w:rsidR="00B40DA7">
        <w:trPr>
          <w:cantSplit/>
        </w:trPr>
        <w:tc>
          <w:tcPr>
            <w:tcW w:w="647" w:type="dxa"/>
            <w:shd w:val="clear" w:color="auto" w:fill="auto"/>
          </w:tcPr>
          <w:p w:rsidR="00B40DA7" w:rsidRDefault="00B40DA7">
            <w:pPr>
              <w:numPr>
                <w:ilvl w:val="0"/>
                <w:numId w:val="23"/>
              </w:numPr>
              <w:spacing w:after="0" w:line="276" w:lineRule="auto"/>
              <w:jc w:val="left"/>
              <w:rPr>
                <w:rFonts w:eastAsiaTheme="minorHAnsi" w:cstheme="minorBidi"/>
                <w:b/>
                <w:noProof/>
                <w:color w:val="000000"/>
                <w:sz w:val="20"/>
                <w:lang w:eastAsia="en-US"/>
              </w:rPr>
            </w:pPr>
          </w:p>
        </w:tc>
        <w:tc>
          <w:tcPr>
            <w:tcW w:w="4400" w:type="dxa"/>
            <w:shd w:val="clear" w:color="auto" w:fill="auto"/>
          </w:tcPr>
          <w:p w:rsidR="00B40DA7" w:rsidRDefault="00531C5A">
            <w:pPr>
              <w:spacing w:after="0"/>
              <w:rPr>
                <w:rFonts w:eastAsiaTheme="minorEastAsia" w:cstheme="minorBidi"/>
                <w:b/>
                <w:bCs/>
                <w:noProof/>
                <w:color w:val="000000" w:themeColor="text1"/>
                <w:sz w:val="20"/>
                <w:lang w:eastAsia="en-US"/>
              </w:rPr>
            </w:pPr>
            <w:r>
              <w:rPr>
                <w:rFonts w:eastAsiaTheme="minorEastAsia" w:cstheme="minorBidi"/>
                <w:b/>
                <w:bCs/>
                <w:noProof/>
                <w:color w:val="000000" w:themeColor="text1"/>
                <w:sz w:val="20"/>
                <w:lang w:eastAsia="en-US"/>
              </w:rPr>
              <w:t xml:space="preserve">Report from the Commission to the European Parliament and the Council on the Application of Regulation (EU) 910/2014 on electronic identification and trust services for electronic transactions in the </w:t>
            </w:r>
            <w:r>
              <w:rPr>
                <w:rFonts w:eastAsiaTheme="minorEastAsia" w:cstheme="minorBidi"/>
                <w:b/>
                <w:bCs/>
                <w:noProof/>
                <w:color w:val="000000" w:themeColor="text1"/>
                <w:sz w:val="20"/>
                <w:lang w:eastAsia="en-US"/>
              </w:rPr>
              <w:t>internal market (eIDAS Regulation)</w:t>
            </w:r>
          </w:p>
        </w:tc>
        <w:tc>
          <w:tcPr>
            <w:tcW w:w="9780" w:type="dxa"/>
          </w:tcPr>
          <w:p w:rsidR="00B40DA7" w:rsidRDefault="00531C5A">
            <w:pPr>
              <w:spacing w:after="0"/>
              <w:rPr>
                <w:rFonts w:eastAsiaTheme="minorEastAsia" w:cstheme="minorBidi"/>
                <w:noProof/>
                <w:color w:val="000000" w:themeColor="text1"/>
                <w:sz w:val="20"/>
                <w:lang w:eastAsia="en-US"/>
              </w:rPr>
            </w:pPr>
            <w:r>
              <w:rPr>
                <w:rFonts w:eastAsiaTheme="minorEastAsia" w:cstheme="minorBidi"/>
                <w:noProof/>
                <w:color w:val="000000" w:themeColor="text1"/>
                <w:sz w:val="20"/>
                <w:lang w:eastAsia="en-US"/>
              </w:rPr>
              <w:t xml:space="preserve">The Commission shall report on the application of Regulation (EU) 910/2014 to the European Parliament and the Council by 1 July 2020, as required by Article 49 of the Regulation. The report will assess to what extent the </w:t>
            </w:r>
            <w:r>
              <w:rPr>
                <w:rFonts w:eastAsiaTheme="minorEastAsia" w:cstheme="minorBidi"/>
                <w:noProof/>
                <w:color w:val="000000" w:themeColor="text1"/>
                <w:sz w:val="20"/>
                <w:lang w:eastAsia="en-US"/>
              </w:rPr>
              <w:t>eIDAS framework remains fit for purpose delivering the intended outcomes, results and impacts and may identify possible further actions to improve regulatory performance. The Commission will conduct an evaluation in line with the Better Regulation guidelin</w:t>
            </w:r>
            <w:r>
              <w:rPr>
                <w:rFonts w:eastAsiaTheme="minorEastAsia" w:cstheme="minorBidi"/>
                <w:noProof/>
                <w:color w:val="000000" w:themeColor="text1"/>
                <w:sz w:val="20"/>
                <w:lang w:eastAsia="en-US"/>
              </w:rPr>
              <w:t xml:space="preserve">es, also involving a public and a targeted stakeholder consultation. </w:t>
            </w:r>
          </w:p>
        </w:tc>
      </w:tr>
      <w:tr w:rsidR="00B40DA7">
        <w:trPr>
          <w:cantSplit/>
        </w:trPr>
        <w:tc>
          <w:tcPr>
            <w:tcW w:w="647" w:type="dxa"/>
            <w:shd w:val="clear" w:color="auto" w:fill="auto"/>
          </w:tcPr>
          <w:p w:rsidR="00B40DA7" w:rsidRDefault="00B40DA7">
            <w:pPr>
              <w:numPr>
                <w:ilvl w:val="0"/>
                <w:numId w:val="23"/>
              </w:numPr>
              <w:tabs>
                <w:tab w:val="num" w:pos="709"/>
              </w:tabs>
              <w:spacing w:after="0" w:line="276" w:lineRule="auto"/>
              <w:jc w:val="left"/>
              <w:rPr>
                <w:rFonts w:eastAsiaTheme="minorHAnsi" w:cstheme="minorBidi"/>
                <w:b/>
                <w:noProof/>
                <w:color w:val="000000"/>
                <w:sz w:val="20"/>
                <w:lang w:eastAsia="en-US"/>
              </w:rPr>
            </w:pPr>
          </w:p>
        </w:tc>
        <w:tc>
          <w:tcPr>
            <w:tcW w:w="4400" w:type="dxa"/>
            <w:shd w:val="clear" w:color="auto" w:fill="auto"/>
          </w:tcPr>
          <w:p w:rsidR="00B40DA7" w:rsidRDefault="00531C5A">
            <w:pPr>
              <w:spacing w:after="0"/>
              <w:rPr>
                <w:rFonts w:eastAsiaTheme="minorEastAsia" w:cstheme="minorBidi"/>
                <w:b/>
                <w:bCs/>
                <w:noProof/>
                <w:color w:val="000000" w:themeColor="text1"/>
                <w:sz w:val="20"/>
                <w:lang w:eastAsia="en-US"/>
              </w:rPr>
            </w:pPr>
            <w:r>
              <w:rPr>
                <w:rFonts w:eastAsiaTheme="minorEastAsia" w:cstheme="minorBidi"/>
                <w:b/>
                <w:bCs/>
                <w:noProof/>
                <w:color w:val="000000" w:themeColor="text1"/>
                <w:sz w:val="20"/>
                <w:lang w:eastAsia="en-US"/>
              </w:rPr>
              <w:t>Review of the Broadband Cost Reduction Directive (Directive 2014/61/EU)</w:t>
            </w:r>
          </w:p>
        </w:tc>
        <w:tc>
          <w:tcPr>
            <w:tcW w:w="9780" w:type="dxa"/>
          </w:tcPr>
          <w:p w:rsidR="00B40DA7" w:rsidRDefault="00531C5A">
            <w:pPr>
              <w:spacing w:after="0"/>
              <w:rPr>
                <w:rFonts w:eastAsiaTheme="minorEastAsia" w:cstheme="minorBidi"/>
                <w:noProof/>
                <w:color w:val="000000" w:themeColor="text1"/>
                <w:sz w:val="20"/>
                <w:lang w:eastAsia="en-US"/>
              </w:rPr>
            </w:pPr>
            <w:r>
              <w:rPr>
                <w:rFonts w:eastAsiaTheme="minorEastAsia" w:cstheme="minorBidi"/>
                <w:noProof/>
                <w:color w:val="000000" w:themeColor="text1"/>
                <w:sz w:val="20"/>
                <w:lang w:eastAsia="en-US"/>
              </w:rPr>
              <w:t>The review aims to reduce unnecessary and costly administrative burden, which can significantly deter and delay network deployment. It aims to improve further the current measure by simplifying permits and procedures or by making the engineering works more</w:t>
            </w:r>
            <w:r>
              <w:rPr>
                <w:rFonts w:eastAsiaTheme="minorEastAsia" w:cstheme="minorBidi"/>
                <w:noProof/>
                <w:color w:val="000000" w:themeColor="text1"/>
                <w:sz w:val="20"/>
                <w:lang w:eastAsia="en-US"/>
              </w:rPr>
              <w:t xml:space="preserve"> agile by improving coordination with other infrastructures (roads, energy, etc.). This can represent an important opportunity for new legislation to reduce overall administrative burdens in the sector. </w:t>
            </w:r>
          </w:p>
        </w:tc>
      </w:tr>
      <w:tr w:rsidR="00B40DA7">
        <w:trPr>
          <w:cantSplit/>
        </w:trPr>
        <w:tc>
          <w:tcPr>
            <w:tcW w:w="647" w:type="dxa"/>
            <w:shd w:val="clear" w:color="auto" w:fill="auto"/>
          </w:tcPr>
          <w:p w:rsidR="00B40DA7" w:rsidRDefault="00B40DA7">
            <w:pPr>
              <w:numPr>
                <w:ilvl w:val="0"/>
                <w:numId w:val="23"/>
              </w:numPr>
              <w:tabs>
                <w:tab w:val="num" w:pos="709"/>
              </w:tabs>
              <w:spacing w:after="0" w:line="276" w:lineRule="auto"/>
              <w:jc w:val="left"/>
              <w:rPr>
                <w:rFonts w:eastAsiaTheme="minorHAnsi" w:cstheme="minorBidi"/>
                <w:b/>
                <w:noProof/>
                <w:color w:val="000000"/>
                <w:sz w:val="20"/>
                <w:lang w:eastAsia="en-US"/>
              </w:rPr>
            </w:pPr>
          </w:p>
        </w:tc>
        <w:tc>
          <w:tcPr>
            <w:tcW w:w="4400" w:type="dxa"/>
            <w:shd w:val="clear" w:color="auto" w:fill="auto"/>
          </w:tcPr>
          <w:p w:rsidR="00B40DA7" w:rsidRDefault="00531C5A">
            <w:pPr>
              <w:spacing w:after="0"/>
              <w:rPr>
                <w:rFonts w:eastAsiaTheme="minorEastAsia" w:cstheme="minorBidi"/>
                <w:b/>
                <w:bCs/>
                <w:noProof/>
                <w:color w:val="000000" w:themeColor="text1"/>
                <w:sz w:val="20"/>
                <w:lang w:eastAsia="en-US"/>
              </w:rPr>
            </w:pPr>
            <w:r>
              <w:rPr>
                <w:rFonts w:eastAsiaTheme="minorEastAsia" w:cstheme="minorBidi"/>
                <w:b/>
                <w:bCs/>
                <w:noProof/>
                <w:color w:val="000000" w:themeColor="text1"/>
                <w:sz w:val="20"/>
                <w:lang w:eastAsia="en-US"/>
              </w:rPr>
              <w:t>Review of the Regulation on the internal market an</w:t>
            </w:r>
            <w:r>
              <w:rPr>
                <w:rFonts w:eastAsiaTheme="minorEastAsia" w:cstheme="minorBidi"/>
                <w:b/>
                <w:bCs/>
                <w:noProof/>
                <w:color w:val="000000" w:themeColor="text1"/>
                <w:sz w:val="20"/>
                <w:lang w:eastAsia="en-US"/>
              </w:rPr>
              <w:t>d cross-border e-commerce (Geo-Blocking)</w:t>
            </w:r>
          </w:p>
        </w:tc>
        <w:tc>
          <w:tcPr>
            <w:tcW w:w="9780" w:type="dxa"/>
          </w:tcPr>
          <w:p w:rsidR="00B40DA7" w:rsidRDefault="00531C5A">
            <w:pPr>
              <w:spacing w:after="0"/>
              <w:rPr>
                <w:rFonts w:eastAsiaTheme="minorEastAsia" w:cstheme="minorBidi"/>
                <w:noProof/>
                <w:color w:val="000000" w:themeColor="text1"/>
                <w:sz w:val="20"/>
                <w:lang w:eastAsia="en-US"/>
              </w:rPr>
            </w:pPr>
            <w:r>
              <w:rPr>
                <w:rFonts w:eastAsiaTheme="minorEastAsia" w:cstheme="minorBidi"/>
                <w:noProof/>
                <w:color w:val="000000" w:themeColor="text1"/>
                <w:sz w:val="20"/>
                <w:lang w:eastAsia="en-US"/>
              </w:rPr>
              <w:t>The Commission shall report on the evaluation of this Regulation to the European Parliament, the Council and the European Economic and Social Committee by 23 March 2020, as required by Article 9 of the Regulation (E</w:t>
            </w:r>
            <w:r>
              <w:rPr>
                <w:rFonts w:eastAsiaTheme="minorEastAsia" w:cstheme="minorBidi"/>
                <w:noProof/>
                <w:color w:val="000000" w:themeColor="text1"/>
                <w:sz w:val="20"/>
                <w:lang w:eastAsia="en-US"/>
              </w:rPr>
              <w:t>U) 302/2018. The Commission shall take into account the overall impact of the Regulation on the internal market and cross-border e-commerce, including, in particular, the potential additional administrative and financial burden for traders stemming from th</w:t>
            </w:r>
            <w:r>
              <w:rPr>
                <w:rFonts w:eastAsiaTheme="minorEastAsia" w:cstheme="minorBidi"/>
                <w:noProof/>
                <w:color w:val="000000" w:themeColor="text1"/>
                <w:sz w:val="20"/>
                <w:lang w:eastAsia="en-US"/>
              </w:rPr>
              <w:t xml:space="preserve">e existence of different applicable regulatory consumer contract law regimes. </w:t>
            </w:r>
          </w:p>
        </w:tc>
      </w:tr>
      <w:tr w:rsidR="00B40DA7">
        <w:trPr>
          <w:cantSplit/>
        </w:trPr>
        <w:tc>
          <w:tcPr>
            <w:tcW w:w="647" w:type="dxa"/>
            <w:shd w:val="clear" w:color="auto" w:fill="auto"/>
          </w:tcPr>
          <w:p w:rsidR="00B40DA7" w:rsidRDefault="00B40DA7">
            <w:pPr>
              <w:numPr>
                <w:ilvl w:val="0"/>
                <w:numId w:val="23"/>
              </w:numPr>
              <w:tabs>
                <w:tab w:val="num" w:pos="709"/>
              </w:tabs>
              <w:spacing w:after="0" w:line="276" w:lineRule="auto"/>
              <w:jc w:val="left"/>
              <w:rPr>
                <w:rFonts w:eastAsiaTheme="minorHAnsi" w:cstheme="minorBidi"/>
                <w:b/>
                <w:noProof/>
                <w:color w:val="000000"/>
                <w:sz w:val="20"/>
                <w:lang w:eastAsia="en-US"/>
              </w:rPr>
            </w:pPr>
          </w:p>
        </w:tc>
        <w:tc>
          <w:tcPr>
            <w:tcW w:w="4400" w:type="dxa"/>
            <w:shd w:val="clear" w:color="auto" w:fill="auto"/>
          </w:tcPr>
          <w:p w:rsidR="00B40DA7" w:rsidRDefault="00531C5A">
            <w:pPr>
              <w:spacing w:after="0"/>
              <w:rPr>
                <w:rFonts w:eastAsiaTheme="minorEastAsia" w:cstheme="minorBidi"/>
                <w:b/>
                <w:bCs/>
                <w:noProof/>
                <w:color w:val="000000" w:themeColor="text1"/>
                <w:sz w:val="20"/>
                <w:lang w:eastAsia="en-US"/>
              </w:rPr>
            </w:pPr>
            <w:r>
              <w:rPr>
                <w:rFonts w:eastAsiaTheme="minorEastAsia" w:cstheme="minorBidi"/>
                <w:b/>
                <w:bCs/>
                <w:noProof/>
                <w:color w:val="000000" w:themeColor="text1"/>
                <w:sz w:val="20"/>
                <w:lang w:eastAsia="en-US"/>
              </w:rPr>
              <w:t xml:space="preserve">Revision for the Recommendation on the digitisation and online accessibility of cultural material and digital preservation (2011/711/EU) </w:t>
            </w:r>
          </w:p>
        </w:tc>
        <w:tc>
          <w:tcPr>
            <w:tcW w:w="9780" w:type="dxa"/>
          </w:tcPr>
          <w:p w:rsidR="00B40DA7" w:rsidRDefault="00531C5A">
            <w:pPr>
              <w:spacing w:after="0"/>
              <w:rPr>
                <w:rFonts w:eastAsiaTheme="minorEastAsia" w:cstheme="minorBidi"/>
                <w:noProof/>
                <w:color w:val="000000" w:themeColor="text1"/>
                <w:sz w:val="20"/>
                <w:lang w:eastAsia="en-US"/>
              </w:rPr>
            </w:pPr>
            <w:r>
              <w:rPr>
                <w:rFonts w:eastAsiaTheme="minorEastAsia" w:cstheme="minorBidi"/>
                <w:noProof/>
                <w:color w:val="000000" w:themeColor="text1"/>
                <w:sz w:val="20"/>
                <w:lang w:eastAsia="en-US"/>
              </w:rPr>
              <w:t xml:space="preserve">The on-going evaluation assesses one </w:t>
            </w:r>
            <w:r>
              <w:rPr>
                <w:rFonts w:eastAsiaTheme="minorEastAsia" w:cstheme="minorBidi"/>
                <w:noProof/>
                <w:color w:val="000000" w:themeColor="text1"/>
                <w:sz w:val="20"/>
                <w:lang w:eastAsia="en-US"/>
              </w:rPr>
              <w:t xml:space="preserve">of the main policy instruments on digitisation, online access and digital preservation of cultural heritage material with the objective to gather stakeholders views on a possible update to better reflect today’s public needs in this area, and increase the </w:t>
            </w:r>
            <w:r>
              <w:rPr>
                <w:rFonts w:eastAsiaTheme="minorEastAsia" w:cstheme="minorBidi"/>
                <w:noProof/>
                <w:color w:val="000000" w:themeColor="text1"/>
                <w:sz w:val="20"/>
                <w:lang w:eastAsia="en-US"/>
              </w:rPr>
              <w:t>potential of Europe’s cultural heritage for the benefit of citizens.</w:t>
            </w:r>
            <w:r>
              <w:rPr>
                <w:rFonts w:eastAsiaTheme="minorHAnsi" w:cstheme="minorBidi"/>
                <w:noProof/>
                <w:color w:val="000000" w:themeColor="text1"/>
                <w:sz w:val="20"/>
                <w:lang w:eastAsia="en-US"/>
              </w:rPr>
              <w:br/>
            </w:r>
            <w:r>
              <w:rPr>
                <w:rFonts w:eastAsiaTheme="minorEastAsia" w:cstheme="minorBidi"/>
                <w:noProof/>
                <w:color w:val="000000" w:themeColor="text1"/>
                <w:sz w:val="20"/>
                <w:lang w:eastAsia="en-US"/>
              </w:rPr>
              <w:t xml:space="preserve">The revision will look at these aspects in line with current technology trends and the needs of the sector. </w:t>
            </w:r>
          </w:p>
        </w:tc>
      </w:tr>
      <w:tr w:rsidR="00B40DA7">
        <w:trPr>
          <w:cantSplit/>
        </w:trPr>
        <w:tc>
          <w:tcPr>
            <w:tcW w:w="647" w:type="dxa"/>
            <w:shd w:val="clear" w:color="auto" w:fill="auto"/>
          </w:tcPr>
          <w:p w:rsidR="00B40DA7" w:rsidRDefault="00B40DA7">
            <w:pPr>
              <w:numPr>
                <w:ilvl w:val="0"/>
                <w:numId w:val="23"/>
              </w:numPr>
              <w:tabs>
                <w:tab w:val="num" w:pos="709"/>
              </w:tabs>
              <w:spacing w:after="0" w:line="276" w:lineRule="auto"/>
              <w:jc w:val="left"/>
              <w:rPr>
                <w:rFonts w:eastAsiaTheme="minorHAnsi" w:cstheme="minorBidi"/>
                <w:b/>
                <w:noProof/>
                <w:color w:val="000000"/>
                <w:sz w:val="20"/>
                <w:lang w:eastAsia="en-US"/>
              </w:rPr>
            </w:pPr>
          </w:p>
        </w:tc>
        <w:tc>
          <w:tcPr>
            <w:tcW w:w="4400" w:type="dxa"/>
            <w:shd w:val="clear" w:color="auto" w:fill="auto"/>
          </w:tcPr>
          <w:p w:rsidR="00B40DA7" w:rsidRDefault="00531C5A">
            <w:pPr>
              <w:spacing w:after="0"/>
              <w:rPr>
                <w:rFonts w:eastAsiaTheme="minorEastAsia" w:cstheme="minorBidi"/>
                <w:b/>
                <w:bCs/>
                <w:noProof/>
                <w:sz w:val="20"/>
                <w:lang w:eastAsia="en-US"/>
              </w:rPr>
            </w:pPr>
            <w:r>
              <w:rPr>
                <w:rFonts w:eastAsiaTheme="minorEastAsia" w:cstheme="minorBidi"/>
                <w:b/>
                <w:bCs/>
                <w:noProof/>
                <w:sz w:val="20"/>
                <w:lang w:eastAsia="en-US"/>
              </w:rPr>
              <w:t>Fitness check of 2012 State aid modernisation package, railways guidelines a</w:t>
            </w:r>
            <w:r>
              <w:rPr>
                <w:rFonts w:eastAsiaTheme="minorEastAsia" w:cstheme="minorBidi"/>
                <w:b/>
                <w:bCs/>
                <w:noProof/>
                <w:sz w:val="20"/>
                <w:lang w:eastAsia="en-US"/>
              </w:rPr>
              <w:t>nd short term export credit insurance</w:t>
            </w:r>
          </w:p>
        </w:tc>
        <w:tc>
          <w:tcPr>
            <w:tcW w:w="9780" w:type="dxa"/>
          </w:tcPr>
          <w:p w:rsidR="00B40DA7" w:rsidRDefault="00531C5A">
            <w:pPr>
              <w:spacing w:after="0"/>
              <w:rPr>
                <w:rFonts w:eastAsiaTheme="minorEastAsia" w:cstheme="minorBidi"/>
                <w:noProof/>
                <w:spacing w:val="-2"/>
                <w:sz w:val="20"/>
                <w:lang w:eastAsia="en-US"/>
              </w:rPr>
            </w:pPr>
            <w:r>
              <w:rPr>
                <w:rFonts w:eastAsiaTheme="minorEastAsia" w:cstheme="minorBidi"/>
                <w:noProof/>
                <w:spacing w:val="-2"/>
                <w:sz w:val="20"/>
                <w:lang w:eastAsia="en-US"/>
              </w:rPr>
              <w:t>Due to the State aid modernisation, today, 96% of new implemented aid measures are in the hands of national authorities. This allows more rapid implementation by the Member States and the focus of State aid control bei</w:t>
            </w:r>
            <w:r>
              <w:rPr>
                <w:rFonts w:eastAsiaTheme="minorEastAsia" w:cstheme="minorBidi"/>
                <w:noProof/>
                <w:spacing w:val="-2"/>
                <w:sz w:val="20"/>
                <w:lang w:eastAsia="en-US"/>
              </w:rPr>
              <w:t>ng more "big on big things and small on small things". The ongoing fitness check seeks, among others, to assess to what extent the current regime has contributed to achieving a reduction of the administrative burden and whether there is a further potential</w:t>
            </w:r>
            <w:r>
              <w:rPr>
                <w:rFonts w:eastAsiaTheme="minorEastAsia" w:cstheme="minorBidi"/>
                <w:noProof/>
                <w:spacing w:val="-2"/>
                <w:sz w:val="20"/>
                <w:lang w:eastAsia="en-US"/>
              </w:rPr>
              <w:t xml:space="preserve"> for streamlining and simplifying State aid rules.</w:t>
            </w:r>
          </w:p>
        </w:tc>
      </w:tr>
      <w:tr w:rsidR="00B40DA7">
        <w:trPr>
          <w:cantSplit/>
        </w:trPr>
        <w:tc>
          <w:tcPr>
            <w:tcW w:w="647" w:type="dxa"/>
            <w:shd w:val="clear" w:color="auto" w:fill="auto"/>
          </w:tcPr>
          <w:p w:rsidR="00B40DA7" w:rsidRDefault="00B40DA7">
            <w:pPr>
              <w:numPr>
                <w:ilvl w:val="0"/>
                <w:numId w:val="23"/>
              </w:numPr>
              <w:tabs>
                <w:tab w:val="num" w:pos="709"/>
              </w:tabs>
              <w:spacing w:after="0" w:line="276" w:lineRule="auto"/>
              <w:jc w:val="left"/>
              <w:rPr>
                <w:rFonts w:eastAsiaTheme="minorHAnsi" w:cstheme="minorBidi"/>
                <w:b/>
                <w:noProof/>
                <w:color w:val="000000"/>
                <w:sz w:val="20"/>
                <w:lang w:eastAsia="en-US"/>
              </w:rPr>
            </w:pPr>
          </w:p>
        </w:tc>
        <w:tc>
          <w:tcPr>
            <w:tcW w:w="4400" w:type="dxa"/>
            <w:shd w:val="clear" w:color="auto" w:fill="auto"/>
          </w:tcPr>
          <w:p w:rsidR="00B40DA7" w:rsidRDefault="00531C5A">
            <w:pPr>
              <w:spacing w:after="0"/>
              <w:rPr>
                <w:rFonts w:eastAsiaTheme="minorEastAsia" w:cstheme="minorBidi"/>
                <w:b/>
                <w:bCs/>
                <w:noProof/>
                <w:sz w:val="20"/>
                <w:lang w:eastAsia="en-US"/>
              </w:rPr>
            </w:pPr>
            <w:r>
              <w:rPr>
                <w:rFonts w:eastAsiaTheme="minorEastAsia" w:cstheme="minorBidi"/>
                <w:b/>
                <w:bCs/>
                <w:noProof/>
                <w:sz w:val="20"/>
                <w:lang w:eastAsia="en-US"/>
              </w:rPr>
              <w:t>Evaluation of the Vertical Block Exemption Regulation</w:t>
            </w:r>
          </w:p>
        </w:tc>
        <w:tc>
          <w:tcPr>
            <w:tcW w:w="9780" w:type="dxa"/>
          </w:tcPr>
          <w:p w:rsidR="00B40DA7" w:rsidRDefault="00531C5A">
            <w:pPr>
              <w:spacing w:after="0"/>
              <w:rPr>
                <w:rFonts w:eastAsiaTheme="minorEastAsia" w:cstheme="minorBidi"/>
                <w:noProof/>
                <w:spacing w:val="-2"/>
                <w:sz w:val="20"/>
                <w:lang w:eastAsia="en-US"/>
              </w:rPr>
            </w:pPr>
            <w:r>
              <w:rPr>
                <w:rFonts w:eastAsiaTheme="minorEastAsia" w:cstheme="minorBidi"/>
                <w:noProof/>
                <w:spacing w:val="-2"/>
                <w:sz w:val="20"/>
                <w:lang w:eastAsia="en-US"/>
              </w:rPr>
              <w:t xml:space="preserve">The ongoing evaluation of the Vertical Block Exemption Regulation and Guidelines on Vertical Restraints seeks notably to assess to what extent the </w:t>
            </w:r>
            <w:r>
              <w:rPr>
                <w:rFonts w:eastAsiaTheme="minorEastAsia" w:cstheme="minorBidi"/>
                <w:noProof/>
                <w:spacing w:val="-2"/>
                <w:sz w:val="20"/>
                <w:lang w:eastAsia="en-US"/>
              </w:rPr>
              <w:t>current regime has achieved its objective of providing a safe harbour for vertical agreements that are on balance efficiency enhancing, thus creating legal certainty and reduced compliance costs for stakeholders. This includes identifying areas in which th</w:t>
            </w:r>
            <w:r>
              <w:rPr>
                <w:rFonts w:eastAsiaTheme="minorEastAsia" w:cstheme="minorBidi"/>
                <w:noProof/>
                <w:spacing w:val="-2"/>
                <w:sz w:val="20"/>
                <w:lang w:eastAsia="en-US"/>
              </w:rPr>
              <w:t>e current regime may not properly reflect new market developments as well as possible gaps, which may have resulted in legal uncertainty, inconsistencies in the enforcement of the vertical rules in different EU Member States and therefore increased complia</w:t>
            </w:r>
            <w:r>
              <w:rPr>
                <w:rFonts w:eastAsiaTheme="minorEastAsia" w:cstheme="minorBidi"/>
                <w:noProof/>
                <w:spacing w:val="-2"/>
                <w:sz w:val="20"/>
                <w:lang w:eastAsia="en-US"/>
              </w:rPr>
              <w:t>nce costs for stakeholders.</w:t>
            </w:r>
          </w:p>
        </w:tc>
      </w:tr>
      <w:tr w:rsidR="00B40DA7">
        <w:trPr>
          <w:cantSplit/>
        </w:trPr>
        <w:tc>
          <w:tcPr>
            <w:tcW w:w="647" w:type="dxa"/>
            <w:shd w:val="clear" w:color="auto" w:fill="auto"/>
          </w:tcPr>
          <w:p w:rsidR="00B40DA7" w:rsidRDefault="00B40DA7">
            <w:pPr>
              <w:numPr>
                <w:ilvl w:val="0"/>
                <w:numId w:val="23"/>
              </w:numPr>
              <w:tabs>
                <w:tab w:val="num" w:pos="709"/>
              </w:tabs>
              <w:spacing w:after="0" w:line="276" w:lineRule="auto"/>
              <w:jc w:val="left"/>
              <w:rPr>
                <w:rFonts w:eastAsiaTheme="minorHAnsi" w:cstheme="minorBidi"/>
                <w:b/>
                <w:noProof/>
                <w:color w:val="000000"/>
                <w:sz w:val="20"/>
                <w:lang w:eastAsia="en-US"/>
              </w:rPr>
            </w:pPr>
          </w:p>
        </w:tc>
        <w:tc>
          <w:tcPr>
            <w:tcW w:w="4400" w:type="dxa"/>
            <w:shd w:val="clear" w:color="auto" w:fill="auto"/>
          </w:tcPr>
          <w:p w:rsidR="00B40DA7" w:rsidRDefault="00531C5A">
            <w:pPr>
              <w:spacing w:after="0"/>
              <w:rPr>
                <w:rFonts w:eastAsiaTheme="minorEastAsia" w:cstheme="minorBidi"/>
                <w:b/>
                <w:bCs/>
                <w:noProof/>
                <w:sz w:val="20"/>
                <w:lang w:eastAsia="en-US"/>
              </w:rPr>
            </w:pPr>
            <w:r>
              <w:rPr>
                <w:rFonts w:eastAsiaTheme="minorEastAsia" w:cstheme="minorBidi"/>
                <w:b/>
                <w:bCs/>
                <w:noProof/>
                <w:sz w:val="20"/>
                <w:lang w:eastAsia="en-US"/>
              </w:rPr>
              <w:t>Evaluation of procedural and jurisdictional aspects of EU merger control</w:t>
            </w:r>
          </w:p>
        </w:tc>
        <w:tc>
          <w:tcPr>
            <w:tcW w:w="9780" w:type="dxa"/>
          </w:tcPr>
          <w:p w:rsidR="00B40DA7" w:rsidRDefault="00531C5A">
            <w:pPr>
              <w:spacing w:after="0"/>
              <w:rPr>
                <w:rFonts w:eastAsiaTheme="minorEastAsia" w:cstheme="minorBidi"/>
                <w:noProof/>
                <w:spacing w:val="-2"/>
                <w:sz w:val="20"/>
                <w:lang w:eastAsia="en-US"/>
              </w:rPr>
            </w:pPr>
            <w:r>
              <w:rPr>
                <w:rFonts w:eastAsiaTheme="minorEastAsia" w:cstheme="minorBidi"/>
                <w:noProof/>
                <w:spacing w:val="-2"/>
                <w:sz w:val="20"/>
                <w:lang w:eastAsia="en-US"/>
              </w:rPr>
              <w:t xml:space="preserve">The ongoing evaluation focuses on simplification and cutting red tape where appropriate, streamlining of the referral system and other improvements of a </w:t>
            </w:r>
            <w:r>
              <w:rPr>
                <w:rFonts w:eastAsiaTheme="minorEastAsia" w:cstheme="minorBidi"/>
                <w:noProof/>
                <w:spacing w:val="-2"/>
                <w:sz w:val="20"/>
                <w:lang w:eastAsia="en-US"/>
              </w:rPr>
              <w:t>technical nature. Moreover, in light of the recent debate on the effectiveness of the purely turnover-based jurisdictional thresholds of the EU Merger Regulation, the evaluation also seeks to assess whether these allow capturing all transactions, which can</w:t>
            </w:r>
            <w:r>
              <w:rPr>
                <w:rFonts w:eastAsiaTheme="minorEastAsia" w:cstheme="minorBidi"/>
                <w:noProof/>
                <w:spacing w:val="-2"/>
                <w:sz w:val="20"/>
                <w:lang w:eastAsia="en-US"/>
              </w:rPr>
              <w:t xml:space="preserve"> potentially have an impact in the internal market.</w:t>
            </w:r>
          </w:p>
        </w:tc>
      </w:tr>
      <w:tr w:rsidR="00B40DA7">
        <w:trPr>
          <w:cantSplit/>
        </w:trPr>
        <w:tc>
          <w:tcPr>
            <w:tcW w:w="647" w:type="dxa"/>
            <w:shd w:val="clear" w:color="auto" w:fill="auto"/>
          </w:tcPr>
          <w:p w:rsidR="00B40DA7" w:rsidRDefault="00B40DA7">
            <w:pPr>
              <w:numPr>
                <w:ilvl w:val="0"/>
                <w:numId w:val="23"/>
              </w:numPr>
              <w:tabs>
                <w:tab w:val="num" w:pos="709"/>
              </w:tabs>
              <w:spacing w:after="0" w:line="276" w:lineRule="auto"/>
              <w:jc w:val="left"/>
              <w:rPr>
                <w:rFonts w:eastAsiaTheme="minorHAnsi" w:cstheme="minorBidi"/>
                <w:b/>
                <w:noProof/>
                <w:color w:val="000000"/>
                <w:sz w:val="20"/>
                <w:lang w:eastAsia="en-US"/>
              </w:rPr>
            </w:pPr>
          </w:p>
        </w:tc>
        <w:tc>
          <w:tcPr>
            <w:tcW w:w="4400" w:type="dxa"/>
            <w:shd w:val="clear" w:color="auto" w:fill="auto"/>
          </w:tcPr>
          <w:p w:rsidR="00B40DA7" w:rsidRDefault="00531C5A">
            <w:pPr>
              <w:spacing w:after="0"/>
              <w:rPr>
                <w:rFonts w:eastAsiaTheme="minorEastAsia" w:cstheme="minorBidi"/>
                <w:b/>
                <w:bCs/>
                <w:noProof/>
                <w:sz w:val="20"/>
                <w:lang w:eastAsia="en-US"/>
              </w:rPr>
            </w:pPr>
            <w:r>
              <w:rPr>
                <w:rFonts w:eastAsiaTheme="minorEastAsia" w:cstheme="minorBidi"/>
                <w:b/>
                <w:bCs/>
                <w:noProof/>
                <w:sz w:val="20"/>
                <w:lang w:eastAsia="en-US"/>
              </w:rPr>
              <w:t>Targeted modification of the General Block Exemption Regulation in relation to the EU funding programmes</w:t>
            </w:r>
          </w:p>
        </w:tc>
        <w:tc>
          <w:tcPr>
            <w:tcW w:w="9780" w:type="dxa"/>
            <w:shd w:val="clear" w:color="auto" w:fill="auto"/>
          </w:tcPr>
          <w:p w:rsidR="00B40DA7" w:rsidRDefault="00531C5A">
            <w:pPr>
              <w:spacing w:after="0"/>
              <w:rPr>
                <w:rFonts w:eastAsiaTheme="minorEastAsia" w:cstheme="minorBidi"/>
                <w:noProof/>
                <w:spacing w:val="-2"/>
                <w:sz w:val="20"/>
                <w:lang w:eastAsia="en-US"/>
              </w:rPr>
            </w:pPr>
            <w:r>
              <w:rPr>
                <w:rFonts w:eastAsiaTheme="minorEastAsia" w:cstheme="minorBidi"/>
                <w:noProof/>
                <w:spacing w:val="-2"/>
                <w:sz w:val="20"/>
                <w:lang w:eastAsia="en-US"/>
              </w:rPr>
              <w:t>The Commission aims at modifying the General Block Exemption Regulation in a targeted manner to a</w:t>
            </w:r>
            <w:r>
              <w:rPr>
                <w:rFonts w:eastAsiaTheme="minorEastAsia" w:cstheme="minorBidi"/>
                <w:noProof/>
                <w:spacing w:val="-2"/>
                <w:sz w:val="20"/>
                <w:lang w:eastAsia="en-US"/>
              </w:rPr>
              <w:t>ccompany the next Multiannual Financial Framework. The proposal will ensure that national funding, from Member States’ funds or from ESI Funds managed at national level, and centrally-managed EU funds can be combined seamlessly in the following areas: in f</w:t>
            </w:r>
            <w:r>
              <w:rPr>
                <w:rFonts w:eastAsiaTheme="minorEastAsia" w:cstheme="minorBidi"/>
                <w:noProof/>
                <w:spacing w:val="-2"/>
                <w:sz w:val="20"/>
                <w:lang w:eastAsia="en-US"/>
              </w:rPr>
              <w:t>inancial products supported by the InvestEU Fund; RDI projects with a Seal of Excellence under H2020 or Horizon Europe, as well as co-funded projects and teaming actions under H2020 or Horizon Europe; and European Territorial Cooperation projects. (</w:t>
            </w:r>
            <w:r>
              <w:rPr>
                <w:noProof/>
                <w:sz w:val="20"/>
              </w:rPr>
              <w:t>Q3 2020</w:t>
            </w:r>
            <w:r>
              <w:rPr>
                <w:noProof/>
                <w:sz w:val="20"/>
              </w:rPr>
              <w:t>)</w:t>
            </w:r>
          </w:p>
        </w:tc>
      </w:tr>
      <w:tr w:rsidR="00B40DA7">
        <w:trPr>
          <w:cantSplit/>
        </w:trPr>
        <w:tc>
          <w:tcPr>
            <w:tcW w:w="647" w:type="dxa"/>
            <w:shd w:val="clear" w:color="auto" w:fill="auto"/>
          </w:tcPr>
          <w:p w:rsidR="00B40DA7" w:rsidRDefault="00B40DA7">
            <w:pPr>
              <w:numPr>
                <w:ilvl w:val="0"/>
                <w:numId w:val="23"/>
              </w:numPr>
              <w:tabs>
                <w:tab w:val="num" w:pos="709"/>
              </w:tabs>
              <w:spacing w:after="0" w:line="276" w:lineRule="auto"/>
              <w:jc w:val="left"/>
              <w:rPr>
                <w:rFonts w:eastAsiaTheme="minorHAnsi" w:cstheme="minorBidi"/>
                <w:b/>
                <w:noProof/>
                <w:color w:val="000000"/>
                <w:sz w:val="20"/>
                <w:lang w:eastAsia="en-US"/>
              </w:rPr>
            </w:pPr>
          </w:p>
        </w:tc>
        <w:tc>
          <w:tcPr>
            <w:tcW w:w="4400" w:type="dxa"/>
            <w:shd w:val="clear" w:color="auto" w:fill="auto"/>
          </w:tcPr>
          <w:p w:rsidR="00B40DA7" w:rsidRDefault="00531C5A">
            <w:pPr>
              <w:autoSpaceDE w:val="0"/>
              <w:autoSpaceDN w:val="0"/>
              <w:adjustRightInd w:val="0"/>
              <w:spacing w:after="0"/>
              <w:rPr>
                <w:rFonts w:eastAsiaTheme="minorEastAsia"/>
                <w:b/>
                <w:bCs/>
                <w:noProof/>
                <w:color w:val="000000"/>
                <w:sz w:val="20"/>
                <w:lang w:eastAsia="en-US"/>
              </w:rPr>
            </w:pPr>
            <w:r>
              <w:rPr>
                <w:rFonts w:eastAsiaTheme="minorEastAsia"/>
                <w:b/>
                <w:bCs/>
                <w:noProof/>
                <w:color w:val="000000"/>
                <w:sz w:val="20"/>
                <w:lang w:eastAsia="en-US"/>
              </w:rPr>
              <w:t xml:space="preserve">Consortia Block Exemption Regulation (exemption from Article 101 TFEU for certain types of cooperation agreements among container shipping operators) </w:t>
            </w:r>
          </w:p>
        </w:tc>
        <w:tc>
          <w:tcPr>
            <w:tcW w:w="9780" w:type="dxa"/>
            <w:shd w:val="clear" w:color="auto" w:fill="auto"/>
          </w:tcPr>
          <w:p w:rsidR="00B40DA7" w:rsidRDefault="00531C5A">
            <w:pPr>
              <w:spacing w:after="0"/>
              <w:rPr>
                <w:rFonts w:eastAsiaTheme="minorEastAsia" w:cstheme="minorBidi"/>
                <w:noProof/>
                <w:spacing w:val="-2"/>
                <w:sz w:val="20"/>
                <w:lang w:eastAsia="en-US"/>
              </w:rPr>
            </w:pPr>
            <w:r>
              <w:rPr>
                <w:rFonts w:eastAsiaTheme="minorEastAsia" w:cstheme="minorBidi"/>
                <w:noProof/>
                <w:spacing w:val="-2"/>
                <w:sz w:val="20"/>
                <w:lang w:eastAsia="en-US"/>
              </w:rPr>
              <w:t xml:space="preserve">The extension of the current Consortia Block Exemption Regulation for another four years will continue to simplify the analysis of consortia’s compliance with competition rules, limit the dependency on external advice and reduce legal costs. </w:t>
            </w:r>
            <w:r>
              <w:rPr>
                <w:noProof/>
                <w:sz w:val="20"/>
              </w:rPr>
              <w:t>(Q2 2020)</w:t>
            </w:r>
          </w:p>
        </w:tc>
      </w:tr>
      <w:tr w:rsidR="00B40DA7">
        <w:trPr>
          <w:cantSplit/>
        </w:trPr>
        <w:tc>
          <w:tcPr>
            <w:tcW w:w="647" w:type="dxa"/>
            <w:shd w:val="clear" w:color="auto" w:fill="auto"/>
          </w:tcPr>
          <w:p w:rsidR="00B40DA7" w:rsidRDefault="00B40DA7">
            <w:pPr>
              <w:numPr>
                <w:ilvl w:val="0"/>
                <w:numId w:val="23"/>
              </w:numPr>
              <w:tabs>
                <w:tab w:val="num" w:pos="709"/>
              </w:tabs>
              <w:spacing w:after="0" w:line="276" w:lineRule="auto"/>
              <w:jc w:val="left"/>
              <w:rPr>
                <w:rFonts w:eastAsiaTheme="minorHAnsi" w:cstheme="minorBidi"/>
                <w:b/>
                <w:noProof/>
                <w:color w:val="000000"/>
                <w:sz w:val="20"/>
                <w:lang w:eastAsia="en-US"/>
              </w:rPr>
            </w:pPr>
          </w:p>
        </w:tc>
        <w:tc>
          <w:tcPr>
            <w:tcW w:w="4400" w:type="dxa"/>
            <w:shd w:val="clear" w:color="auto" w:fill="auto"/>
          </w:tcPr>
          <w:p w:rsidR="00B40DA7" w:rsidRDefault="00531C5A">
            <w:pPr>
              <w:autoSpaceDE w:val="0"/>
              <w:autoSpaceDN w:val="0"/>
              <w:adjustRightInd w:val="0"/>
              <w:spacing w:after="0"/>
              <w:rPr>
                <w:rFonts w:eastAsiaTheme="minorEastAsia"/>
                <w:b/>
                <w:bCs/>
                <w:noProof/>
                <w:color w:val="000000"/>
                <w:sz w:val="20"/>
                <w:lang w:eastAsia="en-US"/>
              </w:rPr>
            </w:pPr>
            <w:r>
              <w:rPr>
                <w:rFonts w:eastAsiaTheme="minorEastAsia"/>
                <w:b/>
                <w:bCs/>
                <w:noProof/>
                <w:color w:val="000000"/>
                <w:sz w:val="20"/>
                <w:lang w:eastAsia="en-US"/>
              </w:rPr>
              <w:t>Ev</w:t>
            </w:r>
            <w:r>
              <w:rPr>
                <w:rFonts w:eastAsiaTheme="minorEastAsia"/>
                <w:b/>
                <w:bCs/>
                <w:noProof/>
                <w:color w:val="000000"/>
                <w:sz w:val="20"/>
                <w:lang w:eastAsia="en-US"/>
              </w:rPr>
              <w:t>aluation of the Low Voltage Directive 2014/35/EU</w:t>
            </w:r>
          </w:p>
        </w:tc>
        <w:tc>
          <w:tcPr>
            <w:tcW w:w="9780" w:type="dxa"/>
            <w:shd w:val="clear" w:color="auto" w:fill="auto"/>
          </w:tcPr>
          <w:p w:rsidR="00B40DA7" w:rsidRDefault="00531C5A">
            <w:pPr>
              <w:spacing w:after="0"/>
              <w:rPr>
                <w:rFonts w:eastAsiaTheme="minorEastAsia" w:cstheme="minorBidi"/>
                <w:noProof/>
                <w:spacing w:val="-2"/>
                <w:sz w:val="20"/>
                <w:lang w:eastAsia="en-US"/>
              </w:rPr>
            </w:pPr>
            <w:r>
              <w:rPr>
                <w:rFonts w:eastAsiaTheme="minorEastAsia" w:cstheme="minorBidi"/>
                <w:noProof/>
                <w:sz w:val="20"/>
                <w:lang w:eastAsia="en-US"/>
              </w:rPr>
              <w:t>The low voltage directive (LVD) ensures that electrical equipment within certain voltage limits provides a high level of protection for European citizens, and benefits fully from the single market. It has be</w:t>
            </w:r>
            <w:r>
              <w:rPr>
                <w:rFonts w:eastAsiaTheme="minorEastAsia" w:cstheme="minorBidi"/>
                <w:noProof/>
                <w:sz w:val="20"/>
                <w:lang w:eastAsia="en-US"/>
              </w:rPr>
              <w:t>en applicable since 20 April 2016. The purpose of this evaluation is to assess if the Directive is fit for purpose in terms of effectiveness, efficiency, relevance, coherence, EU added-value. On the basis of the conclusions on the performance of the Direct</w:t>
            </w:r>
            <w:r>
              <w:rPr>
                <w:rFonts w:eastAsiaTheme="minorEastAsia" w:cstheme="minorBidi"/>
                <w:noProof/>
                <w:sz w:val="20"/>
                <w:lang w:eastAsia="en-US"/>
              </w:rPr>
              <w:t xml:space="preserve">ive, the Commission will assess which next steps may be necessary to improve the performance of the Directive. </w:t>
            </w:r>
          </w:p>
        </w:tc>
      </w:tr>
      <w:tr w:rsidR="00B40DA7">
        <w:trPr>
          <w:cantSplit/>
        </w:trPr>
        <w:tc>
          <w:tcPr>
            <w:tcW w:w="647" w:type="dxa"/>
            <w:shd w:val="clear" w:color="auto" w:fill="auto"/>
          </w:tcPr>
          <w:p w:rsidR="00B40DA7" w:rsidRDefault="00B40DA7">
            <w:pPr>
              <w:numPr>
                <w:ilvl w:val="0"/>
                <w:numId w:val="23"/>
              </w:numPr>
              <w:tabs>
                <w:tab w:val="num" w:pos="709"/>
              </w:tabs>
              <w:spacing w:after="0" w:line="276" w:lineRule="auto"/>
              <w:jc w:val="left"/>
              <w:rPr>
                <w:rFonts w:eastAsiaTheme="minorHAnsi" w:cstheme="minorBidi"/>
                <w:b/>
                <w:noProof/>
                <w:color w:val="000000"/>
                <w:sz w:val="20"/>
                <w:lang w:eastAsia="en-US"/>
              </w:rPr>
            </w:pPr>
          </w:p>
        </w:tc>
        <w:tc>
          <w:tcPr>
            <w:tcW w:w="4400" w:type="dxa"/>
            <w:shd w:val="clear" w:color="auto" w:fill="auto"/>
          </w:tcPr>
          <w:p w:rsidR="00B40DA7" w:rsidRDefault="00531C5A">
            <w:pPr>
              <w:autoSpaceDE w:val="0"/>
              <w:autoSpaceDN w:val="0"/>
              <w:adjustRightInd w:val="0"/>
              <w:spacing w:after="0"/>
              <w:rPr>
                <w:rFonts w:eastAsiaTheme="minorEastAsia"/>
                <w:b/>
                <w:bCs/>
                <w:noProof/>
                <w:color w:val="000000"/>
                <w:sz w:val="20"/>
                <w:lang w:eastAsia="en-US"/>
              </w:rPr>
            </w:pPr>
            <w:r>
              <w:rPr>
                <w:rFonts w:eastAsiaTheme="minorEastAsia"/>
                <w:b/>
                <w:bCs/>
                <w:noProof/>
                <w:color w:val="000000"/>
                <w:sz w:val="20"/>
                <w:lang w:eastAsia="en-US"/>
              </w:rPr>
              <w:t>Evaluation of the Postal Services Directive 97/67/EC</w:t>
            </w:r>
          </w:p>
        </w:tc>
        <w:tc>
          <w:tcPr>
            <w:tcW w:w="9780" w:type="dxa"/>
            <w:shd w:val="clear" w:color="auto" w:fill="auto"/>
          </w:tcPr>
          <w:p w:rsidR="00B40DA7" w:rsidRDefault="00531C5A">
            <w:pPr>
              <w:spacing w:after="0"/>
              <w:rPr>
                <w:rFonts w:eastAsiaTheme="minorEastAsia" w:cstheme="minorBidi"/>
                <w:noProof/>
                <w:spacing w:val="-2"/>
                <w:sz w:val="20"/>
                <w:lang w:eastAsia="en-US"/>
              </w:rPr>
            </w:pPr>
            <w:r>
              <w:rPr>
                <w:rFonts w:eastAsiaTheme="minorEastAsia" w:cstheme="minorBidi"/>
                <w:noProof/>
                <w:sz w:val="20"/>
                <w:lang w:eastAsia="en-US"/>
              </w:rPr>
              <w:t xml:space="preserve">The postal sector is going through substantial changes due to digitalisation. The Postal </w:t>
            </w:r>
            <w:r>
              <w:rPr>
                <w:rFonts w:eastAsiaTheme="minorEastAsia" w:cstheme="minorBidi"/>
                <w:noProof/>
                <w:sz w:val="20"/>
                <w:lang w:eastAsia="en-US"/>
              </w:rPr>
              <w:t>Services Directive (97/67/EC) dates from 1997 and was revised in 2002 and 2008.The report on the application of the Directive will be accompanied by an evaluation to assess if the Directive is still fit for purpose and future-proof.</w:t>
            </w:r>
          </w:p>
        </w:tc>
      </w:tr>
      <w:tr w:rsidR="00B40DA7">
        <w:trPr>
          <w:cantSplit/>
        </w:trPr>
        <w:tc>
          <w:tcPr>
            <w:tcW w:w="647" w:type="dxa"/>
            <w:shd w:val="clear" w:color="auto" w:fill="auto"/>
          </w:tcPr>
          <w:p w:rsidR="00B40DA7" w:rsidRDefault="00B40DA7">
            <w:pPr>
              <w:numPr>
                <w:ilvl w:val="0"/>
                <w:numId w:val="23"/>
              </w:numPr>
              <w:tabs>
                <w:tab w:val="num" w:pos="709"/>
              </w:tabs>
              <w:spacing w:after="0" w:line="276" w:lineRule="auto"/>
              <w:jc w:val="left"/>
              <w:rPr>
                <w:rFonts w:eastAsiaTheme="minorHAnsi" w:cstheme="minorBidi"/>
                <w:b/>
                <w:noProof/>
                <w:color w:val="000000"/>
                <w:sz w:val="20"/>
                <w:lang w:eastAsia="en-US"/>
              </w:rPr>
            </w:pPr>
          </w:p>
        </w:tc>
        <w:tc>
          <w:tcPr>
            <w:tcW w:w="4400" w:type="dxa"/>
            <w:shd w:val="clear" w:color="auto" w:fill="auto"/>
          </w:tcPr>
          <w:p w:rsidR="00B40DA7" w:rsidRDefault="00531C5A">
            <w:pPr>
              <w:spacing w:after="0"/>
              <w:rPr>
                <w:rFonts w:eastAsiaTheme="minorEastAsia" w:cstheme="minorBidi"/>
                <w:b/>
                <w:bCs/>
                <w:noProof/>
                <w:sz w:val="20"/>
                <w:lang w:eastAsia="en-US"/>
              </w:rPr>
            </w:pPr>
            <w:r>
              <w:rPr>
                <w:rFonts w:eastAsiaTheme="minorEastAsia" w:cstheme="minorBidi"/>
                <w:b/>
                <w:bCs/>
                <w:noProof/>
                <w:sz w:val="20"/>
                <w:lang w:eastAsia="en-US"/>
              </w:rPr>
              <w:t xml:space="preserve">Evaluation of the 'SME Definition' </w:t>
            </w:r>
          </w:p>
        </w:tc>
        <w:tc>
          <w:tcPr>
            <w:tcW w:w="9780" w:type="dxa"/>
            <w:shd w:val="clear" w:color="auto" w:fill="auto"/>
          </w:tcPr>
          <w:p w:rsidR="00B40DA7" w:rsidRDefault="00531C5A">
            <w:pPr>
              <w:spacing w:after="0"/>
              <w:rPr>
                <w:rFonts w:eastAsiaTheme="minorEastAsia" w:cstheme="minorBidi"/>
                <w:noProof/>
                <w:sz w:val="20"/>
                <w:lang w:eastAsia="en-US"/>
              </w:rPr>
            </w:pPr>
            <w:r>
              <w:rPr>
                <w:rFonts w:eastAsiaTheme="minorEastAsia" w:cstheme="minorBidi"/>
                <w:noProof/>
                <w:sz w:val="20"/>
                <w:lang w:eastAsia="en-US"/>
              </w:rPr>
              <w:t>The scope of this initiative is the Commission Recommendation concerning the definition of micro, small and medium-sized enterprises (2003/361/EC). It sets out the criteria to determine whether an enterprise is an SME (i.e. staff head-count, turnover/ bala</w:t>
            </w:r>
            <w:r>
              <w:rPr>
                <w:rFonts w:eastAsiaTheme="minorEastAsia" w:cstheme="minorBidi"/>
                <w:noProof/>
                <w:sz w:val="20"/>
                <w:lang w:eastAsia="en-US"/>
              </w:rPr>
              <w:t>nce sheet total and independence) and has been applied since 01/01/2005 when it replaced Recommendation 96/280/EC. As the Recommendation is referenced in over 100 EU legal acts covering a wide range of EU policies such as State Aid, a replacement will also</w:t>
            </w:r>
            <w:r>
              <w:rPr>
                <w:rFonts w:eastAsiaTheme="minorEastAsia" w:cstheme="minorBidi"/>
                <w:noProof/>
                <w:sz w:val="20"/>
                <w:lang w:eastAsia="en-US"/>
              </w:rPr>
              <w:t xml:space="preserve"> have to address those references. </w:t>
            </w:r>
          </w:p>
        </w:tc>
      </w:tr>
      <w:tr w:rsidR="00B40DA7">
        <w:trPr>
          <w:cantSplit/>
        </w:trPr>
        <w:tc>
          <w:tcPr>
            <w:tcW w:w="647" w:type="dxa"/>
            <w:shd w:val="clear" w:color="auto" w:fill="auto"/>
          </w:tcPr>
          <w:p w:rsidR="00B40DA7" w:rsidRDefault="00B40DA7">
            <w:pPr>
              <w:numPr>
                <w:ilvl w:val="0"/>
                <w:numId w:val="23"/>
              </w:numPr>
              <w:tabs>
                <w:tab w:val="num" w:pos="709"/>
              </w:tabs>
              <w:spacing w:after="0" w:line="276" w:lineRule="auto"/>
              <w:jc w:val="left"/>
              <w:rPr>
                <w:rFonts w:eastAsiaTheme="minorHAnsi" w:cstheme="minorBidi"/>
                <w:b/>
                <w:noProof/>
                <w:color w:val="000000"/>
                <w:sz w:val="20"/>
                <w:lang w:eastAsia="en-US"/>
              </w:rPr>
            </w:pPr>
          </w:p>
        </w:tc>
        <w:tc>
          <w:tcPr>
            <w:tcW w:w="4400" w:type="dxa"/>
            <w:shd w:val="clear" w:color="auto" w:fill="auto"/>
          </w:tcPr>
          <w:p w:rsidR="00B40DA7" w:rsidRDefault="00531C5A">
            <w:pPr>
              <w:spacing w:after="0"/>
              <w:rPr>
                <w:rFonts w:eastAsiaTheme="minorEastAsia" w:cstheme="minorBidi"/>
                <w:b/>
                <w:bCs/>
                <w:noProof/>
                <w:sz w:val="20"/>
                <w:lang w:eastAsia="en-US"/>
              </w:rPr>
            </w:pPr>
            <w:r>
              <w:rPr>
                <w:rFonts w:eastAsiaTheme="minorEastAsia" w:cstheme="minorBidi"/>
                <w:b/>
                <w:bCs/>
                <w:noProof/>
                <w:sz w:val="20"/>
                <w:lang w:eastAsia="en-US"/>
              </w:rPr>
              <w:t>Revision of the Machinery Directive 2006/42/EC</w:t>
            </w:r>
          </w:p>
        </w:tc>
        <w:tc>
          <w:tcPr>
            <w:tcW w:w="9780" w:type="dxa"/>
            <w:shd w:val="clear" w:color="auto" w:fill="auto"/>
          </w:tcPr>
          <w:p w:rsidR="00B40DA7" w:rsidRDefault="00531C5A">
            <w:pPr>
              <w:spacing w:after="0"/>
              <w:jc w:val="left"/>
              <w:rPr>
                <w:rFonts w:eastAsiaTheme="minorEastAsia" w:cstheme="minorBidi"/>
                <w:noProof/>
                <w:sz w:val="20"/>
                <w:lang w:eastAsia="en-US"/>
              </w:rPr>
            </w:pPr>
            <w:r>
              <w:rPr>
                <w:rFonts w:eastAsiaTheme="minorEastAsia" w:cstheme="minorBidi"/>
                <w:noProof/>
                <w:sz w:val="20"/>
                <w:lang w:eastAsia="en-US"/>
              </w:rPr>
              <w:t xml:space="preserve">The initiative aims to: </w:t>
            </w:r>
            <w:r>
              <w:rPr>
                <w:rFonts w:eastAsiaTheme="minorHAnsi" w:cstheme="minorBidi"/>
                <w:noProof/>
                <w:sz w:val="20"/>
                <w:lang w:eastAsia="en-US"/>
              </w:rPr>
              <w:br/>
            </w:r>
            <w:r>
              <w:rPr>
                <w:rFonts w:eastAsiaTheme="minorEastAsia" w:cstheme="minorBidi"/>
                <w:noProof/>
                <w:sz w:val="20"/>
                <w:lang w:eastAsia="en-US"/>
              </w:rPr>
              <w:t xml:space="preserve">i) address the risks stemming from new technologies while allowing for technical progress,, </w:t>
            </w:r>
            <w:r>
              <w:rPr>
                <w:rFonts w:eastAsiaTheme="minorHAnsi" w:cstheme="minorBidi"/>
                <w:noProof/>
                <w:sz w:val="20"/>
                <w:lang w:eastAsia="en-US"/>
              </w:rPr>
              <w:br/>
            </w:r>
            <w:r>
              <w:rPr>
                <w:rFonts w:eastAsiaTheme="minorEastAsia" w:cstheme="minorBidi"/>
                <w:noProof/>
                <w:sz w:val="20"/>
                <w:lang w:eastAsia="en-US"/>
              </w:rPr>
              <w:t>ii) simplify the requirements for documentation by al</w:t>
            </w:r>
            <w:r>
              <w:rPr>
                <w:rFonts w:eastAsiaTheme="minorEastAsia" w:cstheme="minorBidi"/>
                <w:noProof/>
                <w:sz w:val="20"/>
                <w:lang w:eastAsia="en-US"/>
              </w:rPr>
              <w:t xml:space="preserve">lowing digital formats, hence to reduce administrative burden for economic operators, with an additional positive impact on environmental costs, </w:t>
            </w:r>
            <w:r>
              <w:rPr>
                <w:rFonts w:eastAsiaTheme="minorHAnsi" w:cstheme="minorBidi"/>
                <w:noProof/>
                <w:sz w:val="20"/>
                <w:lang w:eastAsia="en-US"/>
              </w:rPr>
              <w:br/>
            </w:r>
            <w:r>
              <w:rPr>
                <w:rFonts w:eastAsiaTheme="minorEastAsia" w:cstheme="minorBidi"/>
                <w:noProof/>
                <w:sz w:val="20"/>
                <w:lang w:eastAsia="en-US"/>
              </w:rPr>
              <w:t>iii) to improve the legal clarity of some major concepts and definitions in the current text of the Directive,</w:t>
            </w:r>
            <w:r>
              <w:rPr>
                <w:rFonts w:eastAsiaTheme="minorHAnsi" w:cstheme="minorBidi"/>
                <w:noProof/>
                <w:sz w:val="20"/>
                <w:lang w:eastAsia="en-US"/>
              </w:rPr>
              <w:br/>
            </w:r>
            <w:r>
              <w:rPr>
                <w:rFonts w:eastAsiaTheme="minorEastAsia" w:cstheme="minorBidi"/>
                <w:noProof/>
                <w:sz w:val="20"/>
                <w:lang w:eastAsia="en-US"/>
              </w:rPr>
              <w:t>iv) to ensure coherence with other Directives and Regulations for products and improve enforcement of the legislation through the alignement to the New Legislative Framework,</w:t>
            </w:r>
            <w:r>
              <w:rPr>
                <w:rFonts w:eastAsiaTheme="minorHAnsi" w:cstheme="minorBidi"/>
                <w:noProof/>
                <w:sz w:val="20"/>
                <w:lang w:eastAsia="en-US"/>
              </w:rPr>
              <w:br/>
            </w:r>
            <w:r>
              <w:rPr>
                <w:rFonts w:eastAsiaTheme="minorEastAsia" w:cstheme="minorBidi"/>
                <w:noProof/>
                <w:sz w:val="20"/>
                <w:lang w:eastAsia="en-US"/>
              </w:rPr>
              <w:t>v) reduce costs of transposition by converting the Directive into a Regulation.</w:t>
            </w:r>
            <w:r>
              <w:rPr>
                <w:rFonts w:eastAsiaTheme="minorHAnsi" w:cstheme="minorBidi"/>
                <w:noProof/>
                <w:sz w:val="20"/>
                <w:lang w:eastAsia="en-US"/>
              </w:rPr>
              <w:br/>
            </w:r>
            <w:r>
              <w:rPr>
                <w:noProof/>
                <w:sz w:val="20"/>
              </w:rPr>
              <w:t>(legislative, incl. impact assessment, Article 114 TFEU, Q4 2020)</w:t>
            </w:r>
          </w:p>
        </w:tc>
      </w:tr>
      <w:tr w:rsidR="00B40DA7">
        <w:trPr>
          <w:cantSplit/>
        </w:trPr>
        <w:tc>
          <w:tcPr>
            <w:tcW w:w="647" w:type="dxa"/>
            <w:shd w:val="clear" w:color="auto" w:fill="auto"/>
          </w:tcPr>
          <w:p w:rsidR="00B40DA7" w:rsidRDefault="00B40DA7">
            <w:pPr>
              <w:numPr>
                <w:ilvl w:val="0"/>
                <w:numId w:val="23"/>
              </w:numPr>
              <w:tabs>
                <w:tab w:val="num" w:pos="709"/>
              </w:tabs>
              <w:spacing w:after="0" w:line="276" w:lineRule="auto"/>
              <w:jc w:val="left"/>
              <w:rPr>
                <w:rFonts w:eastAsiaTheme="minorHAnsi" w:cstheme="minorBidi"/>
                <w:b/>
                <w:noProof/>
                <w:color w:val="000000"/>
                <w:sz w:val="20"/>
                <w:lang w:eastAsia="en-US"/>
              </w:rPr>
            </w:pPr>
          </w:p>
        </w:tc>
        <w:tc>
          <w:tcPr>
            <w:tcW w:w="4400" w:type="dxa"/>
            <w:shd w:val="clear" w:color="auto" w:fill="auto"/>
          </w:tcPr>
          <w:p w:rsidR="00B40DA7" w:rsidRDefault="00531C5A">
            <w:pPr>
              <w:spacing w:after="0"/>
              <w:jc w:val="left"/>
              <w:rPr>
                <w:rFonts w:eastAsiaTheme="minorEastAsia" w:cstheme="minorBidi"/>
                <w:b/>
                <w:bCs/>
                <w:noProof/>
                <w:sz w:val="20"/>
                <w:lang w:eastAsia="en-US"/>
              </w:rPr>
            </w:pPr>
            <w:r>
              <w:rPr>
                <w:rFonts w:eastAsiaTheme="minorEastAsia" w:cstheme="minorBidi"/>
                <w:b/>
                <w:bCs/>
                <w:noProof/>
                <w:sz w:val="20"/>
                <w:lang w:eastAsia="en-US"/>
              </w:rPr>
              <w:t xml:space="preserve">Evaluation of EU legislation on design protection </w:t>
            </w:r>
          </w:p>
        </w:tc>
        <w:tc>
          <w:tcPr>
            <w:tcW w:w="9780" w:type="dxa"/>
            <w:shd w:val="clear" w:color="auto" w:fill="auto"/>
          </w:tcPr>
          <w:p w:rsidR="00B40DA7" w:rsidRDefault="00531C5A">
            <w:pPr>
              <w:spacing w:after="0"/>
              <w:rPr>
                <w:rFonts w:eastAsiaTheme="minorEastAsia" w:cstheme="minorBidi"/>
                <w:noProof/>
                <w:sz w:val="20"/>
                <w:lang w:eastAsia="en-US"/>
              </w:rPr>
            </w:pPr>
            <w:r>
              <w:rPr>
                <w:rFonts w:eastAsiaTheme="minorEastAsia" w:cstheme="minorBidi"/>
                <w:noProof/>
                <w:sz w:val="20"/>
                <w:lang w:eastAsia="en-US"/>
              </w:rPr>
              <w:t>The purpose of the evaluation is to analyse to what extent the current EU legislation on design protection has achieved its objectives in</w:t>
            </w:r>
            <w:r>
              <w:rPr>
                <w:rFonts w:eastAsiaTheme="minorEastAsia" w:cstheme="minorBidi"/>
                <w:noProof/>
                <w:sz w:val="20"/>
                <w:lang w:eastAsia="en-US"/>
              </w:rPr>
              <w:t xml:space="preserve"> terms of efficiency, effectiveness, relevance, coherence and EU added-value, and it shall provide clear indications of the degree to which that legislation is still considered to be fit for purpose. The evaluation shall identify opportunities for streamli</w:t>
            </w:r>
            <w:r>
              <w:rPr>
                <w:rFonts w:eastAsiaTheme="minorEastAsia" w:cstheme="minorBidi"/>
                <w:noProof/>
                <w:sz w:val="20"/>
                <w:lang w:eastAsia="en-US"/>
              </w:rPr>
              <w:t xml:space="preserve">ning registration procedures with a view to facilitating the simple uptake of design protection in the EU with potential reduction of costs and administrative burdens to the benefit of businesses, designers and SMEs. </w:t>
            </w:r>
          </w:p>
        </w:tc>
      </w:tr>
      <w:tr w:rsidR="00B40DA7">
        <w:trPr>
          <w:cantSplit/>
        </w:trPr>
        <w:tc>
          <w:tcPr>
            <w:tcW w:w="647" w:type="dxa"/>
            <w:tcBorders>
              <w:bottom w:val="single" w:sz="4" w:space="0" w:color="auto"/>
            </w:tcBorders>
            <w:shd w:val="clear" w:color="auto" w:fill="auto"/>
          </w:tcPr>
          <w:p w:rsidR="00B40DA7" w:rsidRDefault="00B40DA7">
            <w:pPr>
              <w:numPr>
                <w:ilvl w:val="0"/>
                <w:numId w:val="23"/>
              </w:numPr>
              <w:tabs>
                <w:tab w:val="num" w:pos="709"/>
              </w:tabs>
              <w:spacing w:after="0" w:line="276" w:lineRule="auto"/>
              <w:jc w:val="left"/>
              <w:rPr>
                <w:rFonts w:eastAsiaTheme="minorHAnsi" w:cstheme="minorBidi"/>
                <w:b/>
                <w:noProof/>
                <w:color w:val="000000"/>
                <w:sz w:val="20"/>
                <w:lang w:eastAsia="en-US"/>
              </w:rPr>
            </w:pPr>
          </w:p>
        </w:tc>
        <w:tc>
          <w:tcPr>
            <w:tcW w:w="4400" w:type="dxa"/>
            <w:tcBorders>
              <w:bottom w:val="single" w:sz="4" w:space="0" w:color="auto"/>
            </w:tcBorders>
            <w:shd w:val="clear" w:color="auto" w:fill="auto"/>
          </w:tcPr>
          <w:p w:rsidR="00B40DA7" w:rsidRDefault="00531C5A">
            <w:pPr>
              <w:spacing w:after="0"/>
              <w:jc w:val="left"/>
              <w:rPr>
                <w:rFonts w:eastAsiaTheme="minorEastAsia" w:cstheme="minorBidi"/>
                <w:b/>
                <w:bCs/>
                <w:noProof/>
                <w:sz w:val="20"/>
                <w:lang w:eastAsia="en-US"/>
              </w:rPr>
            </w:pPr>
            <w:r>
              <w:rPr>
                <w:rFonts w:eastAsiaTheme="minorEastAsia" w:cstheme="minorBidi"/>
                <w:b/>
                <w:bCs/>
                <w:noProof/>
                <w:sz w:val="20"/>
                <w:lang w:eastAsia="en-US"/>
              </w:rPr>
              <w:t xml:space="preserve">Evaluation of the Driving Licence </w:t>
            </w:r>
            <w:r>
              <w:rPr>
                <w:rFonts w:eastAsiaTheme="minorEastAsia" w:cstheme="minorBidi"/>
                <w:b/>
                <w:bCs/>
                <w:noProof/>
                <w:sz w:val="20"/>
                <w:lang w:eastAsia="en-US"/>
              </w:rPr>
              <w:t>Directive 2006/126/EC</w:t>
            </w:r>
          </w:p>
        </w:tc>
        <w:tc>
          <w:tcPr>
            <w:tcW w:w="9780" w:type="dxa"/>
            <w:tcBorders>
              <w:bottom w:val="single" w:sz="4" w:space="0" w:color="auto"/>
            </w:tcBorders>
          </w:tcPr>
          <w:p w:rsidR="00B40DA7" w:rsidRDefault="00531C5A">
            <w:pPr>
              <w:spacing w:after="0"/>
              <w:rPr>
                <w:rFonts w:eastAsiaTheme="minorEastAsia" w:cstheme="minorBidi"/>
                <w:noProof/>
                <w:sz w:val="20"/>
                <w:lang w:eastAsia="en-US"/>
              </w:rPr>
            </w:pPr>
            <w:r>
              <w:rPr>
                <w:rFonts w:eastAsiaTheme="minorEastAsia" w:cstheme="minorBidi"/>
                <w:noProof/>
                <w:sz w:val="20"/>
                <w:lang w:eastAsia="en-US"/>
              </w:rPr>
              <w:t>The ex-post evaluation will assess how well the Directive has performed in improving road safety, facilitating free movement and reducing the possibility of fraud. It will also examine technical progress e.g. as regards vehicles and d</w:t>
            </w:r>
            <w:r>
              <w:rPr>
                <w:rFonts w:eastAsiaTheme="minorEastAsia" w:cstheme="minorBidi"/>
                <w:noProof/>
                <w:sz w:val="20"/>
                <w:lang w:eastAsia="en-US"/>
              </w:rPr>
              <w:t>igitalisation (digital licences).</w:t>
            </w:r>
          </w:p>
        </w:tc>
      </w:tr>
      <w:tr w:rsidR="00B40DA7">
        <w:trPr>
          <w:cantSplit/>
        </w:trPr>
        <w:tc>
          <w:tcPr>
            <w:tcW w:w="14827" w:type="dxa"/>
            <w:gridSpan w:val="3"/>
            <w:shd w:val="clear" w:color="auto" w:fill="F68A42" w:themeFill="accent3"/>
          </w:tcPr>
          <w:p w:rsidR="00B40DA7" w:rsidRDefault="00531C5A">
            <w:pPr>
              <w:keepNext/>
              <w:spacing w:before="60" w:after="60"/>
              <w:rPr>
                <w:rFonts w:eastAsiaTheme="minorEastAsia" w:cstheme="minorBidi"/>
                <w:noProof/>
                <w:sz w:val="20"/>
                <w:lang w:eastAsia="en-US"/>
              </w:rPr>
            </w:pPr>
            <w:r>
              <w:rPr>
                <w:b/>
                <w:bCs/>
                <w:noProof/>
                <w:color w:val="FFFFFF" w:themeColor="background1"/>
                <w:sz w:val="20"/>
              </w:rPr>
              <w:t>An Economy that Works for People</w:t>
            </w:r>
          </w:p>
        </w:tc>
      </w:tr>
      <w:tr w:rsidR="00B40DA7">
        <w:trPr>
          <w:cantSplit/>
        </w:trPr>
        <w:tc>
          <w:tcPr>
            <w:tcW w:w="647" w:type="dxa"/>
            <w:shd w:val="clear" w:color="auto" w:fill="auto"/>
          </w:tcPr>
          <w:p w:rsidR="00B40DA7" w:rsidRDefault="00B40DA7">
            <w:pPr>
              <w:numPr>
                <w:ilvl w:val="0"/>
                <w:numId w:val="23"/>
              </w:numPr>
              <w:spacing w:after="0" w:line="276" w:lineRule="auto"/>
              <w:jc w:val="left"/>
              <w:rPr>
                <w:rFonts w:eastAsiaTheme="minorHAnsi" w:cstheme="minorBidi"/>
                <w:b/>
                <w:noProof/>
                <w:color w:val="000000"/>
                <w:sz w:val="20"/>
                <w:lang w:eastAsia="en-US"/>
              </w:rPr>
            </w:pPr>
          </w:p>
        </w:tc>
        <w:tc>
          <w:tcPr>
            <w:tcW w:w="4400" w:type="dxa"/>
          </w:tcPr>
          <w:p w:rsidR="00B40DA7" w:rsidRDefault="00531C5A">
            <w:pPr>
              <w:spacing w:after="0" w:line="276" w:lineRule="auto"/>
              <w:jc w:val="left"/>
              <w:rPr>
                <w:rFonts w:eastAsiaTheme="minorEastAsia" w:cstheme="minorBidi"/>
                <w:b/>
                <w:bCs/>
                <w:noProof/>
                <w:sz w:val="20"/>
                <w:lang w:val="en-IE" w:eastAsia="en-US"/>
              </w:rPr>
            </w:pPr>
            <w:r>
              <w:rPr>
                <w:rFonts w:eastAsiaTheme="minorEastAsia" w:cstheme="minorBidi"/>
                <w:b/>
                <w:bCs/>
                <w:noProof/>
                <w:sz w:val="20"/>
                <w:lang w:eastAsia="en-US"/>
              </w:rPr>
              <w:t>Uniform rounding rules (Follow up of Report on recent developments as regards euro coins COM(2018) 787 final/2 )</w:t>
            </w:r>
          </w:p>
        </w:tc>
        <w:tc>
          <w:tcPr>
            <w:tcW w:w="9780" w:type="dxa"/>
          </w:tcPr>
          <w:p w:rsidR="00B40DA7" w:rsidRDefault="00531C5A">
            <w:pPr>
              <w:spacing w:after="0"/>
              <w:rPr>
                <w:rFonts w:eastAsiaTheme="minorEastAsia" w:cstheme="minorBidi"/>
                <w:noProof/>
                <w:sz w:val="20"/>
                <w:lang w:eastAsia="en-US"/>
              </w:rPr>
            </w:pPr>
            <w:r>
              <w:rPr>
                <w:rFonts w:eastAsiaTheme="minorEastAsia" w:cstheme="minorBidi"/>
                <w:noProof/>
                <w:sz w:val="20"/>
                <w:lang w:eastAsia="en-US"/>
              </w:rPr>
              <w:t xml:space="preserve">Evaluation of the use of one- and two-euro cent coins and of the possibility to introduce common rounding rules. </w:t>
            </w:r>
            <w:r>
              <w:rPr>
                <w:noProof/>
                <w:sz w:val="20"/>
              </w:rPr>
              <w:t>A possible proposal would introduce common rounding rules to address the challenges related to the use of one- and two-euro cent coins</w:t>
            </w:r>
            <w:r>
              <w:rPr>
                <w:noProof/>
                <w:color w:val="000000"/>
                <w:sz w:val="20"/>
              </w:rPr>
              <w:t xml:space="preserve"> (legisla</w:t>
            </w:r>
            <w:r>
              <w:rPr>
                <w:noProof/>
                <w:color w:val="000000"/>
                <w:sz w:val="20"/>
              </w:rPr>
              <w:t>tive, incl. impact assessment, Article 133 TFEU, Q4 2020)</w:t>
            </w:r>
          </w:p>
        </w:tc>
      </w:tr>
      <w:tr w:rsidR="00B40DA7">
        <w:trPr>
          <w:cantSplit/>
        </w:trPr>
        <w:tc>
          <w:tcPr>
            <w:tcW w:w="647" w:type="dxa"/>
            <w:shd w:val="clear" w:color="auto" w:fill="auto"/>
          </w:tcPr>
          <w:p w:rsidR="00B40DA7" w:rsidRDefault="00B40DA7">
            <w:pPr>
              <w:numPr>
                <w:ilvl w:val="0"/>
                <w:numId w:val="23"/>
              </w:numPr>
              <w:spacing w:after="0" w:line="276" w:lineRule="auto"/>
              <w:jc w:val="left"/>
              <w:rPr>
                <w:rFonts w:eastAsiaTheme="minorHAnsi" w:cstheme="minorBidi"/>
                <w:b/>
                <w:noProof/>
                <w:color w:val="000000"/>
                <w:sz w:val="20"/>
                <w:lang w:eastAsia="en-US"/>
              </w:rPr>
            </w:pPr>
          </w:p>
        </w:tc>
        <w:tc>
          <w:tcPr>
            <w:tcW w:w="4400" w:type="dxa"/>
          </w:tcPr>
          <w:p w:rsidR="00B40DA7" w:rsidRDefault="00531C5A">
            <w:pPr>
              <w:spacing w:after="0"/>
              <w:jc w:val="left"/>
              <w:rPr>
                <w:rFonts w:eastAsiaTheme="minorEastAsia" w:cstheme="minorBidi"/>
                <w:b/>
                <w:bCs/>
                <w:noProof/>
                <w:sz w:val="20"/>
                <w:lang w:eastAsia="en-US"/>
              </w:rPr>
            </w:pPr>
            <w:r>
              <w:rPr>
                <w:rFonts w:eastAsiaTheme="minorEastAsia" w:cstheme="minorBidi"/>
                <w:b/>
                <w:bCs/>
                <w:noProof/>
                <w:sz w:val="20"/>
                <w:lang w:eastAsia="en-US"/>
              </w:rPr>
              <w:t>Fitness Check on Public Corporate Reporting by companies</w:t>
            </w:r>
          </w:p>
        </w:tc>
        <w:tc>
          <w:tcPr>
            <w:tcW w:w="9780" w:type="dxa"/>
          </w:tcPr>
          <w:p w:rsidR="00B40DA7" w:rsidRDefault="00531C5A">
            <w:pPr>
              <w:spacing w:after="0"/>
              <w:rPr>
                <w:rFonts w:eastAsiaTheme="minorEastAsia" w:cstheme="minorBidi"/>
                <w:b/>
                <w:bCs/>
                <w:noProof/>
                <w:sz w:val="20"/>
                <w:lang w:eastAsia="en-US"/>
              </w:rPr>
            </w:pPr>
            <w:r>
              <w:rPr>
                <w:rFonts w:eastAsiaTheme="minorEastAsia" w:cstheme="minorBidi"/>
                <w:noProof/>
                <w:color w:val="000000" w:themeColor="text1"/>
                <w:sz w:val="20"/>
                <w:lang w:eastAsia="en-US"/>
              </w:rPr>
              <w:t xml:space="preserve">The aim of this fitness check is to assess whether EU legislation on regular and public reporting by companies continues to meet the </w:t>
            </w:r>
            <w:r>
              <w:rPr>
                <w:rFonts w:eastAsiaTheme="minorEastAsia" w:cstheme="minorBidi"/>
                <w:noProof/>
                <w:color w:val="000000" w:themeColor="text1"/>
                <w:sz w:val="20"/>
                <w:lang w:eastAsia="en-US"/>
              </w:rPr>
              <w:t>stakeholders’ need for information on companies’ activities, performances, risks, and impacts.</w:t>
            </w:r>
          </w:p>
        </w:tc>
      </w:tr>
      <w:tr w:rsidR="00B40DA7">
        <w:trPr>
          <w:cantSplit/>
        </w:trPr>
        <w:tc>
          <w:tcPr>
            <w:tcW w:w="647" w:type="dxa"/>
            <w:shd w:val="clear" w:color="auto" w:fill="auto"/>
          </w:tcPr>
          <w:p w:rsidR="00B40DA7" w:rsidRDefault="00B40DA7">
            <w:pPr>
              <w:numPr>
                <w:ilvl w:val="0"/>
                <w:numId w:val="23"/>
              </w:numPr>
              <w:spacing w:after="0" w:line="276" w:lineRule="auto"/>
              <w:jc w:val="left"/>
              <w:rPr>
                <w:rFonts w:eastAsiaTheme="minorHAnsi" w:cstheme="minorBidi"/>
                <w:b/>
                <w:noProof/>
                <w:color w:val="000000"/>
                <w:sz w:val="20"/>
                <w:lang w:eastAsia="en-US"/>
              </w:rPr>
            </w:pPr>
          </w:p>
        </w:tc>
        <w:tc>
          <w:tcPr>
            <w:tcW w:w="4400" w:type="dxa"/>
          </w:tcPr>
          <w:p w:rsidR="00B40DA7" w:rsidRDefault="00531C5A">
            <w:pPr>
              <w:spacing w:after="0"/>
              <w:jc w:val="left"/>
              <w:rPr>
                <w:rFonts w:eastAsiaTheme="minorEastAsia" w:cstheme="minorBidi"/>
                <w:b/>
                <w:bCs/>
                <w:noProof/>
                <w:sz w:val="20"/>
                <w:lang w:eastAsia="en-US"/>
              </w:rPr>
            </w:pPr>
            <w:r>
              <w:rPr>
                <w:rFonts w:eastAsiaTheme="minorEastAsia" w:cstheme="minorBidi"/>
                <w:b/>
                <w:bCs/>
                <w:noProof/>
                <w:sz w:val="20"/>
                <w:lang w:eastAsia="en-US"/>
              </w:rPr>
              <w:t>Evaluation of legislation on trade in drug precursors</w:t>
            </w:r>
          </w:p>
        </w:tc>
        <w:tc>
          <w:tcPr>
            <w:tcW w:w="9780" w:type="dxa"/>
          </w:tcPr>
          <w:p w:rsidR="00B40DA7" w:rsidRDefault="00531C5A">
            <w:pPr>
              <w:spacing w:after="0"/>
              <w:rPr>
                <w:rFonts w:eastAsiaTheme="minorEastAsia" w:cstheme="minorBidi"/>
                <w:noProof/>
                <w:color w:val="000000" w:themeColor="text1"/>
                <w:sz w:val="20"/>
                <w:lang w:eastAsia="en-US"/>
              </w:rPr>
            </w:pPr>
            <w:r>
              <w:rPr>
                <w:rFonts w:eastAsiaTheme="minorEastAsia" w:cstheme="minorBidi"/>
                <w:noProof/>
                <w:sz w:val="20"/>
                <w:lang w:eastAsia="en-US"/>
              </w:rPr>
              <w:t>Regulation (EC) No 273/2004 and Regulation (EC) No 111/2005 on drug precursors will be evaluated in the l</w:t>
            </w:r>
            <w:r>
              <w:rPr>
                <w:rFonts w:eastAsiaTheme="minorEastAsia" w:cstheme="minorBidi"/>
                <w:noProof/>
                <w:sz w:val="20"/>
                <w:lang w:eastAsia="en-US"/>
              </w:rPr>
              <w:t>ight of their objective, which is to set up a monitoring and control system of the trade in drug precursors to prevent their diversion from the legal supply chain into the illicit drug production. In addition to those two Regulations, the evaluation will c</w:t>
            </w:r>
            <w:r>
              <w:rPr>
                <w:rFonts w:eastAsiaTheme="minorEastAsia" w:cstheme="minorBidi"/>
                <w:noProof/>
                <w:sz w:val="20"/>
                <w:lang w:eastAsia="en-US"/>
              </w:rPr>
              <w:t>over their associated acts, Delegated Regulation 2015/1011 and Implementing Regulation 2015/1013.</w:t>
            </w:r>
          </w:p>
        </w:tc>
      </w:tr>
      <w:tr w:rsidR="00B40DA7">
        <w:trPr>
          <w:cantSplit/>
        </w:trPr>
        <w:tc>
          <w:tcPr>
            <w:tcW w:w="647" w:type="dxa"/>
            <w:tcBorders>
              <w:bottom w:val="single" w:sz="4" w:space="0" w:color="auto"/>
            </w:tcBorders>
            <w:shd w:val="clear" w:color="auto" w:fill="auto"/>
          </w:tcPr>
          <w:p w:rsidR="00B40DA7" w:rsidRDefault="00B40DA7">
            <w:pPr>
              <w:numPr>
                <w:ilvl w:val="0"/>
                <w:numId w:val="23"/>
              </w:numPr>
              <w:spacing w:after="0" w:line="276" w:lineRule="auto"/>
              <w:jc w:val="left"/>
              <w:rPr>
                <w:rFonts w:eastAsiaTheme="minorHAnsi" w:cstheme="minorBidi"/>
                <w:b/>
                <w:noProof/>
                <w:color w:val="000000"/>
                <w:sz w:val="20"/>
                <w:lang w:eastAsia="en-US"/>
              </w:rPr>
            </w:pPr>
          </w:p>
        </w:tc>
        <w:tc>
          <w:tcPr>
            <w:tcW w:w="4400" w:type="dxa"/>
            <w:tcBorders>
              <w:bottom w:val="single" w:sz="4" w:space="0" w:color="auto"/>
            </w:tcBorders>
          </w:tcPr>
          <w:p w:rsidR="00B40DA7" w:rsidRDefault="00531C5A">
            <w:pPr>
              <w:spacing w:after="0"/>
              <w:jc w:val="left"/>
              <w:rPr>
                <w:rFonts w:eastAsiaTheme="minorEastAsia" w:cstheme="minorBidi"/>
                <w:b/>
                <w:bCs/>
                <w:noProof/>
                <w:sz w:val="20"/>
                <w:lang w:eastAsia="en-US"/>
              </w:rPr>
            </w:pPr>
            <w:r>
              <w:rPr>
                <w:rFonts w:eastAsiaTheme="minorEastAsia" w:cstheme="minorBidi"/>
                <w:b/>
                <w:bCs/>
                <w:noProof/>
                <w:sz w:val="20"/>
                <w:lang w:eastAsia="en-US"/>
              </w:rPr>
              <w:t xml:space="preserve">Evaluation of Regulation on mutual assistance in customs matters 515/97 </w:t>
            </w:r>
          </w:p>
        </w:tc>
        <w:tc>
          <w:tcPr>
            <w:tcW w:w="9780" w:type="dxa"/>
            <w:tcBorders>
              <w:bottom w:val="single" w:sz="4" w:space="0" w:color="auto"/>
            </w:tcBorders>
          </w:tcPr>
          <w:p w:rsidR="00B40DA7" w:rsidRDefault="00531C5A">
            <w:pPr>
              <w:spacing w:after="0"/>
              <w:rPr>
                <w:rFonts w:eastAsiaTheme="minorEastAsia" w:cstheme="minorBidi"/>
                <w:noProof/>
                <w:sz w:val="20"/>
                <w:lang w:eastAsia="en-US"/>
              </w:rPr>
            </w:pPr>
            <w:r>
              <w:rPr>
                <w:rFonts w:eastAsiaTheme="minorEastAsia" w:cstheme="minorBidi"/>
                <w:noProof/>
                <w:sz w:val="20"/>
                <w:lang w:eastAsia="en-US"/>
              </w:rPr>
              <w:t xml:space="preserve">Regulation 515/97 ensures the correct application of the EU customs legislation. </w:t>
            </w:r>
            <w:r>
              <w:rPr>
                <w:rFonts w:eastAsiaTheme="minorEastAsia" w:cstheme="minorBidi"/>
                <w:noProof/>
                <w:sz w:val="20"/>
                <w:lang w:eastAsia="en-US"/>
              </w:rPr>
              <w:t>Since the 2015 revision of Regulation 515/97, new developments (such as new data protection regime, new fraud risks) have been recorded. The evaluation will assess the overall functioning of Regulation 515/97 by also making use of a targeted consultation.</w:t>
            </w:r>
          </w:p>
        </w:tc>
      </w:tr>
      <w:tr w:rsidR="00B40DA7">
        <w:trPr>
          <w:cantSplit/>
        </w:trPr>
        <w:tc>
          <w:tcPr>
            <w:tcW w:w="14827" w:type="dxa"/>
            <w:gridSpan w:val="3"/>
            <w:tcBorders>
              <w:bottom w:val="single" w:sz="4" w:space="0" w:color="auto"/>
            </w:tcBorders>
            <w:shd w:val="clear" w:color="auto" w:fill="585EAA" w:themeFill="accent4"/>
          </w:tcPr>
          <w:p w:rsidR="00B40DA7" w:rsidRDefault="00531C5A">
            <w:pPr>
              <w:keepNext/>
              <w:spacing w:before="60" w:after="60"/>
              <w:rPr>
                <w:b/>
                <w:bCs/>
                <w:noProof/>
                <w:sz w:val="20"/>
              </w:rPr>
            </w:pPr>
            <w:r>
              <w:rPr>
                <w:b/>
                <w:bCs/>
                <w:noProof/>
                <w:color w:val="FFFFFF" w:themeColor="background1"/>
                <w:sz w:val="20"/>
              </w:rPr>
              <w:t>A Stronger Europe in the World</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numPr>
                <w:ilvl w:val="0"/>
                <w:numId w:val="23"/>
              </w:numPr>
              <w:spacing w:after="0" w:line="276" w:lineRule="auto"/>
              <w:jc w:val="left"/>
              <w:rPr>
                <w:rFonts w:eastAsiaTheme="minorHAnsi" w:cstheme="minorBidi"/>
                <w:b/>
                <w:noProof/>
                <w:color w:val="000000" w:themeColor="text1"/>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spacing w:after="0"/>
              <w:jc w:val="left"/>
              <w:rPr>
                <w:rFonts w:eastAsiaTheme="minorEastAsia" w:cstheme="minorBidi"/>
                <w:b/>
                <w:noProof/>
                <w:sz w:val="20"/>
                <w:lang w:eastAsia="en-US"/>
              </w:rPr>
            </w:pPr>
            <w:r>
              <w:rPr>
                <w:rFonts w:eastAsiaTheme="minorEastAsia" w:cstheme="minorBidi"/>
                <w:b/>
                <w:noProof/>
                <w:sz w:val="20"/>
                <w:lang w:eastAsia="en-US"/>
              </w:rPr>
              <w:t>Evaluation of the trade pillar of six EU’s Association Agreements with EUROMED countries (Tunisia, Morocco, Egypt, Jordan, Algeria and Lebanon)</w:t>
            </w:r>
          </w:p>
        </w:tc>
        <w:tc>
          <w:tcPr>
            <w:tcW w:w="9780" w:type="dxa"/>
            <w:tcBorders>
              <w:top w:val="single" w:sz="4" w:space="0" w:color="auto"/>
              <w:left w:val="single" w:sz="4" w:space="0" w:color="auto"/>
              <w:bottom w:val="single" w:sz="4" w:space="0" w:color="auto"/>
              <w:right w:val="single" w:sz="4" w:space="0" w:color="auto"/>
            </w:tcBorders>
          </w:tcPr>
          <w:p w:rsidR="00B40DA7" w:rsidRDefault="00531C5A">
            <w:pPr>
              <w:spacing w:after="0"/>
              <w:jc w:val="left"/>
              <w:rPr>
                <w:rFonts w:eastAsiaTheme="minorEastAsia" w:cstheme="minorBidi"/>
                <w:noProof/>
                <w:sz w:val="20"/>
                <w:lang w:eastAsia="en-US"/>
              </w:rPr>
            </w:pPr>
            <w:r>
              <w:rPr>
                <w:rFonts w:eastAsiaTheme="minorEastAsia" w:cstheme="minorBidi"/>
                <w:noProof/>
                <w:sz w:val="20"/>
                <w:lang w:eastAsia="en-US"/>
              </w:rPr>
              <w:t>This evaluation might identify opportunities for streamlining procedures with potential reduction of costs and administrative burden and simplification of processes. Furthermore, these potential benefits might be used in any future re-negotiation of this a</w:t>
            </w:r>
            <w:r>
              <w:rPr>
                <w:rFonts w:eastAsiaTheme="minorEastAsia" w:cstheme="minorBidi"/>
                <w:noProof/>
                <w:sz w:val="20"/>
                <w:lang w:eastAsia="en-US"/>
              </w:rPr>
              <w:t xml:space="preserve">greement or in the negotiation of agreements with other countries.  </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numPr>
                <w:ilvl w:val="0"/>
                <w:numId w:val="23"/>
              </w:numPr>
              <w:spacing w:after="0" w:line="276" w:lineRule="auto"/>
              <w:jc w:val="left"/>
              <w:rPr>
                <w:rFonts w:eastAsiaTheme="minorHAnsi" w:cstheme="minorBidi"/>
                <w:b/>
                <w:noProof/>
                <w:color w:val="000000" w:themeColor="text1"/>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spacing w:after="0"/>
              <w:jc w:val="left"/>
              <w:rPr>
                <w:rFonts w:eastAsiaTheme="minorEastAsia" w:cstheme="minorBidi"/>
                <w:b/>
                <w:noProof/>
                <w:sz w:val="20"/>
                <w:lang w:eastAsia="en-US"/>
              </w:rPr>
            </w:pPr>
            <w:r>
              <w:rPr>
                <w:rFonts w:eastAsiaTheme="minorEastAsia" w:cstheme="minorBidi"/>
                <w:b/>
                <w:noProof/>
                <w:sz w:val="20"/>
                <w:lang w:eastAsia="en-US"/>
              </w:rPr>
              <w:t>Evaluation of the implementation of the EU-CARIFORUM Economic Partnership Agreement</w:t>
            </w:r>
          </w:p>
        </w:tc>
        <w:tc>
          <w:tcPr>
            <w:tcW w:w="9780" w:type="dxa"/>
            <w:tcBorders>
              <w:top w:val="single" w:sz="4" w:space="0" w:color="auto"/>
              <w:left w:val="single" w:sz="4" w:space="0" w:color="auto"/>
              <w:bottom w:val="single" w:sz="4" w:space="0" w:color="auto"/>
              <w:right w:val="single" w:sz="4" w:space="0" w:color="auto"/>
            </w:tcBorders>
          </w:tcPr>
          <w:p w:rsidR="00B40DA7" w:rsidRDefault="00531C5A">
            <w:pPr>
              <w:spacing w:after="0"/>
              <w:jc w:val="left"/>
              <w:rPr>
                <w:rFonts w:eastAsiaTheme="minorEastAsia" w:cstheme="minorBidi"/>
                <w:noProof/>
                <w:sz w:val="20"/>
                <w:lang w:eastAsia="en-US"/>
              </w:rPr>
            </w:pPr>
            <w:r>
              <w:rPr>
                <w:rFonts w:eastAsiaTheme="minorEastAsia" w:cstheme="minorBidi"/>
                <w:noProof/>
                <w:sz w:val="20"/>
                <w:lang w:eastAsia="en-US"/>
              </w:rPr>
              <w:t xml:space="preserve">This evaluation might identify opportunities for streamlining procedures with potential reduction of </w:t>
            </w:r>
            <w:r>
              <w:rPr>
                <w:rFonts w:eastAsiaTheme="minorEastAsia" w:cstheme="minorBidi"/>
                <w:noProof/>
                <w:sz w:val="20"/>
                <w:lang w:eastAsia="en-US"/>
              </w:rPr>
              <w:t xml:space="preserve">costs and administrative burden and simplification of processes. Furthermore, these potential benefits might be used in any future re-negotiation of this agreement or in the negotiation of agreements with other countries.  </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numPr>
                <w:ilvl w:val="0"/>
                <w:numId w:val="23"/>
              </w:numPr>
              <w:spacing w:after="0" w:line="276" w:lineRule="auto"/>
              <w:jc w:val="left"/>
              <w:rPr>
                <w:rFonts w:eastAsiaTheme="minorHAnsi" w:cstheme="minorBidi"/>
                <w:b/>
                <w:noProof/>
                <w:color w:val="000000" w:themeColor="text1"/>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spacing w:after="0"/>
              <w:jc w:val="left"/>
              <w:rPr>
                <w:rFonts w:eastAsiaTheme="minorEastAsia" w:cstheme="minorBidi"/>
                <w:b/>
                <w:bCs/>
                <w:noProof/>
                <w:sz w:val="20"/>
                <w:lang w:eastAsia="en-US"/>
              </w:rPr>
            </w:pPr>
            <w:r>
              <w:rPr>
                <w:rFonts w:eastAsiaTheme="minorEastAsia" w:cstheme="minorBidi"/>
                <w:b/>
                <w:bCs/>
                <w:noProof/>
                <w:sz w:val="20"/>
                <w:lang w:eastAsia="en-US"/>
              </w:rPr>
              <w:t>Torture Free Trade</w:t>
            </w:r>
          </w:p>
        </w:tc>
        <w:tc>
          <w:tcPr>
            <w:tcW w:w="9780" w:type="dxa"/>
            <w:tcBorders>
              <w:top w:val="single" w:sz="4" w:space="0" w:color="auto"/>
              <w:left w:val="single" w:sz="4" w:space="0" w:color="auto"/>
              <w:bottom w:val="single" w:sz="4" w:space="0" w:color="auto"/>
              <w:right w:val="single" w:sz="4" w:space="0" w:color="auto"/>
            </w:tcBorders>
          </w:tcPr>
          <w:p w:rsidR="00B40DA7" w:rsidRDefault="00531C5A">
            <w:pPr>
              <w:spacing w:after="0"/>
              <w:jc w:val="left"/>
              <w:rPr>
                <w:rFonts w:eastAsiaTheme="minorEastAsia" w:cstheme="minorBidi"/>
                <w:noProof/>
                <w:sz w:val="20"/>
                <w:lang w:eastAsia="en-US"/>
              </w:rPr>
            </w:pPr>
            <w:r>
              <w:rPr>
                <w:rFonts w:eastAsiaTheme="minorEastAsia" w:cstheme="minorBidi"/>
                <w:noProof/>
                <w:sz w:val="20"/>
                <w:lang w:eastAsia="en-US"/>
              </w:rPr>
              <w:t>Review Regu</w:t>
            </w:r>
            <w:r>
              <w:rPr>
                <w:rFonts w:eastAsiaTheme="minorEastAsia" w:cstheme="minorBidi"/>
                <w:noProof/>
                <w:sz w:val="20"/>
                <w:lang w:eastAsia="en-US"/>
              </w:rPr>
              <w:t>lation (EU) 2019/125 (‘Anti-torture Regulation’) concerning trade in certain goods, which could be used for capital punishment, torture or other cruel, inhuman or degrading treatment or punishment.</w:t>
            </w:r>
            <w:r>
              <w:rPr>
                <w:rFonts w:eastAsiaTheme="minorHAnsi" w:cstheme="minorBidi"/>
                <w:noProof/>
                <w:sz w:val="20"/>
                <w:lang w:eastAsia="en-US"/>
              </w:rPr>
              <w:br/>
            </w:r>
            <w:r>
              <w:rPr>
                <w:rFonts w:eastAsiaTheme="minorEastAsia" w:cstheme="minorBidi"/>
                <w:noProof/>
                <w:sz w:val="20"/>
                <w:lang w:eastAsia="en-US"/>
              </w:rPr>
              <w:t>Under Article 32 of the ‘Anti-torture Regulation’, the Com</w:t>
            </w:r>
            <w:r>
              <w:rPr>
                <w:rFonts w:eastAsiaTheme="minorEastAsia" w:cstheme="minorBidi"/>
                <w:noProof/>
                <w:sz w:val="20"/>
                <w:lang w:eastAsia="en-US"/>
              </w:rPr>
              <w:t xml:space="preserve">mission shall review its implementation by 31 July 2020, and every five years thereafter. On the basis of a review report to be adopted by July 2020, the Commission will decide whether any amendments to the Regulation should be proposed. Without prejudice </w:t>
            </w:r>
            <w:r>
              <w:rPr>
                <w:rFonts w:eastAsiaTheme="minorEastAsia" w:cstheme="minorBidi"/>
                <w:noProof/>
                <w:sz w:val="20"/>
                <w:lang w:eastAsia="en-US"/>
              </w:rPr>
              <w:t>to the outcome of the review and while ensuring that relevant goods remain subject to effective restrictions, potential areas of simplification on for instance reporting requirements or exchanging information could be considered.</w:t>
            </w:r>
          </w:p>
        </w:tc>
      </w:tr>
      <w:tr w:rsidR="00B40DA7">
        <w:trPr>
          <w:cantSplit/>
        </w:trPr>
        <w:tc>
          <w:tcPr>
            <w:tcW w:w="14827" w:type="dxa"/>
            <w:gridSpan w:val="3"/>
            <w:shd w:val="clear" w:color="auto" w:fill="DA5C57" w:themeFill="accent6"/>
          </w:tcPr>
          <w:p w:rsidR="00B40DA7" w:rsidRDefault="00531C5A">
            <w:pPr>
              <w:keepNext/>
              <w:spacing w:before="60" w:after="60"/>
              <w:rPr>
                <w:b/>
                <w:bCs/>
                <w:noProof/>
                <w:sz w:val="20"/>
              </w:rPr>
            </w:pPr>
            <w:r>
              <w:rPr>
                <w:b/>
                <w:bCs/>
                <w:noProof/>
                <w:color w:val="FFFFFF" w:themeColor="background1"/>
                <w:sz w:val="20"/>
              </w:rPr>
              <w:t xml:space="preserve">Promoting our European </w:t>
            </w:r>
            <w:r>
              <w:rPr>
                <w:b/>
                <w:bCs/>
                <w:noProof/>
                <w:color w:val="FFFFFF" w:themeColor="background1"/>
                <w:sz w:val="20"/>
              </w:rPr>
              <w:t>Way of Life</w:t>
            </w:r>
          </w:p>
        </w:tc>
      </w:tr>
      <w:tr w:rsidR="00B40DA7">
        <w:trPr>
          <w:cantSplit/>
        </w:trPr>
        <w:tc>
          <w:tcPr>
            <w:tcW w:w="647" w:type="dxa"/>
            <w:tcBorders>
              <w:bottom w:val="single" w:sz="4" w:space="0" w:color="auto"/>
            </w:tcBorders>
            <w:shd w:val="clear" w:color="auto" w:fill="auto"/>
          </w:tcPr>
          <w:p w:rsidR="00B40DA7" w:rsidRDefault="00B40DA7">
            <w:pPr>
              <w:numPr>
                <w:ilvl w:val="0"/>
                <w:numId w:val="23"/>
              </w:numPr>
              <w:spacing w:after="0" w:line="276" w:lineRule="auto"/>
              <w:jc w:val="left"/>
              <w:rPr>
                <w:rFonts w:eastAsiaTheme="minorHAnsi" w:cstheme="minorBidi"/>
                <w:b/>
                <w:noProof/>
                <w:color w:val="000000" w:themeColor="text1"/>
                <w:sz w:val="20"/>
                <w:lang w:eastAsia="en-US"/>
              </w:rPr>
            </w:pPr>
          </w:p>
        </w:tc>
        <w:tc>
          <w:tcPr>
            <w:tcW w:w="4400" w:type="dxa"/>
            <w:tcBorders>
              <w:bottom w:val="single" w:sz="4" w:space="0" w:color="auto"/>
            </w:tcBorders>
          </w:tcPr>
          <w:p w:rsidR="00B40DA7" w:rsidRDefault="00531C5A">
            <w:pPr>
              <w:spacing w:after="0"/>
              <w:jc w:val="left"/>
              <w:rPr>
                <w:rFonts w:eastAsiaTheme="minorEastAsia" w:cstheme="minorBidi"/>
                <w:b/>
                <w:bCs/>
                <w:noProof/>
                <w:sz w:val="20"/>
                <w:lang w:eastAsia="en-US"/>
              </w:rPr>
            </w:pPr>
            <w:r>
              <w:rPr>
                <w:rFonts w:eastAsiaTheme="minorEastAsia" w:cstheme="minorBidi"/>
                <w:b/>
                <w:bCs/>
                <w:noProof/>
                <w:sz w:val="20"/>
                <w:lang w:eastAsia="en-US"/>
              </w:rPr>
              <w:t>Evaluation of Paediatric Regulation (EC) No 1901/2006 and of Orphan Medicinal Products Regulation (EC) No 141/2000</w:t>
            </w:r>
          </w:p>
        </w:tc>
        <w:tc>
          <w:tcPr>
            <w:tcW w:w="9780" w:type="dxa"/>
            <w:tcBorders>
              <w:bottom w:val="single" w:sz="4" w:space="0" w:color="auto"/>
            </w:tcBorders>
          </w:tcPr>
          <w:p w:rsidR="00B40DA7" w:rsidRDefault="00531C5A">
            <w:pPr>
              <w:spacing w:after="0"/>
              <w:rPr>
                <w:rFonts w:eastAsiaTheme="minorEastAsia" w:cstheme="minorBidi"/>
                <w:noProof/>
                <w:sz w:val="20"/>
                <w:lang w:eastAsia="en-US"/>
              </w:rPr>
            </w:pPr>
            <w:r>
              <w:rPr>
                <w:rFonts w:eastAsiaTheme="minorEastAsia" w:cstheme="minorBidi"/>
                <w:noProof/>
                <w:sz w:val="20"/>
                <w:lang w:eastAsia="en-US"/>
              </w:rPr>
              <w:t>This evaluation will provide meaningful input to the future EU pharmaceutical strategy. Based on the available evidence, the ev</w:t>
            </w:r>
            <w:r>
              <w:rPr>
                <w:rFonts w:eastAsiaTheme="minorEastAsia" w:cstheme="minorBidi"/>
                <w:noProof/>
                <w:sz w:val="20"/>
                <w:lang w:eastAsia="en-US"/>
              </w:rPr>
              <w:t xml:space="preserve">aluation assesses the strengths and weaknesses of the Orphan and Paediatric Regulations both separately and combined. The evaluation focuses, </w:t>
            </w:r>
            <w:r>
              <w:rPr>
                <w:rFonts w:eastAsiaTheme="minorEastAsia" w:cstheme="minorBidi"/>
                <w:i/>
                <w:iCs/>
                <w:noProof/>
                <w:sz w:val="20"/>
                <w:lang w:eastAsia="en-US"/>
              </w:rPr>
              <w:t>inter alia</w:t>
            </w:r>
            <w:r>
              <w:rPr>
                <w:rFonts w:eastAsiaTheme="minorEastAsia" w:cstheme="minorBidi"/>
                <w:noProof/>
                <w:sz w:val="20"/>
                <w:lang w:eastAsia="en-US"/>
              </w:rPr>
              <w:t>, on products catering for unmet medical needs and on how the incentives provided in current legislation</w:t>
            </w:r>
            <w:r>
              <w:rPr>
                <w:rFonts w:eastAsiaTheme="minorEastAsia" w:cstheme="minorBidi"/>
                <w:noProof/>
                <w:sz w:val="20"/>
                <w:lang w:eastAsia="en-US"/>
              </w:rPr>
              <w:t xml:space="preserve"> have been used.</w:t>
            </w:r>
          </w:p>
        </w:tc>
      </w:tr>
      <w:tr w:rsidR="00B40DA7">
        <w:trPr>
          <w:cantSplit/>
        </w:trPr>
        <w:tc>
          <w:tcPr>
            <w:tcW w:w="14827" w:type="dxa"/>
            <w:gridSpan w:val="3"/>
            <w:tcBorders>
              <w:top w:val="single" w:sz="4" w:space="0" w:color="auto"/>
              <w:left w:val="single" w:sz="4" w:space="0" w:color="auto"/>
              <w:bottom w:val="single" w:sz="4" w:space="0" w:color="auto"/>
              <w:right w:val="single" w:sz="4" w:space="0" w:color="auto"/>
            </w:tcBorders>
            <w:shd w:val="clear" w:color="auto" w:fill="00ADDC" w:themeFill="accent5"/>
          </w:tcPr>
          <w:p w:rsidR="00B40DA7" w:rsidRDefault="00531C5A">
            <w:pPr>
              <w:keepNext/>
              <w:spacing w:before="60" w:after="60"/>
              <w:rPr>
                <w:b/>
                <w:bCs/>
                <w:noProof/>
                <w:sz w:val="20"/>
              </w:rPr>
            </w:pPr>
            <w:r>
              <w:rPr>
                <w:b/>
                <w:bCs/>
                <w:noProof/>
                <w:color w:val="FFFFFF" w:themeColor="background1"/>
                <w:sz w:val="20"/>
              </w:rPr>
              <w:t>A New Push for European Democracy</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numPr>
                <w:ilvl w:val="0"/>
                <w:numId w:val="23"/>
              </w:numPr>
              <w:spacing w:after="0" w:line="276" w:lineRule="auto"/>
              <w:jc w:val="left"/>
              <w:rPr>
                <w:rFonts w:eastAsiaTheme="minorHAnsi" w:cstheme="minorBidi"/>
                <w:b/>
                <w:noProof/>
                <w:color w:val="000000" w:themeColor="text1"/>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spacing w:after="0"/>
              <w:jc w:val="left"/>
              <w:rPr>
                <w:rFonts w:eastAsiaTheme="minorEastAsia" w:cstheme="minorBidi"/>
                <w:b/>
                <w:bCs/>
                <w:noProof/>
                <w:sz w:val="20"/>
                <w:lang w:eastAsia="en-US"/>
              </w:rPr>
            </w:pPr>
            <w:r>
              <w:rPr>
                <w:rFonts w:cstheme="minorBidi"/>
                <w:b/>
                <w:bCs/>
                <w:noProof/>
                <w:sz w:val="20"/>
                <w:lang w:eastAsia="en-US"/>
              </w:rPr>
              <w:t>Commission Proposal to review Directive 2008/48/EC on credit agreement for consumers</w:t>
            </w:r>
          </w:p>
        </w:tc>
        <w:tc>
          <w:tcPr>
            <w:tcW w:w="9780" w:type="dxa"/>
            <w:tcBorders>
              <w:top w:val="single" w:sz="4" w:space="0" w:color="auto"/>
              <w:left w:val="single" w:sz="4" w:space="0" w:color="auto"/>
              <w:bottom w:val="single" w:sz="4" w:space="0" w:color="auto"/>
              <w:right w:val="single" w:sz="4" w:space="0" w:color="auto"/>
            </w:tcBorders>
          </w:tcPr>
          <w:p w:rsidR="00B40DA7" w:rsidRDefault="00531C5A">
            <w:pPr>
              <w:spacing w:after="0"/>
              <w:jc w:val="left"/>
              <w:rPr>
                <w:rFonts w:eastAsiaTheme="minorEastAsia" w:cstheme="minorBidi"/>
                <w:noProof/>
                <w:sz w:val="20"/>
                <w:lang w:eastAsia="en-US"/>
              </w:rPr>
            </w:pPr>
            <w:r>
              <w:rPr>
                <w:rFonts w:cstheme="minorBidi"/>
                <w:noProof/>
                <w:sz w:val="20"/>
                <w:lang w:eastAsia="en-US"/>
              </w:rPr>
              <w:t>The ongoing evaluation of the directive will focus on the progress made, its costs and benefits. It will also focus on whether original objectives and tools of the Directive correspond to current needs, on monitoring how the Directive works together with o</w:t>
            </w:r>
            <w:r>
              <w:rPr>
                <w:rFonts w:cstheme="minorBidi"/>
                <w:noProof/>
                <w:sz w:val="20"/>
                <w:lang w:eastAsia="en-US"/>
              </w:rPr>
              <w:t xml:space="preserve">ther pieces of legislation and whether the EU intervention has delivered a benefit. Based on the outcome of the evaluation, the review will ensure better consumer information and understanding of consumer credits, taking into account the digitalisation in </w:t>
            </w:r>
            <w:r>
              <w:rPr>
                <w:rFonts w:cstheme="minorBidi"/>
                <w:noProof/>
                <w:sz w:val="20"/>
                <w:lang w:eastAsia="en-US"/>
              </w:rPr>
              <w:t xml:space="preserve">the provision of such products. It will aim at providing better protection for consumers from irresponsible lending practices, particularly those spread online. </w:t>
            </w:r>
            <w:r>
              <w:rPr>
                <w:noProof/>
                <w:sz w:val="20"/>
              </w:rPr>
              <w:t>(legislative, incl. impact assessment, Article 114 TFEU, Q4 2020)</w:t>
            </w:r>
          </w:p>
        </w:tc>
      </w:tr>
      <w:tr w:rsidR="00B40DA7">
        <w:trPr>
          <w:cantSplit/>
        </w:trPr>
        <w:tc>
          <w:tcPr>
            <w:tcW w:w="647" w:type="dxa"/>
            <w:tcBorders>
              <w:top w:val="single" w:sz="4" w:space="0" w:color="auto"/>
              <w:left w:val="single" w:sz="4" w:space="0" w:color="auto"/>
              <w:bottom w:val="single" w:sz="4" w:space="0" w:color="auto"/>
              <w:right w:val="single" w:sz="4" w:space="0" w:color="auto"/>
            </w:tcBorders>
            <w:shd w:val="clear" w:color="auto" w:fill="auto"/>
          </w:tcPr>
          <w:p w:rsidR="00B40DA7" w:rsidRDefault="00B40DA7">
            <w:pPr>
              <w:numPr>
                <w:ilvl w:val="0"/>
                <w:numId w:val="23"/>
              </w:numPr>
              <w:spacing w:after="0" w:line="276" w:lineRule="auto"/>
              <w:jc w:val="left"/>
              <w:rPr>
                <w:rFonts w:eastAsiaTheme="minorHAnsi" w:cstheme="minorBidi"/>
                <w:b/>
                <w:noProof/>
                <w:color w:val="000000" w:themeColor="text1"/>
                <w:sz w:val="20"/>
                <w:lang w:eastAsia="en-US"/>
              </w:rPr>
            </w:pPr>
          </w:p>
        </w:tc>
        <w:tc>
          <w:tcPr>
            <w:tcW w:w="4400" w:type="dxa"/>
            <w:tcBorders>
              <w:top w:val="single" w:sz="4" w:space="0" w:color="auto"/>
              <w:left w:val="single" w:sz="4" w:space="0" w:color="auto"/>
              <w:bottom w:val="single" w:sz="4" w:space="0" w:color="auto"/>
              <w:right w:val="single" w:sz="4" w:space="0" w:color="auto"/>
            </w:tcBorders>
          </w:tcPr>
          <w:p w:rsidR="00B40DA7" w:rsidRDefault="00531C5A">
            <w:pPr>
              <w:spacing w:after="0"/>
              <w:jc w:val="left"/>
              <w:rPr>
                <w:rFonts w:eastAsiaTheme="minorEastAsia" w:cstheme="minorBidi"/>
                <w:b/>
                <w:bCs/>
                <w:noProof/>
                <w:sz w:val="20"/>
                <w:lang w:eastAsia="en-US"/>
              </w:rPr>
            </w:pPr>
            <w:r>
              <w:rPr>
                <w:rFonts w:eastAsiaTheme="minorEastAsia" w:cstheme="minorBidi"/>
                <w:b/>
                <w:bCs/>
                <w:noProof/>
                <w:sz w:val="20"/>
                <w:lang w:eastAsia="en-US"/>
              </w:rPr>
              <w:t>Commission Proposal to revi</w:t>
            </w:r>
            <w:r>
              <w:rPr>
                <w:rFonts w:eastAsiaTheme="minorEastAsia" w:cstheme="minorBidi"/>
                <w:b/>
                <w:bCs/>
                <w:noProof/>
                <w:sz w:val="20"/>
                <w:lang w:eastAsia="en-US"/>
              </w:rPr>
              <w:t>ew Directive 2002/65/EC on the distance marketing of consumer financial services</w:t>
            </w:r>
          </w:p>
        </w:tc>
        <w:tc>
          <w:tcPr>
            <w:tcW w:w="9780" w:type="dxa"/>
            <w:tcBorders>
              <w:top w:val="single" w:sz="4" w:space="0" w:color="auto"/>
              <w:left w:val="single" w:sz="4" w:space="0" w:color="auto"/>
              <w:bottom w:val="single" w:sz="4" w:space="0" w:color="auto"/>
              <w:right w:val="single" w:sz="4" w:space="0" w:color="auto"/>
            </w:tcBorders>
          </w:tcPr>
          <w:p w:rsidR="00B40DA7" w:rsidRDefault="00531C5A">
            <w:pPr>
              <w:spacing w:after="0"/>
              <w:jc w:val="left"/>
              <w:rPr>
                <w:rFonts w:eastAsiaTheme="minorEastAsia" w:cstheme="minorBidi"/>
                <w:noProof/>
                <w:sz w:val="20"/>
                <w:lang w:eastAsia="en-US"/>
              </w:rPr>
            </w:pPr>
            <w:r>
              <w:rPr>
                <w:rFonts w:eastAsiaTheme="minorEastAsia" w:cstheme="minorBidi"/>
                <w:noProof/>
                <w:sz w:val="20"/>
                <w:lang w:eastAsia="en-US"/>
              </w:rPr>
              <w:t>The ongoing evaluation will assess whether the original objectives have been achieved, how the Directive is functioning from a cost/benefit, burden reduction and simplificatio</w:t>
            </w:r>
            <w:r>
              <w:rPr>
                <w:rFonts w:eastAsiaTheme="minorEastAsia" w:cstheme="minorBidi"/>
                <w:noProof/>
                <w:sz w:val="20"/>
                <w:lang w:eastAsia="en-US"/>
              </w:rPr>
              <w:t>n perspectives, and how the Directive works together with other legislation in the field of retail financial services, consumer protection and data protection. The analysis will assess whether the tools of the Directive correspond to the original and curre</w:t>
            </w:r>
            <w:r>
              <w:rPr>
                <w:rFonts w:eastAsiaTheme="minorEastAsia" w:cstheme="minorBidi"/>
                <w:noProof/>
                <w:sz w:val="20"/>
                <w:lang w:eastAsia="en-US"/>
              </w:rPr>
              <w:t xml:space="preserve">nt needs and its EU added-value. </w:t>
            </w:r>
            <w:r>
              <w:rPr>
                <w:rFonts w:cstheme="minorBidi"/>
                <w:noProof/>
                <w:sz w:val="20"/>
                <w:lang w:eastAsia="en-US"/>
              </w:rPr>
              <w:t xml:space="preserve">Based on the outcome of the evaluation, the review will </w:t>
            </w:r>
            <w:r>
              <w:rPr>
                <w:rFonts w:eastAsiaTheme="minorEastAsia" w:cstheme="minorBidi"/>
                <w:noProof/>
                <w:sz w:val="20"/>
                <w:lang w:eastAsia="en-US"/>
              </w:rPr>
              <w:t xml:space="preserve"> ensure better understanding of retail financial products taking into account the digitalisation in the provision of such products. It will aim at providing better pro</w:t>
            </w:r>
            <w:r>
              <w:rPr>
                <w:rFonts w:eastAsiaTheme="minorEastAsia" w:cstheme="minorBidi"/>
                <w:noProof/>
                <w:sz w:val="20"/>
                <w:lang w:eastAsia="en-US"/>
              </w:rPr>
              <w:t xml:space="preserve">tection for consumers from irresponsible lending practices, particularly those spread online. </w:t>
            </w:r>
            <w:r>
              <w:rPr>
                <w:noProof/>
                <w:sz w:val="20"/>
              </w:rPr>
              <w:t>(legislative, incl. impact assessment, Article 114 TFEU, Q4 2020)</w:t>
            </w:r>
          </w:p>
        </w:tc>
      </w:tr>
      <w:tr w:rsidR="00B40DA7">
        <w:trPr>
          <w:cantSplit/>
        </w:trPr>
        <w:tc>
          <w:tcPr>
            <w:tcW w:w="647" w:type="dxa"/>
            <w:shd w:val="clear" w:color="auto" w:fill="auto"/>
          </w:tcPr>
          <w:p w:rsidR="00B40DA7" w:rsidRDefault="00B40DA7">
            <w:pPr>
              <w:numPr>
                <w:ilvl w:val="0"/>
                <w:numId w:val="23"/>
              </w:numPr>
              <w:tabs>
                <w:tab w:val="num" w:pos="709"/>
              </w:tabs>
              <w:spacing w:after="0" w:line="276" w:lineRule="auto"/>
              <w:jc w:val="left"/>
              <w:rPr>
                <w:rFonts w:eastAsiaTheme="minorHAnsi" w:cstheme="minorBidi"/>
                <w:b/>
                <w:noProof/>
                <w:color w:val="000000"/>
                <w:sz w:val="20"/>
                <w:lang w:eastAsia="en-US"/>
              </w:rPr>
            </w:pPr>
          </w:p>
        </w:tc>
        <w:tc>
          <w:tcPr>
            <w:tcW w:w="4400" w:type="dxa"/>
            <w:shd w:val="clear" w:color="auto" w:fill="auto"/>
          </w:tcPr>
          <w:p w:rsidR="00B40DA7" w:rsidRDefault="00531C5A">
            <w:pPr>
              <w:spacing w:after="0"/>
              <w:rPr>
                <w:rFonts w:eastAsiaTheme="minorEastAsia" w:cstheme="minorBidi"/>
                <w:b/>
                <w:bCs/>
                <w:noProof/>
                <w:sz w:val="20"/>
                <w:lang w:eastAsia="en-US"/>
              </w:rPr>
            </w:pPr>
            <w:r>
              <w:rPr>
                <w:rFonts w:eastAsiaTheme="minorEastAsia" w:cstheme="minorBidi"/>
                <w:b/>
                <w:bCs/>
                <w:noProof/>
                <w:sz w:val="20"/>
                <w:lang w:eastAsia="en-US"/>
              </w:rPr>
              <w:t xml:space="preserve">Revision of the General Product Safety Directive 2001/95/EC </w:t>
            </w:r>
            <w:r>
              <w:rPr>
                <w:rFonts w:eastAsiaTheme="minorEastAsia" w:cstheme="minorBidi"/>
                <w:b/>
                <w:bCs/>
                <w:noProof/>
                <w:sz w:val="20"/>
                <w:lang w:eastAsia="en-US"/>
              </w:rPr>
              <w:br/>
              <w:t xml:space="preserve">(Regulation; legal basis Article </w:t>
            </w:r>
            <w:r>
              <w:rPr>
                <w:rFonts w:eastAsiaTheme="minorEastAsia" w:cstheme="minorBidi"/>
                <w:b/>
                <w:bCs/>
                <w:noProof/>
                <w:sz w:val="20"/>
                <w:lang w:eastAsia="en-US"/>
              </w:rPr>
              <w:t>114 TFEU)</w:t>
            </w:r>
          </w:p>
        </w:tc>
        <w:tc>
          <w:tcPr>
            <w:tcW w:w="9780" w:type="dxa"/>
          </w:tcPr>
          <w:p w:rsidR="00B40DA7" w:rsidRDefault="00531C5A">
            <w:pPr>
              <w:spacing w:after="0"/>
              <w:rPr>
                <w:rFonts w:eastAsiaTheme="minorEastAsia" w:cstheme="minorBidi"/>
                <w:noProof/>
                <w:sz w:val="20"/>
                <w:lang w:eastAsia="en-US"/>
              </w:rPr>
            </w:pPr>
            <w:r>
              <w:rPr>
                <w:rFonts w:eastAsiaTheme="minorEastAsia" w:cstheme="minorBidi"/>
                <w:noProof/>
                <w:sz w:val="20"/>
                <w:lang w:eastAsia="en-US"/>
              </w:rPr>
              <w:t>The initiative will tackle the safety issues of products brought about by new technologies; address the need for more concrete actions on online selling; update the general legal framework on product safety; and in the light of the new Regulation</w:t>
            </w:r>
            <w:r>
              <w:rPr>
                <w:rFonts w:eastAsiaTheme="minorEastAsia" w:cstheme="minorBidi"/>
                <w:noProof/>
                <w:sz w:val="20"/>
                <w:lang w:eastAsia="en-US"/>
              </w:rPr>
              <w:t xml:space="preserve"> (EU) 2019/1020 on market surveillance and compliance of products, fill the existing gap between harmonised and non-harmonised products as far as market surveillance is concerned. The revision would also improve the effectiveness of product recalls and the</w:t>
            </w:r>
            <w:r>
              <w:rPr>
                <w:rFonts w:eastAsiaTheme="minorEastAsia" w:cstheme="minorBidi"/>
                <w:noProof/>
                <w:sz w:val="20"/>
                <w:lang w:eastAsia="en-US"/>
              </w:rPr>
              <w:t xml:space="preserve"> coverage of new product safety risks. It should strengthen the enforcement powers of Member States in particular in relation to import controls. </w:t>
            </w:r>
            <w:r>
              <w:rPr>
                <w:noProof/>
                <w:sz w:val="20"/>
              </w:rPr>
              <w:t>(legislative, incl. impact assessment, Article 114 TFEU, Q4 2020)</w:t>
            </w:r>
          </w:p>
        </w:tc>
      </w:tr>
    </w:tbl>
    <w:p w:rsidR="00B40DA7" w:rsidRDefault="00531C5A">
      <w:pPr>
        <w:spacing w:after="0"/>
        <w:jc w:val="left"/>
        <w:rPr>
          <w:noProof/>
          <w:sz w:val="20"/>
        </w:rPr>
      </w:pPr>
      <w:r>
        <w:rPr>
          <w:noProof/>
          <w:sz w:val="20"/>
        </w:rPr>
        <w:br w:type="page"/>
      </w:r>
    </w:p>
    <w:p w:rsidR="00B40DA7" w:rsidRDefault="00531C5A">
      <w:pPr>
        <w:spacing w:after="600"/>
        <w:jc w:val="center"/>
        <w:rPr>
          <w:b/>
          <w:noProof/>
          <w:sz w:val="28"/>
          <w:szCs w:val="28"/>
          <w:u w:val="single"/>
        </w:rPr>
      </w:pPr>
      <w:r>
        <w:rPr>
          <w:b/>
          <w:bCs/>
          <w:noProof/>
          <w:sz w:val="28"/>
          <w:szCs w:val="28"/>
          <w:u w:val="single"/>
        </w:rPr>
        <w:t>Annex III: Priority pending proposals</w:t>
      </w:r>
      <w:r>
        <w:rPr>
          <w:rStyle w:val="FootnoteReference"/>
          <w:noProof/>
          <w:sz w:val="28"/>
          <w:szCs w:val="28"/>
        </w:rPr>
        <w:footnoteReference w:id="4"/>
      </w:r>
    </w:p>
    <w:tbl>
      <w:tblPr>
        <w:tblStyle w:val="TableGrid"/>
        <w:tblW w:w="14850" w:type="dxa"/>
        <w:tblLayout w:type="fixed"/>
        <w:tblLook w:val="04A0" w:firstRow="1" w:lastRow="0" w:firstColumn="1" w:lastColumn="0" w:noHBand="0" w:noVBand="1"/>
      </w:tblPr>
      <w:tblGrid>
        <w:gridCol w:w="652"/>
        <w:gridCol w:w="12072"/>
        <w:gridCol w:w="2126"/>
      </w:tblGrid>
      <w:tr w:rsidR="00B40DA7">
        <w:trPr>
          <w:cantSplit/>
          <w:tblHeader/>
        </w:trPr>
        <w:tc>
          <w:tcPr>
            <w:tcW w:w="652" w:type="dxa"/>
            <w:tcBorders>
              <w:bottom w:val="single" w:sz="4" w:space="0" w:color="auto"/>
            </w:tcBorders>
            <w:shd w:val="clear" w:color="auto" w:fill="99CCFF"/>
            <w:tcMar>
              <w:top w:w="85" w:type="dxa"/>
              <w:left w:w="85" w:type="dxa"/>
              <w:bottom w:w="85" w:type="dxa"/>
              <w:right w:w="85" w:type="dxa"/>
            </w:tcMar>
          </w:tcPr>
          <w:p w:rsidR="00B40DA7" w:rsidRDefault="00531C5A">
            <w:pPr>
              <w:spacing w:before="60" w:after="60"/>
              <w:rPr>
                <w:b/>
                <w:bCs/>
                <w:noProof/>
                <w:sz w:val="20"/>
              </w:rPr>
            </w:pPr>
            <w:r>
              <w:rPr>
                <w:b/>
                <w:bCs/>
                <w:noProof/>
                <w:sz w:val="20"/>
              </w:rPr>
              <w:t>No.</w:t>
            </w:r>
          </w:p>
        </w:tc>
        <w:tc>
          <w:tcPr>
            <w:tcW w:w="12072" w:type="dxa"/>
            <w:tcBorders>
              <w:bottom w:val="single" w:sz="4" w:space="0" w:color="auto"/>
            </w:tcBorders>
            <w:shd w:val="clear" w:color="auto" w:fill="99CCFF"/>
            <w:tcMar>
              <w:top w:w="85" w:type="dxa"/>
              <w:left w:w="85" w:type="dxa"/>
              <w:bottom w:w="85" w:type="dxa"/>
              <w:right w:w="85" w:type="dxa"/>
            </w:tcMar>
          </w:tcPr>
          <w:p w:rsidR="00B40DA7" w:rsidRDefault="00531C5A">
            <w:pPr>
              <w:spacing w:before="60" w:after="60"/>
              <w:jc w:val="center"/>
              <w:rPr>
                <w:b/>
                <w:bCs/>
                <w:noProof/>
                <w:sz w:val="20"/>
              </w:rPr>
            </w:pPr>
            <w:r>
              <w:rPr>
                <w:b/>
                <w:bCs/>
                <w:noProof/>
                <w:sz w:val="20"/>
              </w:rPr>
              <w:t>Full Title</w:t>
            </w:r>
          </w:p>
        </w:tc>
        <w:tc>
          <w:tcPr>
            <w:tcW w:w="2126" w:type="dxa"/>
            <w:tcBorders>
              <w:bottom w:val="single" w:sz="4" w:space="0" w:color="auto"/>
            </w:tcBorders>
            <w:shd w:val="clear" w:color="auto" w:fill="99CCFF"/>
            <w:tcMar>
              <w:top w:w="85" w:type="dxa"/>
              <w:left w:w="85" w:type="dxa"/>
              <w:bottom w:w="85" w:type="dxa"/>
              <w:right w:w="85" w:type="dxa"/>
            </w:tcMar>
          </w:tcPr>
          <w:p w:rsidR="00B40DA7" w:rsidRDefault="00531C5A">
            <w:pPr>
              <w:spacing w:before="60" w:after="60"/>
              <w:jc w:val="center"/>
              <w:rPr>
                <w:b/>
                <w:bCs/>
                <w:noProof/>
                <w:sz w:val="20"/>
              </w:rPr>
            </w:pPr>
            <w:r>
              <w:rPr>
                <w:b/>
                <w:bCs/>
                <w:noProof/>
                <w:sz w:val="20"/>
              </w:rPr>
              <w:t>References</w:t>
            </w:r>
          </w:p>
        </w:tc>
      </w:tr>
      <w:tr w:rsidR="00B40DA7">
        <w:trPr>
          <w:cantSplit/>
        </w:trPr>
        <w:tc>
          <w:tcPr>
            <w:tcW w:w="14850" w:type="dxa"/>
            <w:gridSpan w:val="3"/>
            <w:shd w:val="clear" w:color="auto" w:fill="9ACA3C" w:themeFill="accent1"/>
            <w:tcMar>
              <w:top w:w="85" w:type="dxa"/>
              <w:left w:w="85" w:type="dxa"/>
              <w:bottom w:w="85" w:type="dxa"/>
              <w:right w:w="85" w:type="dxa"/>
            </w:tcMar>
          </w:tcPr>
          <w:p w:rsidR="00B40DA7" w:rsidRDefault="00531C5A">
            <w:pPr>
              <w:keepNext/>
              <w:spacing w:before="60" w:after="60"/>
              <w:rPr>
                <w:b/>
                <w:bCs/>
                <w:noProof/>
                <w:sz w:val="20"/>
              </w:rPr>
            </w:pPr>
            <w:r>
              <w:rPr>
                <w:b/>
                <w:bCs/>
                <w:noProof/>
                <w:color w:val="FFFFFF" w:themeColor="background1"/>
                <w:sz w:val="20"/>
              </w:rPr>
              <w:t>A European Green Deal</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amending Regulation (EU) 2015/757 in order to take appropriate account of the global data collection system for ship fuel oil </w:t>
            </w:r>
            <w:r>
              <w:rPr>
                <w:noProof/>
                <w:sz w:val="20"/>
              </w:rPr>
              <w:t>consumption data</w:t>
            </w:r>
            <w:r>
              <w:rPr>
                <w:b/>
                <w:bCs/>
                <w:noProof/>
                <w:sz w:val="20"/>
              </w:rPr>
              <w:t xml:space="preserve"> </w:t>
            </w:r>
          </w:p>
        </w:tc>
        <w:tc>
          <w:tcPr>
            <w:tcW w:w="2126" w:type="dxa"/>
            <w:tcMar>
              <w:top w:w="85" w:type="dxa"/>
              <w:left w:w="85" w:type="dxa"/>
              <w:bottom w:w="85" w:type="dxa"/>
            </w:tcMar>
          </w:tcPr>
          <w:p w:rsidR="00B40DA7" w:rsidRDefault="00531C5A">
            <w:pPr>
              <w:spacing w:after="0"/>
              <w:jc w:val="left"/>
              <w:rPr>
                <w:noProof/>
                <w:sz w:val="20"/>
              </w:rPr>
            </w:pPr>
            <w:r>
              <w:rPr>
                <w:noProof/>
                <w:sz w:val="20"/>
              </w:rPr>
              <w:t>COM(2019)38 final</w:t>
            </w:r>
            <w:r>
              <w:rPr>
                <w:noProof/>
                <w:sz w:val="20"/>
              </w:rPr>
              <w:br/>
              <w:t>2019/0017 (COD)</w:t>
            </w:r>
            <w:r>
              <w:rPr>
                <w:noProof/>
                <w:sz w:val="20"/>
              </w:rPr>
              <w:br/>
              <w:t>04.02.2019</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amending Council Regulation (EC) No 1224/2009, and amending Council Regulations (EC) No 768/2005, (EC) No 1967/2006, </w:t>
            </w:r>
            <w:r>
              <w:rPr>
                <w:noProof/>
                <w:sz w:val="20"/>
              </w:rPr>
              <w:t>(EC) No 1005/2008, and Regulation (EU) No 2016/1139 of the European Parliament and of the Council as regards fisheries control</w:t>
            </w:r>
          </w:p>
        </w:tc>
        <w:tc>
          <w:tcPr>
            <w:tcW w:w="2126" w:type="dxa"/>
            <w:tcMar>
              <w:top w:w="85" w:type="dxa"/>
              <w:left w:w="85" w:type="dxa"/>
              <w:bottom w:w="85" w:type="dxa"/>
            </w:tcMar>
          </w:tcPr>
          <w:p w:rsidR="00B40DA7" w:rsidRDefault="00531C5A">
            <w:pPr>
              <w:spacing w:after="0"/>
              <w:jc w:val="left"/>
              <w:rPr>
                <w:noProof/>
                <w:sz w:val="20"/>
              </w:rPr>
            </w:pPr>
            <w:r>
              <w:rPr>
                <w:noProof/>
                <w:sz w:val="20"/>
              </w:rPr>
              <w:t>COM(2018)368 final</w:t>
            </w:r>
            <w:r>
              <w:rPr>
                <w:noProof/>
                <w:sz w:val="20"/>
              </w:rPr>
              <w:br/>
              <w:t>2018/0193 (COD)</w:t>
            </w:r>
            <w:r>
              <w:rPr>
                <w:noProof/>
                <w:sz w:val="20"/>
              </w:rPr>
              <w:br/>
              <w:t>30.05.2018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on stream</w:t>
            </w:r>
            <w:r>
              <w:rPr>
                <w:noProof/>
                <w:sz w:val="20"/>
              </w:rPr>
              <w:t>lining measures for advancing the realisation of the trans-European transport network</w:t>
            </w:r>
          </w:p>
        </w:tc>
        <w:tc>
          <w:tcPr>
            <w:tcW w:w="2126" w:type="dxa"/>
            <w:tcMar>
              <w:top w:w="85" w:type="dxa"/>
              <w:left w:w="85" w:type="dxa"/>
              <w:bottom w:w="85" w:type="dxa"/>
            </w:tcMar>
          </w:tcPr>
          <w:p w:rsidR="00B40DA7" w:rsidRDefault="00531C5A">
            <w:pPr>
              <w:spacing w:after="0"/>
              <w:jc w:val="left"/>
              <w:rPr>
                <w:noProof/>
                <w:sz w:val="20"/>
              </w:rPr>
            </w:pPr>
            <w:r>
              <w:rPr>
                <w:noProof/>
                <w:sz w:val="20"/>
              </w:rPr>
              <w:t>COM(2018)277 final</w:t>
            </w:r>
            <w:r>
              <w:rPr>
                <w:noProof/>
                <w:sz w:val="20"/>
              </w:rPr>
              <w:br/>
              <w:t>2018/0138 (COD)</w:t>
            </w:r>
            <w:r>
              <w:rPr>
                <w:noProof/>
                <w:sz w:val="20"/>
              </w:rPr>
              <w:br/>
              <w:t>17.05.2018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DIRECTIVE OF THE EUROPEAN PARLIAMENT AND OF THE COUNCIL amending Directive 1999/62/EC on the charging of he</w:t>
            </w:r>
            <w:r>
              <w:rPr>
                <w:noProof/>
                <w:sz w:val="20"/>
              </w:rPr>
              <w:t>avy goods vehicles for the use of certain infrastructures</w:t>
            </w:r>
          </w:p>
        </w:tc>
        <w:tc>
          <w:tcPr>
            <w:tcW w:w="2126" w:type="dxa"/>
            <w:tcMar>
              <w:top w:w="85" w:type="dxa"/>
              <w:left w:w="85" w:type="dxa"/>
              <w:bottom w:w="85" w:type="dxa"/>
            </w:tcMar>
          </w:tcPr>
          <w:p w:rsidR="00B40DA7" w:rsidRDefault="00531C5A">
            <w:pPr>
              <w:spacing w:after="0"/>
              <w:jc w:val="left"/>
              <w:rPr>
                <w:noProof/>
                <w:sz w:val="20"/>
              </w:rPr>
            </w:pPr>
            <w:r>
              <w:rPr>
                <w:noProof/>
                <w:sz w:val="20"/>
              </w:rPr>
              <w:t>COM(2017)275 final</w:t>
            </w:r>
            <w:r>
              <w:rPr>
                <w:noProof/>
                <w:sz w:val="20"/>
              </w:rPr>
              <w:br/>
              <w:t>2017/0114 (COD)</w:t>
            </w:r>
            <w:r>
              <w:rPr>
                <w:noProof/>
                <w:sz w:val="20"/>
              </w:rPr>
              <w:br/>
              <w:t>31.5.2017</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COUNCIL REGULATION amending Regulation (EC) No 866/2004 on a regime under Article 2 of Protocol 10 to the Act of Accession as regards go</w:t>
            </w:r>
            <w:r>
              <w:rPr>
                <w:noProof/>
                <w:sz w:val="20"/>
              </w:rPr>
              <w:t>ods covered by quality schemes for agricultural products and foodstuffs</w:t>
            </w:r>
          </w:p>
        </w:tc>
        <w:tc>
          <w:tcPr>
            <w:tcW w:w="2126" w:type="dxa"/>
            <w:tcMar>
              <w:top w:w="85" w:type="dxa"/>
              <w:left w:w="85" w:type="dxa"/>
              <w:bottom w:w="85" w:type="dxa"/>
            </w:tcMar>
          </w:tcPr>
          <w:p w:rsidR="00B40DA7" w:rsidRDefault="00531C5A">
            <w:pPr>
              <w:spacing w:after="0"/>
              <w:jc w:val="left"/>
              <w:rPr>
                <w:noProof/>
                <w:sz w:val="20"/>
              </w:rPr>
            </w:pPr>
            <w:r>
              <w:rPr>
                <w:noProof/>
                <w:sz w:val="20"/>
              </w:rPr>
              <w:t>COM(2015)380 final</w:t>
            </w:r>
            <w:r>
              <w:rPr>
                <w:noProof/>
                <w:sz w:val="20"/>
              </w:rPr>
              <w:br/>
              <w:t>2015/0165 (NLE)</w:t>
            </w:r>
            <w:r>
              <w:rPr>
                <w:noProof/>
                <w:sz w:val="20"/>
              </w:rPr>
              <w:br/>
              <w:t>28.07.2015</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amending Regulation (EC) No 1829/2003 as regards the possibility</w:t>
            </w:r>
            <w:r>
              <w:rPr>
                <w:noProof/>
                <w:sz w:val="20"/>
              </w:rPr>
              <w:t xml:space="preserve"> for the Member States to restrict or prohibit the use of genetically modified food and feed on their territory</w:t>
            </w:r>
          </w:p>
        </w:tc>
        <w:tc>
          <w:tcPr>
            <w:tcW w:w="2126" w:type="dxa"/>
            <w:tcMar>
              <w:top w:w="85" w:type="dxa"/>
              <w:left w:w="85" w:type="dxa"/>
              <w:bottom w:w="85" w:type="dxa"/>
            </w:tcMar>
          </w:tcPr>
          <w:p w:rsidR="00B40DA7" w:rsidRDefault="00531C5A">
            <w:pPr>
              <w:spacing w:after="0"/>
              <w:jc w:val="left"/>
              <w:rPr>
                <w:noProof/>
                <w:sz w:val="20"/>
              </w:rPr>
            </w:pPr>
            <w:r>
              <w:rPr>
                <w:noProof/>
                <w:sz w:val="20"/>
              </w:rPr>
              <w:t>COM(2015)177 final</w:t>
            </w:r>
            <w:r>
              <w:rPr>
                <w:noProof/>
                <w:sz w:val="20"/>
              </w:rPr>
              <w:br/>
              <w:t>2015/0093 (COD)</w:t>
            </w:r>
            <w:r>
              <w:rPr>
                <w:noProof/>
                <w:sz w:val="20"/>
              </w:rPr>
              <w:br/>
              <w:t>22.04.2015</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the InvestE</w:t>
            </w:r>
            <w:r>
              <w:rPr>
                <w:noProof/>
                <w:sz w:val="20"/>
              </w:rPr>
              <w:t>U Programme</w:t>
            </w:r>
          </w:p>
        </w:tc>
        <w:tc>
          <w:tcPr>
            <w:tcW w:w="2126" w:type="dxa"/>
            <w:tcMar>
              <w:top w:w="85" w:type="dxa"/>
              <w:left w:w="85" w:type="dxa"/>
              <w:bottom w:w="85" w:type="dxa"/>
            </w:tcMar>
          </w:tcPr>
          <w:p w:rsidR="00B40DA7" w:rsidRDefault="00531C5A">
            <w:pPr>
              <w:spacing w:after="0"/>
              <w:jc w:val="left"/>
              <w:rPr>
                <w:noProof/>
                <w:sz w:val="20"/>
              </w:rPr>
            </w:pPr>
            <w:r>
              <w:rPr>
                <w:noProof/>
                <w:sz w:val="20"/>
              </w:rPr>
              <w:t>COM(2018)439 final</w:t>
            </w:r>
            <w:r>
              <w:rPr>
                <w:noProof/>
                <w:sz w:val="20"/>
              </w:rPr>
              <w:br/>
              <w:t>2018/0229 (COD)</w:t>
            </w:r>
            <w:r>
              <w:rPr>
                <w:noProof/>
                <w:sz w:val="20"/>
              </w:rPr>
              <w:br/>
              <w:t>08.06.2018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COUNCIL REGULATION establishing the nuclear decommissioning assistance programme of the Ignalina nuclear power plant in Lithuania (Ignalina programme); and repealing Council </w:t>
            </w:r>
            <w:r>
              <w:rPr>
                <w:noProof/>
                <w:sz w:val="20"/>
              </w:rPr>
              <w:t>Regulation (EU) No 1369/2013</w:t>
            </w:r>
          </w:p>
        </w:tc>
        <w:tc>
          <w:tcPr>
            <w:tcW w:w="2126" w:type="dxa"/>
            <w:tcMar>
              <w:top w:w="85" w:type="dxa"/>
              <w:left w:w="85" w:type="dxa"/>
              <w:bottom w:w="85" w:type="dxa"/>
            </w:tcMar>
          </w:tcPr>
          <w:p w:rsidR="00B40DA7" w:rsidRDefault="00531C5A">
            <w:pPr>
              <w:spacing w:after="0"/>
              <w:jc w:val="left"/>
              <w:rPr>
                <w:noProof/>
                <w:sz w:val="20"/>
              </w:rPr>
            </w:pPr>
            <w:r>
              <w:rPr>
                <w:noProof/>
                <w:sz w:val="20"/>
              </w:rPr>
              <w:t>COM(2018)466 final</w:t>
            </w:r>
            <w:r>
              <w:rPr>
                <w:noProof/>
                <w:sz w:val="20"/>
              </w:rPr>
              <w:br/>
              <w:t>2018/0251 (NLE)</w:t>
            </w:r>
            <w:r>
              <w:rPr>
                <w:noProof/>
                <w:sz w:val="20"/>
              </w:rPr>
              <w:br/>
              <w:t>13.06.2018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COUNCIL REGULATION establishing a dedicated financial programme for decommissioning of nuclear facilities and management of radioactive waste, and repealing Council</w:t>
            </w:r>
            <w:r>
              <w:rPr>
                <w:noProof/>
                <w:sz w:val="20"/>
              </w:rPr>
              <w:t xml:space="preserve"> Regulation (Euratom) No 1368/2013</w:t>
            </w:r>
          </w:p>
        </w:tc>
        <w:tc>
          <w:tcPr>
            <w:tcW w:w="2126" w:type="dxa"/>
            <w:tcMar>
              <w:top w:w="85" w:type="dxa"/>
              <w:left w:w="85" w:type="dxa"/>
              <w:bottom w:w="85" w:type="dxa"/>
            </w:tcMar>
          </w:tcPr>
          <w:p w:rsidR="00B40DA7" w:rsidRDefault="00531C5A">
            <w:pPr>
              <w:spacing w:after="0"/>
              <w:jc w:val="left"/>
              <w:rPr>
                <w:noProof/>
                <w:sz w:val="20"/>
              </w:rPr>
            </w:pPr>
            <w:r>
              <w:rPr>
                <w:noProof/>
                <w:sz w:val="20"/>
              </w:rPr>
              <w:t>COM(2018)467 final</w:t>
            </w:r>
            <w:r>
              <w:rPr>
                <w:noProof/>
                <w:sz w:val="20"/>
              </w:rPr>
              <w:br/>
              <w:t>2018/0252 (NLE)</w:t>
            </w:r>
            <w:r>
              <w:rPr>
                <w:noProof/>
                <w:sz w:val="20"/>
              </w:rPr>
              <w:br/>
              <w:t>13.06.2018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COUNCIL DECISION amending Decision 2007/198/Euratom establishing the European Joint Undertaking for ITER and the Development of Fusion Energy and conferring a</w:t>
            </w:r>
            <w:r>
              <w:rPr>
                <w:noProof/>
                <w:sz w:val="20"/>
              </w:rPr>
              <w:t>dvantages upon it</w:t>
            </w:r>
          </w:p>
        </w:tc>
        <w:tc>
          <w:tcPr>
            <w:tcW w:w="2126" w:type="dxa"/>
            <w:tcMar>
              <w:top w:w="85" w:type="dxa"/>
              <w:left w:w="85" w:type="dxa"/>
              <w:bottom w:w="85" w:type="dxa"/>
            </w:tcMar>
          </w:tcPr>
          <w:p w:rsidR="00B40DA7" w:rsidRDefault="00531C5A">
            <w:pPr>
              <w:spacing w:after="0"/>
              <w:jc w:val="left"/>
              <w:rPr>
                <w:noProof/>
                <w:sz w:val="20"/>
              </w:rPr>
            </w:pPr>
            <w:r>
              <w:rPr>
                <w:noProof/>
                <w:sz w:val="20"/>
              </w:rPr>
              <w:t>COM(2018)445 final</w:t>
            </w:r>
            <w:r>
              <w:rPr>
                <w:noProof/>
                <w:sz w:val="20"/>
              </w:rPr>
              <w:br/>
              <w:t>2018/0235 (NLE)</w:t>
            </w:r>
            <w:r>
              <w:rPr>
                <w:noProof/>
                <w:sz w:val="20"/>
              </w:rPr>
              <w:br/>
              <w:t>07.06.2018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a Programme for the Environment and Climate Action (LIFE) and repealing Regulation (EU) No 1293/2013</w:t>
            </w:r>
          </w:p>
        </w:tc>
        <w:tc>
          <w:tcPr>
            <w:tcW w:w="2126" w:type="dxa"/>
            <w:tcMar>
              <w:top w:w="85" w:type="dxa"/>
              <w:left w:w="85" w:type="dxa"/>
              <w:bottom w:w="85" w:type="dxa"/>
            </w:tcMar>
          </w:tcPr>
          <w:p w:rsidR="00B40DA7" w:rsidRDefault="00531C5A">
            <w:pPr>
              <w:spacing w:after="0"/>
              <w:jc w:val="left"/>
              <w:rPr>
                <w:noProof/>
                <w:sz w:val="20"/>
              </w:rPr>
            </w:pPr>
            <w:r>
              <w:rPr>
                <w:noProof/>
                <w:sz w:val="20"/>
              </w:rPr>
              <w:t>COM(2018)385 final</w:t>
            </w:r>
            <w:r>
              <w:rPr>
                <w:noProof/>
                <w:sz w:val="20"/>
              </w:rPr>
              <w:br/>
              <w:t>2018/0209 (COD)</w:t>
            </w:r>
            <w:r>
              <w:rPr>
                <w:noProof/>
                <w:sz w:val="20"/>
              </w:rPr>
              <w:br/>
              <w:t>01.06.2018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on the European Maritime and Fisheries Fund and repealing Regulation (EU) No 508/2014 of the European Parliament and of the Council</w:t>
            </w:r>
          </w:p>
        </w:tc>
        <w:tc>
          <w:tcPr>
            <w:tcW w:w="2126" w:type="dxa"/>
            <w:tcMar>
              <w:top w:w="85" w:type="dxa"/>
              <w:left w:w="85" w:type="dxa"/>
              <w:bottom w:w="85" w:type="dxa"/>
            </w:tcMar>
          </w:tcPr>
          <w:p w:rsidR="00B40DA7" w:rsidRDefault="00531C5A">
            <w:pPr>
              <w:spacing w:after="0"/>
              <w:jc w:val="left"/>
              <w:rPr>
                <w:noProof/>
                <w:sz w:val="20"/>
              </w:rPr>
            </w:pPr>
            <w:r>
              <w:rPr>
                <w:noProof/>
                <w:sz w:val="20"/>
              </w:rPr>
              <w:t>COM(2018)390 final</w:t>
            </w:r>
            <w:r>
              <w:rPr>
                <w:noProof/>
                <w:sz w:val="20"/>
              </w:rPr>
              <w:br/>
              <w:t>2018/0210 (COD) 12.06.2018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on the financing, management and monitoring of the common agricultural policy and repealing Regulation (EU) No 1306/2013</w:t>
            </w:r>
          </w:p>
        </w:tc>
        <w:tc>
          <w:tcPr>
            <w:tcW w:w="2126" w:type="dxa"/>
            <w:tcMar>
              <w:top w:w="85" w:type="dxa"/>
              <w:left w:w="85" w:type="dxa"/>
              <w:bottom w:w="85" w:type="dxa"/>
            </w:tcMar>
          </w:tcPr>
          <w:p w:rsidR="00B40DA7" w:rsidRDefault="00531C5A">
            <w:pPr>
              <w:spacing w:after="0"/>
              <w:jc w:val="left"/>
              <w:rPr>
                <w:noProof/>
                <w:sz w:val="20"/>
              </w:rPr>
            </w:pPr>
            <w:r>
              <w:rPr>
                <w:noProof/>
                <w:sz w:val="20"/>
              </w:rPr>
              <w:t>COM(2018)393 fi</w:t>
            </w:r>
            <w:r>
              <w:rPr>
                <w:noProof/>
                <w:sz w:val="20"/>
              </w:rPr>
              <w:t>nal</w:t>
            </w:r>
            <w:r>
              <w:rPr>
                <w:noProof/>
                <w:sz w:val="20"/>
              </w:rPr>
              <w:br/>
              <w:t>2018/0217 (COD)</w:t>
            </w:r>
            <w:r>
              <w:rPr>
                <w:noProof/>
                <w:sz w:val="20"/>
              </w:rPr>
              <w:br/>
              <w:t>01.06.2018</w:t>
            </w:r>
          </w:p>
        </w:tc>
      </w:tr>
      <w:tr w:rsidR="00B40DA7">
        <w:trPr>
          <w:cantSplit/>
        </w:trPr>
        <w:tc>
          <w:tcPr>
            <w:tcW w:w="652" w:type="dxa"/>
            <w:tcBorders>
              <w:bottom w:val="single" w:sz="4" w:space="0" w:color="auto"/>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amending Regulations (EU) No 1308/2013 establishing a common organisation of the markets in agricultural products, (EU) No 1151/2012 on quality schemes</w:t>
            </w:r>
            <w:r>
              <w:rPr>
                <w:noProof/>
                <w:sz w:val="20"/>
              </w:rPr>
              <w:t xml:space="preserve"> for agricultural products and foodstuffs, (EU) No 251/2014 on the definition, description, presentation, labelling and the protection of geographical indications of aromatised wine products, (EU) No 228/2013 laying down specific measures for agriculture i</w:t>
            </w:r>
            <w:r>
              <w:rPr>
                <w:noProof/>
                <w:sz w:val="20"/>
              </w:rPr>
              <w:t>n the outermost regions of the Union and (EU) No 229/2013 laying down specific measures for agriculture in favour of the smaller Aegean islands</w:t>
            </w:r>
          </w:p>
        </w:tc>
        <w:tc>
          <w:tcPr>
            <w:tcW w:w="2126" w:type="dxa"/>
            <w:tcBorders>
              <w:bottom w:val="single" w:sz="4" w:space="0" w:color="auto"/>
            </w:tcBorders>
            <w:tcMar>
              <w:top w:w="85" w:type="dxa"/>
              <w:left w:w="85" w:type="dxa"/>
              <w:bottom w:w="85" w:type="dxa"/>
            </w:tcMar>
          </w:tcPr>
          <w:p w:rsidR="00B40DA7" w:rsidRDefault="00531C5A">
            <w:pPr>
              <w:spacing w:after="0"/>
              <w:jc w:val="left"/>
              <w:rPr>
                <w:noProof/>
                <w:sz w:val="20"/>
              </w:rPr>
            </w:pPr>
            <w:r>
              <w:rPr>
                <w:noProof/>
                <w:sz w:val="20"/>
              </w:rPr>
              <w:t>COM(2018)394 final</w:t>
            </w:r>
            <w:r>
              <w:rPr>
                <w:noProof/>
                <w:sz w:val="20"/>
              </w:rPr>
              <w:br/>
              <w:t>2018/0218 (COD)</w:t>
            </w:r>
            <w:r>
              <w:rPr>
                <w:noProof/>
                <w:sz w:val="20"/>
              </w:rPr>
              <w:br/>
              <w:t>23.04.2018</w:t>
            </w:r>
          </w:p>
        </w:tc>
      </w:tr>
      <w:tr w:rsidR="00B40DA7">
        <w:trPr>
          <w:cantSplit/>
        </w:trPr>
        <w:tc>
          <w:tcPr>
            <w:tcW w:w="652" w:type="dxa"/>
            <w:tcBorders>
              <w:bottom w:val="single" w:sz="4" w:space="0" w:color="auto"/>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w:t>
            </w:r>
            <w:r>
              <w:rPr>
                <w:noProof/>
                <w:sz w:val="20"/>
              </w:rPr>
              <w:t>COUNCIL establishing rules on support for strategic plans to be drawn up by Member States under the Common agricultural policy (CAP Strategic Plans) and financed by the European Agricultural Guarantee Fund (EAGF) and by the European Agricultural Fund for R</w:t>
            </w:r>
            <w:r>
              <w:rPr>
                <w:noProof/>
                <w:sz w:val="20"/>
              </w:rPr>
              <w:t>ural Development (EAFRD) and repealing Regulation (EU) No 1305/2013of the European Parliament and of the Council and Regulation (EU) No 1307/2013 of the European Parliament and of the Council</w:t>
            </w:r>
          </w:p>
        </w:tc>
        <w:tc>
          <w:tcPr>
            <w:tcW w:w="2126" w:type="dxa"/>
            <w:tcBorders>
              <w:bottom w:val="single" w:sz="4" w:space="0" w:color="auto"/>
            </w:tcBorders>
            <w:tcMar>
              <w:top w:w="85" w:type="dxa"/>
              <w:left w:w="85" w:type="dxa"/>
              <w:bottom w:w="85" w:type="dxa"/>
            </w:tcMar>
          </w:tcPr>
          <w:p w:rsidR="00B40DA7" w:rsidRDefault="00531C5A">
            <w:pPr>
              <w:spacing w:after="0"/>
              <w:jc w:val="left"/>
              <w:rPr>
                <w:noProof/>
                <w:sz w:val="20"/>
              </w:rPr>
            </w:pPr>
            <w:r>
              <w:rPr>
                <w:noProof/>
                <w:sz w:val="20"/>
              </w:rPr>
              <w:t>COM(2018)392 final</w:t>
            </w:r>
            <w:r>
              <w:rPr>
                <w:noProof/>
                <w:sz w:val="20"/>
              </w:rPr>
              <w:br/>
              <w:t>2018/0216 (COD)</w:t>
            </w:r>
            <w:r>
              <w:rPr>
                <w:noProof/>
                <w:sz w:val="20"/>
              </w:rPr>
              <w:br/>
              <w:t>01.06.2018</w:t>
            </w:r>
          </w:p>
        </w:tc>
      </w:tr>
      <w:tr w:rsidR="00B40DA7">
        <w:trPr>
          <w:cantSplit/>
        </w:trPr>
        <w:tc>
          <w:tcPr>
            <w:tcW w:w="652" w:type="dxa"/>
            <w:tcBorders>
              <w:bottom w:val="single" w:sz="4" w:space="0" w:color="auto"/>
              <w:right w:val="nil"/>
            </w:tcBorders>
            <w:shd w:val="clear" w:color="auto" w:fill="auto"/>
            <w:tcMar>
              <w:top w:w="85" w:type="dxa"/>
              <w:left w:w="85" w:type="dxa"/>
              <w:bottom w:w="85" w:type="dxa"/>
              <w:right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w:t>
            </w:r>
            <w:r>
              <w:rPr>
                <w:noProof/>
                <w:sz w:val="20"/>
              </w:rPr>
              <w:t xml:space="preserve">EGULATION OF THE EUROPEAN PARLIAMENT AND OF THE COUNCIL laying down certain transitional provisions for the support by the European Agricultural Fund for Rural Development (EAFRD) and by the European Agricultural Guarantee Fund (EAGF) in the year 2021 and </w:t>
            </w:r>
            <w:r>
              <w:rPr>
                <w:noProof/>
                <w:sz w:val="20"/>
              </w:rPr>
              <w:t>amending Regulations (EU) No 228/2013, (EU) No 229/2013 and (EU) No 1308/2013 as regards resources and their distribution in respect of the year 2021 and amending Regulations (EU) No 1305/2013, (EU) No 1306/2013 and (EU) No 1307/2013 as regards their resou</w:t>
            </w:r>
            <w:r>
              <w:rPr>
                <w:noProof/>
                <w:sz w:val="20"/>
              </w:rPr>
              <w:t>rces and application in the year 2021</w:t>
            </w:r>
          </w:p>
        </w:tc>
        <w:tc>
          <w:tcPr>
            <w:tcW w:w="2126" w:type="dxa"/>
            <w:tcBorders>
              <w:bottom w:val="single" w:sz="4" w:space="0" w:color="auto"/>
            </w:tcBorders>
            <w:tcMar>
              <w:top w:w="85" w:type="dxa"/>
              <w:left w:w="85" w:type="dxa"/>
              <w:bottom w:w="85" w:type="dxa"/>
            </w:tcMar>
          </w:tcPr>
          <w:p w:rsidR="00B40DA7" w:rsidRDefault="00531C5A">
            <w:pPr>
              <w:spacing w:after="0"/>
              <w:jc w:val="left"/>
              <w:rPr>
                <w:noProof/>
                <w:sz w:val="20"/>
              </w:rPr>
            </w:pPr>
            <w:r>
              <w:rPr>
                <w:noProof/>
                <w:sz w:val="20"/>
              </w:rPr>
              <w:t>COM(2019)581 final</w:t>
            </w:r>
            <w:r>
              <w:rPr>
                <w:noProof/>
                <w:sz w:val="20"/>
              </w:rPr>
              <w:br/>
              <w:t>2019/0254 (COD)</w:t>
            </w:r>
            <w:r>
              <w:rPr>
                <w:noProof/>
                <w:sz w:val="20"/>
              </w:rPr>
              <w:br/>
              <w:t>31.10.2019</w:t>
            </w:r>
          </w:p>
        </w:tc>
      </w:tr>
      <w:tr w:rsidR="00B40DA7">
        <w:trPr>
          <w:cantSplit/>
        </w:trPr>
        <w:tc>
          <w:tcPr>
            <w:tcW w:w="14850" w:type="dxa"/>
            <w:gridSpan w:val="3"/>
            <w:shd w:val="clear" w:color="auto" w:fill="18BAA8" w:themeFill="accent2"/>
            <w:tcMar>
              <w:top w:w="85" w:type="dxa"/>
              <w:left w:w="85" w:type="dxa"/>
              <w:bottom w:w="85" w:type="dxa"/>
              <w:right w:w="85" w:type="dxa"/>
            </w:tcMar>
          </w:tcPr>
          <w:p w:rsidR="00B40DA7" w:rsidRDefault="00531C5A">
            <w:pPr>
              <w:spacing w:before="60" w:after="60"/>
              <w:rPr>
                <w:noProof/>
                <w:sz w:val="20"/>
              </w:rPr>
            </w:pPr>
            <w:r>
              <w:rPr>
                <w:b/>
                <w:bCs/>
                <w:noProof/>
                <w:color w:val="FFFFFF" w:themeColor="background1"/>
                <w:sz w:val="20"/>
              </w:rPr>
              <w:t>A Europe fit for the Digital Age</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on rail passengers’ rights and obligations (recast)</w:t>
            </w:r>
            <w:r>
              <w:rPr>
                <w:b/>
                <w:bCs/>
                <w:noProof/>
                <w:sz w:val="20"/>
              </w:rPr>
              <w:t xml:space="preserve"> </w:t>
            </w:r>
          </w:p>
        </w:tc>
        <w:tc>
          <w:tcPr>
            <w:tcW w:w="2126" w:type="dxa"/>
            <w:tcMar>
              <w:top w:w="85" w:type="dxa"/>
              <w:left w:w="85" w:type="dxa"/>
              <w:bottom w:w="85" w:type="dxa"/>
            </w:tcMar>
          </w:tcPr>
          <w:p w:rsidR="00B40DA7" w:rsidRDefault="00531C5A">
            <w:pPr>
              <w:spacing w:after="0"/>
              <w:jc w:val="left"/>
              <w:rPr>
                <w:noProof/>
                <w:sz w:val="20"/>
              </w:rPr>
            </w:pPr>
            <w:r>
              <w:rPr>
                <w:noProof/>
                <w:sz w:val="20"/>
              </w:rPr>
              <w:t>COM(2017)548 final</w:t>
            </w:r>
            <w:r>
              <w:rPr>
                <w:noProof/>
                <w:sz w:val="20"/>
              </w:rPr>
              <w:br/>
              <w:t>2017/0237 (COD)</w:t>
            </w:r>
            <w:r>
              <w:rPr>
                <w:noProof/>
                <w:sz w:val="20"/>
              </w:rPr>
              <w:br/>
              <w:t>27.09.2017</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amending Regulation (EC) No 261/2004 establishing common rules on compensation and assistance to passengers in the event of denied </w:t>
            </w:r>
            <w:r>
              <w:rPr>
                <w:noProof/>
                <w:sz w:val="20"/>
              </w:rPr>
              <w:t>boarding and of cancellation or long delay of flights and Regulation (EC) No 2027/97 on air carrier liability in respect of the carriage of passengers and their baggage by air</w:t>
            </w:r>
          </w:p>
        </w:tc>
        <w:tc>
          <w:tcPr>
            <w:tcW w:w="2126" w:type="dxa"/>
            <w:tcMar>
              <w:top w:w="85" w:type="dxa"/>
              <w:left w:w="85" w:type="dxa"/>
              <w:bottom w:w="85" w:type="dxa"/>
            </w:tcMar>
          </w:tcPr>
          <w:p w:rsidR="00B40DA7" w:rsidRDefault="00531C5A">
            <w:pPr>
              <w:spacing w:after="0"/>
              <w:jc w:val="left"/>
              <w:rPr>
                <w:noProof/>
                <w:sz w:val="20"/>
              </w:rPr>
            </w:pPr>
            <w:r>
              <w:rPr>
                <w:noProof/>
                <w:sz w:val="20"/>
              </w:rPr>
              <w:t>COM(2013)130 final</w:t>
            </w:r>
            <w:r>
              <w:rPr>
                <w:noProof/>
                <w:sz w:val="20"/>
              </w:rPr>
              <w:br/>
              <w:t>2013/0072 (COD)</w:t>
            </w:r>
            <w:r>
              <w:rPr>
                <w:noProof/>
                <w:sz w:val="20"/>
              </w:rPr>
              <w:br/>
              <w:t>13.03.2013</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w:t>
            </w:r>
            <w:r>
              <w:rPr>
                <w:noProof/>
                <w:sz w:val="20"/>
              </w:rPr>
              <w:t xml:space="preserve"> EUROPEAN PARLIAMENT AND OF THE COUNCIL on the implementation of the Single European Sky (recast)</w:t>
            </w:r>
          </w:p>
        </w:tc>
        <w:tc>
          <w:tcPr>
            <w:tcW w:w="2126" w:type="dxa"/>
            <w:tcMar>
              <w:top w:w="85" w:type="dxa"/>
              <w:left w:w="85" w:type="dxa"/>
              <w:bottom w:w="85" w:type="dxa"/>
            </w:tcMar>
          </w:tcPr>
          <w:p w:rsidR="00B40DA7" w:rsidRDefault="00531C5A">
            <w:pPr>
              <w:spacing w:after="0"/>
              <w:jc w:val="left"/>
              <w:rPr>
                <w:noProof/>
                <w:sz w:val="20"/>
              </w:rPr>
            </w:pPr>
            <w:r>
              <w:rPr>
                <w:noProof/>
                <w:sz w:val="20"/>
              </w:rPr>
              <w:t>COM(2013)410 final</w:t>
            </w:r>
            <w:r>
              <w:rPr>
                <w:noProof/>
                <w:sz w:val="20"/>
              </w:rPr>
              <w:br/>
              <w:t>2013/0186 (COD)</w:t>
            </w:r>
            <w:r>
              <w:rPr>
                <w:noProof/>
                <w:sz w:val="20"/>
              </w:rPr>
              <w:br/>
              <w:t>11.06.2013</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on common rules for the allocation of </w:t>
            </w:r>
            <w:r>
              <w:rPr>
                <w:noProof/>
                <w:sz w:val="20"/>
              </w:rPr>
              <w:t>slots at European Union airports</w:t>
            </w:r>
          </w:p>
        </w:tc>
        <w:tc>
          <w:tcPr>
            <w:tcW w:w="2126" w:type="dxa"/>
            <w:tcMar>
              <w:top w:w="85" w:type="dxa"/>
              <w:left w:w="85" w:type="dxa"/>
              <w:bottom w:w="85" w:type="dxa"/>
            </w:tcMar>
          </w:tcPr>
          <w:p w:rsidR="00B40DA7" w:rsidRDefault="00531C5A">
            <w:pPr>
              <w:spacing w:after="0"/>
              <w:jc w:val="left"/>
              <w:rPr>
                <w:noProof/>
                <w:sz w:val="20"/>
              </w:rPr>
            </w:pPr>
            <w:r>
              <w:rPr>
                <w:noProof/>
                <w:sz w:val="20"/>
              </w:rPr>
              <w:t>COM(2011)827 final</w:t>
            </w:r>
            <w:r>
              <w:rPr>
                <w:noProof/>
                <w:sz w:val="20"/>
              </w:rPr>
              <w:br/>
              <w:t>2011/0391 (COD)</w:t>
            </w:r>
            <w:r>
              <w:rPr>
                <w:noProof/>
                <w:sz w:val="20"/>
              </w:rPr>
              <w:br/>
              <w:t>01.12.2011</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DIRECTIVE OF THE EUROPEAN PARLIAMENT AND OF THE COUNCIL amending Directive 2006/1/EC on the use of vehicles hired without drivers for the carriage of goods by r</w:t>
            </w:r>
            <w:r>
              <w:rPr>
                <w:noProof/>
                <w:sz w:val="20"/>
              </w:rPr>
              <w:t>oad</w:t>
            </w:r>
          </w:p>
        </w:tc>
        <w:tc>
          <w:tcPr>
            <w:tcW w:w="2126" w:type="dxa"/>
            <w:tcMar>
              <w:top w:w="85" w:type="dxa"/>
              <w:left w:w="85" w:type="dxa"/>
              <w:bottom w:w="85" w:type="dxa"/>
            </w:tcMar>
          </w:tcPr>
          <w:p w:rsidR="00B40DA7" w:rsidRDefault="00531C5A">
            <w:pPr>
              <w:spacing w:after="0"/>
              <w:jc w:val="left"/>
              <w:rPr>
                <w:noProof/>
                <w:sz w:val="20"/>
              </w:rPr>
            </w:pPr>
            <w:r>
              <w:rPr>
                <w:noProof/>
                <w:sz w:val="20"/>
              </w:rPr>
              <w:t>COM(2017)282 final</w:t>
            </w:r>
            <w:r>
              <w:rPr>
                <w:noProof/>
                <w:sz w:val="20"/>
              </w:rPr>
              <w:br/>
              <w:t>2017/0113 (COD)</w:t>
            </w:r>
            <w:r>
              <w:rPr>
                <w:noProof/>
                <w:sz w:val="20"/>
              </w:rPr>
              <w:br/>
              <w:t>31.05.2017</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amending Regulation (EC) No 1073/2009 on common rules for access to the international market for coach and bus services</w:t>
            </w:r>
          </w:p>
        </w:tc>
        <w:tc>
          <w:tcPr>
            <w:tcW w:w="2126" w:type="dxa"/>
            <w:tcMar>
              <w:top w:w="85" w:type="dxa"/>
              <w:left w:w="85" w:type="dxa"/>
              <w:bottom w:w="85" w:type="dxa"/>
            </w:tcMar>
          </w:tcPr>
          <w:p w:rsidR="00B40DA7" w:rsidRDefault="00531C5A">
            <w:pPr>
              <w:spacing w:after="0"/>
              <w:jc w:val="left"/>
              <w:rPr>
                <w:noProof/>
                <w:sz w:val="20"/>
              </w:rPr>
            </w:pPr>
            <w:r>
              <w:rPr>
                <w:noProof/>
                <w:sz w:val="20"/>
              </w:rPr>
              <w:t>COM(2017)647</w:t>
            </w:r>
            <w:r>
              <w:rPr>
                <w:noProof/>
                <w:sz w:val="20"/>
              </w:rPr>
              <w:t xml:space="preserve"> final</w:t>
            </w:r>
            <w:r>
              <w:rPr>
                <w:noProof/>
                <w:sz w:val="20"/>
              </w:rPr>
              <w:br/>
              <w:t>2017/0288 (COD)</w:t>
            </w:r>
            <w:r>
              <w:rPr>
                <w:noProof/>
                <w:sz w:val="20"/>
              </w:rPr>
              <w:br/>
              <w:t>08.11.2017</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DIRECTIVE OF THE EUROPEAN PARLIAMENT AND OF THE COUNCIL discontinuing seasonal changes of time and repealing Directive 2000/84/EC</w:t>
            </w:r>
          </w:p>
        </w:tc>
        <w:tc>
          <w:tcPr>
            <w:tcW w:w="2126" w:type="dxa"/>
            <w:tcMar>
              <w:top w:w="85" w:type="dxa"/>
              <w:left w:w="85" w:type="dxa"/>
              <w:bottom w:w="85" w:type="dxa"/>
            </w:tcMar>
          </w:tcPr>
          <w:p w:rsidR="00B40DA7" w:rsidRDefault="00531C5A">
            <w:pPr>
              <w:spacing w:after="0"/>
              <w:jc w:val="left"/>
              <w:rPr>
                <w:noProof/>
                <w:sz w:val="20"/>
              </w:rPr>
            </w:pPr>
            <w:r>
              <w:rPr>
                <w:noProof/>
                <w:sz w:val="20"/>
              </w:rPr>
              <w:t>COM(2018)639 final</w:t>
            </w:r>
            <w:r>
              <w:rPr>
                <w:noProof/>
                <w:sz w:val="20"/>
              </w:rPr>
              <w:br/>
              <w:t>2018/0332 (COD)</w:t>
            </w:r>
            <w:r>
              <w:rPr>
                <w:noProof/>
                <w:sz w:val="20"/>
              </w:rPr>
              <w:br/>
              <w:t>12.09.2018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w:t>
            </w:r>
            <w:r>
              <w:rPr>
                <w:noProof/>
                <w:sz w:val="20"/>
              </w:rPr>
              <w:t xml:space="preserve">F THE EUROPEAN PARLIAMENT AND OF THE COUNCIL amending Regulation (EC) No 715/2007 on type approval of motor vehicles with respect to emissions from light passenger and commercial vehicles (Euro 5 and Euro 6) and on access to vehicle repair and maintenance </w:t>
            </w:r>
            <w:r>
              <w:rPr>
                <w:noProof/>
                <w:sz w:val="20"/>
              </w:rPr>
              <w:t>information</w:t>
            </w:r>
          </w:p>
        </w:tc>
        <w:tc>
          <w:tcPr>
            <w:tcW w:w="2126" w:type="dxa"/>
            <w:tcMar>
              <w:top w:w="85" w:type="dxa"/>
              <w:left w:w="85" w:type="dxa"/>
              <w:bottom w:w="85" w:type="dxa"/>
            </w:tcMar>
          </w:tcPr>
          <w:p w:rsidR="00B40DA7" w:rsidRDefault="00531C5A">
            <w:pPr>
              <w:spacing w:after="0"/>
              <w:jc w:val="left"/>
              <w:rPr>
                <w:noProof/>
                <w:sz w:val="20"/>
              </w:rPr>
            </w:pPr>
            <w:r>
              <w:rPr>
                <w:noProof/>
                <w:sz w:val="20"/>
              </w:rPr>
              <w:t>COM(2019)208 final</w:t>
            </w:r>
            <w:r>
              <w:rPr>
                <w:noProof/>
                <w:sz w:val="20"/>
              </w:rPr>
              <w:br/>
              <w:t>2019/0101 (COD)</w:t>
            </w:r>
            <w:r>
              <w:rPr>
                <w:noProof/>
                <w:sz w:val="20"/>
              </w:rPr>
              <w:br/>
              <w:t>14.06.2019</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concerning the respect for private life and the protection of personal data in electronic communications and repealing </w:t>
            </w:r>
            <w:r>
              <w:rPr>
                <w:noProof/>
                <w:sz w:val="20"/>
              </w:rPr>
              <w:t>Directive 2002/58/EC (Regulation on Privacy and Electronic Communications)</w:t>
            </w:r>
          </w:p>
        </w:tc>
        <w:tc>
          <w:tcPr>
            <w:tcW w:w="2126" w:type="dxa"/>
            <w:tcMar>
              <w:top w:w="85" w:type="dxa"/>
              <w:left w:w="85" w:type="dxa"/>
              <w:bottom w:w="85" w:type="dxa"/>
            </w:tcMar>
          </w:tcPr>
          <w:p w:rsidR="00B40DA7" w:rsidRDefault="00531C5A">
            <w:pPr>
              <w:spacing w:after="0"/>
              <w:jc w:val="left"/>
              <w:rPr>
                <w:noProof/>
                <w:sz w:val="20"/>
              </w:rPr>
            </w:pPr>
            <w:r>
              <w:rPr>
                <w:noProof/>
                <w:sz w:val="20"/>
              </w:rPr>
              <w:t>COM(2017)10 final</w:t>
            </w:r>
            <w:r>
              <w:rPr>
                <w:noProof/>
                <w:sz w:val="20"/>
              </w:rPr>
              <w:br/>
              <w:t>2017/0003 (COD)</w:t>
            </w:r>
            <w:r>
              <w:rPr>
                <w:noProof/>
                <w:sz w:val="20"/>
              </w:rPr>
              <w:br/>
              <w:t>10.1.2017</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establishing the European Cybersecurity Industrial, Technology </w:t>
            </w:r>
            <w:r>
              <w:rPr>
                <w:noProof/>
                <w:sz w:val="20"/>
              </w:rPr>
              <w:t>and Research Competence Centre and the Network of National Coordination Centres A contribution from the European Commission to the Leaders’ meeting in Salzburg on 19-20 September 2018</w:t>
            </w:r>
          </w:p>
        </w:tc>
        <w:tc>
          <w:tcPr>
            <w:tcW w:w="2126" w:type="dxa"/>
            <w:tcMar>
              <w:top w:w="85" w:type="dxa"/>
              <w:left w:w="85" w:type="dxa"/>
              <w:bottom w:w="85" w:type="dxa"/>
            </w:tcMar>
          </w:tcPr>
          <w:p w:rsidR="00B40DA7" w:rsidRDefault="00531C5A">
            <w:pPr>
              <w:spacing w:after="0"/>
              <w:jc w:val="left"/>
              <w:rPr>
                <w:noProof/>
                <w:sz w:val="20"/>
              </w:rPr>
            </w:pPr>
            <w:r>
              <w:rPr>
                <w:noProof/>
                <w:sz w:val="20"/>
              </w:rPr>
              <w:t>COM(2018)630 final</w:t>
            </w:r>
            <w:r>
              <w:rPr>
                <w:noProof/>
                <w:sz w:val="20"/>
              </w:rPr>
              <w:br/>
              <w:t>2018/0328 (COD)</w:t>
            </w:r>
            <w:r>
              <w:rPr>
                <w:noProof/>
                <w:sz w:val="20"/>
              </w:rPr>
              <w:br/>
              <w:t>12.09.2019</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DIRECTIVE</w:t>
            </w:r>
            <w:r>
              <w:rPr>
                <w:noProof/>
                <w:sz w:val="20"/>
              </w:rPr>
              <w:t xml:space="preserve"> OF THE EUROPEAN PARLIAMENT AND OF THE COUNCIL on the legal and operational framework of the European services e-card introduced by Regulation ....[ESC Regulation]....</w:t>
            </w:r>
          </w:p>
        </w:tc>
        <w:tc>
          <w:tcPr>
            <w:tcW w:w="2126" w:type="dxa"/>
            <w:tcMar>
              <w:top w:w="85" w:type="dxa"/>
              <w:left w:w="85" w:type="dxa"/>
              <w:bottom w:w="85" w:type="dxa"/>
            </w:tcMar>
          </w:tcPr>
          <w:p w:rsidR="00B40DA7" w:rsidRDefault="00531C5A">
            <w:pPr>
              <w:spacing w:after="0"/>
              <w:jc w:val="left"/>
              <w:rPr>
                <w:noProof/>
                <w:sz w:val="20"/>
              </w:rPr>
            </w:pPr>
            <w:r>
              <w:rPr>
                <w:noProof/>
                <w:sz w:val="20"/>
              </w:rPr>
              <w:t>COM(2016)823 final</w:t>
            </w:r>
            <w:r>
              <w:rPr>
                <w:noProof/>
                <w:sz w:val="20"/>
              </w:rPr>
              <w:br/>
              <w:t>2016/0402 (COD)</w:t>
            </w:r>
            <w:r>
              <w:rPr>
                <w:noProof/>
                <w:sz w:val="20"/>
              </w:rPr>
              <w:br/>
              <w:t>10.01.2017</w:t>
            </w:r>
          </w:p>
        </w:tc>
      </w:tr>
      <w:tr w:rsidR="00B40DA7">
        <w:trPr>
          <w:cantSplit/>
        </w:trPr>
        <w:tc>
          <w:tcPr>
            <w:tcW w:w="652" w:type="dxa"/>
            <w:tcBorders>
              <w:bottom w:val="single" w:sz="4" w:space="0" w:color="auto"/>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w:t>
            </w:r>
            <w:r>
              <w:rPr>
                <w:noProof/>
                <w:sz w:val="20"/>
              </w:rPr>
              <w:t>N PARLIAMENT AND OF THE COUNCIL introducing a European services e-card and related administrative facilities</w:t>
            </w:r>
          </w:p>
        </w:tc>
        <w:tc>
          <w:tcPr>
            <w:tcW w:w="2126" w:type="dxa"/>
            <w:tcBorders>
              <w:bottom w:val="single" w:sz="4" w:space="0" w:color="auto"/>
            </w:tcBorders>
            <w:tcMar>
              <w:top w:w="85" w:type="dxa"/>
              <w:left w:w="85" w:type="dxa"/>
              <w:bottom w:w="85" w:type="dxa"/>
            </w:tcMar>
          </w:tcPr>
          <w:p w:rsidR="00B40DA7" w:rsidRDefault="00531C5A">
            <w:pPr>
              <w:spacing w:after="0"/>
              <w:jc w:val="left"/>
              <w:rPr>
                <w:noProof/>
                <w:sz w:val="20"/>
              </w:rPr>
            </w:pPr>
            <w:r>
              <w:rPr>
                <w:noProof/>
                <w:sz w:val="20"/>
              </w:rPr>
              <w:t>COM(2016)824 final</w:t>
            </w:r>
            <w:r>
              <w:rPr>
                <w:noProof/>
                <w:sz w:val="20"/>
              </w:rPr>
              <w:br/>
              <w:t>2016/0403 (COD)</w:t>
            </w:r>
            <w:r>
              <w:rPr>
                <w:noProof/>
                <w:sz w:val="20"/>
              </w:rPr>
              <w:br/>
              <w:t>10.01.2017</w:t>
            </w:r>
          </w:p>
        </w:tc>
      </w:tr>
      <w:tr w:rsidR="00B40DA7">
        <w:trPr>
          <w:cantSplit/>
        </w:trPr>
        <w:tc>
          <w:tcPr>
            <w:tcW w:w="652" w:type="dxa"/>
            <w:tcBorders>
              <w:bottom w:val="single" w:sz="4" w:space="0" w:color="auto"/>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the Connecting</w:t>
            </w:r>
            <w:r>
              <w:rPr>
                <w:noProof/>
                <w:sz w:val="20"/>
              </w:rPr>
              <w:t xml:space="preserve"> Europe Facility and repealing Regulations (EU) No 1316/2013 and (EU) No 283/2014</w:t>
            </w:r>
          </w:p>
        </w:tc>
        <w:tc>
          <w:tcPr>
            <w:tcW w:w="2126" w:type="dxa"/>
            <w:tcBorders>
              <w:bottom w:val="single" w:sz="4" w:space="0" w:color="auto"/>
            </w:tcBorders>
            <w:tcMar>
              <w:top w:w="85" w:type="dxa"/>
              <w:left w:w="85" w:type="dxa"/>
              <w:bottom w:w="85" w:type="dxa"/>
            </w:tcMar>
          </w:tcPr>
          <w:p w:rsidR="00B40DA7" w:rsidRDefault="00531C5A">
            <w:pPr>
              <w:spacing w:after="0"/>
              <w:jc w:val="left"/>
              <w:rPr>
                <w:noProof/>
                <w:sz w:val="20"/>
              </w:rPr>
            </w:pPr>
            <w:r>
              <w:rPr>
                <w:noProof/>
                <w:sz w:val="20"/>
              </w:rPr>
              <w:t>COM(2018)438 final</w:t>
            </w:r>
            <w:r>
              <w:rPr>
                <w:noProof/>
                <w:sz w:val="20"/>
              </w:rPr>
              <w:br/>
              <w:t>2018/0228 (COD)</w:t>
            </w:r>
            <w:r>
              <w:rPr>
                <w:noProof/>
                <w:sz w:val="20"/>
              </w:rPr>
              <w:br/>
              <w:t>07.06.2018</w:t>
            </w:r>
          </w:p>
        </w:tc>
      </w:tr>
      <w:tr w:rsidR="00B40DA7">
        <w:trPr>
          <w:cantSplit/>
        </w:trPr>
        <w:tc>
          <w:tcPr>
            <w:tcW w:w="652" w:type="dxa"/>
            <w:tcBorders>
              <w:bottom w:val="single" w:sz="4" w:space="0" w:color="auto"/>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establishing the Programme for single market, </w:t>
            </w:r>
            <w:r>
              <w:rPr>
                <w:noProof/>
                <w:sz w:val="20"/>
              </w:rPr>
              <w:t>competitiveness of enterprises, including small and medium-sized enterprises, and European statistics and repealing Regulations (EU) No 99/2013, (EU) No 1287/2013, (EU) No 254/2014, (EU) No 258/2014, (EU) No 652/2014 and (EU) 2017/826</w:t>
            </w:r>
          </w:p>
        </w:tc>
        <w:tc>
          <w:tcPr>
            <w:tcW w:w="2126" w:type="dxa"/>
            <w:tcBorders>
              <w:bottom w:val="single" w:sz="4" w:space="0" w:color="auto"/>
            </w:tcBorders>
            <w:tcMar>
              <w:top w:w="85" w:type="dxa"/>
              <w:left w:w="85" w:type="dxa"/>
              <w:bottom w:w="85" w:type="dxa"/>
            </w:tcMar>
          </w:tcPr>
          <w:p w:rsidR="00B40DA7" w:rsidRDefault="00531C5A">
            <w:pPr>
              <w:spacing w:after="0"/>
              <w:jc w:val="left"/>
              <w:rPr>
                <w:noProof/>
                <w:sz w:val="20"/>
              </w:rPr>
            </w:pPr>
            <w:r>
              <w:rPr>
                <w:noProof/>
                <w:sz w:val="20"/>
              </w:rPr>
              <w:t>COM(2018)441 final</w:t>
            </w:r>
            <w:r>
              <w:rPr>
                <w:noProof/>
                <w:sz w:val="20"/>
              </w:rPr>
              <w:br/>
              <w:t>20</w:t>
            </w:r>
            <w:r>
              <w:rPr>
                <w:noProof/>
                <w:sz w:val="20"/>
              </w:rPr>
              <w:t>18/0231 (COD)</w:t>
            </w:r>
            <w:r>
              <w:rPr>
                <w:noProof/>
                <w:sz w:val="20"/>
              </w:rPr>
              <w:br/>
              <w:t>07.06.2018</w:t>
            </w:r>
          </w:p>
        </w:tc>
      </w:tr>
      <w:tr w:rsidR="00B40DA7">
        <w:trPr>
          <w:cantSplit/>
        </w:trPr>
        <w:tc>
          <w:tcPr>
            <w:tcW w:w="652" w:type="dxa"/>
            <w:tcBorders>
              <w:bottom w:val="single" w:sz="4" w:space="0" w:color="auto"/>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DECISION OF THE EUROPEAN PARLIAMENT AND OF THE COUNCIL on establishing the specific programme implementing Horizon Europe – the Framework Programme for Research and Innovation</w:t>
            </w:r>
          </w:p>
        </w:tc>
        <w:tc>
          <w:tcPr>
            <w:tcW w:w="2126" w:type="dxa"/>
            <w:tcBorders>
              <w:bottom w:val="single" w:sz="4" w:space="0" w:color="auto"/>
            </w:tcBorders>
            <w:tcMar>
              <w:top w:w="85" w:type="dxa"/>
              <w:left w:w="85" w:type="dxa"/>
              <w:bottom w:w="85" w:type="dxa"/>
            </w:tcMar>
          </w:tcPr>
          <w:p w:rsidR="00B40DA7" w:rsidRDefault="00531C5A">
            <w:pPr>
              <w:spacing w:after="0"/>
              <w:jc w:val="left"/>
              <w:rPr>
                <w:noProof/>
                <w:sz w:val="20"/>
              </w:rPr>
            </w:pPr>
            <w:r>
              <w:rPr>
                <w:noProof/>
                <w:sz w:val="20"/>
              </w:rPr>
              <w:t>COM(2018)436 final</w:t>
            </w:r>
            <w:r>
              <w:rPr>
                <w:noProof/>
                <w:sz w:val="20"/>
              </w:rPr>
              <w:br/>
              <w:t>2018/0225 (COD)</w:t>
            </w:r>
            <w:r>
              <w:rPr>
                <w:noProof/>
                <w:sz w:val="20"/>
              </w:rPr>
              <w:br/>
              <w:t>07.</w:t>
            </w:r>
            <w:r>
              <w:rPr>
                <w:noProof/>
                <w:sz w:val="20"/>
              </w:rPr>
              <w:t>06.2018</w:t>
            </w:r>
          </w:p>
        </w:tc>
      </w:tr>
      <w:tr w:rsidR="00B40DA7">
        <w:trPr>
          <w:cantSplit/>
        </w:trPr>
        <w:tc>
          <w:tcPr>
            <w:tcW w:w="652" w:type="dxa"/>
            <w:tcBorders>
              <w:bottom w:val="single" w:sz="4" w:space="0" w:color="auto"/>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Horizon Europe – the Framework Programme for Research and Innovation, laying down its rules for participation and dissemination</w:t>
            </w:r>
          </w:p>
        </w:tc>
        <w:tc>
          <w:tcPr>
            <w:tcW w:w="2126" w:type="dxa"/>
            <w:tcBorders>
              <w:bottom w:val="single" w:sz="4" w:space="0" w:color="auto"/>
            </w:tcBorders>
            <w:tcMar>
              <w:top w:w="85" w:type="dxa"/>
              <w:left w:w="85" w:type="dxa"/>
              <w:bottom w:w="85" w:type="dxa"/>
            </w:tcMar>
          </w:tcPr>
          <w:p w:rsidR="00B40DA7" w:rsidRDefault="00531C5A">
            <w:pPr>
              <w:spacing w:after="0"/>
              <w:jc w:val="left"/>
              <w:rPr>
                <w:noProof/>
                <w:sz w:val="20"/>
              </w:rPr>
            </w:pPr>
            <w:r>
              <w:rPr>
                <w:noProof/>
                <w:sz w:val="20"/>
              </w:rPr>
              <w:t>COM(2018)435 final</w:t>
            </w:r>
            <w:r>
              <w:rPr>
                <w:noProof/>
                <w:sz w:val="20"/>
              </w:rPr>
              <w:br/>
              <w:t>2018/0224 (COD</w:t>
            </w:r>
            <w:r>
              <w:rPr>
                <w:noProof/>
                <w:sz w:val="20"/>
              </w:rPr>
              <w:t>)</w:t>
            </w:r>
            <w:r>
              <w:rPr>
                <w:noProof/>
                <w:sz w:val="20"/>
              </w:rPr>
              <w:br/>
              <w:t>07.06.2018</w:t>
            </w:r>
          </w:p>
        </w:tc>
      </w:tr>
      <w:tr w:rsidR="00B40DA7">
        <w:trPr>
          <w:cantSplit/>
        </w:trPr>
        <w:tc>
          <w:tcPr>
            <w:tcW w:w="652" w:type="dxa"/>
            <w:tcBorders>
              <w:bottom w:val="single" w:sz="4" w:space="0" w:color="auto"/>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COUNCIL REGULATION establishing the Research and Training Programme of the European Atomic Energy Community for the period 2021-2025 complementing Horizon Europe – the Framework Programme for Research and Innovation</w:t>
            </w:r>
          </w:p>
        </w:tc>
        <w:tc>
          <w:tcPr>
            <w:tcW w:w="2126" w:type="dxa"/>
            <w:tcBorders>
              <w:bottom w:val="single" w:sz="4" w:space="0" w:color="auto"/>
            </w:tcBorders>
            <w:tcMar>
              <w:top w:w="85" w:type="dxa"/>
              <w:left w:w="85" w:type="dxa"/>
              <w:bottom w:w="85" w:type="dxa"/>
            </w:tcMar>
          </w:tcPr>
          <w:p w:rsidR="00B40DA7" w:rsidRDefault="00531C5A">
            <w:pPr>
              <w:spacing w:after="0"/>
              <w:jc w:val="left"/>
              <w:rPr>
                <w:noProof/>
                <w:sz w:val="20"/>
              </w:rPr>
            </w:pPr>
            <w:r>
              <w:rPr>
                <w:noProof/>
                <w:sz w:val="20"/>
              </w:rPr>
              <w:t>COM(2018)4</w:t>
            </w:r>
            <w:r>
              <w:rPr>
                <w:noProof/>
                <w:sz w:val="20"/>
              </w:rPr>
              <w:t>37 final</w:t>
            </w:r>
            <w:r>
              <w:rPr>
                <w:noProof/>
                <w:sz w:val="20"/>
              </w:rPr>
              <w:br/>
              <w:t>2018/0226 (NLE)</w:t>
            </w:r>
            <w:r>
              <w:rPr>
                <w:noProof/>
                <w:sz w:val="20"/>
              </w:rPr>
              <w:br/>
              <w:t>07.06.2018</w:t>
            </w:r>
          </w:p>
        </w:tc>
      </w:tr>
      <w:tr w:rsidR="00B40DA7">
        <w:trPr>
          <w:cantSplit/>
        </w:trPr>
        <w:tc>
          <w:tcPr>
            <w:tcW w:w="652" w:type="dxa"/>
            <w:tcBorders>
              <w:bottom w:val="single" w:sz="4" w:space="0" w:color="auto"/>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the Digital Europe programme for the period 2021-2027</w:t>
            </w:r>
          </w:p>
        </w:tc>
        <w:tc>
          <w:tcPr>
            <w:tcW w:w="2126" w:type="dxa"/>
            <w:tcBorders>
              <w:bottom w:val="single" w:sz="4" w:space="0" w:color="auto"/>
            </w:tcBorders>
            <w:tcMar>
              <w:top w:w="85" w:type="dxa"/>
              <w:left w:w="85" w:type="dxa"/>
              <w:bottom w:w="85" w:type="dxa"/>
            </w:tcMar>
          </w:tcPr>
          <w:p w:rsidR="00B40DA7" w:rsidRDefault="00531C5A">
            <w:pPr>
              <w:spacing w:after="0"/>
              <w:jc w:val="left"/>
              <w:rPr>
                <w:noProof/>
                <w:sz w:val="20"/>
              </w:rPr>
            </w:pPr>
            <w:r>
              <w:rPr>
                <w:noProof/>
                <w:sz w:val="20"/>
              </w:rPr>
              <w:t>COM(2018)434 final</w:t>
            </w:r>
            <w:r>
              <w:rPr>
                <w:noProof/>
                <w:sz w:val="20"/>
              </w:rPr>
              <w:br/>
              <w:t>2018/0227 (COD)</w:t>
            </w:r>
            <w:r>
              <w:rPr>
                <w:noProof/>
                <w:sz w:val="20"/>
              </w:rPr>
              <w:br/>
              <w:t>08.06.2018</w:t>
            </w:r>
          </w:p>
        </w:tc>
      </w:tr>
      <w:tr w:rsidR="00B40DA7">
        <w:trPr>
          <w:cantSplit/>
        </w:trPr>
        <w:tc>
          <w:tcPr>
            <w:tcW w:w="652" w:type="dxa"/>
            <w:tcBorders>
              <w:bottom w:val="single" w:sz="4" w:space="0" w:color="auto"/>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REGULATION OF </w:t>
            </w:r>
            <w:r>
              <w:rPr>
                <w:noProof/>
                <w:sz w:val="20"/>
              </w:rPr>
              <w:t>THE EUROPEAN PARLIAMENT AND OF THE COUNCIL establishing the European Defence Fund</w:t>
            </w:r>
          </w:p>
        </w:tc>
        <w:tc>
          <w:tcPr>
            <w:tcW w:w="2126" w:type="dxa"/>
            <w:tcBorders>
              <w:bottom w:val="single" w:sz="4" w:space="0" w:color="auto"/>
            </w:tcBorders>
            <w:tcMar>
              <w:top w:w="85" w:type="dxa"/>
              <w:left w:w="85" w:type="dxa"/>
              <w:bottom w:w="85" w:type="dxa"/>
            </w:tcMar>
          </w:tcPr>
          <w:p w:rsidR="00B40DA7" w:rsidRDefault="00531C5A">
            <w:pPr>
              <w:spacing w:after="0"/>
              <w:jc w:val="left"/>
              <w:rPr>
                <w:noProof/>
                <w:sz w:val="20"/>
              </w:rPr>
            </w:pPr>
            <w:r>
              <w:rPr>
                <w:noProof/>
                <w:sz w:val="20"/>
              </w:rPr>
              <w:t>COM(2018)476 final</w:t>
            </w:r>
            <w:r>
              <w:rPr>
                <w:noProof/>
                <w:sz w:val="20"/>
              </w:rPr>
              <w:br/>
              <w:t>2018/0254 (COD)</w:t>
            </w:r>
            <w:r>
              <w:rPr>
                <w:noProof/>
                <w:sz w:val="20"/>
              </w:rPr>
              <w:br/>
              <w:t>13.06.2018</w:t>
            </w:r>
          </w:p>
        </w:tc>
      </w:tr>
      <w:tr w:rsidR="00B40DA7">
        <w:trPr>
          <w:cantSplit/>
        </w:trPr>
        <w:tc>
          <w:tcPr>
            <w:tcW w:w="652" w:type="dxa"/>
            <w:tcBorders>
              <w:bottom w:val="single" w:sz="4" w:space="0" w:color="auto"/>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establishing the space programme of the Union and the </w:t>
            </w:r>
            <w:r>
              <w:rPr>
                <w:noProof/>
                <w:sz w:val="20"/>
              </w:rPr>
              <w:t>European Union Agency for the Space Programme and repealing Regulations (EU) No 912/2010, (EU) No 1285/2013, (EU) No 377/2014 and Decision 541/2014/EU</w:t>
            </w:r>
          </w:p>
        </w:tc>
        <w:tc>
          <w:tcPr>
            <w:tcW w:w="2126" w:type="dxa"/>
            <w:tcBorders>
              <w:bottom w:val="single" w:sz="4" w:space="0" w:color="auto"/>
            </w:tcBorders>
            <w:tcMar>
              <w:top w:w="85" w:type="dxa"/>
              <w:left w:w="85" w:type="dxa"/>
              <w:bottom w:w="85" w:type="dxa"/>
            </w:tcMar>
          </w:tcPr>
          <w:p w:rsidR="00B40DA7" w:rsidRDefault="00531C5A">
            <w:pPr>
              <w:spacing w:after="0"/>
              <w:jc w:val="left"/>
              <w:rPr>
                <w:noProof/>
                <w:sz w:val="20"/>
              </w:rPr>
            </w:pPr>
            <w:r>
              <w:rPr>
                <w:noProof/>
                <w:sz w:val="20"/>
              </w:rPr>
              <w:t>COM(2018)447 final</w:t>
            </w:r>
            <w:r>
              <w:rPr>
                <w:noProof/>
                <w:sz w:val="20"/>
              </w:rPr>
              <w:br/>
              <w:t>2018/0236 (COD)</w:t>
            </w:r>
            <w:r>
              <w:rPr>
                <w:noProof/>
                <w:sz w:val="20"/>
              </w:rPr>
              <w:br/>
              <w:t>08.06.2018</w:t>
            </w:r>
          </w:p>
        </w:tc>
      </w:tr>
      <w:tr w:rsidR="00B40DA7">
        <w:trPr>
          <w:cantSplit/>
        </w:trPr>
        <w:tc>
          <w:tcPr>
            <w:tcW w:w="14850" w:type="dxa"/>
            <w:gridSpan w:val="3"/>
            <w:shd w:val="clear" w:color="auto" w:fill="F68A42" w:themeFill="accent3"/>
            <w:tcMar>
              <w:top w:w="85" w:type="dxa"/>
              <w:left w:w="85" w:type="dxa"/>
              <w:bottom w:w="85" w:type="dxa"/>
              <w:right w:w="85" w:type="dxa"/>
            </w:tcMar>
          </w:tcPr>
          <w:p w:rsidR="00B40DA7" w:rsidRDefault="00531C5A">
            <w:pPr>
              <w:spacing w:before="60" w:after="60"/>
              <w:rPr>
                <w:noProof/>
                <w:sz w:val="20"/>
              </w:rPr>
            </w:pPr>
            <w:r>
              <w:rPr>
                <w:b/>
                <w:bCs/>
                <w:noProof/>
                <w:color w:val="FFFFFF" w:themeColor="background1"/>
                <w:sz w:val="20"/>
              </w:rPr>
              <w:t>An Economy that Works for People</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COUNCIL </w:t>
            </w:r>
            <w:r>
              <w:rPr>
                <w:noProof/>
                <w:sz w:val="20"/>
              </w:rPr>
              <w:t>DIRECTIVE laying down provisions for strengthening fiscal responsibility and the medium-term budgetary orientation in the Member States</w:t>
            </w:r>
            <w:r>
              <w:rPr>
                <w:b/>
                <w:bCs/>
                <w:noProof/>
                <w:sz w:val="20"/>
              </w:rPr>
              <w:t xml:space="preserve"> </w:t>
            </w:r>
          </w:p>
        </w:tc>
        <w:tc>
          <w:tcPr>
            <w:tcW w:w="2126" w:type="dxa"/>
            <w:tcMar>
              <w:top w:w="85" w:type="dxa"/>
              <w:left w:w="85" w:type="dxa"/>
              <w:bottom w:w="85" w:type="dxa"/>
            </w:tcMar>
          </w:tcPr>
          <w:p w:rsidR="00B40DA7" w:rsidRDefault="00531C5A">
            <w:pPr>
              <w:spacing w:after="0"/>
              <w:jc w:val="left"/>
              <w:rPr>
                <w:noProof/>
                <w:sz w:val="20"/>
              </w:rPr>
            </w:pPr>
            <w:r>
              <w:rPr>
                <w:noProof/>
                <w:sz w:val="20"/>
              </w:rPr>
              <w:t>COM(2017)824 final</w:t>
            </w:r>
            <w:r>
              <w:rPr>
                <w:noProof/>
                <w:sz w:val="20"/>
              </w:rPr>
              <w:br/>
              <w:t>2017/0335 (CNS)</w:t>
            </w:r>
            <w:r>
              <w:rPr>
                <w:noProof/>
                <w:sz w:val="20"/>
              </w:rPr>
              <w:br/>
              <w:t>6.12.2017</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w:t>
            </w:r>
            <w:r>
              <w:rPr>
                <w:noProof/>
                <w:sz w:val="20"/>
              </w:rPr>
              <w:t>amending Regulation (EU) 806/2014 in order to establish a European Deposit Insurance Scheme</w:t>
            </w:r>
          </w:p>
        </w:tc>
        <w:tc>
          <w:tcPr>
            <w:tcW w:w="2126" w:type="dxa"/>
            <w:tcMar>
              <w:top w:w="85" w:type="dxa"/>
              <w:left w:w="85" w:type="dxa"/>
              <w:bottom w:w="85" w:type="dxa"/>
            </w:tcMar>
          </w:tcPr>
          <w:p w:rsidR="00B40DA7" w:rsidRDefault="00531C5A">
            <w:pPr>
              <w:spacing w:after="0"/>
              <w:jc w:val="left"/>
              <w:rPr>
                <w:noProof/>
                <w:sz w:val="20"/>
              </w:rPr>
            </w:pPr>
            <w:r>
              <w:rPr>
                <w:noProof/>
                <w:sz w:val="20"/>
              </w:rPr>
              <w:t>COM(2015)586 final</w:t>
            </w:r>
            <w:r>
              <w:rPr>
                <w:noProof/>
                <w:sz w:val="20"/>
              </w:rPr>
              <w:br/>
              <w:t>2015/0270 (COD)</w:t>
            </w:r>
            <w:r>
              <w:rPr>
                <w:noProof/>
                <w:sz w:val="20"/>
              </w:rPr>
              <w:br/>
              <w:t>24.11.2015</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on sovereign bond-backed securities</w:t>
            </w:r>
          </w:p>
        </w:tc>
        <w:tc>
          <w:tcPr>
            <w:tcW w:w="2126" w:type="dxa"/>
            <w:tcMar>
              <w:top w:w="85" w:type="dxa"/>
              <w:left w:w="85" w:type="dxa"/>
              <w:bottom w:w="85" w:type="dxa"/>
            </w:tcMar>
          </w:tcPr>
          <w:p w:rsidR="00B40DA7" w:rsidRDefault="00531C5A">
            <w:pPr>
              <w:spacing w:after="0"/>
              <w:jc w:val="left"/>
              <w:rPr>
                <w:noProof/>
                <w:sz w:val="20"/>
              </w:rPr>
            </w:pPr>
            <w:r>
              <w:rPr>
                <w:noProof/>
                <w:sz w:val="20"/>
              </w:rPr>
              <w:t>COM(2018)339 final</w:t>
            </w:r>
            <w:r>
              <w:rPr>
                <w:noProof/>
                <w:sz w:val="20"/>
              </w:rPr>
              <w:br/>
              <w:t>2018/0171 (COD)</w:t>
            </w:r>
            <w:r>
              <w:rPr>
                <w:noProof/>
                <w:sz w:val="20"/>
              </w:rPr>
              <w:br/>
              <w:t>24.05.2018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DIRECTIVE OF THE EUROPEAN PARLIAMENT AND OF THE COUNCIL on credit servicers, credit purchasers and the recovery of collateral</w:t>
            </w:r>
          </w:p>
        </w:tc>
        <w:tc>
          <w:tcPr>
            <w:tcW w:w="2126" w:type="dxa"/>
            <w:tcMar>
              <w:top w:w="85" w:type="dxa"/>
              <w:left w:w="85" w:type="dxa"/>
              <w:bottom w:w="85" w:type="dxa"/>
            </w:tcMar>
          </w:tcPr>
          <w:p w:rsidR="00B40DA7" w:rsidRDefault="00531C5A">
            <w:pPr>
              <w:spacing w:after="0"/>
              <w:jc w:val="left"/>
              <w:rPr>
                <w:noProof/>
                <w:sz w:val="20"/>
              </w:rPr>
            </w:pPr>
            <w:r>
              <w:rPr>
                <w:noProof/>
                <w:sz w:val="20"/>
              </w:rPr>
              <w:t>COM(2018)135 final</w:t>
            </w:r>
            <w:r>
              <w:rPr>
                <w:noProof/>
                <w:sz w:val="20"/>
              </w:rPr>
              <w:br/>
              <w:t>2018/0063 (COD)</w:t>
            </w:r>
            <w:r>
              <w:rPr>
                <w:noProof/>
                <w:sz w:val="20"/>
              </w:rPr>
              <w:br/>
              <w:t>14.03.2018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DIRE</w:t>
            </w:r>
            <w:r>
              <w:rPr>
                <w:noProof/>
                <w:sz w:val="20"/>
              </w:rPr>
              <w:t>CTIVE OF THE EUROPEAN PARLIAMENT AND OF THE COUNCIL amending Directive 2013/34/EU as regards disclosure of income tax information by certain undertakings and branches</w:t>
            </w:r>
          </w:p>
        </w:tc>
        <w:tc>
          <w:tcPr>
            <w:tcW w:w="2126" w:type="dxa"/>
            <w:tcMar>
              <w:top w:w="85" w:type="dxa"/>
              <w:left w:w="85" w:type="dxa"/>
              <w:bottom w:w="85" w:type="dxa"/>
            </w:tcMar>
          </w:tcPr>
          <w:p w:rsidR="00B40DA7" w:rsidRDefault="00531C5A">
            <w:pPr>
              <w:spacing w:after="0"/>
              <w:jc w:val="left"/>
              <w:rPr>
                <w:noProof/>
                <w:sz w:val="20"/>
              </w:rPr>
            </w:pPr>
            <w:r>
              <w:rPr>
                <w:noProof/>
                <w:sz w:val="20"/>
              </w:rPr>
              <w:t>COM(2016)198 final</w:t>
            </w:r>
            <w:r>
              <w:rPr>
                <w:noProof/>
                <w:sz w:val="20"/>
              </w:rPr>
              <w:br/>
              <w:t>2016/0107 (COD)</w:t>
            </w:r>
            <w:r>
              <w:rPr>
                <w:noProof/>
                <w:sz w:val="20"/>
              </w:rPr>
              <w:br/>
              <w:t>13.04.2016</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w:t>
            </w:r>
            <w:r>
              <w:rPr>
                <w:noProof/>
                <w:sz w:val="20"/>
              </w:rPr>
              <w:t xml:space="preserve"> PARLIAMENT AND OF THE COUNCIL on a framework for the recovery and resolution of central counterparties and amending Regulations (EU) No 1095/2010, (EU) No 648/2012, and (EU) 2015/2365</w:t>
            </w:r>
          </w:p>
        </w:tc>
        <w:tc>
          <w:tcPr>
            <w:tcW w:w="2126" w:type="dxa"/>
            <w:tcMar>
              <w:top w:w="85" w:type="dxa"/>
              <w:left w:w="85" w:type="dxa"/>
              <w:bottom w:w="85" w:type="dxa"/>
            </w:tcMar>
          </w:tcPr>
          <w:p w:rsidR="00B40DA7" w:rsidRDefault="00531C5A">
            <w:pPr>
              <w:spacing w:after="0"/>
              <w:jc w:val="left"/>
              <w:rPr>
                <w:noProof/>
                <w:sz w:val="20"/>
              </w:rPr>
            </w:pPr>
            <w:r>
              <w:rPr>
                <w:noProof/>
                <w:sz w:val="20"/>
              </w:rPr>
              <w:t>COM(2016)856 final</w:t>
            </w:r>
            <w:r>
              <w:rPr>
                <w:noProof/>
                <w:sz w:val="20"/>
              </w:rPr>
              <w:br/>
              <w:t>2016/0365 (COD)</w:t>
            </w:r>
            <w:r>
              <w:rPr>
                <w:noProof/>
                <w:sz w:val="20"/>
              </w:rPr>
              <w:br/>
              <w:t>28.11.2016</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COUNCIL </w:t>
            </w:r>
            <w:r>
              <w:rPr>
                <w:noProof/>
                <w:sz w:val="20"/>
              </w:rPr>
              <w:t>DECISION laying down measures in view of progressively establishing unified representation of the euro area in the International Monetary Fund</w:t>
            </w:r>
          </w:p>
        </w:tc>
        <w:tc>
          <w:tcPr>
            <w:tcW w:w="2126" w:type="dxa"/>
            <w:tcMar>
              <w:top w:w="85" w:type="dxa"/>
              <w:left w:w="85" w:type="dxa"/>
              <w:bottom w:w="85" w:type="dxa"/>
            </w:tcMar>
          </w:tcPr>
          <w:p w:rsidR="00B40DA7" w:rsidRDefault="00531C5A">
            <w:pPr>
              <w:spacing w:after="0"/>
              <w:jc w:val="left"/>
              <w:rPr>
                <w:noProof/>
                <w:sz w:val="20"/>
              </w:rPr>
            </w:pPr>
            <w:r>
              <w:rPr>
                <w:noProof/>
                <w:sz w:val="20"/>
              </w:rPr>
              <w:t>COM(2015)603 final</w:t>
            </w:r>
            <w:r>
              <w:rPr>
                <w:noProof/>
                <w:sz w:val="20"/>
              </w:rPr>
              <w:br/>
              <w:t>2015/0250 (NLE)</w:t>
            </w:r>
            <w:r>
              <w:rPr>
                <w:noProof/>
                <w:sz w:val="20"/>
              </w:rPr>
              <w:br/>
              <w:t>21.10.2015</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w:t>
            </w:r>
            <w:r>
              <w:rPr>
                <w:noProof/>
                <w:sz w:val="20"/>
              </w:rPr>
              <w:t>OUNCIL on a governance framework for the budgetary instrument for convergence and competitiveness for the euro area</w:t>
            </w:r>
          </w:p>
        </w:tc>
        <w:tc>
          <w:tcPr>
            <w:tcW w:w="2126" w:type="dxa"/>
            <w:tcMar>
              <w:top w:w="85" w:type="dxa"/>
              <w:left w:w="85" w:type="dxa"/>
              <w:bottom w:w="85" w:type="dxa"/>
            </w:tcMar>
          </w:tcPr>
          <w:p w:rsidR="00B40DA7" w:rsidRDefault="00531C5A">
            <w:pPr>
              <w:spacing w:after="0"/>
              <w:jc w:val="left"/>
              <w:rPr>
                <w:noProof/>
                <w:sz w:val="20"/>
              </w:rPr>
            </w:pPr>
            <w:r>
              <w:rPr>
                <w:noProof/>
                <w:sz w:val="20"/>
              </w:rPr>
              <w:t>COM(2019)354 final</w:t>
            </w:r>
            <w:r>
              <w:rPr>
                <w:noProof/>
                <w:sz w:val="20"/>
              </w:rPr>
              <w:br/>
              <w:t>2019/0161 (COD)</w:t>
            </w:r>
            <w:r>
              <w:rPr>
                <w:noProof/>
                <w:sz w:val="20"/>
              </w:rPr>
              <w:br/>
              <w:t>24.07.2019</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amending Regulation </w:t>
            </w:r>
            <w:r>
              <w:rPr>
                <w:noProof/>
                <w:sz w:val="20"/>
              </w:rPr>
              <w:t>(EC) No 883/2004 on the coordination of social security systems and regulation (EC) No 987/2009 laying down the procedure for implementing Regulation (EC) No 883/2004(Text with relevance for the EEA and Switzerland)</w:t>
            </w:r>
          </w:p>
        </w:tc>
        <w:tc>
          <w:tcPr>
            <w:tcW w:w="2126" w:type="dxa"/>
            <w:tcMar>
              <w:top w:w="85" w:type="dxa"/>
              <w:left w:w="85" w:type="dxa"/>
              <w:bottom w:w="85" w:type="dxa"/>
            </w:tcMar>
          </w:tcPr>
          <w:p w:rsidR="00B40DA7" w:rsidRDefault="00531C5A">
            <w:pPr>
              <w:spacing w:after="0"/>
              <w:jc w:val="left"/>
              <w:rPr>
                <w:noProof/>
                <w:sz w:val="20"/>
              </w:rPr>
            </w:pPr>
            <w:r>
              <w:rPr>
                <w:noProof/>
                <w:sz w:val="20"/>
              </w:rPr>
              <w:t>COM(2016)815 final</w:t>
            </w:r>
            <w:r>
              <w:rPr>
                <w:noProof/>
                <w:sz w:val="20"/>
              </w:rPr>
              <w:br/>
              <w:t>2016/0397 (COD)</w:t>
            </w:r>
            <w:r>
              <w:rPr>
                <w:noProof/>
                <w:sz w:val="20"/>
              </w:rPr>
              <w:br/>
              <w:t>14.12</w:t>
            </w:r>
            <w:r>
              <w:rPr>
                <w:noProof/>
                <w:sz w:val="20"/>
              </w:rPr>
              <w:t>.2016</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DECISION OF THE EUROPEAN PARLIAMENT AND OF THE COUNCIL amending Decision No 573/2014/EU on enhanced cooperation between Public Employment Services (PES)</w:t>
            </w:r>
          </w:p>
        </w:tc>
        <w:tc>
          <w:tcPr>
            <w:tcW w:w="2126" w:type="dxa"/>
            <w:tcMar>
              <w:top w:w="85" w:type="dxa"/>
              <w:left w:w="85" w:type="dxa"/>
              <w:bottom w:w="85" w:type="dxa"/>
            </w:tcMar>
          </w:tcPr>
          <w:p w:rsidR="00B40DA7" w:rsidRDefault="00531C5A">
            <w:pPr>
              <w:spacing w:after="0"/>
              <w:jc w:val="left"/>
              <w:rPr>
                <w:noProof/>
                <w:sz w:val="20"/>
              </w:rPr>
            </w:pPr>
            <w:r>
              <w:rPr>
                <w:noProof/>
                <w:sz w:val="20"/>
              </w:rPr>
              <w:t>COM(2019)620 final</w:t>
            </w:r>
            <w:r>
              <w:rPr>
                <w:noProof/>
                <w:sz w:val="20"/>
              </w:rPr>
              <w:br/>
              <w:t>2019/0188 (COD)</w:t>
            </w:r>
            <w:r>
              <w:rPr>
                <w:noProof/>
                <w:sz w:val="20"/>
              </w:rPr>
              <w:br/>
              <w:t>11.09.2019</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COUNCIL </w:t>
            </w:r>
            <w:r>
              <w:rPr>
                <w:noProof/>
                <w:sz w:val="20"/>
              </w:rPr>
              <w:t>REGULATION on the establishment of the European Monetary Fund</w:t>
            </w:r>
          </w:p>
        </w:tc>
        <w:tc>
          <w:tcPr>
            <w:tcW w:w="2126" w:type="dxa"/>
            <w:tcMar>
              <w:top w:w="85" w:type="dxa"/>
              <w:left w:w="85" w:type="dxa"/>
              <w:bottom w:w="85" w:type="dxa"/>
            </w:tcMar>
          </w:tcPr>
          <w:p w:rsidR="00B40DA7" w:rsidRDefault="00531C5A">
            <w:pPr>
              <w:spacing w:after="0"/>
              <w:jc w:val="left"/>
              <w:rPr>
                <w:noProof/>
                <w:sz w:val="20"/>
              </w:rPr>
            </w:pPr>
            <w:r>
              <w:rPr>
                <w:noProof/>
                <w:sz w:val="20"/>
              </w:rPr>
              <w:t>COM(2017)827 final</w:t>
            </w:r>
            <w:r>
              <w:rPr>
                <w:noProof/>
                <w:sz w:val="20"/>
              </w:rPr>
              <w:br/>
              <w:t>2017/0333 (APP)</w:t>
            </w:r>
            <w:r>
              <w:rPr>
                <w:noProof/>
                <w:sz w:val="20"/>
              </w:rPr>
              <w:br/>
              <w:t>07.12.2017</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COUNCIL REGULATION establishing a facility for providing financial assistance for Member States whose currency is not the euro</w:t>
            </w:r>
          </w:p>
        </w:tc>
        <w:tc>
          <w:tcPr>
            <w:tcW w:w="2126" w:type="dxa"/>
            <w:tcMar>
              <w:top w:w="85" w:type="dxa"/>
              <w:left w:w="85" w:type="dxa"/>
              <w:bottom w:w="85" w:type="dxa"/>
            </w:tcMar>
          </w:tcPr>
          <w:p w:rsidR="00B40DA7" w:rsidRDefault="00531C5A">
            <w:pPr>
              <w:spacing w:after="0"/>
              <w:jc w:val="left"/>
              <w:rPr>
                <w:noProof/>
                <w:sz w:val="20"/>
              </w:rPr>
            </w:pPr>
            <w:r>
              <w:rPr>
                <w:noProof/>
                <w:sz w:val="20"/>
              </w:rPr>
              <w:t>COM(</w:t>
            </w:r>
            <w:r>
              <w:rPr>
                <w:noProof/>
                <w:sz w:val="20"/>
              </w:rPr>
              <w:t>2012)336 final</w:t>
            </w:r>
            <w:r>
              <w:rPr>
                <w:noProof/>
                <w:sz w:val="20"/>
              </w:rPr>
              <w:br/>
              <w:t>2012/0164 (APP)</w:t>
            </w:r>
            <w:r>
              <w:rPr>
                <w:noProof/>
                <w:sz w:val="20"/>
              </w:rPr>
              <w:br/>
              <w:t>22.06.2012</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COUNCIL DIRECTIVE on a Common Consolidated Corporate Tax Base (CCCTB)</w:t>
            </w:r>
          </w:p>
        </w:tc>
        <w:tc>
          <w:tcPr>
            <w:tcW w:w="2126" w:type="dxa"/>
            <w:tcMar>
              <w:top w:w="85" w:type="dxa"/>
              <w:left w:w="85" w:type="dxa"/>
              <w:bottom w:w="85" w:type="dxa"/>
            </w:tcMar>
          </w:tcPr>
          <w:p w:rsidR="00B40DA7" w:rsidRDefault="00531C5A">
            <w:pPr>
              <w:spacing w:after="0"/>
              <w:jc w:val="left"/>
              <w:rPr>
                <w:noProof/>
                <w:sz w:val="20"/>
              </w:rPr>
            </w:pPr>
            <w:r>
              <w:rPr>
                <w:noProof/>
                <w:sz w:val="20"/>
              </w:rPr>
              <w:t>COM(2016)683 final</w:t>
            </w:r>
            <w:r>
              <w:rPr>
                <w:noProof/>
                <w:sz w:val="20"/>
              </w:rPr>
              <w:br/>
              <w:t>2016/0336 (CNS)</w:t>
            </w:r>
            <w:r>
              <w:rPr>
                <w:noProof/>
                <w:sz w:val="20"/>
              </w:rPr>
              <w:br/>
              <w:t>26.10.2016</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COUNCIL DIRECTIVE on a Common Corporate Tax Base</w:t>
            </w:r>
          </w:p>
        </w:tc>
        <w:tc>
          <w:tcPr>
            <w:tcW w:w="2126" w:type="dxa"/>
            <w:tcMar>
              <w:top w:w="85" w:type="dxa"/>
              <w:left w:w="85" w:type="dxa"/>
              <w:bottom w:w="85" w:type="dxa"/>
            </w:tcMar>
          </w:tcPr>
          <w:p w:rsidR="00B40DA7" w:rsidRDefault="00531C5A">
            <w:pPr>
              <w:spacing w:after="0"/>
              <w:jc w:val="left"/>
              <w:rPr>
                <w:noProof/>
                <w:sz w:val="20"/>
              </w:rPr>
            </w:pPr>
            <w:r>
              <w:rPr>
                <w:noProof/>
                <w:sz w:val="20"/>
              </w:rPr>
              <w:t xml:space="preserve">COM(2016)685 </w:t>
            </w:r>
            <w:r>
              <w:rPr>
                <w:noProof/>
                <w:sz w:val="20"/>
              </w:rPr>
              <w:t>final</w:t>
            </w:r>
            <w:r>
              <w:rPr>
                <w:noProof/>
                <w:sz w:val="20"/>
              </w:rPr>
              <w:br/>
              <w:t>2016/0337 (CNS)</w:t>
            </w:r>
            <w:r>
              <w:rPr>
                <w:noProof/>
                <w:sz w:val="20"/>
              </w:rPr>
              <w:br/>
              <w:t>26.10.2016</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COUNCIL DIRECTIVE implementing enhanced cooperation in the area of financial transaction tax</w:t>
            </w:r>
          </w:p>
        </w:tc>
        <w:tc>
          <w:tcPr>
            <w:tcW w:w="2126" w:type="dxa"/>
            <w:tcMar>
              <w:top w:w="85" w:type="dxa"/>
              <w:left w:w="85" w:type="dxa"/>
              <w:bottom w:w="85" w:type="dxa"/>
            </w:tcMar>
          </w:tcPr>
          <w:p w:rsidR="00B40DA7" w:rsidRDefault="00531C5A">
            <w:pPr>
              <w:spacing w:after="0"/>
              <w:jc w:val="left"/>
              <w:rPr>
                <w:noProof/>
                <w:sz w:val="20"/>
              </w:rPr>
            </w:pPr>
            <w:r>
              <w:rPr>
                <w:noProof/>
                <w:sz w:val="20"/>
              </w:rPr>
              <w:t>COM(2013)71 final</w:t>
            </w:r>
            <w:r>
              <w:rPr>
                <w:noProof/>
                <w:sz w:val="20"/>
              </w:rPr>
              <w:br/>
              <w:t>2013/0045 (CNS)</w:t>
            </w:r>
            <w:r>
              <w:rPr>
                <w:noProof/>
                <w:sz w:val="20"/>
              </w:rPr>
              <w:br/>
              <w:t>14.02.2013</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COUNCIL DIRECTIVE amending Directive 92/83/EEC on </w:t>
            </w:r>
            <w:r>
              <w:rPr>
                <w:noProof/>
                <w:sz w:val="20"/>
              </w:rPr>
              <w:t>the harmonization of the structures of excise duties on alcohol and alcoholic beverages</w:t>
            </w:r>
          </w:p>
        </w:tc>
        <w:tc>
          <w:tcPr>
            <w:tcW w:w="2126" w:type="dxa"/>
            <w:tcMar>
              <w:top w:w="85" w:type="dxa"/>
              <w:left w:w="85" w:type="dxa"/>
              <w:bottom w:w="85" w:type="dxa"/>
            </w:tcMar>
          </w:tcPr>
          <w:p w:rsidR="00B40DA7" w:rsidRDefault="00531C5A">
            <w:pPr>
              <w:spacing w:after="0"/>
              <w:jc w:val="left"/>
              <w:rPr>
                <w:noProof/>
                <w:sz w:val="20"/>
              </w:rPr>
            </w:pPr>
            <w:r>
              <w:rPr>
                <w:noProof/>
                <w:sz w:val="20"/>
              </w:rPr>
              <w:t>COM(2018)334 final</w:t>
            </w:r>
            <w:r>
              <w:rPr>
                <w:noProof/>
                <w:sz w:val="20"/>
              </w:rPr>
              <w:br/>
              <w:t>2018/0173 (CNS)</w:t>
            </w:r>
            <w:r>
              <w:rPr>
                <w:noProof/>
                <w:sz w:val="20"/>
              </w:rPr>
              <w:br/>
              <w:t>25.05.2018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COUNCIL DIRECTIVE amending Directive 2006/112/EC as regards the introduction of the detailed technical me</w:t>
            </w:r>
            <w:r>
              <w:rPr>
                <w:noProof/>
                <w:sz w:val="20"/>
              </w:rPr>
              <w:t>asures for the operation of the definitive VAT system for the taxation of trade between Member States</w:t>
            </w:r>
          </w:p>
        </w:tc>
        <w:tc>
          <w:tcPr>
            <w:tcW w:w="2126" w:type="dxa"/>
            <w:tcMar>
              <w:top w:w="85" w:type="dxa"/>
              <w:left w:w="85" w:type="dxa"/>
              <w:bottom w:w="85" w:type="dxa"/>
            </w:tcMar>
          </w:tcPr>
          <w:p w:rsidR="00B40DA7" w:rsidRDefault="00531C5A">
            <w:pPr>
              <w:spacing w:after="0"/>
              <w:jc w:val="left"/>
              <w:rPr>
                <w:noProof/>
                <w:sz w:val="20"/>
              </w:rPr>
            </w:pPr>
            <w:r>
              <w:rPr>
                <w:noProof/>
                <w:sz w:val="20"/>
              </w:rPr>
              <w:t>COM(2018)329 final</w:t>
            </w:r>
            <w:r>
              <w:rPr>
                <w:noProof/>
                <w:sz w:val="20"/>
              </w:rPr>
              <w:br/>
              <w:t>2018/0164 (CNS)</w:t>
            </w:r>
            <w:r>
              <w:rPr>
                <w:noProof/>
                <w:sz w:val="20"/>
              </w:rPr>
              <w:br/>
              <w:t>25.05.2018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COUNCIL DIRECTIVE amending Directive 2006/112/EC as regards rates of value added tax</w:t>
            </w:r>
          </w:p>
        </w:tc>
        <w:tc>
          <w:tcPr>
            <w:tcW w:w="2126" w:type="dxa"/>
            <w:tcMar>
              <w:top w:w="85" w:type="dxa"/>
              <w:left w:w="85" w:type="dxa"/>
              <w:bottom w:w="85" w:type="dxa"/>
            </w:tcMar>
          </w:tcPr>
          <w:p w:rsidR="00B40DA7" w:rsidRDefault="00531C5A">
            <w:pPr>
              <w:spacing w:after="0"/>
              <w:jc w:val="left"/>
              <w:rPr>
                <w:noProof/>
                <w:sz w:val="20"/>
              </w:rPr>
            </w:pPr>
            <w:r>
              <w:rPr>
                <w:noProof/>
                <w:sz w:val="20"/>
              </w:rPr>
              <w:t>COM(2018)20 final</w:t>
            </w:r>
            <w:r>
              <w:rPr>
                <w:noProof/>
                <w:sz w:val="20"/>
              </w:rPr>
              <w:br/>
              <w:t>2018/0005 (CNS)</w:t>
            </w:r>
            <w:r>
              <w:rPr>
                <w:noProof/>
                <w:sz w:val="20"/>
              </w:rPr>
              <w:br/>
              <w:t>18.01.2018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COUNCIL DIRECTIVE amending Directive 1999/62/EC on the charging of heavy goods vehicles for the use of certain infrastructures, as regards certain provisions on vehicle taxation</w:t>
            </w:r>
          </w:p>
        </w:tc>
        <w:tc>
          <w:tcPr>
            <w:tcW w:w="2126" w:type="dxa"/>
            <w:tcMar>
              <w:top w:w="85" w:type="dxa"/>
              <w:left w:w="85" w:type="dxa"/>
              <w:bottom w:w="85" w:type="dxa"/>
            </w:tcMar>
          </w:tcPr>
          <w:p w:rsidR="00B40DA7" w:rsidRDefault="00531C5A">
            <w:pPr>
              <w:spacing w:after="0"/>
              <w:jc w:val="left"/>
              <w:rPr>
                <w:noProof/>
                <w:sz w:val="20"/>
              </w:rPr>
            </w:pPr>
            <w:r>
              <w:rPr>
                <w:noProof/>
                <w:sz w:val="20"/>
              </w:rPr>
              <w:t>COM(2017)276 fin</w:t>
            </w:r>
            <w:r>
              <w:rPr>
                <w:noProof/>
                <w:sz w:val="20"/>
              </w:rPr>
              <w:t>al</w:t>
            </w:r>
            <w:r>
              <w:rPr>
                <w:noProof/>
                <w:sz w:val="20"/>
              </w:rPr>
              <w:br/>
              <w:t>2017/0115 (CNS)</w:t>
            </w:r>
            <w:r>
              <w:rPr>
                <w:noProof/>
                <w:sz w:val="20"/>
              </w:rPr>
              <w:br/>
              <w:t>31.05.2017</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on the establishment of the Reform Support Programme</w:t>
            </w:r>
          </w:p>
        </w:tc>
        <w:tc>
          <w:tcPr>
            <w:tcW w:w="2126" w:type="dxa"/>
            <w:tcMar>
              <w:top w:w="85" w:type="dxa"/>
              <w:left w:w="85" w:type="dxa"/>
              <w:bottom w:w="85" w:type="dxa"/>
            </w:tcMar>
          </w:tcPr>
          <w:p w:rsidR="00B40DA7" w:rsidRDefault="00531C5A">
            <w:pPr>
              <w:spacing w:after="0"/>
              <w:jc w:val="left"/>
              <w:rPr>
                <w:noProof/>
                <w:sz w:val="20"/>
              </w:rPr>
            </w:pPr>
            <w:r>
              <w:rPr>
                <w:noProof/>
                <w:sz w:val="20"/>
              </w:rPr>
              <w:t>COM(2018)391 final</w:t>
            </w:r>
            <w:r>
              <w:rPr>
                <w:noProof/>
                <w:sz w:val="20"/>
              </w:rPr>
              <w:br/>
              <w:t>2018/0213 (COD)</w:t>
            </w:r>
            <w:r>
              <w:rPr>
                <w:noProof/>
                <w:sz w:val="20"/>
              </w:rPr>
              <w:br/>
              <w:t>31.05.2018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REGULATION OF THE EUROPEAN </w:t>
            </w:r>
            <w:r>
              <w:rPr>
                <w:noProof/>
                <w:sz w:val="20"/>
              </w:rPr>
              <w:t>PARLIAMENT AND OF THE COUNCIL on the establishment of a European Investment Stabilisation Function</w:t>
            </w:r>
          </w:p>
        </w:tc>
        <w:tc>
          <w:tcPr>
            <w:tcW w:w="2126" w:type="dxa"/>
            <w:tcMar>
              <w:top w:w="85" w:type="dxa"/>
              <w:left w:w="85" w:type="dxa"/>
              <w:bottom w:w="85" w:type="dxa"/>
            </w:tcMar>
          </w:tcPr>
          <w:p w:rsidR="00B40DA7" w:rsidRDefault="00531C5A">
            <w:pPr>
              <w:spacing w:after="0"/>
              <w:jc w:val="left"/>
              <w:rPr>
                <w:noProof/>
                <w:sz w:val="20"/>
              </w:rPr>
            </w:pPr>
            <w:r>
              <w:rPr>
                <w:noProof/>
                <w:sz w:val="20"/>
              </w:rPr>
              <w:t>COM(2018)387 final</w:t>
            </w:r>
            <w:r>
              <w:rPr>
                <w:noProof/>
                <w:sz w:val="20"/>
              </w:rPr>
              <w:br/>
              <w:t>2018/0212 (COD)</w:t>
            </w:r>
            <w:r>
              <w:rPr>
                <w:noProof/>
                <w:sz w:val="20"/>
              </w:rPr>
              <w:br/>
              <w:t>31.05.2018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DIRECTIVE OF THE EUROPEAN PARLIAMENT AND OF THE COUNCIL amending Directive 2009/103/EC of the </w:t>
            </w:r>
            <w:r>
              <w:rPr>
                <w:noProof/>
                <w:sz w:val="20"/>
              </w:rPr>
              <w:t>European Parliament and the Council of 16 September 2009 relating to insurance against civil liability in respect of the use of motor vehicles, and the enforcement of the obligation to ensure against such liability</w:t>
            </w:r>
          </w:p>
        </w:tc>
        <w:tc>
          <w:tcPr>
            <w:tcW w:w="2126" w:type="dxa"/>
            <w:tcMar>
              <w:top w:w="85" w:type="dxa"/>
              <w:left w:w="85" w:type="dxa"/>
              <w:bottom w:w="85" w:type="dxa"/>
            </w:tcMar>
          </w:tcPr>
          <w:p w:rsidR="00B40DA7" w:rsidRDefault="00531C5A">
            <w:pPr>
              <w:spacing w:after="0"/>
              <w:jc w:val="left"/>
              <w:rPr>
                <w:noProof/>
                <w:sz w:val="20"/>
              </w:rPr>
            </w:pPr>
            <w:r>
              <w:rPr>
                <w:noProof/>
                <w:sz w:val="22"/>
                <w:szCs w:val="22"/>
              </w:rPr>
              <w:t>COM(2018)336 final 2018/0168 (COD) 24.05.</w:t>
            </w:r>
            <w:r>
              <w:rPr>
                <w:noProof/>
                <w:sz w:val="22"/>
                <w:szCs w:val="22"/>
              </w:rPr>
              <w:t>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COUNCIL REGULATION laying down the multiannual financial framework for the years 2021 to 2027</w:t>
            </w:r>
          </w:p>
        </w:tc>
        <w:tc>
          <w:tcPr>
            <w:tcW w:w="2126" w:type="dxa"/>
            <w:tcMar>
              <w:top w:w="85" w:type="dxa"/>
              <w:left w:w="85" w:type="dxa"/>
              <w:bottom w:w="85" w:type="dxa"/>
            </w:tcMar>
          </w:tcPr>
          <w:p w:rsidR="00B40DA7" w:rsidRDefault="00531C5A">
            <w:pPr>
              <w:spacing w:after="0"/>
              <w:jc w:val="left"/>
              <w:rPr>
                <w:noProof/>
                <w:sz w:val="20"/>
              </w:rPr>
            </w:pPr>
            <w:r>
              <w:rPr>
                <w:noProof/>
                <w:sz w:val="20"/>
              </w:rPr>
              <w:t>COM(2018)322 final</w:t>
            </w:r>
            <w:r>
              <w:rPr>
                <w:noProof/>
                <w:sz w:val="20"/>
              </w:rPr>
              <w:br/>
              <w:t>2018/0132 (APP)</w:t>
            </w:r>
            <w:r>
              <w:rPr>
                <w:noProof/>
                <w:sz w:val="20"/>
              </w:rPr>
              <w:br/>
              <w:t>2.5.2018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COUNCIL REGULATION laying down implementing measures for the system of Own Reso</w:t>
            </w:r>
            <w:r>
              <w:rPr>
                <w:noProof/>
                <w:sz w:val="20"/>
              </w:rPr>
              <w:t>urces of the European Union</w:t>
            </w:r>
          </w:p>
        </w:tc>
        <w:tc>
          <w:tcPr>
            <w:tcW w:w="2126" w:type="dxa"/>
            <w:tcMar>
              <w:top w:w="85" w:type="dxa"/>
              <w:left w:w="85" w:type="dxa"/>
              <w:bottom w:w="85" w:type="dxa"/>
            </w:tcMar>
          </w:tcPr>
          <w:p w:rsidR="00B40DA7" w:rsidRDefault="00531C5A">
            <w:pPr>
              <w:spacing w:after="0"/>
              <w:jc w:val="left"/>
              <w:rPr>
                <w:noProof/>
                <w:sz w:val="20"/>
              </w:rPr>
            </w:pPr>
            <w:r>
              <w:rPr>
                <w:noProof/>
                <w:sz w:val="20"/>
              </w:rPr>
              <w:t>COM(2018)327 final</w:t>
            </w:r>
            <w:r>
              <w:rPr>
                <w:noProof/>
                <w:sz w:val="20"/>
              </w:rPr>
              <w:br/>
              <w:t>2018/0132 (APP)</w:t>
            </w:r>
            <w:r>
              <w:rPr>
                <w:noProof/>
                <w:sz w:val="20"/>
              </w:rPr>
              <w:br/>
              <w:t>02.05.2018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COUNCIL REGULATION amending Regulation (EEC, Euratom) No 1553/89 on the definitive uniform arrangements for the collection of own resources accruing from value added</w:t>
            </w:r>
            <w:r>
              <w:rPr>
                <w:noProof/>
                <w:sz w:val="20"/>
              </w:rPr>
              <w:t xml:space="preserve"> tax</w:t>
            </w:r>
          </w:p>
        </w:tc>
        <w:tc>
          <w:tcPr>
            <w:tcW w:w="2126" w:type="dxa"/>
            <w:tcMar>
              <w:top w:w="85" w:type="dxa"/>
              <w:left w:w="85" w:type="dxa"/>
              <w:bottom w:w="85" w:type="dxa"/>
            </w:tcMar>
          </w:tcPr>
          <w:p w:rsidR="00B40DA7" w:rsidRDefault="00531C5A">
            <w:pPr>
              <w:spacing w:after="0"/>
              <w:jc w:val="left"/>
              <w:rPr>
                <w:noProof/>
                <w:sz w:val="20"/>
              </w:rPr>
            </w:pPr>
            <w:r>
              <w:rPr>
                <w:noProof/>
                <w:sz w:val="20"/>
              </w:rPr>
              <w:t>COM(2018)328 final</w:t>
            </w:r>
            <w:r>
              <w:rPr>
                <w:noProof/>
                <w:sz w:val="20"/>
              </w:rPr>
              <w:br/>
              <w:t>2018/0133 (NLE)</w:t>
            </w:r>
            <w:r>
              <w:rPr>
                <w:noProof/>
                <w:sz w:val="20"/>
              </w:rPr>
              <w:br/>
              <w:t>03.05.2018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COUNCIL REGULATION on the methods and procedure for making available the Own Resources based on the Common Consolidated Corporate Tax Base, on the European Union Emissions Trading System a</w:t>
            </w:r>
            <w:r>
              <w:rPr>
                <w:noProof/>
                <w:sz w:val="20"/>
              </w:rPr>
              <w:t>nd on Plastic packaging waste that is not recycled, and on the measures to meet cash requirements</w:t>
            </w:r>
          </w:p>
        </w:tc>
        <w:tc>
          <w:tcPr>
            <w:tcW w:w="2126" w:type="dxa"/>
            <w:tcMar>
              <w:top w:w="85" w:type="dxa"/>
              <w:left w:w="85" w:type="dxa"/>
              <w:bottom w:w="85" w:type="dxa"/>
            </w:tcMar>
          </w:tcPr>
          <w:p w:rsidR="00B40DA7" w:rsidRDefault="00531C5A">
            <w:pPr>
              <w:spacing w:after="0"/>
              <w:jc w:val="left"/>
              <w:rPr>
                <w:noProof/>
                <w:sz w:val="20"/>
              </w:rPr>
            </w:pPr>
            <w:r>
              <w:rPr>
                <w:noProof/>
                <w:sz w:val="20"/>
              </w:rPr>
              <w:t>COM(2018)326 final</w:t>
            </w:r>
            <w:r>
              <w:rPr>
                <w:noProof/>
                <w:sz w:val="20"/>
              </w:rPr>
              <w:br/>
              <w:t>2018/0131 (NLE)</w:t>
            </w:r>
            <w:r>
              <w:rPr>
                <w:noProof/>
                <w:sz w:val="20"/>
              </w:rPr>
              <w:br/>
              <w:t>03.05.2018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COUNCIL DECISION on the system of Own Resources of the European Union</w:t>
            </w:r>
          </w:p>
        </w:tc>
        <w:tc>
          <w:tcPr>
            <w:tcW w:w="2126" w:type="dxa"/>
            <w:tcMar>
              <w:top w:w="85" w:type="dxa"/>
              <w:left w:w="85" w:type="dxa"/>
              <w:bottom w:w="85" w:type="dxa"/>
            </w:tcMar>
          </w:tcPr>
          <w:p w:rsidR="00B40DA7" w:rsidRDefault="00531C5A">
            <w:pPr>
              <w:spacing w:after="0"/>
              <w:jc w:val="left"/>
              <w:rPr>
                <w:noProof/>
                <w:sz w:val="20"/>
              </w:rPr>
            </w:pPr>
            <w:r>
              <w:rPr>
                <w:noProof/>
                <w:sz w:val="20"/>
              </w:rPr>
              <w:t>COM(2018)325 final</w:t>
            </w:r>
            <w:r>
              <w:rPr>
                <w:noProof/>
                <w:sz w:val="20"/>
              </w:rPr>
              <w:br/>
              <w:t>2018/0</w:t>
            </w:r>
            <w:r>
              <w:rPr>
                <w:noProof/>
                <w:sz w:val="20"/>
              </w:rPr>
              <w:t>135 (CNS)</w:t>
            </w:r>
            <w:r>
              <w:rPr>
                <w:noProof/>
                <w:sz w:val="20"/>
              </w:rPr>
              <w:br/>
              <w:t>03.05.2018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establishing an exchange, assistance and training programme for the protection of the euro against counterfeiting for the period 2021-2027 (the ‘Pericles IV </w:t>
            </w:r>
            <w:r>
              <w:rPr>
                <w:noProof/>
                <w:sz w:val="20"/>
              </w:rPr>
              <w:t>programme')</w:t>
            </w:r>
          </w:p>
        </w:tc>
        <w:tc>
          <w:tcPr>
            <w:tcW w:w="2126" w:type="dxa"/>
            <w:tcMar>
              <w:top w:w="85" w:type="dxa"/>
              <w:left w:w="85" w:type="dxa"/>
              <w:bottom w:w="85" w:type="dxa"/>
            </w:tcMar>
          </w:tcPr>
          <w:p w:rsidR="00B40DA7" w:rsidRDefault="00531C5A">
            <w:pPr>
              <w:spacing w:after="0"/>
              <w:jc w:val="left"/>
              <w:rPr>
                <w:noProof/>
                <w:sz w:val="20"/>
              </w:rPr>
            </w:pPr>
            <w:r>
              <w:rPr>
                <w:noProof/>
                <w:sz w:val="20"/>
              </w:rPr>
              <w:t>COM(2018)369 final</w:t>
            </w:r>
            <w:r>
              <w:rPr>
                <w:noProof/>
                <w:sz w:val="20"/>
              </w:rPr>
              <w:br/>
              <w:t>2018/0194 (COD)</w:t>
            </w:r>
            <w:r>
              <w:rPr>
                <w:noProof/>
                <w:sz w:val="20"/>
              </w:rPr>
              <w:br/>
              <w:t>31.05.2018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COUNCIL REGULATION extending to the non-participating Member States the application of Regulation (EU) No …/2018 establishing an exchange, assistance and training programme for the </w:t>
            </w:r>
            <w:r>
              <w:rPr>
                <w:noProof/>
                <w:sz w:val="20"/>
              </w:rPr>
              <w:t>protection of the euro against counterfeiting for the period 2021-2027 (the ‘Pericles IV’ programme)</w:t>
            </w:r>
          </w:p>
        </w:tc>
        <w:tc>
          <w:tcPr>
            <w:tcW w:w="2126" w:type="dxa"/>
            <w:tcMar>
              <w:top w:w="85" w:type="dxa"/>
              <w:left w:w="85" w:type="dxa"/>
              <w:bottom w:w="85" w:type="dxa"/>
            </w:tcMar>
          </w:tcPr>
          <w:p w:rsidR="00B40DA7" w:rsidRDefault="00531C5A">
            <w:pPr>
              <w:spacing w:after="0"/>
              <w:jc w:val="left"/>
              <w:rPr>
                <w:noProof/>
                <w:sz w:val="20"/>
              </w:rPr>
            </w:pPr>
            <w:r>
              <w:rPr>
                <w:noProof/>
                <w:sz w:val="20"/>
              </w:rPr>
              <w:t>COM(2018)371 final</w:t>
            </w:r>
            <w:r>
              <w:rPr>
                <w:noProof/>
                <w:sz w:val="20"/>
              </w:rPr>
              <w:br/>
              <w:t>2018/0219 (APP)</w:t>
            </w:r>
            <w:r>
              <w:rPr>
                <w:noProof/>
                <w:sz w:val="20"/>
              </w:rPr>
              <w:br/>
              <w:t>31.05.2018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on the European Social Fund Plus </w:t>
            </w:r>
            <w:r>
              <w:rPr>
                <w:noProof/>
                <w:sz w:val="20"/>
              </w:rPr>
              <w:t>(ESF+)</w:t>
            </w:r>
          </w:p>
        </w:tc>
        <w:tc>
          <w:tcPr>
            <w:tcW w:w="2126" w:type="dxa"/>
            <w:tcMar>
              <w:top w:w="85" w:type="dxa"/>
              <w:left w:w="85" w:type="dxa"/>
              <w:bottom w:w="85" w:type="dxa"/>
            </w:tcMar>
          </w:tcPr>
          <w:p w:rsidR="00B40DA7" w:rsidRDefault="00531C5A">
            <w:pPr>
              <w:spacing w:after="0"/>
              <w:jc w:val="left"/>
              <w:rPr>
                <w:noProof/>
                <w:sz w:val="20"/>
              </w:rPr>
            </w:pPr>
            <w:r>
              <w:rPr>
                <w:noProof/>
                <w:sz w:val="20"/>
              </w:rPr>
              <w:t>COM(2018)382 final</w:t>
            </w:r>
            <w:r>
              <w:rPr>
                <w:noProof/>
                <w:sz w:val="20"/>
              </w:rPr>
              <w:br/>
              <w:t>2018/0206 (COD)</w:t>
            </w:r>
            <w:r>
              <w:rPr>
                <w:noProof/>
                <w:sz w:val="20"/>
              </w:rPr>
              <w:br/>
              <w:t>30.05.2018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on the European Globalisation Adjustment Fund (EGF)</w:t>
            </w:r>
          </w:p>
        </w:tc>
        <w:tc>
          <w:tcPr>
            <w:tcW w:w="2126" w:type="dxa"/>
            <w:tcMar>
              <w:top w:w="85" w:type="dxa"/>
              <w:left w:w="85" w:type="dxa"/>
              <w:bottom w:w="85" w:type="dxa"/>
            </w:tcMar>
          </w:tcPr>
          <w:p w:rsidR="00B40DA7" w:rsidRDefault="00531C5A">
            <w:pPr>
              <w:spacing w:after="0"/>
              <w:jc w:val="left"/>
              <w:rPr>
                <w:noProof/>
                <w:sz w:val="20"/>
              </w:rPr>
            </w:pPr>
            <w:r>
              <w:rPr>
                <w:noProof/>
                <w:sz w:val="20"/>
              </w:rPr>
              <w:t>COM(2018)380 final</w:t>
            </w:r>
            <w:r>
              <w:rPr>
                <w:noProof/>
                <w:sz w:val="20"/>
              </w:rPr>
              <w:br/>
              <w:t>2018/0202 (COD)</w:t>
            </w:r>
            <w:r>
              <w:rPr>
                <w:noProof/>
                <w:sz w:val="20"/>
              </w:rPr>
              <w:br/>
              <w:t>30.05.2018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REGULATION OF </w:t>
            </w:r>
            <w:r>
              <w:rPr>
                <w:noProof/>
                <w:sz w:val="20"/>
              </w:rPr>
              <w:t>THE EUROPEAN PARLIAMENT AND OF THE COUNCIL establishing the 'Customs' programme for cooperation in the field of customs</w:t>
            </w:r>
          </w:p>
        </w:tc>
        <w:tc>
          <w:tcPr>
            <w:tcW w:w="2126" w:type="dxa"/>
            <w:tcMar>
              <w:top w:w="85" w:type="dxa"/>
              <w:left w:w="85" w:type="dxa"/>
              <w:bottom w:w="85" w:type="dxa"/>
            </w:tcMar>
          </w:tcPr>
          <w:p w:rsidR="00B40DA7" w:rsidRDefault="00531C5A">
            <w:pPr>
              <w:spacing w:after="0"/>
              <w:jc w:val="left"/>
              <w:rPr>
                <w:noProof/>
                <w:sz w:val="20"/>
              </w:rPr>
            </w:pPr>
            <w:r>
              <w:rPr>
                <w:noProof/>
                <w:sz w:val="20"/>
              </w:rPr>
              <w:t>COM(2018)442 final</w:t>
            </w:r>
            <w:r>
              <w:rPr>
                <w:noProof/>
                <w:sz w:val="20"/>
              </w:rPr>
              <w:br/>
              <w:t>2018/0232 (COD)</w:t>
            </w:r>
            <w:r>
              <w:rPr>
                <w:noProof/>
                <w:sz w:val="20"/>
              </w:rPr>
              <w:br/>
              <w:t>08.06.2018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the</w:t>
            </w:r>
            <w:r>
              <w:rPr>
                <w:noProof/>
                <w:sz w:val="20"/>
              </w:rPr>
              <w:t xml:space="preserve"> 'Fiscalis' programme for cooperation in the field of taxation</w:t>
            </w:r>
          </w:p>
        </w:tc>
        <w:tc>
          <w:tcPr>
            <w:tcW w:w="2126" w:type="dxa"/>
            <w:tcMar>
              <w:top w:w="85" w:type="dxa"/>
              <w:left w:w="85" w:type="dxa"/>
              <w:bottom w:w="85" w:type="dxa"/>
            </w:tcMar>
          </w:tcPr>
          <w:p w:rsidR="00B40DA7" w:rsidRDefault="00531C5A">
            <w:pPr>
              <w:spacing w:after="0"/>
              <w:jc w:val="left"/>
              <w:rPr>
                <w:noProof/>
                <w:sz w:val="20"/>
              </w:rPr>
            </w:pPr>
            <w:r>
              <w:rPr>
                <w:noProof/>
                <w:sz w:val="20"/>
              </w:rPr>
              <w:t>COM(2018)443 final</w:t>
            </w:r>
            <w:r>
              <w:rPr>
                <w:noProof/>
                <w:sz w:val="20"/>
              </w:rPr>
              <w:br/>
              <w:t>2018/0233 (COD)</w:t>
            </w:r>
            <w:r>
              <w:rPr>
                <w:noProof/>
                <w:sz w:val="20"/>
              </w:rPr>
              <w:br/>
              <w:t>08.06.2018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as part of the Integrated Border Management Fund, the instr</w:t>
            </w:r>
            <w:r>
              <w:rPr>
                <w:noProof/>
                <w:sz w:val="20"/>
              </w:rPr>
              <w:t>ument for financial support for customs control equipment</w:t>
            </w:r>
          </w:p>
        </w:tc>
        <w:tc>
          <w:tcPr>
            <w:tcW w:w="2126" w:type="dxa"/>
            <w:tcMar>
              <w:top w:w="85" w:type="dxa"/>
              <w:left w:w="85" w:type="dxa"/>
              <w:bottom w:w="85" w:type="dxa"/>
            </w:tcMar>
          </w:tcPr>
          <w:p w:rsidR="00B40DA7" w:rsidRDefault="00531C5A">
            <w:pPr>
              <w:spacing w:after="0"/>
              <w:jc w:val="left"/>
              <w:rPr>
                <w:noProof/>
                <w:sz w:val="20"/>
              </w:rPr>
            </w:pPr>
            <w:r>
              <w:rPr>
                <w:noProof/>
                <w:sz w:val="20"/>
              </w:rPr>
              <w:t>COM(2018)474 final</w:t>
            </w:r>
            <w:r>
              <w:rPr>
                <w:noProof/>
                <w:sz w:val="20"/>
              </w:rPr>
              <w:br/>
              <w:t>2018/0258 (COD)</w:t>
            </w:r>
            <w:r>
              <w:rPr>
                <w:noProof/>
                <w:sz w:val="20"/>
              </w:rPr>
              <w:br/>
              <w:t>13.06.2018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 Proposal for a REGULATION OF THE EUROPEAN PARLIAMENT AND OF THE COUNCIL laying down common provisions on the European Regional Development Fund, the </w:t>
            </w:r>
            <w:r>
              <w:rPr>
                <w:noProof/>
                <w:sz w:val="20"/>
              </w:rPr>
              <w:t>European Social Fund Plus, the Cohesion Fund, and the European Maritime and Fisheries Fund and financial rules for those and for the Asylum and Migration Fund, the Internal Security Fund and the Border Management and Visa Instrument</w:t>
            </w:r>
          </w:p>
        </w:tc>
        <w:tc>
          <w:tcPr>
            <w:tcW w:w="2126" w:type="dxa"/>
            <w:tcMar>
              <w:top w:w="85" w:type="dxa"/>
              <w:left w:w="85" w:type="dxa"/>
              <w:bottom w:w="85" w:type="dxa"/>
            </w:tcMar>
          </w:tcPr>
          <w:p w:rsidR="00B40DA7" w:rsidRDefault="00531C5A">
            <w:pPr>
              <w:spacing w:after="0"/>
              <w:jc w:val="left"/>
              <w:rPr>
                <w:noProof/>
                <w:sz w:val="20"/>
              </w:rPr>
            </w:pPr>
            <w:r>
              <w:rPr>
                <w:noProof/>
                <w:sz w:val="20"/>
              </w:rPr>
              <w:t>COM(2018)375 final</w:t>
            </w:r>
            <w:r>
              <w:rPr>
                <w:noProof/>
                <w:sz w:val="20"/>
              </w:rPr>
              <w:br/>
              <w:t>2018</w:t>
            </w:r>
            <w:r>
              <w:rPr>
                <w:noProof/>
                <w:sz w:val="20"/>
              </w:rPr>
              <w:t>/0196 (COD)</w:t>
            </w:r>
            <w:r>
              <w:rPr>
                <w:noProof/>
                <w:sz w:val="20"/>
              </w:rPr>
              <w:br/>
              <w:t>29.05.2018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on the European Regional Development Fund and on the Cohesion Fund</w:t>
            </w:r>
          </w:p>
        </w:tc>
        <w:tc>
          <w:tcPr>
            <w:tcW w:w="2126" w:type="dxa"/>
            <w:tcMar>
              <w:top w:w="85" w:type="dxa"/>
              <w:left w:w="85" w:type="dxa"/>
              <w:bottom w:w="85" w:type="dxa"/>
            </w:tcMar>
          </w:tcPr>
          <w:p w:rsidR="00B40DA7" w:rsidRDefault="00531C5A">
            <w:pPr>
              <w:spacing w:after="0"/>
              <w:jc w:val="left"/>
              <w:rPr>
                <w:noProof/>
                <w:sz w:val="20"/>
              </w:rPr>
            </w:pPr>
            <w:r>
              <w:rPr>
                <w:noProof/>
                <w:sz w:val="20"/>
              </w:rPr>
              <w:t>COM(2018)372 final</w:t>
            </w:r>
            <w:r>
              <w:rPr>
                <w:noProof/>
                <w:sz w:val="20"/>
              </w:rPr>
              <w:br/>
              <w:t>2018/0197 (COD)</w:t>
            </w:r>
            <w:r>
              <w:rPr>
                <w:noProof/>
                <w:sz w:val="20"/>
              </w:rPr>
              <w:br/>
              <w:t>29.05.2018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REGULATION OF THE EUROPEAN </w:t>
            </w:r>
            <w:r>
              <w:rPr>
                <w:noProof/>
                <w:sz w:val="20"/>
              </w:rPr>
              <w:t>PARLIAMENT AND OF THE COUNCIL on a mechanism to resolve legal and administrative obstacles in a cross-border context</w:t>
            </w:r>
          </w:p>
        </w:tc>
        <w:tc>
          <w:tcPr>
            <w:tcW w:w="2126" w:type="dxa"/>
            <w:tcMar>
              <w:top w:w="85" w:type="dxa"/>
              <w:left w:w="85" w:type="dxa"/>
              <w:bottom w:w="85" w:type="dxa"/>
            </w:tcMar>
          </w:tcPr>
          <w:p w:rsidR="00B40DA7" w:rsidRDefault="00531C5A">
            <w:pPr>
              <w:spacing w:after="0"/>
              <w:jc w:val="left"/>
              <w:rPr>
                <w:noProof/>
                <w:sz w:val="20"/>
              </w:rPr>
            </w:pPr>
            <w:r>
              <w:rPr>
                <w:noProof/>
                <w:sz w:val="20"/>
              </w:rPr>
              <w:t>COM(2018)373 final</w:t>
            </w:r>
            <w:r>
              <w:rPr>
                <w:noProof/>
                <w:sz w:val="20"/>
              </w:rPr>
              <w:br/>
              <w:t>2018/0198 (COD)</w:t>
            </w:r>
            <w:r>
              <w:rPr>
                <w:noProof/>
                <w:sz w:val="20"/>
              </w:rPr>
              <w:br/>
              <w:t>29.05.2018</w:t>
            </w:r>
          </w:p>
        </w:tc>
      </w:tr>
      <w:tr w:rsidR="00B40DA7">
        <w:trPr>
          <w:cantSplit/>
        </w:trPr>
        <w:tc>
          <w:tcPr>
            <w:tcW w:w="652" w:type="dxa"/>
            <w:tcBorders>
              <w:bottom w:val="single" w:sz="4" w:space="0" w:color="auto"/>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on specific provisi</w:t>
            </w:r>
            <w:r>
              <w:rPr>
                <w:noProof/>
                <w:sz w:val="20"/>
              </w:rPr>
              <w:t>ons for the European territorial cooperation goal (Interreg) supported by the European Regional Development Fund and external financing instruments</w:t>
            </w:r>
          </w:p>
        </w:tc>
        <w:tc>
          <w:tcPr>
            <w:tcW w:w="2126" w:type="dxa"/>
            <w:tcBorders>
              <w:bottom w:val="single" w:sz="4" w:space="0" w:color="auto"/>
            </w:tcBorders>
            <w:tcMar>
              <w:top w:w="85" w:type="dxa"/>
              <w:left w:w="85" w:type="dxa"/>
              <w:bottom w:w="85" w:type="dxa"/>
            </w:tcMar>
          </w:tcPr>
          <w:p w:rsidR="00B40DA7" w:rsidRDefault="00531C5A">
            <w:pPr>
              <w:spacing w:after="0"/>
              <w:jc w:val="left"/>
              <w:rPr>
                <w:noProof/>
                <w:sz w:val="20"/>
              </w:rPr>
            </w:pPr>
            <w:r>
              <w:rPr>
                <w:noProof/>
                <w:sz w:val="20"/>
              </w:rPr>
              <w:t>COM(2018)374 final</w:t>
            </w:r>
            <w:r>
              <w:rPr>
                <w:noProof/>
                <w:sz w:val="20"/>
              </w:rPr>
              <w:br/>
              <w:t>2018/0199 (COD)</w:t>
            </w:r>
            <w:r>
              <w:rPr>
                <w:noProof/>
                <w:sz w:val="20"/>
              </w:rPr>
              <w:br/>
              <w:t>29.05.2018</w:t>
            </w:r>
          </w:p>
        </w:tc>
      </w:tr>
      <w:tr w:rsidR="00B40DA7">
        <w:trPr>
          <w:cantSplit/>
        </w:trPr>
        <w:tc>
          <w:tcPr>
            <w:tcW w:w="652" w:type="dxa"/>
            <w:tcBorders>
              <w:bottom w:val="single" w:sz="4" w:space="0" w:color="auto"/>
              <w:right w:val="nil"/>
            </w:tcBorders>
            <w:shd w:val="clear" w:color="auto" w:fill="auto"/>
            <w:tcMar>
              <w:top w:w="85" w:type="dxa"/>
              <w:left w:w="85" w:type="dxa"/>
              <w:bottom w:w="85" w:type="dxa"/>
              <w:right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w:t>
            </w:r>
            <w:r>
              <w:rPr>
                <w:noProof/>
                <w:sz w:val="20"/>
              </w:rPr>
              <w:t>THE COUNCIL amending Regulation (EU) No 1303/2013 as regards the adjustment of annual pre-financing for the years 2021 to 2023</w:t>
            </w:r>
          </w:p>
        </w:tc>
        <w:tc>
          <w:tcPr>
            <w:tcW w:w="2126" w:type="dxa"/>
            <w:tcBorders>
              <w:bottom w:val="single" w:sz="4" w:space="0" w:color="auto"/>
            </w:tcBorders>
            <w:tcMar>
              <w:top w:w="85" w:type="dxa"/>
              <w:left w:w="85" w:type="dxa"/>
              <w:bottom w:w="85" w:type="dxa"/>
            </w:tcMar>
          </w:tcPr>
          <w:p w:rsidR="00B40DA7" w:rsidRDefault="00531C5A">
            <w:pPr>
              <w:spacing w:after="0"/>
              <w:jc w:val="left"/>
              <w:rPr>
                <w:noProof/>
                <w:sz w:val="20"/>
              </w:rPr>
            </w:pPr>
            <w:r>
              <w:rPr>
                <w:noProof/>
                <w:sz w:val="20"/>
              </w:rPr>
              <w:t>COM(2018)614 final</w:t>
            </w:r>
            <w:r>
              <w:rPr>
                <w:noProof/>
                <w:sz w:val="20"/>
              </w:rPr>
              <w:br/>
              <w:t>2018/0322 (COD)</w:t>
            </w:r>
            <w:r>
              <w:rPr>
                <w:noProof/>
                <w:sz w:val="20"/>
              </w:rPr>
              <w:br/>
              <w:t>07.09.2018</w:t>
            </w:r>
          </w:p>
        </w:tc>
      </w:tr>
      <w:tr w:rsidR="00B40DA7">
        <w:trPr>
          <w:cantSplit/>
        </w:trPr>
        <w:tc>
          <w:tcPr>
            <w:tcW w:w="14850" w:type="dxa"/>
            <w:gridSpan w:val="3"/>
            <w:shd w:val="clear" w:color="auto" w:fill="585EAA" w:themeFill="accent4"/>
            <w:tcMar>
              <w:top w:w="85" w:type="dxa"/>
              <w:left w:w="85" w:type="dxa"/>
              <w:bottom w:w="85" w:type="dxa"/>
              <w:right w:w="85" w:type="dxa"/>
            </w:tcMar>
          </w:tcPr>
          <w:p w:rsidR="00B40DA7" w:rsidRDefault="00531C5A">
            <w:pPr>
              <w:keepNext/>
              <w:spacing w:before="60" w:after="60"/>
              <w:rPr>
                <w:noProof/>
                <w:sz w:val="20"/>
              </w:rPr>
            </w:pPr>
            <w:r>
              <w:rPr>
                <w:b/>
                <w:bCs/>
                <w:noProof/>
                <w:color w:val="FFFFFF" w:themeColor="background1"/>
                <w:sz w:val="20"/>
              </w:rPr>
              <w:t>A Stronger Europe in the World</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setting up a Union regime for the control of exports, transfer, brokering, technical assistance and transit of dual-use items (recast) </w:t>
            </w:r>
          </w:p>
        </w:tc>
        <w:tc>
          <w:tcPr>
            <w:tcW w:w="2126" w:type="dxa"/>
            <w:tcMar>
              <w:top w:w="85" w:type="dxa"/>
              <w:left w:w="85" w:type="dxa"/>
              <w:bottom w:w="85" w:type="dxa"/>
            </w:tcMar>
          </w:tcPr>
          <w:p w:rsidR="00B40DA7" w:rsidRDefault="00531C5A">
            <w:pPr>
              <w:spacing w:after="0"/>
              <w:jc w:val="left"/>
              <w:rPr>
                <w:noProof/>
                <w:sz w:val="20"/>
              </w:rPr>
            </w:pPr>
            <w:r>
              <w:rPr>
                <w:noProof/>
                <w:sz w:val="20"/>
              </w:rPr>
              <w:t>COM(2016)616 final</w:t>
            </w:r>
            <w:r>
              <w:rPr>
                <w:noProof/>
                <w:sz w:val="20"/>
              </w:rPr>
              <w:br/>
              <w:t>2016/0295 (COD)</w:t>
            </w:r>
            <w:r>
              <w:rPr>
                <w:noProof/>
                <w:sz w:val="20"/>
              </w:rPr>
              <w:br/>
              <w:t>28.09.2016</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on the access of third-country goods and services to the Union’s internal market in public procurement and procedures supporting negotiations on access of Union goods and services to t</w:t>
            </w:r>
            <w:r>
              <w:rPr>
                <w:noProof/>
                <w:sz w:val="20"/>
              </w:rPr>
              <w:t>he public procurement markets of third countries</w:t>
            </w:r>
          </w:p>
        </w:tc>
        <w:tc>
          <w:tcPr>
            <w:tcW w:w="2126" w:type="dxa"/>
            <w:tcMar>
              <w:top w:w="85" w:type="dxa"/>
              <w:left w:w="85" w:type="dxa"/>
              <w:bottom w:w="85" w:type="dxa"/>
            </w:tcMar>
          </w:tcPr>
          <w:p w:rsidR="00B40DA7" w:rsidRDefault="00531C5A">
            <w:pPr>
              <w:spacing w:after="0"/>
              <w:jc w:val="left"/>
              <w:rPr>
                <w:noProof/>
                <w:sz w:val="20"/>
              </w:rPr>
            </w:pPr>
            <w:r>
              <w:rPr>
                <w:noProof/>
                <w:sz w:val="20"/>
              </w:rPr>
              <w:t>COM(2012)124 final</w:t>
            </w:r>
            <w:r>
              <w:rPr>
                <w:noProof/>
                <w:sz w:val="20"/>
              </w:rPr>
              <w:br/>
              <w:t>2012/0060 (COD)</w:t>
            </w:r>
            <w:r>
              <w:rPr>
                <w:noProof/>
                <w:sz w:val="20"/>
              </w:rPr>
              <w:br/>
              <w:t>21.03.2012</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amending Regulation (EU) No 654/2014 of the European Parliament and of the Council </w:t>
            </w:r>
            <w:r>
              <w:rPr>
                <w:noProof/>
                <w:sz w:val="20"/>
              </w:rPr>
              <w:t>concerning the exercise of the Union's rights for the application and enforcement of international trade rules</w:t>
            </w:r>
          </w:p>
        </w:tc>
        <w:tc>
          <w:tcPr>
            <w:tcW w:w="2126" w:type="dxa"/>
            <w:tcMar>
              <w:top w:w="85" w:type="dxa"/>
              <w:left w:w="85" w:type="dxa"/>
              <w:bottom w:w="85" w:type="dxa"/>
            </w:tcMar>
          </w:tcPr>
          <w:p w:rsidR="00B40DA7" w:rsidRDefault="00531C5A">
            <w:pPr>
              <w:spacing w:after="0"/>
              <w:jc w:val="left"/>
              <w:rPr>
                <w:noProof/>
                <w:sz w:val="20"/>
              </w:rPr>
            </w:pPr>
            <w:r>
              <w:rPr>
                <w:noProof/>
                <w:sz w:val="20"/>
              </w:rPr>
              <w:t>COM(2019)623 final</w:t>
            </w:r>
            <w:r>
              <w:rPr>
                <w:noProof/>
                <w:sz w:val="20"/>
              </w:rPr>
              <w:br/>
              <w:t>2019/0273 (COD)</w:t>
            </w:r>
            <w:r>
              <w:rPr>
                <w:noProof/>
                <w:sz w:val="20"/>
              </w:rPr>
              <w:br/>
              <w:t>12.12.2019</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of the High Representative of the Union for Foreign Affairs and Security Policy, with </w:t>
            </w:r>
            <w:r>
              <w:rPr>
                <w:noProof/>
                <w:sz w:val="20"/>
              </w:rPr>
              <w:t>the support of the Commission, to the Council for a Council Decision establishing a European Peace Facility</w:t>
            </w:r>
          </w:p>
        </w:tc>
        <w:tc>
          <w:tcPr>
            <w:tcW w:w="2126" w:type="dxa"/>
            <w:tcMar>
              <w:top w:w="85" w:type="dxa"/>
              <w:left w:w="85" w:type="dxa"/>
              <w:bottom w:w="85" w:type="dxa"/>
            </w:tcMar>
          </w:tcPr>
          <w:p w:rsidR="00B40DA7" w:rsidRDefault="00531C5A">
            <w:pPr>
              <w:spacing w:after="0"/>
              <w:jc w:val="left"/>
              <w:rPr>
                <w:noProof/>
                <w:sz w:val="20"/>
              </w:rPr>
            </w:pPr>
            <w:r>
              <w:rPr>
                <w:noProof/>
                <w:sz w:val="20"/>
              </w:rPr>
              <w:t>9736/18</w:t>
            </w:r>
            <w:r>
              <w:rPr>
                <w:noProof/>
                <w:sz w:val="20"/>
              </w:rPr>
              <w:br/>
              <w:t>13.06.2018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establishing the Instrument for Pre-accession </w:t>
            </w:r>
            <w:r>
              <w:rPr>
                <w:noProof/>
                <w:sz w:val="20"/>
              </w:rPr>
              <w:t>Assistance (IPA III)</w:t>
            </w:r>
          </w:p>
        </w:tc>
        <w:tc>
          <w:tcPr>
            <w:tcW w:w="2126" w:type="dxa"/>
            <w:tcMar>
              <w:top w:w="85" w:type="dxa"/>
              <w:left w:w="85" w:type="dxa"/>
              <w:bottom w:w="85" w:type="dxa"/>
            </w:tcMar>
          </w:tcPr>
          <w:p w:rsidR="00B40DA7" w:rsidRDefault="00531C5A">
            <w:pPr>
              <w:spacing w:after="0"/>
              <w:jc w:val="left"/>
              <w:rPr>
                <w:noProof/>
                <w:sz w:val="20"/>
              </w:rPr>
            </w:pPr>
            <w:r>
              <w:rPr>
                <w:noProof/>
                <w:sz w:val="20"/>
              </w:rPr>
              <w:t>COM(2018)465 final</w:t>
            </w:r>
            <w:r>
              <w:rPr>
                <w:noProof/>
                <w:sz w:val="20"/>
              </w:rPr>
              <w:br/>
              <w:t>2018/0247 (COD)</w:t>
            </w:r>
            <w:r>
              <w:rPr>
                <w:noProof/>
                <w:sz w:val="20"/>
              </w:rPr>
              <w:br/>
              <w:t>14.06.2018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the Neighbourhood, Development and International Cooperation Instrument</w:t>
            </w:r>
          </w:p>
        </w:tc>
        <w:tc>
          <w:tcPr>
            <w:tcW w:w="2126" w:type="dxa"/>
            <w:tcMar>
              <w:top w:w="85" w:type="dxa"/>
              <w:left w:w="85" w:type="dxa"/>
              <w:bottom w:w="85" w:type="dxa"/>
            </w:tcMar>
          </w:tcPr>
          <w:p w:rsidR="00B40DA7" w:rsidRDefault="00531C5A">
            <w:pPr>
              <w:spacing w:after="0"/>
              <w:jc w:val="left"/>
              <w:rPr>
                <w:noProof/>
                <w:sz w:val="20"/>
              </w:rPr>
            </w:pPr>
            <w:r>
              <w:rPr>
                <w:noProof/>
                <w:sz w:val="20"/>
              </w:rPr>
              <w:t>COM(2018)460 final</w:t>
            </w:r>
            <w:r>
              <w:rPr>
                <w:noProof/>
                <w:sz w:val="20"/>
              </w:rPr>
              <w:br/>
              <w:t>2018/0243 (</w:t>
            </w:r>
            <w:r>
              <w:rPr>
                <w:noProof/>
                <w:sz w:val="20"/>
              </w:rPr>
              <w:t>COD)</w:t>
            </w:r>
            <w:r>
              <w:rPr>
                <w:noProof/>
                <w:sz w:val="20"/>
              </w:rPr>
              <w:br/>
              <w:t>14.06.2018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COUNCIL DECISION on the Association of the Overseas Countries and Territories with the European Union including relations between the European Union on the one hand, and Greenland and the Kingdom of Denmark on the other ('O</w:t>
            </w:r>
            <w:r>
              <w:rPr>
                <w:noProof/>
                <w:sz w:val="20"/>
              </w:rPr>
              <w:t>verseas Association Decision')</w:t>
            </w:r>
          </w:p>
        </w:tc>
        <w:tc>
          <w:tcPr>
            <w:tcW w:w="2126" w:type="dxa"/>
            <w:tcMar>
              <w:top w:w="85" w:type="dxa"/>
              <w:left w:w="85" w:type="dxa"/>
              <w:bottom w:w="85" w:type="dxa"/>
            </w:tcMar>
          </w:tcPr>
          <w:p w:rsidR="00B40DA7" w:rsidRDefault="00531C5A">
            <w:pPr>
              <w:spacing w:after="0"/>
              <w:jc w:val="left"/>
              <w:rPr>
                <w:noProof/>
                <w:sz w:val="20"/>
              </w:rPr>
            </w:pPr>
            <w:r>
              <w:rPr>
                <w:noProof/>
                <w:sz w:val="20"/>
              </w:rPr>
              <w:t>COM(2018)461 final</w:t>
            </w:r>
            <w:r>
              <w:rPr>
                <w:noProof/>
                <w:sz w:val="20"/>
              </w:rPr>
              <w:br/>
              <w:t>2018/0244 (CNS)</w:t>
            </w:r>
            <w:r>
              <w:rPr>
                <w:noProof/>
                <w:sz w:val="20"/>
              </w:rPr>
              <w:br/>
              <w:t>14.06.2018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COUNCIL REGULATION establishing a European Instrument for Nuclear Safety complementing the Neighbourhood, Development and International Cooperation Instrument on </w:t>
            </w:r>
            <w:r>
              <w:rPr>
                <w:noProof/>
                <w:sz w:val="20"/>
              </w:rPr>
              <w:t>the basis of the Euratom Treaty</w:t>
            </w:r>
          </w:p>
        </w:tc>
        <w:tc>
          <w:tcPr>
            <w:tcW w:w="2126" w:type="dxa"/>
            <w:tcMar>
              <w:top w:w="85" w:type="dxa"/>
              <w:left w:w="85" w:type="dxa"/>
              <w:bottom w:w="85" w:type="dxa"/>
            </w:tcMar>
          </w:tcPr>
          <w:p w:rsidR="00B40DA7" w:rsidRDefault="00531C5A">
            <w:pPr>
              <w:spacing w:after="0"/>
              <w:jc w:val="left"/>
              <w:rPr>
                <w:noProof/>
                <w:sz w:val="20"/>
              </w:rPr>
            </w:pPr>
            <w:r>
              <w:rPr>
                <w:noProof/>
                <w:sz w:val="20"/>
              </w:rPr>
              <w:t>COM(2018)462 final</w:t>
            </w:r>
            <w:r>
              <w:rPr>
                <w:noProof/>
                <w:sz w:val="20"/>
              </w:rPr>
              <w:br/>
              <w:t>2018/0245 (NLE)</w:t>
            </w:r>
            <w:r>
              <w:rPr>
                <w:noProof/>
                <w:sz w:val="20"/>
              </w:rPr>
              <w:br/>
              <w:t>14.06.2018</w:t>
            </w:r>
          </w:p>
        </w:tc>
      </w:tr>
      <w:tr w:rsidR="00B40DA7">
        <w:trPr>
          <w:cantSplit/>
        </w:trPr>
        <w:tc>
          <w:tcPr>
            <w:tcW w:w="652" w:type="dxa"/>
            <w:tcBorders>
              <w:bottom w:val="single" w:sz="4" w:space="0" w:color="auto"/>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color w:val="FFFFFF" w:themeColor="background1"/>
                <w:sz w:val="20"/>
              </w:rPr>
            </w:pPr>
          </w:p>
        </w:tc>
        <w:tc>
          <w:tcPr>
            <w:tcW w:w="12072" w:type="dxa"/>
            <w:tcBorders>
              <w:bottom w:val="single" w:sz="4" w:space="0" w:color="auto"/>
            </w:tcBorders>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DECISION OF THE EUROPEAN PARLIAMENT AND OF THE COUNCIL amending Decision No 1313/2013/EU of the European Parliament and of the Council on a Union Civil Protectio</w:t>
            </w:r>
            <w:r>
              <w:rPr>
                <w:noProof/>
                <w:sz w:val="20"/>
              </w:rPr>
              <w:t>n Mechanism</w:t>
            </w:r>
          </w:p>
        </w:tc>
        <w:tc>
          <w:tcPr>
            <w:tcW w:w="2126" w:type="dxa"/>
            <w:tcBorders>
              <w:bottom w:val="single" w:sz="4" w:space="0" w:color="auto"/>
            </w:tcBorders>
            <w:tcMar>
              <w:top w:w="85" w:type="dxa"/>
              <w:left w:w="85" w:type="dxa"/>
              <w:bottom w:w="85" w:type="dxa"/>
            </w:tcMar>
          </w:tcPr>
          <w:p w:rsidR="00B40DA7" w:rsidRDefault="00531C5A">
            <w:pPr>
              <w:spacing w:after="0"/>
              <w:jc w:val="left"/>
              <w:rPr>
                <w:noProof/>
                <w:sz w:val="20"/>
              </w:rPr>
            </w:pPr>
            <w:r>
              <w:rPr>
                <w:noProof/>
                <w:sz w:val="20"/>
              </w:rPr>
              <w:t>COM(2019)125 final</w:t>
            </w:r>
            <w:r>
              <w:rPr>
                <w:noProof/>
                <w:sz w:val="20"/>
              </w:rPr>
              <w:br/>
              <w:t>2019/0070 (COD)</w:t>
            </w:r>
            <w:r>
              <w:rPr>
                <w:noProof/>
                <w:sz w:val="20"/>
              </w:rPr>
              <w:br/>
              <w:t>07.03.2019</w:t>
            </w:r>
          </w:p>
        </w:tc>
      </w:tr>
      <w:tr w:rsidR="00B40DA7">
        <w:trPr>
          <w:cantSplit/>
        </w:trPr>
        <w:tc>
          <w:tcPr>
            <w:tcW w:w="14850" w:type="dxa"/>
            <w:gridSpan w:val="3"/>
            <w:shd w:val="clear" w:color="auto" w:fill="DA5C57" w:themeFill="accent6"/>
            <w:tcMar>
              <w:top w:w="85" w:type="dxa"/>
              <w:left w:w="85" w:type="dxa"/>
              <w:bottom w:w="85" w:type="dxa"/>
              <w:right w:w="85" w:type="dxa"/>
            </w:tcMar>
          </w:tcPr>
          <w:p w:rsidR="00B40DA7" w:rsidRDefault="00531C5A">
            <w:pPr>
              <w:spacing w:before="60" w:after="60"/>
              <w:rPr>
                <w:noProof/>
                <w:color w:val="FFFFFF" w:themeColor="background1"/>
                <w:sz w:val="20"/>
              </w:rPr>
            </w:pPr>
            <w:r>
              <w:rPr>
                <w:b/>
                <w:bCs/>
                <w:noProof/>
                <w:color w:val="FFFFFF" w:themeColor="background1"/>
                <w:sz w:val="20"/>
              </w:rPr>
              <w:t>Promoting our European Way of Life</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amending Regulation (EU, Euratom) No 883/2013 concerning investigations conducted by the</w:t>
            </w:r>
            <w:r>
              <w:rPr>
                <w:noProof/>
                <w:sz w:val="20"/>
              </w:rPr>
              <w:t xml:space="preserve"> European Anti-Fraud Office (OLAF) as regards cooperation with the European Public Prosecutor's Office and the effectiveness of OLAF investigations</w:t>
            </w:r>
            <w:r>
              <w:rPr>
                <w:b/>
                <w:bCs/>
                <w:noProof/>
                <w:sz w:val="20"/>
              </w:rPr>
              <w:t xml:space="preserve"> </w:t>
            </w:r>
          </w:p>
        </w:tc>
        <w:tc>
          <w:tcPr>
            <w:tcW w:w="2126" w:type="dxa"/>
            <w:tcMar>
              <w:top w:w="85" w:type="dxa"/>
              <w:left w:w="85" w:type="dxa"/>
              <w:bottom w:w="85" w:type="dxa"/>
            </w:tcMar>
          </w:tcPr>
          <w:p w:rsidR="00B40DA7" w:rsidRDefault="00531C5A">
            <w:pPr>
              <w:spacing w:after="0"/>
              <w:jc w:val="left"/>
              <w:rPr>
                <w:noProof/>
                <w:sz w:val="20"/>
              </w:rPr>
            </w:pPr>
            <w:r>
              <w:rPr>
                <w:noProof/>
                <w:sz w:val="20"/>
              </w:rPr>
              <w:t>COM(2018)338 final</w:t>
            </w:r>
            <w:r>
              <w:rPr>
                <w:noProof/>
                <w:sz w:val="20"/>
              </w:rPr>
              <w:br/>
              <w:t>2018/0170 (COD)</w:t>
            </w:r>
            <w:r>
              <w:rPr>
                <w:noProof/>
                <w:sz w:val="20"/>
              </w:rPr>
              <w:br/>
              <w:t>24.05.2018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w:t>
            </w:r>
            <w:r>
              <w:rPr>
                <w:noProof/>
                <w:sz w:val="20"/>
              </w:rPr>
              <w:t xml:space="preserve"> THE COUNCIL amending Regulation (EU, Euratom) No 883/2013 as regards the establishment of a Controller of procedural guarantees</w:t>
            </w:r>
          </w:p>
        </w:tc>
        <w:tc>
          <w:tcPr>
            <w:tcW w:w="2126" w:type="dxa"/>
            <w:tcMar>
              <w:top w:w="85" w:type="dxa"/>
              <w:left w:w="85" w:type="dxa"/>
              <w:bottom w:w="85" w:type="dxa"/>
            </w:tcMar>
          </w:tcPr>
          <w:p w:rsidR="00B40DA7" w:rsidRDefault="00531C5A">
            <w:pPr>
              <w:spacing w:after="0"/>
              <w:jc w:val="left"/>
              <w:rPr>
                <w:noProof/>
                <w:sz w:val="20"/>
              </w:rPr>
            </w:pPr>
            <w:r>
              <w:rPr>
                <w:noProof/>
                <w:sz w:val="20"/>
              </w:rPr>
              <w:t>COM(2014)340 final</w:t>
            </w:r>
            <w:r>
              <w:rPr>
                <w:noProof/>
                <w:sz w:val="20"/>
              </w:rPr>
              <w:br/>
              <w:t>2014/0173 (COD)</w:t>
            </w:r>
            <w:r>
              <w:rPr>
                <w:noProof/>
                <w:sz w:val="20"/>
              </w:rPr>
              <w:br/>
              <w:t>11.06.2014</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on heal</w:t>
            </w:r>
            <w:r>
              <w:rPr>
                <w:noProof/>
                <w:sz w:val="20"/>
              </w:rPr>
              <w:t>th technology assessment and amending Directive 2011/24/EU</w:t>
            </w:r>
          </w:p>
        </w:tc>
        <w:tc>
          <w:tcPr>
            <w:tcW w:w="2126" w:type="dxa"/>
            <w:tcMar>
              <w:top w:w="85" w:type="dxa"/>
              <w:left w:w="85" w:type="dxa"/>
              <w:bottom w:w="85" w:type="dxa"/>
            </w:tcMar>
          </w:tcPr>
          <w:p w:rsidR="00B40DA7" w:rsidRDefault="00531C5A">
            <w:pPr>
              <w:spacing w:after="0"/>
              <w:jc w:val="left"/>
              <w:rPr>
                <w:noProof/>
                <w:sz w:val="20"/>
              </w:rPr>
            </w:pPr>
            <w:r>
              <w:rPr>
                <w:noProof/>
                <w:sz w:val="20"/>
              </w:rPr>
              <w:t>COM(2018)51 final</w:t>
            </w:r>
            <w:r>
              <w:rPr>
                <w:noProof/>
                <w:sz w:val="20"/>
              </w:rPr>
              <w:br/>
              <w:t>2018/0018 (COD)</w:t>
            </w:r>
            <w:r>
              <w:rPr>
                <w:noProof/>
                <w:sz w:val="20"/>
              </w:rPr>
              <w:br/>
              <w:t>01.02.2018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DIRECTIVE OF THE EUROPEAN PARLIAMENT AND OF THE COUNCIL on common standards and procedures in Member States for returning illegally sta</w:t>
            </w:r>
            <w:r>
              <w:rPr>
                <w:noProof/>
                <w:sz w:val="20"/>
              </w:rPr>
              <w:t>ying third-country nationals (recast) A contribution from the European Commission to the Leaders’ meeting in Salzburg on 19-20 September 2018</w:t>
            </w:r>
          </w:p>
        </w:tc>
        <w:tc>
          <w:tcPr>
            <w:tcW w:w="2126" w:type="dxa"/>
            <w:tcMar>
              <w:top w:w="85" w:type="dxa"/>
              <w:left w:w="85" w:type="dxa"/>
              <w:bottom w:w="85" w:type="dxa"/>
            </w:tcMar>
          </w:tcPr>
          <w:p w:rsidR="00B40DA7" w:rsidRDefault="00531C5A">
            <w:pPr>
              <w:spacing w:after="0"/>
              <w:jc w:val="left"/>
              <w:rPr>
                <w:noProof/>
                <w:sz w:val="20"/>
              </w:rPr>
            </w:pPr>
            <w:r>
              <w:rPr>
                <w:noProof/>
                <w:sz w:val="20"/>
              </w:rPr>
              <w:t>COM(2018)634 final</w:t>
            </w:r>
            <w:r>
              <w:rPr>
                <w:noProof/>
                <w:sz w:val="20"/>
              </w:rPr>
              <w:br/>
              <w:t>2018/0329 (COD)</w:t>
            </w:r>
            <w:r>
              <w:rPr>
                <w:noProof/>
                <w:sz w:val="20"/>
              </w:rPr>
              <w:br/>
              <w:t>12.09.2018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w:t>
            </w:r>
            <w:r>
              <w:rPr>
                <w:noProof/>
                <w:sz w:val="20"/>
              </w:rPr>
              <w:t>UNCIL on preventing the dissemination of terrorist content online A contribution from the European Commission to the Leaders’ meeting in Salzburg on 19-20 September 2018</w:t>
            </w:r>
          </w:p>
        </w:tc>
        <w:tc>
          <w:tcPr>
            <w:tcW w:w="2126" w:type="dxa"/>
            <w:tcMar>
              <w:top w:w="85" w:type="dxa"/>
              <w:left w:w="85" w:type="dxa"/>
              <w:bottom w:w="85" w:type="dxa"/>
            </w:tcMar>
          </w:tcPr>
          <w:p w:rsidR="00B40DA7" w:rsidRDefault="00531C5A">
            <w:pPr>
              <w:spacing w:after="0"/>
              <w:jc w:val="left"/>
              <w:rPr>
                <w:noProof/>
                <w:sz w:val="20"/>
              </w:rPr>
            </w:pPr>
            <w:r>
              <w:rPr>
                <w:noProof/>
                <w:sz w:val="20"/>
              </w:rPr>
              <w:t>COM(2018)640 final</w:t>
            </w:r>
            <w:r>
              <w:rPr>
                <w:noProof/>
                <w:sz w:val="20"/>
              </w:rPr>
              <w:br/>
              <w:t>2018/0331 (COD)</w:t>
            </w:r>
            <w:r>
              <w:rPr>
                <w:noProof/>
                <w:sz w:val="20"/>
              </w:rPr>
              <w:br/>
              <w:t>12.09.2018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REGULATION OF THE </w:t>
            </w:r>
            <w:r>
              <w:rPr>
                <w:noProof/>
                <w:sz w:val="20"/>
              </w:rPr>
              <w:t>EUROPEAN PARLIAMENT AND OF THE COUNCIL amending Regulation (EC) No 767/2008, Regulation(EC) No 810/2009, Regulation (EU) 2017/2226, Regulation (EU) 2016/399, Regulation XX/2018 [Interoperability Regulation], and Decision 2004/512/EC and repealing Council D</w:t>
            </w:r>
            <w:r>
              <w:rPr>
                <w:noProof/>
                <w:sz w:val="20"/>
              </w:rPr>
              <w:t>ecision 2008/633/JHA</w:t>
            </w:r>
          </w:p>
        </w:tc>
        <w:tc>
          <w:tcPr>
            <w:tcW w:w="2126" w:type="dxa"/>
            <w:tcMar>
              <w:top w:w="85" w:type="dxa"/>
              <w:left w:w="85" w:type="dxa"/>
              <w:bottom w:w="85" w:type="dxa"/>
            </w:tcMar>
          </w:tcPr>
          <w:p w:rsidR="00B40DA7" w:rsidRDefault="00531C5A">
            <w:pPr>
              <w:spacing w:after="0"/>
              <w:jc w:val="left"/>
              <w:rPr>
                <w:noProof/>
                <w:sz w:val="20"/>
              </w:rPr>
            </w:pPr>
            <w:r>
              <w:rPr>
                <w:noProof/>
                <w:sz w:val="20"/>
              </w:rPr>
              <w:t>COM(2018)302 final</w:t>
            </w:r>
            <w:r>
              <w:rPr>
                <w:noProof/>
                <w:sz w:val="20"/>
              </w:rPr>
              <w:br/>
              <w:t>2018/0152 (COD)</w:t>
            </w:r>
            <w:r>
              <w:rPr>
                <w:noProof/>
                <w:sz w:val="20"/>
              </w:rPr>
              <w:br/>
              <w:t>17.05.2018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the conditions for accessing other EU information systems for ETIAS purposes and amending Regulation (</w:t>
            </w:r>
            <w:r>
              <w:rPr>
                <w:noProof/>
                <w:sz w:val="20"/>
              </w:rPr>
              <w:t>EU) 2018/1240, Regulation (EC) No 767/2008, Regulation (EU)2017/2226 and Regulation (EU) 2018/1861</w:t>
            </w:r>
          </w:p>
        </w:tc>
        <w:tc>
          <w:tcPr>
            <w:tcW w:w="2126" w:type="dxa"/>
            <w:tcMar>
              <w:top w:w="85" w:type="dxa"/>
              <w:left w:w="85" w:type="dxa"/>
              <w:bottom w:w="85" w:type="dxa"/>
            </w:tcMar>
          </w:tcPr>
          <w:p w:rsidR="00B40DA7" w:rsidRDefault="00531C5A">
            <w:pPr>
              <w:spacing w:after="0"/>
              <w:jc w:val="left"/>
              <w:rPr>
                <w:noProof/>
                <w:sz w:val="20"/>
              </w:rPr>
            </w:pPr>
            <w:r>
              <w:rPr>
                <w:noProof/>
                <w:sz w:val="20"/>
              </w:rPr>
              <w:t>COM(2019)4 final</w:t>
            </w:r>
            <w:r>
              <w:rPr>
                <w:noProof/>
                <w:sz w:val="20"/>
              </w:rPr>
              <w:br/>
              <w:t>2019/0002 (COD)</w:t>
            </w:r>
            <w:r>
              <w:rPr>
                <w:noProof/>
                <w:sz w:val="20"/>
              </w:rPr>
              <w:br/>
              <w:t>07.01.2019</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amending Regulation (EC) No 539/2001 li</w:t>
            </w:r>
            <w:r>
              <w:rPr>
                <w:noProof/>
                <w:sz w:val="20"/>
              </w:rPr>
              <w:t>sting the third countries whose nationals must be in possession of visas when crossing the external borders and those whose nationals are exempt from that requirement (Turkey)</w:t>
            </w:r>
          </w:p>
        </w:tc>
        <w:tc>
          <w:tcPr>
            <w:tcW w:w="2126" w:type="dxa"/>
            <w:tcMar>
              <w:top w:w="85" w:type="dxa"/>
              <w:left w:w="85" w:type="dxa"/>
              <w:bottom w:w="85" w:type="dxa"/>
            </w:tcMar>
          </w:tcPr>
          <w:p w:rsidR="00B40DA7" w:rsidRDefault="00531C5A">
            <w:pPr>
              <w:spacing w:after="0"/>
              <w:jc w:val="left"/>
              <w:rPr>
                <w:noProof/>
                <w:sz w:val="20"/>
              </w:rPr>
            </w:pPr>
            <w:r>
              <w:rPr>
                <w:noProof/>
                <w:sz w:val="20"/>
              </w:rPr>
              <w:t>COM(2016)279 final</w:t>
            </w:r>
            <w:r>
              <w:rPr>
                <w:noProof/>
                <w:sz w:val="20"/>
              </w:rPr>
              <w:br/>
              <w:t>2016/0141 (COD) 04.05.2016</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w:t>
            </w:r>
            <w:r>
              <w:rPr>
                <w:noProof/>
                <w:sz w:val="20"/>
              </w:rPr>
              <w:t xml:space="preserve"> EUROPEAN PARLIAMENT AND OF THE COUNCIL amending Regulation (EC) No 539/2001 listing the third countries whose nationals must be in possession of visas when crossing the external borders and those whose nationals are exempt from that requirement (Kosovo*)</w:t>
            </w:r>
          </w:p>
        </w:tc>
        <w:tc>
          <w:tcPr>
            <w:tcW w:w="2126" w:type="dxa"/>
            <w:tcMar>
              <w:top w:w="85" w:type="dxa"/>
              <w:left w:w="85" w:type="dxa"/>
              <w:bottom w:w="85" w:type="dxa"/>
            </w:tcMar>
          </w:tcPr>
          <w:p w:rsidR="00B40DA7" w:rsidRDefault="00531C5A">
            <w:pPr>
              <w:spacing w:after="0"/>
              <w:jc w:val="left"/>
              <w:rPr>
                <w:noProof/>
                <w:sz w:val="20"/>
              </w:rPr>
            </w:pPr>
            <w:r>
              <w:rPr>
                <w:noProof/>
                <w:sz w:val="20"/>
              </w:rPr>
              <w:t>COM(2016)277 final</w:t>
            </w:r>
            <w:r>
              <w:rPr>
                <w:noProof/>
                <w:sz w:val="20"/>
              </w:rPr>
              <w:br/>
              <w:t>2016/0139 (COD)</w:t>
            </w:r>
            <w:r>
              <w:rPr>
                <w:noProof/>
                <w:sz w:val="20"/>
              </w:rPr>
              <w:br/>
              <w:t>04.05.2016</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amending Regulation (EU) 2016/399 as regards the rules applicable to the temporary reintroduction of border control at internal borders</w:t>
            </w:r>
          </w:p>
        </w:tc>
        <w:tc>
          <w:tcPr>
            <w:tcW w:w="2126" w:type="dxa"/>
            <w:tcMar>
              <w:top w:w="85" w:type="dxa"/>
              <w:left w:w="85" w:type="dxa"/>
              <w:bottom w:w="85" w:type="dxa"/>
            </w:tcMar>
          </w:tcPr>
          <w:p w:rsidR="00B40DA7" w:rsidRDefault="00531C5A">
            <w:pPr>
              <w:spacing w:after="0"/>
              <w:jc w:val="left"/>
              <w:rPr>
                <w:noProof/>
                <w:sz w:val="20"/>
              </w:rPr>
            </w:pPr>
            <w:r>
              <w:rPr>
                <w:noProof/>
                <w:sz w:val="20"/>
              </w:rPr>
              <w:t>COM(2017)571 final</w:t>
            </w:r>
            <w:r>
              <w:rPr>
                <w:noProof/>
                <w:sz w:val="20"/>
              </w:rPr>
              <w:br/>
              <w:t>2017/0245 (COD)</w:t>
            </w:r>
            <w:r>
              <w:rPr>
                <w:noProof/>
                <w:sz w:val="20"/>
              </w:rPr>
              <w:br/>
              <w:t>28.09.2017</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on the European Union Agency for Asylum and repealing Regulation (EU) No 439/2010</w:t>
            </w:r>
          </w:p>
        </w:tc>
        <w:tc>
          <w:tcPr>
            <w:tcW w:w="2126" w:type="dxa"/>
            <w:tcMar>
              <w:top w:w="85" w:type="dxa"/>
              <w:left w:w="85" w:type="dxa"/>
              <w:bottom w:w="85" w:type="dxa"/>
            </w:tcMar>
          </w:tcPr>
          <w:p w:rsidR="00B40DA7" w:rsidRDefault="00531C5A">
            <w:pPr>
              <w:spacing w:after="0"/>
              <w:jc w:val="left"/>
              <w:rPr>
                <w:noProof/>
                <w:sz w:val="20"/>
                <w:lang w:val="pt-PT"/>
              </w:rPr>
            </w:pPr>
            <w:r>
              <w:rPr>
                <w:noProof/>
                <w:sz w:val="20"/>
                <w:lang w:val="pt-PT"/>
              </w:rPr>
              <w:t>COM(2016)271 final</w:t>
            </w:r>
            <w:r>
              <w:rPr>
                <w:noProof/>
                <w:sz w:val="20"/>
                <w:lang w:val="pt-PT"/>
              </w:rPr>
              <w:br/>
              <w:t>2016/0131 (COD)</w:t>
            </w:r>
            <w:r>
              <w:rPr>
                <w:noProof/>
                <w:sz w:val="20"/>
                <w:lang w:val="pt-PT"/>
              </w:rPr>
              <w:br/>
              <w:t>04.05.2016</w:t>
            </w:r>
            <w:r>
              <w:rPr>
                <w:noProof/>
                <w:sz w:val="20"/>
                <w:lang w:val="pt-PT"/>
              </w:rPr>
              <w:br/>
            </w:r>
            <w:r>
              <w:rPr>
                <w:noProof/>
                <w:sz w:val="20"/>
                <w:lang w:val="pt-PT"/>
              </w:rPr>
              <w:br/>
              <w:t>COM(201</w:t>
            </w:r>
            <w:r>
              <w:rPr>
                <w:noProof/>
                <w:sz w:val="20"/>
                <w:lang w:val="pt-PT"/>
              </w:rPr>
              <w:t>8)633 final</w:t>
            </w:r>
            <w:r>
              <w:rPr>
                <w:noProof/>
                <w:sz w:val="20"/>
                <w:lang w:val="pt-PT"/>
              </w:rPr>
              <w:br/>
              <w:t>12.09.2018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lang w:val="pt-PT"/>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on the establishment of 'Eurodac' for the comparison of fingerprints for the effective application of [Regulation (EU) No 604/2013 establishing the criteria an</w:t>
            </w:r>
            <w:r>
              <w:rPr>
                <w:noProof/>
                <w:sz w:val="20"/>
              </w:rPr>
              <w:t>d mechanisms for determining the Member State responsible for examining an application for international protection lodged in one of the Member States by a third-country national or a stateless person] , for identifying an illegally staying third-country n</w:t>
            </w:r>
            <w:r>
              <w:rPr>
                <w:noProof/>
                <w:sz w:val="20"/>
              </w:rPr>
              <w:t>ational or stateless person and on requests for the comparison with Eurodac data by Member States' law enforcement authorities and Europol for law enforcement purposes (recast)</w:t>
            </w:r>
          </w:p>
        </w:tc>
        <w:tc>
          <w:tcPr>
            <w:tcW w:w="2126" w:type="dxa"/>
            <w:tcMar>
              <w:top w:w="85" w:type="dxa"/>
              <w:left w:w="85" w:type="dxa"/>
              <w:bottom w:w="85" w:type="dxa"/>
            </w:tcMar>
          </w:tcPr>
          <w:p w:rsidR="00B40DA7" w:rsidRDefault="00531C5A">
            <w:pPr>
              <w:spacing w:after="0"/>
              <w:jc w:val="left"/>
              <w:rPr>
                <w:noProof/>
                <w:sz w:val="20"/>
              </w:rPr>
            </w:pPr>
            <w:r>
              <w:rPr>
                <w:noProof/>
                <w:sz w:val="20"/>
              </w:rPr>
              <w:t>COM(2016)272 final</w:t>
            </w:r>
            <w:r>
              <w:rPr>
                <w:noProof/>
                <w:sz w:val="20"/>
              </w:rPr>
              <w:br/>
              <w:t>2016/0132 (COD)</w:t>
            </w:r>
            <w:r>
              <w:rPr>
                <w:noProof/>
                <w:sz w:val="20"/>
              </w:rPr>
              <w:br/>
              <w:t xml:space="preserve">04.05.2016 </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REGULATION OF </w:t>
            </w:r>
            <w:r>
              <w:rPr>
                <w:noProof/>
                <w:sz w:val="20"/>
              </w:rPr>
              <w:t>THE EUROPEAN PARLIAMENT AND OF THE COUNCIL establishing the criteria and mechanisms for determining the Member State responsible for examining an application for international protection lodged in one of the Member States by a third-country national or a s</w:t>
            </w:r>
            <w:r>
              <w:rPr>
                <w:noProof/>
                <w:sz w:val="20"/>
              </w:rPr>
              <w:t>tateless person (recast)</w:t>
            </w:r>
          </w:p>
        </w:tc>
        <w:tc>
          <w:tcPr>
            <w:tcW w:w="2126" w:type="dxa"/>
            <w:tcMar>
              <w:top w:w="85" w:type="dxa"/>
              <w:left w:w="85" w:type="dxa"/>
              <w:bottom w:w="85" w:type="dxa"/>
            </w:tcMar>
          </w:tcPr>
          <w:p w:rsidR="00B40DA7" w:rsidRDefault="00531C5A">
            <w:pPr>
              <w:spacing w:after="0"/>
              <w:jc w:val="left"/>
              <w:rPr>
                <w:noProof/>
                <w:sz w:val="20"/>
              </w:rPr>
            </w:pPr>
            <w:r>
              <w:rPr>
                <w:noProof/>
                <w:sz w:val="20"/>
              </w:rPr>
              <w:t>COM(2016)270 final</w:t>
            </w:r>
            <w:r>
              <w:rPr>
                <w:noProof/>
                <w:sz w:val="20"/>
              </w:rPr>
              <w:br/>
              <w:t>2016/0133 (COD)</w:t>
            </w:r>
            <w:r>
              <w:rPr>
                <w:noProof/>
                <w:sz w:val="20"/>
              </w:rPr>
              <w:br/>
              <w:t>04.05.2016</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DIRECTIVE OF THE EUROPEAN PARLIAMENT AND OF THE COUNCIL laying down standards for the reception of applicants for international protection (recast)</w:t>
            </w:r>
          </w:p>
        </w:tc>
        <w:tc>
          <w:tcPr>
            <w:tcW w:w="2126" w:type="dxa"/>
            <w:tcMar>
              <w:top w:w="85" w:type="dxa"/>
              <w:left w:w="85" w:type="dxa"/>
              <w:bottom w:w="85" w:type="dxa"/>
            </w:tcMar>
          </w:tcPr>
          <w:p w:rsidR="00B40DA7" w:rsidRDefault="00531C5A">
            <w:pPr>
              <w:spacing w:after="0"/>
              <w:jc w:val="left"/>
              <w:rPr>
                <w:noProof/>
                <w:sz w:val="20"/>
              </w:rPr>
            </w:pPr>
            <w:r>
              <w:rPr>
                <w:noProof/>
                <w:sz w:val="20"/>
              </w:rPr>
              <w:t>COM(2016)465 final</w:t>
            </w:r>
            <w:r>
              <w:rPr>
                <w:noProof/>
                <w:sz w:val="20"/>
              </w:rPr>
              <w:br/>
              <w:t>2</w:t>
            </w:r>
            <w:r>
              <w:rPr>
                <w:noProof/>
                <w:sz w:val="20"/>
              </w:rPr>
              <w:t>016/0222 (COD)</w:t>
            </w:r>
            <w:r>
              <w:rPr>
                <w:noProof/>
                <w:sz w:val="20"/>
              </w:rPr>
              <w:br/>
              <w:t>13.07.2016</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on standards for the qualification of third-country nationals or stateless persons as beneficiaries of international protection, for a uniform status for re</w:t>
            </w:r>
            <w:r>
              <w:rPr>
                <w:noProof/>
                <w:sz w:val="20"/>
              </w:rPr>
              <w:t xml:space="preserve">fugees or for persons eligible for subsidiary protection and for the content of the protection granted and amending Council Directive 2003/109/EC of 25 November 2003 concerning the status of third-country nationals who are long-term residents </w:t>
            </w:r>
          </w:p>
        </w:tc>
        <w:tc>
          <w:tcPr>
            <w:tcW w:w="2126" w:type="dxa"/>
            <w:tcMar>
              <w:top w:w="85" w:type="dxa"/>
              <w:left w:w="85" w:type="dxa"/>
              <w:bottom w:w="85" w:type="dxa"/>
            </w:tcMar>
          </w:tcPr>
          <w:p w:rsidR="00B40DA7" w:rsidRDefault="00531C5A">
            <w:pPr>
              <w:spacing w:after="0"/>
              <w:jc w:val="left"/>
              <w:rPr>
                <w:noProof/>
                <w:sz w:val="20"/>
              </w:rPr>
            </w:pPr>
            <w:r>
              <w:rPr>
                <w:noProof/>
                <w:sz w:val="20"/>
              </w:rPr>
              <w:t>COM(2016)466</w:t>
            </w:r>
            <w:r>
              <w:rPr>
                <w:noProof/>
                <w:sz w:val="20"/>
              </w:rPr>
              <w:t xml:space="preserve"> final</w:t>
            </w:r>
            <w:r>
              <w:rPr>
                <w:noProof/>
                <w:sz w:val="20"/>
              </w:rPr>
              <w:br/>
              <w:t>2016/0223 (COD)</w:t>
            </w:r>
            <w:r>
              <w:rPr>
                <w:noProof/>
                <w:sz w:val="20"/>
              </w:rPr>
              <w:br/>
              <w:t>13.07.2016</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a common procedure for international protection in the Union and repealing Directive 2013/32/EU</w:t>
            </w:r>
          </w:p>
        </w:tc>
        <w:tc>
          <w:tcPr>
            <w:tcW w:w="2126" w:type="dxa"/>
            <w:tcMar>
              <w:top w:w="85" w:type="dxa"/>
              <w:left w:w="85" w:type="dxa"/>
              <w:bottom w:w="85" w:type="dxa"/>
            </w:tcMar>
          </w:tcPr>
          <w:p w:rsidR="00B40DA7" w:rsidRDefault="00531C5A">
            <w:pPr>
              <w:spacing w:after="0"/>
              <w:jc w:val="left"/>
              <w:rPr>
                <w:noProof/>
                <w:sz w:val="20"/>
              </w:rPr>
            </w:pPr>
            <w:r>
              <w:rPr>
                <w:noProof/>
                <w:sz w:val="20"/>
              </w:rPr>
              <w:t>COM(2016)467 final</w:t>
            </w:r>
            <w:r>
              <w:rPr>
                <w:noProof/>
                <w:sz w:val="20"/>
              </w:rPr>
              <w:br/>
              <w:t>2016/0224 (COD)</w:t>
            </w:r>
            <w:r>
              <w:rPr>
                <w:noProof/>
                <w:sz w:val="20"/>
              </w:rPr>
              <w:br/>
              <w:t>13.0</w:t>
            </w:r>
            <w:r>
              <w:rPr>
                <w:noProof/>
                <w:sz w:val="20"/>
              </w:rPr>
              <w:t>7.2016</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a Union Resettlement Framework and amending Regulation (EU) No 516/2014 of the European Parliament and the Council</w:t>
            </w:r>
          </w:p>
        </w:tc>
        <w:tc>
          <w:tcPr>
            <w:tcW w:w="2126" w:type="dxa"/>
            <w:tcMar>
              <w:top w:w="85" w:type="dxa"/>
              <w:left w:w="85" w:type="dxa"/>
              <w:bottom w:w="85" w:type="dxa"/>
            </w:tcMar>
          </w:tcPr>
          <w:p w:rsidR="00B40DA7" w:rsidRDefault="00531C5A">
            <w:pPr>
              <w:spacing w:after="0"/>
              <w:jc w:val="left"/>
              <w:rPr>
                <w:noProof/>
                <w:sz w:val="20"/>
              </w:rPr>
            </w:pPr>
            <w:r>
              <w:rPr>
                <w:noProof/>
                <w:sz w:val="20"/>
              </w:rPr>
              <w:t>COM(2016)468 final</w:t>
            </w:r>
            <w:r>
              <w:rPr>
                <w:noProof/>
                <w:sz w:val="20"/>
              </w:rPr>
              <w:br/>
              <w:t>2016/0225 (COD)</w:t>
            </w:r>
            <w:r>
              <w:rPr>
                <w:noProof/>
                <w:sz w:val="20"/>
              </w:rPr>
              <w:br/>
              <w:t>13.07.2016</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rsidR="00B40DA7" w:rsidRDefault="00531C5A">
            <w:pPr>
              <w:spacing w:after="0"/>
              <w:rPr>
                <w:noProof/>
                <w:sz w:val="20"/>
              </w:rPr>
            </w:pPr>
            <w:r>
              <w:rPr>
                <w:noProof/>
                <w:sz w:val="20"/>
              </w:rPr>
              <w:t>Proposal for a DIRECTIVE OF THE EUROPEAN PARLIAMENT AND OF THE COUNCIL on the conditions of entry and residence of third-country nationals for the purposes of highly skilled employment</w:t>
            </w:r>
          </w:p>
        </w:tc>
        <w:tc>
          <w:tcPr>
            <w:tcW w:w="2126" w:type="dxa"/>
            <w:tcMar>
              <w:top w:w="85" w:type="dxa"/>
              <w:left w:w="85" w:type="dxa"/>
              <w:bottom w:w="85" w:type="dxa"/>
            </w:tcMar>
          </w:tcPr>
          <w:p w:rsidR="00B40DA7" w:rsidRDefault="00531C5A">
            <w:pPr>
              <w:spacing w:after="0"/>
              <w:jc w:val="left"/>
              <w:rPr>
                <w:noProof/>
                <w:sz w:val="20"/>
              </w:rPr>
            </w:pPr>
            <w:r>
              <w:rPr>
                <w:noProof/>
                <w:sz w:val="20"/>
              </w:rPr>
              <w:t>COM(2016)378 final 2016/0176 (COD) 07.06.2016</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w:t>
            </w:r>
            <w:r>
              <w:rPr>
                <w:noProof/>
                <w:sz w:val="20"/>
              </w:rPr>
              <w:t>REGULATION OF THE EUROPEAN PARLIAMENT AND OF THE COUNCIL establishing 'Erasmus': the Union programme for education, training, youth and sport and repealing Regulation (EU) No 1288/2013</w:t>
            </w:r>
          </w:p>
        </w:tc>
        <w:tc>
          <w:tcPr>
            <w:tcW w:w="2126" w:type="dxa"/>
            <w:tcMar>
              <w:top w:w="85" w:type="dxa"/>
              <w:left w:w="85" w:type="dxa"/>
              <w:bottom w:w="85" w:type="dxa"/>
            </w:tcMar>
          </w:tcPr>
          <w:p w:rsidR="00B40DA7" w:rsidRDefault="00531C5A">
            <w:pPr>
              <w:spacing w:after="0"/>
              <w:jc w:val="left"/>
              <w:rPr>
                <w:noProof/>
                <w:sz w:val="20"/>
              </w:rPr>
            </w:pPr>
            <w:r>
              <w:rPr>
                <w:noProof/>
                <w:sz w:val="20"/>
              </w:rPr>
              <w:t>COM(2018)367 final</w:t>
            </w:r>
            <w:r>
              <w:rPr>
                <w:noProof/>
                <w:sz w:val="20"/>
              </w:rPr>
              <w:br/>
              <w:t>2018/0191 (COD)</w:t>
            </w:r>
            <w:r>
              <w:rPr>
                <w:noProof/>
                <w:sz w:val="20"/>
              </w:rPr>
              <w:br/>
              <w:t>30.05.2018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w:t>
            </w:r>
            <w:r>
              <w:rPr>
                <w:noProof/>
                <w:sz w:val="20"/>
              </w:rPr>
              <w:t>REGULATION OF THE EUROPEAN PARLIAMENT AND OF THE COUNCIL on the European Institute of Innovation and Technology (recast)</w:t>
            </w:r>
          </w:p>
        </w:tc>
        <w:tc>
          <w:tcPr>
            <w:tcW w:w="2126" w:type="dxa"/>
            <w:tcMar>
              <w:top w:w="85" w:type="dxa"/>
              <w:left w:w="85" w:type="dxa"/>
              <w:bottom w:w="85" w:type="dxa"/>
            </w:tcMar>
          </w:tcPr>
          <w:p w:rsidR="00B40DA7" w:rsidRDefault="00531C5A">
            <w:pPr>
              <w:spacing w:after="0"/>
              <w:jc w:val="left"/>
              <w:rPr>
                <w:noProof/>
                <w:sz w:val="20"/>
              </w:rPr>
            </w:pPr>
            <w:r>
              <w:rPr>
                <w:noProof/>
                <w:sz w:val="20"/>
              </w:rPr>
              <w:t>COM(2019)331 final</w:t>
            </w:r>
            <w:r>
              <w:rPr>
                <w:noProof/>
                <w:sz w:val="20"/>
              </w:rPr>
              <w:br/>
              <w:t>2019/0151 (COD)</w:t>
            </w:r>
            <w:r>
              <w:rPr>
                <w:noProof/>
                <w:sz w:val="20"/>
              </w:rPr>
              <w:br/>
              <w:t>11.07.2019</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DECISION OF THE EUROPEAN PARLIAMENT AND OF THE COUNCIL on the Strategic </w:t>
            </w:r>
            <w:r>
              <w:rPr>
                <w:noProof/>
                <w:sz w:val="20"/>
              </w:rPr>
              <w:t>Innovation Agenda of the European Institute of Innovation and Technology (EIT) 2021-2027: Boosting the Innovation Talent and Capacity of Europe</w:t>
            </w:r>
          </w:p>
        </w:tc>
        <w:tc>
          <w:tcPr>
            <w:tcW w:w="2126" w:type="dxa"/>
            <w:tcMar>
              <w:top w:w="85" w:type="dxa"/>
              <w:left w:w="85" w:type="dxa"/>
              <w:bottom w:w="85" w:type="dxa"/>
            </w:tcMar>
          </w:tcPr>
          <w:p w:rsidR="00B40DA7" w:rsidRDefault="00531C5A">
            <w:pPr>
              <w:spacing w:after="0"/>
              <w:jc w:val="left"/>
              <w:rPr>
                <w:noProof/>
                <w:sz w:val="20"/>
              </w:rPr>
            </w:pPr>
            <w:r>
              <w:rPr>
                <w:noProof/>
                <w:sz w:val="20"/>
              </w:rPr>
              <w:t>COM(2019)330 final</w:t>
            </w:r>
            <w:r>
              <w:rPr>
                <w:noProof/>
                <w:sz w:val="20"/>
              </w:rPr>
              <w:br/>
              <w:t>2019/0152 (COD)</w:t>
            </w:r>
            <w:r>
              <w:rPr>
                <w:noProof/>
                <w:sz w:val="20"/>
              </w:rPr>
              <w:br/>
              <w:t>11.07.2019</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w:t>
            </w:r>
            <w:r>
              <w:rPr>
                <w:noProof/>
                <w:sz w:val="20"/>
              </w:rPr>
              <w:t>COUNCIL establishing the EU Anti-Fraud Programme</w:t>
            </w:r>
          </w:p>
        </w:tc>
        <w:tc>
          <w:tcPr>
            <w:tcW w:w="2126" w:type="dxa"/>
            <w:tcMar>
              <w:top w:w="85" w:type="dxa"/>
              <w:left w:w="85" w:type="dxa"/>
              <w:bottom w:w="85" w:type="dxa"/>
            </w:tcMar>
          </w:tcPr>
          <w:p w:rsidR="00B40DA7" w:rsidRDefault="00531C5A">
            <w:pPr>
              <w:spacing w:after="0"/>
              <w:jc w:val="left"/>
              <w:rPr>
                <w:noProof/>
                <w:sz w:val="20"/>
              </w:rPr>
            </w:pPr>
            <w:r>
              <w:rPr>
                <w:noProof/>
                <w:sz w:val="20"/>
              </w:rPr>
              <w:t>COM(2018)386 final</w:t>
            </w:r>
            <w:r>
              <w:rPr>
                <w:noProof/>
                <w:sz w:val="20"/>
              </w:rPr>
              <w:br/>
              <w:t>2018/0211 (COD)</w:t>
            </w:r>
            <w:r>
              <w:rPr>
                <w:noProof/>
                <w:sz w:val="20"/>
              </w:rPr>
              <w:br/>
              <w:t>30.05.2018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the Internal Security Fund</w:t>
            </w:r>
          </w:p>
        </w:tc>
        <w:tc>
          <w:tcPr>
            <w:tcW w:w="2126" w:type="dxa"/>
            <w:tcMar>
              <w:top w:w="85" w:type="dxa"/>
              <w:left w:w="85" w:type="dxa"/>
              <w:bottom w:w="85" w:type="dxa"/>
            </w:tcMar>
          </w:tcPr>
          <w:p w:rsidR="00B40DA7" w:rsidRDefault="00531C5A">
            <w:pPr>
              <w:spacing w:after="0"/>
              <w:jc w:val="left"/>
              <w:rPr>
                <w:noProof/>
                <w:sz w:val="20"/>
              </w:rPr>
            </w:pPr>
            <w:r>
              <w:rPr>
                <w:noProof/>
                <w:sz w:val="20"/>
              </w:rPr>
              <w:t>COM(2018)472 final</w:t>
            </w:r>
            <w:r>
              <w:rPr>
                <w:noProof/>
                <w:sz w:val="20"/>
              </w:rPr>
              <w:br/>
              <w:t>2018/0250 (COD)</w:t>
            </w:r>
            <w:r>
              <w:rPr>
                <w:noProof/>
                <w:sz w:val="20"/>
              </w:rPr>
              <w:br/>
              <w:t>13.06.2018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the Asylum and Migration Fund</w:t>
            </w:r>
          </w:p>
        </w:tc>
        <w:tc>
          <w:tcPr>
            <w:tcW w:w="2126" w:type="dxa"/>
            <w:tcMar>
              <w:top w:w="85" w:type="dxa"/>
              <w:left w:w="85" w:type="dxa"/>
              <w:bottom w:w="85" w:type="dxa"/>
            </w:tcMar>
          </w:tcPr>
          <w:p w:rsidR="00B40DA7" w:rsidRDefault="00531C5A">
            <w:pPr>
              <w:spacing w:after="0"/>
              <w:jc w:val="left"/>
              <w:rPr>
                <w:noProof/>
                <w:sz w:val="20"/>
              </w:rPr>
            </w:pPr>
            <w:r>
              <w:rPr>
                <w:noProof/>
                <w:sz w:val="20"/>
              </w:rPr>
              <w:t>COM(2018)471 final</w:t>
            </w:r>
            <w:r>
              <w:rPr>
                <w:noProof/>
                <w:sz w:val="20"/>
              </w:rPr>
              <w:br/>
              <w:t>2018/0248 (COD)</w:t>
            </w:r>
            <w:r>
              <w:rPr>
                <w:noProof/>
                <w:sz w:val="20"/>
              </w:rPr>
              <w:br/>
              <w:t>13.06.2018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as par</w:t>
            </w:r>
            <w:r>
              <w:rPr>
                <w:noProof/>
                <w:sz w:val="20"/>
              </w:rPr>
              <w:t>t of the Integrated Border Management Fund, the instrument for financial support for border management and visa</w:t>
            </w:r>
          </w:p>
        </w:tc>
        <w:tc>
          <w:tcPr>
            <w:tcW w:w="2126" w:type="dxa"/>
            <w:tcMar>
              <w:top w:w="85" w:type="dxa"/>
              <w:left w:w="85" w:type="dxa"/>
              <w:bottom w:w="85" w:type="dxa"/>
            </w:tcMar>
          </w:tcPr>
          <w:p w:rsidR="00B40DA7" w:rsidRDefault="00531C5A">
            <w:pPr>
              <w:spacing w:after="0"/>
              <w:jc w:val="left"/>
              <w:rPr>
                <w:noProof/>
                <w:sz w:val="20"/>
              </w:rPr>
            </w:pPr>
            <w:r>
              <w:rPr>
                <w:noProof/>
                <w:sz w:val="20"/>
              </w:rPr>
              <w:t>COM(2018)473 final</w:t>
            </w:r>
            <w:r>
              <w:rPr>
                <w:noProof/>
                <w:sz w:val="20"/>
              </w:rPr>
              <w:br/>
              <w:t>2018/0249 (COD) 13.06.2018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the Europea</w:t>
            </w:r>
            <w:r>
              <w:rPr>
                <w:noProof/>
                <w:sz w:val="20"/>
              </w:rPr>
              <w:t>n Solidarity Corps programme and repealing [European Solidarity Corps Regulation] and Regulation (EU) No 375/2014</w:t>
            </w:r>
          </w:p>
        </w:tc>
        <w:tc>
          <w:tcPr>
            <w:tcW w:w="2126" w:type="dxa"/>
            <w:tcMar>
              <w:top w:w="85" w:type="dxa"/>
              <w:left w:w="85" w:type="dxa"/>
              <w:bottom w:w="85" w:type="dxa"/>
            </w:tcMar>
          </w:tcPr>
          <w:p w:rsidR="00B40DA7" w:rsidRDefault="00531C5A">
            <w:pPr>
              <w:spacing w:after="0"/>
              <w:jc w:val="left"/>
              <w:rPr>
                <w:noProof/>
                <w:sz w:val="20"/>
              </w:rPr>
            </w:pPr>
            <w:r>
              <w:rPr>
                <w:noProof/>
                <w:sz w:val="20"/>
              </w:rPr>
              <w:t>COM(2018)440 final</w:t>
            </w:r>
            <w:r>
              <w:rPr>
                <w:noProof/>
                <w:sz w:val="20"/>
              </w:rPr>
              <w:br/>
              <w:t>2018/0230 (COD)</w:t>
            </w:r>
            <w:r>
              <w:rPr>
                <w:noProof/>
                <w:sz w:val="20"/>
              </w:rPr>
              <w:br/>
              <w:t>11.06.2018</w:t>
            </w:r>
          </w:p>
        </w:tc>
      </w:tr>
      <w:tr w:rsidR="00B40DA7">
        <w:trPr>
          <w:cantSplit/>
        </w:trPr>
        <w:tc>
          <w:tcPr>
            <w:tcW w:w="652" w:type="dxa"/>
            <w:tcBorders>
              <w:bottom w:val="single" w:sz="4" w:space="0" w:color="auto"/>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establishing the </w:t>
            </w:r>
            <w:r>
              <w:rPr>
                <w:noProof/>
                <w:sz w:val="20"/>
              </w:rPr>
              <w:t>Creative Europe programme (2021to 2027) and repealing Regulation (EU) No 1295/2013</w:t>
            </w:r>
          </w:p>
        </w:tc>
        <w:tc>
          <w:tcPr>
            <w:tcW w:w="2126" w:type="dxa"/>
            <w:tcBorders>
              <w:bottom w:val="single" w:sz="4" w:space="0" w:color="auto"/>
            </w:tcBorders>
            <w:tcMar>
              <w:top w:w="85" w:type="dxa"/>
              <w:left w:w="85" w:type="dxa"/>
              <w:bottom w:w="85" w:type="dxa"/>
            </w:tcMar>
          </w:tcPr>
          <w:p w:rsidR="00B40DA7" w:rsidRDefault="00531C5A">
            <w:pPr>
              <w:spacing w:after="0"/>
              <w:jc w:val="left"/>
              <w:rPr>
                <w:noProof/>
                <w:sz w:val="20"/>
              </w:rPr>
            </w:pPr>
            <w:r>
              <w:rPr>
                <w:noProof/>
                <w:sz w:val="20"/>
              </w:rPr>
              <w:t>COM(2018)366 final</w:t>
            </w:r>
            <w:r>
              <w:rPr>
                <w:noProof/>
                <w:sz w:val="20"/>
              </w:rPr>
              <w:br/>
              <w:t>2018/0190 (COD)</w:t>
            </w:r>
            <w:r>
              <w:rPr>
                <w:noProof/>
                <w:sz w:val="20"/>
              </w:rPr>
              <w:br/>
              <w:t>30.05.2018</w:t>
            </w:r>
          </w:p>
        </w:tc>
      </w:tr>
      <w:tr w:rsidR="00B40DA7">
        <w:trPr>
          <w:cantSplit/>
        </w:trPr>
        <w:tc>
          <w:tcPr>
            <w:tcW w:w="14850" w:type="dxa"/>
            <w:gridSpan w:val="3"/>
            <w:shd w:val="clear" w:color="auto" w:fill="00ADDC" w:themeFill="accent5"/>
            <w:tcMar>
              <w:top w:w="85" w:type="dxa"/>
              <w:left w:w="85" w:type="dxa"/>
              <w:bottom w:w="85" w:type="dxa"/>
              <w:right w:w="85" w:type="dxa"/>
            </w:tcMar>
          </w:tcPr>
          <w:p w:rsidR="00B40DA7" w:rsidRDefault="00531C5A">
            <w:pPr>
              <w:spacing w:before="60" w:after="60"/>
              <w:rPr>
                <w:noProof/>
                <w:sz w:val="20"/>
              </w:rPr>
            </w:pPr>
            <w:r>
              <w:rPr>
                <w:b/>
                <w:bCs/>
                <w:noProof/>
                <w:color w:val="FFFFFF" w:themeColor="background1"/>
                <w:sz w:val="20"/>
              </w:rPr>
              <w:t>A New Push for European Democracy</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COUNCIL adapting a number </w:t>
            </w:r>
            <w:r>
              <w:rPr>
                <w:noProof/>
                <w:sz w:val="20"/>
              </w:rPr>
              <w:t>of legal acts in the area of Justice providing for the use of the regulatory procedure with scrutiny to Article 290 of the Treaty on the Functioning of the European Union</w:t>
            </w:r>
            <w:r>
              <w:rPr>
                <w:b/>
                <w:bCs/>
                <w:noProof/>
                <w:sz w:val="20"/>
              </w:rPr>
              <w:t xml:space="preserve"> </w:t>
            </w:r>
          </w:p>
        </w:tc>
        <w:tc>
          <w:tcPr>
            <w:tcW w:w="2126" w:type="dxa"/>
            <w:tcMar>
              <w:top w:w="85" w:type="dxa"/>
              <w:left w:w="85" w:type="dxa"/>
              <w:bottom w:w="85" w:type="dxa"/>
            </w:tcMar>
          </w:tcPr>
          <w:p w:rsidR="00B40DA7" w:rsidRDefault="00531C5A">
            <w:pPr>
              <w:spacing w:after="0"/>
              <w:jc w:val="left"/>
              <w:rPr>
                <w:noProof/>
                <w:sz w:val="20"/>
              </w:rPr>
            </w:pPr>
            <w:r>
              <w:rPr>
                <w:noProof/>
                <w:sz w:val="20"/>
              </w:rPr>
              <w:t>COM(2016)798 final</w:t>
            </w:r>
            <w:r>
              <w:rPr>
                <w:noProof/>
                <w:sz w:val="20"/>
              </w:rPr>
              <w:br/>
              <w:t>2016/0399 (COD)</w:t>
            </w:r>
            <w:r>
              <w:rPr>
                <w:noProof/>
                <w:sz w:val="20"/>
              </w:rPr>
              <w:br/>
              <w:t>14.12.2016</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DIRECTIVE OF THE EURO</w:t>
            </w:r>
            <w:r>
              <w:rPr>
                <w:noProof/>
                <w:sz w:val="20"/>
              </w:rPr>
              <w:t>PEAN PARLIAMENT AND OF THE COUNCIL on improving the gender balance among non-executive directors of companies listed on stock exchanges and related measures</w:t>
            </w:r>
          </w:p>
        </w:tc>
        <w:tc>
          <w:tcPr>
            <w:tcW w:w="2126" w:type="dxa"/>
            <w:tcMar>
              <w:top w:w="85" w:type="dxa"/>
              <w:left w:w="85" w:type="dxa"/>
              <w:bottom w:w="85" w:type="dxa"/>
            </w:tcMar>
          </w:tcPr>
          <w:p w:rsidR="00B40DA7" w:rsidRDefault="00531C5A">
            <w:pPr>
              <w:spacing w:after="0"/>
              <w:jc w:val="left"/>
              <w:rPr>
                <w:noProof/>
                <w:sz w:val="20"/>
              </w:rPr>
            </w:pPr>
            <w:r>
              <w:rPr>
                <w:noProof/>
                <w:sz w:val="20"/>
              </w:rPr>
              <w:t>COM(2012)614 final</w:t>
            </w:r>
            <w:r>
              <w:rPr>
                <w:noProof/>
                <w:sz w:val="20"/>
              </w:rPr>
              <w:br/>
              <w:t>2012/0299 (COD)</w:t>
            </w:r>
            <w:r>
              <w:rPr>
                <w:noProof/>
                <w:sz w:val="20"/>
              </w:rPr>
              <w:br/>
              <w:t>14.11.2012</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REGULATION OF THE EUROPEAN </w:t>
            </w:r>
            <w:r>
              <w:rPr>
                <w:noProof/>
                <w:sz w:val="20"/>
              </w:rPr>
              <w:t>PARLIAMENT AND OF THE COUNCIL adapting a number of legal acts providing for the use of the regulatory procedure with scrutiny to Articles 290 and 291 of the Treaty on the Functioning of the European Union</w:t>
            </w:r>
          </w:p>
        </w:tc>
        <w:tc>
          <w:tcPr>
            <w:tcW w:w="2126" w:type="dxa"/>
            <w:tcMar>
              <w:top w:w="85" w:type="dxa"/>
              <w:left w:w="85" w:type="dxa"/>
              <w:bottom w:w="85" w:type="dxa"/>
            </w:tcMar>
          </w:tcPr>
          <w:p w:rsidR="00B40DA7" w:rsidRDefault="00531C5A">
            <w:pPr>
              <w:spacing w:after="0"/>
              <w:jc w:val="left"/>
              <w:rPr>
                <w:noProof/>
                <w:sz w:val="20"/>
              </w:rPr>
            </w:pPr>
            <w:r>
              <w:rPr>
                <w:noProof/>
                <w:sz w:val="20"/>
              </w:rPr>
              <w:t>COM(2016)799 final</w:t>
            </w:r>
            <w:r>
              <w:rPr>
                <w:noProof/>
                <w:sz w:val="20"/>
              </w:rPr>
              <w:br/>
              <w:t>2016/0400 B(COD)</w:t>
            </w:r>
            <w:r>
              <w:rPr>
                <w:noProof/>
                <w:sz w:val="20"/>
              </w:rPr>
              <w:br/>
              <w:t xml:space="preserve">14.12.2016 </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auto"/>
            <w:tcMar>
              <w:top w:w="85" w:type="dxa"/>
              <w:left w:w="85" w:type="dxa"/>
              <w:bottom w:w="85" w:type="dxa"/>
            </w:tcMar>
          </w:tcPr>
          <w:p w:rsidR="00B40DA7" w:rsidRDefault="00531C5A">
            <w:pPr>
              <w:spacing w:after="0"/>
              <w:rPr>
                <w:noProof/>
                <w:sz w:val="20"/>
              </w:rPr>
            </w:pPr>
            <w:r>
              <w:rPr>
                <w:noProof/>
                <w:sz w:val="20"/>
              </w:rPr>
              <w:t>Proposal for a DIRECTIVE OF THE EUROPEAN PARLIAMENT AND OF THE COUNCIL on representative actions for the protection of the collective interests of consumers, and repealing Directive 2009/22/EC</w:t>
            </w:r>
          </w:p>
        </w:tc>
        <w:tc>
          <w:tcPr>
            <w:tcW w:w="2126" w:type="dxa"/>
            <w:tcMar>
              <w:top w:w="85" w:type="dxa"/>
              <w:left w:w="85" w:type="dxa"/>
              <w:bottom w:w="85" w:type="dxa"/>
            </w:tcMar>
          </w:tcPr>
          <w:p w:rsidR="00B40DA7" w:rsidRDefault="00531C5A">
            <w:pPr>
              <w:spacing w:after="0"/>
              <w:jc w:val="left"/>
              <w:rPr>
                <w:noProof/>
                <w:sz w:val="20"/>
              </w:rPr>
            </w:pPr>
            <w:r>
              <w:rPr>
                <w:noProof/>
                <w:sz w:val="20"/>
              </w:rPr>
              <w:t>COM(2018)184 final</w:t>
            </w:r>
            <w:r>
              <w:rPr>
                <w:noProof/>
                <w:sz w:val="20"/>
              </w:rPr>
              <w:br/>
              <w:t>2018/0089 (COD)</w:t>
            </w:r>
            <w:r>
              <w:rPr>
                <w:noProof/>
                <w:sz w:val="20"/>
              </w:rPr>
              <w:br/>
              <w:t>12.04.2018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w:t>
            </w:r>
            <w:r>
              <w:rPr>
                <w:noProof/>
                <w:sz w:val="20"/>
              </w:rPr>
              <w:t>Council Directive on implementing the principle of equal treatment between persons irrespective of religion or belief, disability, age or sexual orientation</w:t>
            </w:r>
          </w:p>
        </w:tc>
        <w:tc>
          <w:tcPr>
            <w:tcW w:w="2126" w:type="dxa"/>
            <w:tcMar>
              <w:top w:w="85" w:type="dxa"/>
              <w:left w:w="85" w:type="dxa"/>
              <w:bottom w:w="85" w:type="dxa"/>
            </w:tcMar>
          </w:tcPr>
          <w:p w:rsidR="00B40DA7" w:rsidRDefault="00531C5A">
            <w:pPr>
              <w:spacing w:after="0"/>
              <w:jc w:val="left"/>
              <w:rPr>
                <w:noProof/>
                <w:sz w:val="20"/>
              </w:rPr>
            </w:pPr>
            <w:r>
              <w:rPr>
                <w:noProof/>
                <w:sz w:val="20"/>
              </w:rPr>
              <w:t>COM(2008)426 final</w:t>
            </w:r>
            <w:r>
              <w:rPr>
                <w:noProof/>
                <w:sz w:val="20"/>
              </w:rPr>
              <w:br/>
              <w:t>2008/0140 (CNS)</w:t>
            </w:r>
            <w:r>
              <w:rPr>
                <w:noProof/>
                <w:sz w:val="20"/>
              </w:rPr>
              <w:br/>
              <w:t>02.07.2008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REGULATION OF THE EUROPEAN </w:t>
            </w:r>
            <w:r>
              <w:rPr>
                <w:noProof/>
                <w:sz w:val="20"/>
              </w:rPr>
              <w:t>PARLIAMENT AND OF THE COUNCIL amending Regulation (EU) No 182/2011 laying down the rules and general principles concerning mechanisms for control by Member States of the Commission’s exercise of implementing powers</w:t>
            </w:r>
          </w:p>
        </w:tc>
        <w:tc>
          <w:tcPr>
            <w:tcW w:w="2126" w:type="dxa"/>
            <w:tcMar>
              <w:top w:w="85" w:type="dxa"/>
              <w:left w:w="85" w:type="dxa"/>
              <w:bottom w:w="85" w:type="dxa"/>
            </w:tcMar>
          </w:tcPr>
          <w:p w:rsidR="00B40DA7" w:rsidRDefault="00531C5A">
            <w:pPr>
              <w:spacing w:after="0"/>
              <w:jc w:val="left"/>
              <w:rPr>
                <w:noProof/>
                <w:sz w:val="20"/>
              </w:rPr>
            </w:pPr>
            <w:r>
              <w:rPr>
                <w:noProof/>
                <w:sz w:val="20"/>
              </w:rPr>
              <w:t>COM(2017)85 final</w:t>
            </w:r>
            <w:r>
              <w:rPr>
                <w:noProof/>
                <w:sz w:val="20"/>
              </w:rPr>
              <w:br/>
              <w:t>2017/0035 (COD)</w:t>
            </w:r>
          </w:p>
          <w:p w:rsidR="00B40DA7" w:rsidRDefault="00531C5A">
            <w:pPr>
              <w:spacing w:after="0"/>
              <w:jc w:val="left"/>
              <w:rPr>
                <w:noProof/>
                <w:sz w:val="20"/>
              </w:rPr>
            </w:pPr>
            <w:r>
              <w:rPr>
                <w:noProof/>
                <w:sz w:val="20"/>
              </w:rPr>
              <w:t>14.02.2</w:t>
            </w:r>
            <w:r>
              <w:rPr>
                <w:noProof/>
                <w:sz w:val="20"/>
              </w:rPr>
              <w:t>017</w:t>
            </w:r>
          </w:p>
          <w:p w:rsidR="00B40DA7" w:rsidRDefault="00B40DA7">
            <w:pPr>
              <w:spacing w:after="0"/>
              <w:jc w:val="left"/>
              <w:rPr>
                <w:noProof/>
                <w:sz w:val="20"/>
              </w:rPr>
            </w:pP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the conditions for accessing the other EU information systems and amending Regulation (EU) 2018/1862 and Regulation (EU) yyyy/xxx [ECRIS-TCN]</w:t>
            </w:r>
          </w:p>
        </w:tc>
        <w:tc>
          <w:tcPr>
            <w:tcW w:w="2126" w:type="dxa"/>
            <w:tcMar>
              <w:top w:w="85" w:type="dxa"/>
              <w:left w:w="85" w:type="dxa"/>
              <w:bottom w:w="85" w:type="dxa"/>
            </w:tcMar>
          </w:tcPr>
          <w:p w:rsidR="00B40DA7" w:rsidRDefault="00531C5A">
            <w:pPr>
              <w:spacing w:after="0"/>
              <w:jc w:val="left"/>
              <w:rPr>
                <w:noProof/>
                <w:sz w:val="20"/>
              </w:rPr>
            </w:pPr>
            <w:r>
              <w:rPr>
                <w:noProof/>
                <w:sz w:val="20"/>
              </w:rPr>
              <w:t>COM(2019)3 final</w:t>
            </w:r>
            <w:r>
              <w:rPr>
                <w:noProof/>
                <w:sz w:val="20"/>
              </w:rPr>
              <w:br/>
              <w:t>2019/</w:t>
            </w:r>
            <w:r>
              <w:rPr>
                <w:noProof/>
                <w:sz w:val="20"/>
              </w:rPr>
              <w:t>0001 (COD)</w:t>
            </w:r>
            <w:r>
              <w:rPr>
                <w:noProof/>
                <w:sz w:val="20"/>
              </w:rPr>
              <w:br/>
              <w:t>07.01.2019</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on the law applicable to the third-party effects of assignments of claims</w:t>
            </w:r>
          </w:p>
        </w:tc>
        <w:tc>
          <w:tcPr>
            <w:tcW w:w="2126" w:type="dxa"/>
            <w:tcMar>
              <w:top w:w="85" w:type="dxa"/>
              <w:left w:w="85" w:type="dxa"/>
              <w:bottom w:w="85" w:type="dxa"/>
            </w:tcMar>
          </w:tcPr>
          <w:p w:rsidR="00B40DA7" w:rsidRDefault="00531C5A">
            <w:pPr>
              <w:spacing w:after="0"/>
              <w:jc w:val="left"/>
              <w:rPr>
                <w:noProof/>
                <w:sz w:val="20"/>
              </w:rPr>
            </w:pPr>
            <w:r>
              <w:rPr>
                <w:noProof/>
                <w:sz w:val="20"/>
              </w:rPr>
              <w:t>COM(2018)96 final</w:t>
            </w:r>
            <w:r>
              <w:rPr>
                <w:noProof/>
                <w:sz w:val="20"/>
              </w:rPr>
              <w:br/>
              <w:t>2018/0044 (COD)</w:t>
            </w:r>
            <w:r>
              <w:rPr>
                <w:noProof/>
                <w:sz w:val="20"/>
              </w:rPr>
              <w:br/>
              <w:t>12.03.2016</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rsidR="00B40DA7" w:rsidRDefault="00531C5A">
            <w:pPr>
              <w:spacing w:after="0"/>
              <w:rPr>
                <w:noProof/>
                <w:sz w:val="20"/>
              </w:rPr>
            </w:pPr>
            <w:r>
              <w:rPr>
                <w:noProof/>
                <w:sz w:val="20"/>
              </w:rPr>
              <w:t xml:space="preserve">Proposal for a DIRECTIVE OF THE </w:t>
            </w:r>
            <w:r>
              <w:rPr>
                <w:noProof/>
                <w:sz w:val="20"/>
              </w:rPr>
              <w:t>EUROPEAN PARLIAMENT AND OF THE COUNCIL laying down harmonised rules on the appointment of legal representatives for the purpose of gathering evidence in criminal proceedings</w:t>
            </w:r>
          </w:p>
        </w:tc>
        <w:tc>
          <w:tcPr>
            <w:tcW w:w="2126" w:type="dxa"/>
            <w:tcMar>
              <w:top w:w="85" w:type="dxa"/>
              <w:left w:w="85" w:type="dxa"/>
              <w:bottom w:w="85" w:type="dxa"/>
            </w:tcMar>
          </w:tcPr>
          <w:p w:rsidR="00B40DA7" w:rsidRDefault="00531C5A">
            <w:pPr>
              <w:spacing w:after="0"/>
              <w:jc w:val="left"/>
              <w:rPr>
                <w:noProof/>
                <w:sz w:val="20"/>
              </w:rPr>
            </w:pPr>
            <w:r>
              <w:rPr>
                <w:noProof/>
                <w:sz w:val="20"/>
              </w:rPr>
              <w:t>COM(2018)226 final</w:t>
            </w:r>
            <w:r>
              <w:rPr>
                <w:noProof/>
                <w:sz w:val="20"/>
              </w:rPr>
              <w:br/>
              <w:t>2018/0107 (COD) 18.04.2018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w:t>
            </w:r>
            <w:r>
              <w:rPr>
                <w:noProof/>
                <w:sz w:val="20"/>
              </w:rPr>
              <w:t>UROPEAN PARLIAMENT AND OF THE COUNCIL on European Production and Preservation Orders for electronic evidence in criminal matters</w:t>
            </w:r>
          </w:p>
        </w:tc>
        <w:tc>
          <w:tcPr>
            <w:tcW w:w="2126" w:type="dxa"/>
            <w:tcMar>
              <w:top w:w="85" w:type="dxa"/>
              <w:left w:w="85" w:type="dxa"/>
              <w:bottom w:w="85" w:type="dxa"/>
            </w:tcMar>
          </w:tcPr>
          <w:p w:rsidR="00B40DA7" w:rsidRDefault="00531C5A">
            <w:pPr>
              <w:spacing w:after="0"/>
              <w:jc w:val="left"/>
              <w:rPr>
                <w:noProof/>
                <w:sz w:val="20"/>
              </w:rPr>
            </w:pPr>
            <w:r>
              <w:rPr>
                <w:noProof/>
                <w:sz w:val="20"/>
              </w:rPr>
              <w:t>COM(2018)225 final</w:t>
            </w:r>
            <w:r>
              <w:rPr>
                <w:noProof/>
                <w:sz w:val="20"/>
              </w:rPr>
              <w:br/>
              <w:t>2018/0108 (COD) 18.04.2018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amendin</w:t>
            </w:r>
            <w:r>
              <w:rPr>
                <w:noProof/>
                <w:sz w:val="20"/>
              </w:rPr>
              <w:t>g Regulation (EC) No 1393/2007 of the European Parliament and of the Council on the service in the Member States of judicial and extrajudicial documents in civil or commercial matters (service of documents)</w:t>
            </w:r>
          </w:p>
        </w:tc>
        <w:tc>
          <w:tcPr>
            <w:tcW w:w="2126" w:type="dxa"/>
            <w:tcMar>
              <w:top w:w="85" w:type="dxa"/>
              <w:left w:w="85" w:type="dxa"/>
              <w:bottom w:w="85" w:type="dxa"/>
            </w:tcMar>
          </w:tcPr>
          <w:p w:rsidR="00B40DA7" w:rsidRDefault="00531C5A">
            <w:pPr>
              <w:spacing w:after="0"/>
              <w:jc w:val="left"/>
              <w:rPr>
                <w:noProof/>
                <w:sz w:val="20"/>
              </w:rPr>
            </w:pPr>
            <w:r>
              <w:rPr>
                <w:noProof/>
                <w:sz w:val="20"/>
              </w:rPr>
              <w:t>COM(2018)379 final</w:t>
            </w:r>
            <w:r>
              <w:rPr>
                <w:noProof/>
                <w:sz w:val="20"/>
              </w:rPr>
              <w:br/>
              <w:t>2018/0204 (COD)</w:t>
            </w:r>
            <w:r>
              <w:rPr>
                <w:noProof/>
                <w:sz w:val="20"/>
              </w:rPr>
              <w:br/>
              <w:t>31.05.2018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tcBorders>
              <w:bottom w:val="single" w:sz="4" w:space="0" w:color="auto"/>
            </w:tcBorders>
            <w:shd w:val="clear" w:color="auto" w:fill="auto"/>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amending Council Regulation (EC) No 1206/2001 of 28 May 2001 on cooperation between the courts of the Member States in the taking of evidence in civil or commercial matters</w:t>
            </w:r>
          </w:p>
        </w:tc>
        <w:tc>
          <w:tcPr>
            <w:tcW w:w="2126" w:type="dxa"/>
            <w:tcMar>
              <w:top w:w="85" w:type="dxa"/>
              <w:left w:w="85" w:type="dxa"/>
              <w:bottom w:w="85" w:type="dxa"/>
            </w:tcMar>
          </w:tcPr>
          <w:p w:rsidR="00B40DA7" w:rsidRDefault="00531C5A">
            <w:pPr>
              <w:spacing w:after="0"/>
              <w:jc w:val="left"/>
              <w:rPr>
                <w:noProof/>
                <w:sz w:val="20"/>
              </w:rPr>
            </w:pPr>
            <w:r>
              <w:rPr>
                <w:noProof/>
                <w:sz w:val="20"/>
              </w:rPr>
              <w:t>COM(2018)37</w:t>
            </w:r>
            <w:r>
              <w:rPr>
                <w:noProof/>
                <w:sz w:val="20"/>
              </w:rPr>
              <w:t>8 final</w:t>
            </w:r>
            <w:r>
              <w:rPr>
                <w:noProof/>
                <w:sz w:val="20"/>
              </w:rPr>
              <w:br/>
              <w:t>2018/0203 (COD) 31.05.2018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on the protection of the Union's budget in case of generalised deficiencies as regards the rule of law in the Member States</w:t>
            </w:r>
          </w:p>
        </w:tc>
        <w:tc>
          <w:tcPr>
            <w:tcW w:w="2126" w:type="dxa"/>
            <w:tcMar>
              <w:top w:w="85" w:type="dxa"/>
              <w:left w:w="85" w:type="dxa"/>
              <w:bottom w:w="85" w:type="dxa"/>
            </w:tcMar>
          </w:tcPr>
          <w:p w:rsidR="00B40DA7" w:rsidRDefault="00531C5A">
            <w:pPr>
              <w:spacing w:after="0"/>
              <w:jc w:val="left"/>
              <w:rPr>
                <w:noProof/>
                <w:sz w:val="20"/>
              </w:rPr>
            </w:pPr>
            <w:r>
              <w:rPr>
                <w:noProof/>
                <w:sz w:val="20"/>
              </w:rPr>
              <w:t>COM(2018)324 final</w:t>
            </w:r>
            <w:r>
              <w:rPr>
                <w:noProof/>
                <w:sz w:val="20"/>
              </w:rPr>
              <w:br/>
              <w:t>2018</w:t>
            </w:r>
            <w:r>
              <w:rPr>
                <w:noProof/>
                <w:sz w:val="20"/>
              </w:rPr>
              <w:t>/0136 (COD)</w:t>
            </w:r>
            <w:r>
              <w:rPr>
                <w:noProof/>
                <w:sz w:val="20"/>
              </w:rPr>
              <w:br/>
              <w:t>03.05.2018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Proposal for a REGULATION OF THE EUROPEAN PARLIAMENT AND OF THE COUNCIL establishing the Rights and Values programme</w:t>
            </w:r>
          </w:p>
        </w:tc>
        <w:tc>
          <w:tcPr>
            <w:tcW w:w="2126" w:type="dxa"/>
            <w:tcMar>
              <w:top w:w="85" w:type="dxa"/>
              <w:left w:w="85" w:type="dxa"/>
              <w:bottom w:w="85" w:type="dxa"/>
            </w:tcMar>
          </w:tcPr>
          <w:p w:rsidR="00B40DA7" w:rsidRDefault="00531C5A">
            <w:pPr>
              <w:spacing w:after="0"/>
              <w:jc w:val="left"/>
              <w:rPr>
                <w:noProof/>
                <w:sz w:val="20"/>
              </w:rPr>
            </w:pPr>
            <w:r>
              <w:rPr>
                <w:noProof/>
                <w:sz w:val="20"/>
              </w:rPr>
              <w:t>COM(2018)383 final</w:t>
            </w:r>
            <w:r>
              <w:rPr>
                <w:noProof/>
                <w:sz w:val="20"/>
              </w:rPr>
              <w:br/>
              <w:t>2018/0207 (COD)</w:t>
            </w:r>
            <w:r>
              <w:rPr>
                <w:noProof/>
                <w:sz w:val="20"/>
              </w:rPr>
              <w:br/>
              <w:t>30.05.2018</w:t>
            </w:r>
          </w:p>
        </w:tc>
      </w:tr>
      <w:tr w:rsidR="00B40DA7">
        <w:trPr>
          <w:cantSplit/>
        </w:trPr>
        <w:tc>
          <w:tcPr>
            <w:tcW w:w="652" w:type="dxa"/>
            <w:tcBorders>
              <w:right w:val="nil"/>
            </w:tcBorders>
            <w:shd w:val="clear" w:color="auto" w:fill="auto"/>
            <w:tcMar>
              <w:top w:w="85" w:type="dxa"/>
              <w:left w:w="85" w:type="dxa"/>
              <w:bottom w:w="85" w:type="dxa"/>
            </w:tcMar>
          </w:tcPr>
          <w:p w:rsidR="00B40DA7" w:rsidRDefault="00B40DA7">
            <w:pPr>
              <w:pStyle w:val="ListParagraph"/>
              <w:numPr>
                <w:ilvl w:val="0"/>
                <w:numId w:val="20"/>
              </w:numPr>
              <w:spacing w:after="0"/>
              <w:ind w:left="426"/>
              <w:rPr>
                <w:b/>
                <w:noProof/>
                <w:sz w:val="20"/>
              </w:rPr>
            </w:pPr>
          </w:p>
        </w:tc>
        <w:tc>
          <w:tcPr>
            <w:tcW w:w="12072" w:type="dxa"/>
            <w:shd w:val="clear" w:color="auto" w:fill="EEECE1" w:themeFill="background2"/>
            <w:tcMar>
              <w:top w:w="85" w:type="dxa"/>
              <w:left w:w="85" w:type="dxa"/>
              <w:bottom w:w="85" w:type="dxa"/>
            </w:tcMar>
          </w:tcPr>
          <w:p w:rsidR="00B40DA7" w:rsidRDefault="00531C5A">
            <w:pPr>
              <w:spacing w:after="0"/>
              <w:rPr>
                <w:noProof/>
                <w:sz w:val="20"/>
              </w:rPr>
            </w:pPr>
            <w:r>
              <w:rPr>
                <w:noProof/>
                <w:sz w:val="20"/>
              </w:rPr>
              <w:t xml:space="preserve">Proposal for a REGULATION OF THE EUROPEAN PARLIAMENT AND OF THE </w:t>
            </w:r>
            <w:r>
              <w:rPr>
                <w:noProof/>
                <w:sz w:val="20"/>
              </w:rPr>
              <w:t>COUNCIL establishing the Justice programme</w:t>
            </w:r>
          </w:p>
        </w:tc>
        <w:tc>
          <w:tcPr>
            <w:tcW w:w="2126" w:type="dxa"/>
            <w:tcMar>
              <w:top w:w="85" w:type="dxa"/>
              <w:left w:w="85" w:type="dxa"/>
              <w:bottom w:w="85" w:type="dxa"/>
            </w:tcMar>
          </w:tcPr>
          <w:p w:rsidR="00B40DA7" w:rsidRDefault="00531C5A">
            <w:pPr>
              <w:spacing w:after="0"/>
              <w:jc w:val="left"/>
              <w:rPr>
                <w:noProof/>
                <w:sz w:val="20"/>
              </w:rPr>
            </w:pPr>
            <w:r>
              <w:rPr>
                <w:noProof/>
                <w:sz w:val="20"/>
              </w:rPr>
              <w:t>COM(2018)384 final</w:t>
            </w:r>
            <w:r>
              <w:rPr>
                <w:noProof/>
                <w:sz w:val="20"/>
              </w:rPr>
              <w:br/>
              <w:t>2018/0208 (COD)</w:t>
            </w:r>
            <w:r>
              <w:rPr>
                <w:noProof/>
                <w:sz w:val="20"/>
              </w:rPr>
              <w:br/>
              <w:t>30.05.2018</w:t>
            </w:r>
          </w:p>
        </w:tc>
      </w:tr>
    </w:tbl>
    <w:p w:rsidR="00B40DA7" w:rsidRDefault="00531C5A">
      <w:pPr>
        <w:spacing w:after="0"/>
        <w:rPr>
          <w:noProof/>
          <w:sz w:val="20"/>
        </w:rPr>
      </w:pPr>
      <w:r>
        <w:rPr>
          <w:noProof/>
          <w:sz w:val="20"/>
        </w:rPr>
        <w:br w:type="textWrapping" w:clear="all"/>
      </w:r>
      <w:r>
        <w:rPr>
          <w:noProof/>
          <w:sz w:val="20"/>
        </w:rPr>
        <w:br w:type="page"/>
      </w:r>
    </w:p>
    <w:p w:rsidR="00B40DA7" w:rsidRDefault="00531C5A">
      <w:pPr>
        <w:spacing w:after="600"/>
        <w:jc w:val="center"/>
        <w:rPr>
          <w:b/>
          <w:noProof/>
          <w:sz w:val="28"/>
          <w:szCs w:val="28"/>
          <w:u w:val="single"/>
        </w:rPr>
      </w:pPr>
      <w:r>
        <w:rPr>
          <w:b/>
          <w:bCs/>
          <w:noProof/>
          <w:sz w:val="28"/>
          <w:szCs w:val="28"/>
          <w:u w:val="single"/>
        </w:rPr>
        <w:t>Annex IV: Withdrawals</w:t>
      </w:r>
      <w:r>
        <w:rPr>
          <w:rStyle w:val="FootnoteReference"/>
          <w:b/>
          <w:bCs/>
          <w:noProof/>
          <w:sz w:val="28"/>
          <w:szCs w:val="28"/>
          <w:u w:val="single"/>
        </w:rPr>
        <w:footnoteReference w:id="5"/>
      </w:r>
    </w:p>
    <w:tbl>
      <w:tblPr>
        <w:tblStyle w:val="TableGrid"/>
        <w:tblW w:w="14827" w:type="dxa"/>
        <w:tblLayout w:type="fixed"/>
        <w:tblCellMar>
          <w:top w:w="57" w:type="dxa"/>
          <w:left w:w="85" w:type="dxa"/>
          <w:bottom w:w="57" w:type="dxa"/>
          <w:right w:w="85" w:type="dxa"/>
        </w:tblCellMar>
        <w:tblLook w:val="04A0" w:firstRow="1" w:lastRow="0" w:firstColumn="1" w:lastColumn="0" w:noHBand="0" w:noVBand="1"/>
      </w:tblPr>
      <w:tblGrid>
        <w:gridCol w:w="511"/>
        <w:gridCol w:w="2067"/>
        <w:gridCol w:w="7836"/>
        <w:gridCol w:w="4413"/>
      </w:tblGrid>
      <w:tr w:rsidR="00B40DA7">
        <w:trPr>
          <w:cantSplit/>
          <w:tblHeader/>
        </w:trPr>
        <w:tc>
          <w:tcPr>
            <w:tcW w:w="511" w:type="dxa"/>
            <w:tcBorders>
              <w:top w:val="single" w:sz="4" w:space="0" w:color="auto"/>
              <w:left w:val="single" w:sz="4" w:space="0" w:color="auto"/>
              <w:bottom w:val="single" w:sz="4" w:space="0" w:color="auto"/>
              <w:right w:val="nil"/>
            </w:tcBorders>
            <w:shd w:val="clear" w:color="auto" w:fill="99CCFF"/>
            <w:tcMar>
              <w:top w:w="85" w:type="dxa"/>
              <w:bottom w:w="85" w:type="dxa"/>
              <w:right w:w="85" w:type="dxa"/>
            </w:tcMar>
          </w:tcPr>
          <w:p w:rsidR="00B40DA7" w:rsidRDefault="00531C5A">
            <w:pPr>
              <w:spacing w:before="60" w:after="60"/>
              <w:rPr>
                <w:b/>
                <w:bCs/>
                <w:noProof/>
                <w:sz w:val="20"/>
              </w:rPr>
            </w:pPr>
            <w:r>
              <w:rPr>
                <w:b/>
                <w:bCs/>
                <w:noProof/>
                <w:sz w:val="20"/>
              </w:rPr>
              <w:t>No.</w:t>
            </w:r>
          </w:p>
        </w:tc>
        <w:tc>
          <w:tcPr>
            <w:tcW w:w="2067"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rsidR="00B40DA7" w:rsidRDefault="00531C5A">
            <w:pPr>
              <w:spacing w:before="60" w:after="60"/>
              <w:jc w:val="center"/>
              <w:rPr>
                <w:b/>
                <w:bCs/>
                <w:noProof/>
                <w:sz w:val="20"/>
              </w:rPr>
            </w:pPr>
            <w:r>
              <w:rPr>
                <w:b/>
                <w:bCs/>
                <w:noProof/>
                <w:sz w:val="20"/>
              </w:rPr>
              <w:t>References</w:t>
            </w:r>
          </w:p>
        </w:tc>
        <w:tc>
          <w:tcPr>
            <w:tcW w:w="7836"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rsidR="00B40DA7" w:rsidRDefault="00531C5A">
            <w:pPr>
              <w:spacing w:before="60" w:after="60"/>
              <w:jc w:val="center"/>
              <w:rPr>
                <w:b/>
                <w:bCs/>
                <w:noProof/>
                <w:sz w:val="20"/>
              </w:rPr>
            </w:pPr>
            <w:r>
              <w:rPr>
                <w:b/>
                <w:bCs/>
                <w:noProof/>
                <w:sz w:val="20"/>
              </w:rPr>
              <w:t>Title</w:t>
            </w:r>
          </w:p>
        </w:tc>
        <w:tc>
          <w:tcPr>
            <w:tcW w:w="4413" w:type="dxa"/>
            <w:tcBorders>
              <w:top w:val="single" w:sz="4" w:space="0" w:color="auto"/>
              <w:left w:val="single" w:sz="4" w:space="0" w:color="auto"/>
              <w:bottom w:val="single" w:sz="4" w:space="0" w:color="auto"/>
              <w:right w:val="single" w:sz="4" w:space="0" w:color="auto"/>
            </w:tcBorders>
            <w:shd w:val="clear" w:color="auto" w:fill="99CCFF"/>
            <w:tcMar>
              <w:top w:w="85" w:type="dxa"/>
              <w:bottom w:w="85" w:type="dxa"/>
              <w:right w:w="85" w:type="dxa"/>
            </w:tcMar>
          </w:tcPr>
          <w:p w:rsidR="00B40DA7" w:rsidRDefault="00531C5A">
            <w:pPr>
              <w:spacing w:before="60" w:after="60"/>
              <w:jc w:val="center"/>
              <w:rPr>
                <w:b/>
                <w:bCs/>
                <w:noProof/>
                <w:sz w:val="20"/>
              </w:rPr>
            </w:pPr>
            <w:r>
              <w:rPr>
                <w:b/>
                <w:bCs/>
                <w:noProof/>
                <w:sz w:val="20"/>
              </w:rPr>
              <w:t>Reasons for withdrawal</w:t>
            </w:r>
          </w:p>
        </w:tc>
      </w:tr>
      <w:tr w:rsidR="00B40DA7">
        <w:trPr>
          <w:cantSplit/>
        </w:trPr>
        <w:tc>
          <w:tcPr>
            <w:tcW w:w="14827" w:type="dxa"/>
            <w:gridSpan w:val="4"/>
            <w:tcBorders>
              <w:top w:val="single" w:sz="4" w:space="0" w:color="auto"/>
              <w:left w:val="single" w:sz="4" w:space="0" w:color="auto"/>
              <w:bottom w:val="single" w:sz="4" w:space="0" w:color="auto"/>
            </w:tcBorders>
            <w:shd w:val="clear" w:color="auto" w:fill="9ACA3C" w:themeFill="accent1"/>
            <w:tcMar>
              <w:top w:w="85" w:type="dxa"/>
              <w:bottom w:w="85" w:type="dxa"/>
              <w:right w:w="85" w:type="dxa"/>
            </w:tcMar>
          </w:tcPr>
          <w:p w:rsidR="00B40DA7" w:rsidRDefault="00531C5A">
            <w:pPr>
              <w:keepNext/>
              <w:spacing w:before="60" w:after="60"/>
              <w:rPr>
                <w:noProof/>
                <w:sz w:val="20"/>
              </w:rPr>
            </w:pPr>
            <w:r>
              <w:rPr>
                <w:b/>
                <w:bCs/>
                <w:noProof/>
                <w:color w:val="FFFFFF" w:themeColor="background1"/>
                <w:sz w:val="20"/>
              </w:rPr>
              <w:t>A European Green Deal</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spacing w:after="0"/>
              <w:jc w:val="left"/>
              <w:rPr>
                <w:noProof/>
                <w:sz w:val="20"/>
              </w:rPr>
            </w:pPr>
            <w:r>
              <w:rPr>
                <w:noProof/>
                <w:sz w:val="20"/>
              </w:rPr>
              <w:t>COM(2017)826 final</w:t>
            </w:r>
          </w:p>
          <w:p w:rsidR="00B40DA7" w:rsidRDefault="00531C5A">
            <w:pPr>
              <w:spacing w:after="0"/>
              <w:rPr>
                <w:noProof/>
                <w:sz w:val="20"/>
              </w:rPr>
            </w:pPr>
            <w:r>
              <w:rPr>
                <w:noProof/>
                <w:sz w:val="20"/>
              </w:rPr>
              <w:t>2017/0336 (COD)</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 xml:space="preserve">Proposal for a REGULATION OF THE </w:t>
            </w:r>
            <w:r>
              <w:rPr>
                <w:noProof/>
                <w:sz w:val="20"/>
              </w:rPr>
              <w:t>EUROPEAN PARLIAMENT AND OF THE COUNCIL amending Regulation (EU) No 1303/2013 of the European Parliament and of the Council of 17 December 2013 laying down common provisions on the European Regional Development Fund, the European Social Fund, the Cohesion F</w:t>
            </w:r>
            <w:r>
              <w:rPr>
                <w:noProof/>
                <w:sz w:val="20"/>
              </w:rPr>
              <w:t>und, the European Agricultural Fund for Rural Development and the European Maritime and Fisheries Fund and laying down general provisions on the European Regional Development Fund, the European Social Fund, the Cohesion Fund and the European Maritime and F</w:t>
            </w:r>
            <w:r>
              <w:rPr>
                <w:noProof/>
                <w:sz w:val="20"/>
              </w:rPr>
              <w:t>isheries Fund and repealing Council Regulation (EC) No 1083/2006 as regards support to structural reforms in Member States</w:t>
            </w:r>
          </w:p>
        </w:tc>
        <w:tc>
          <w:tcPr>
            <w:tcW w:w="4413" w:type="dxa"/>
            <w:tcMar>
              <w:top w:w="85" w:type="dxa"/>
              <w:bottom w:w="85" w:type="dxa"/>
              <w:right w:w="108" w:type="dxa"/>
            </w:tcMar>
          </w:tcPr>
          <w:p w:rsidR="00B40DA7" w:rsidRDefault="00531C5A">
            <w:pPr>
              <w:spacing w:after="0"/>
              <w:jc w:val="left"/>
              <w:rPr>
                <w:noProof/>
                <w:sz w:val="20"/>
              </w:rPr>
            </w:pPr>
            <w:r>
              <w:rPr>
                <w:noProof/>
                <w:sz w:val="20"/>
              </w:rPr>
              <w:t>Obsolete: the proposal relates to the budgetary period 2014-2020 and is now no longer needed.</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spacing w:after="0"/>
              <w:jc w:val="left"/>
              <w:rPr>
                <w:noProof/>
                <w:sz w:val="20"/>
              </w:rPr>
            </w:pPr>
            <w:r>
              <w:rPr>
                <w:noProof/>
                <w:sz w:val="20"/>
              </w:rPr>
              <w:t>COM(2017)97 final</w:t>
            </w:r>
            <w:r>
              <w:rPr>
                <w:noProof/>
                <w:sz w:val="20"/>
              </w:rPr>
              <w:br/>
              <w:t>2017/0043 (COD)</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Proposal for a REGULATION OF THE EUROPEAN PARLIAMENT AND OF THE COUNCIL establishing a multi-annual plan for small pelagic stocks in the Adriatic Sea and the fisheries exploiting those stocks</w:t>
            </w:r>
          </w:p>
        </w:tc>
        <w:tc>
          <w:tcPr>
            <w:tcW w:w="4413" w:type="dxa"/>
            <w:tcMar>
              <w:top w:w="85" w:type="dxa"/>
              <w:bottom w:w="85" w:type="dxa"/>
              <w:right w:w="108" w:type="dxa"/>
            </w:tcMar>
          </w:tcPr>
          <w:p w:rsidR="00B40DA7" w:rsidRDefault="00531C5A">
            <w:pPr>
              <w:spacing w:after="0"/>
              <w:jc w:val="left"/>
              <w:rPr>
                <w:noProof/>
                <w:sz w:val="20"/>
              </w:rPr>
            </w:pPr>
            <w:r>
              <w:rPr>
                <w:noProof/>
                <w:sz w:val="20"/>
              </w:rPr>
              <w:t>No foreseeable agreement: the scope of the proposal has been par</w:t>
            </w:r>
            <w:r>
              <w:rPr>
                <w:noProof/>
                <w:sz w:val="20"/>
              </w:rPr>
              <w:t>tly taken over by international agreements and several amendments proposed distort the proposal in a manner which prevents achievement of the objectives pursued by the proposal.</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spacing w:after="0"/>
              <w:jc w:val="left"/>
              <w:rPr>
                <w:noProof/>
                <w:sz w:val="20"/>
              </w:rPr>
            </w:pPr>
            <w:r>
              <w:rPr>
                <w:noProof/>
                <w:sz w:val="20"/>
              </w:rPr>
              <w:t>COM(2014)265 final</w:t>
            </w:r>
            <w:r>
              <w:rPr>
                <w:noProof/>
                <w:sz w:val="20"/>
              </w:rPr>
              <w:br/>
              <w:t>2014/0138 (COD)</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Proposal for a REGULATION OF THE EUROPEAN</w:t>
            </w:r>
            <w:r>
              <w:rPr>
                <w:noProof/>
                <w:sz w:val="20"/>
              </w:rPr>
              <w:t xml:space="preserve"> PARLIAMENT AND OF THE COUNCIL laying down a prohibition on driftnet fisheries, amending Council Regulations (EC) No 850/98, (EC) No 812/2004,(EC) No 2187/2005 and (EC) No 1967/2006 and repealing Council Regulation (EC) No 894/97</w:t>
            </w:r>
          </w:p>
        </w:tc>
        <w:tc>
          <w:tcPr>
            <w:tcW w:w="4413" w:type="dxa"/>
            <w:tcMar>
              <w:top w:w="85" w:type="dxa"/>
              <w:bottom w:w="85" w:type="dxa"/>
              <w:right w:w="108" w:type="dxa"/>
            </w:tcMar>
          </w:tcPr>
          <w:p w:rsidR="00B40DA7" w:rsidRDefault="00531C5A">
            <w:pPr>
              <w:spacing w:after="0"/>
              <w:jc w:val="left"/>
              <w:rPr>
                <w:noProof/>
                <w:sz w:val="20"/>
              </w:rPr>
            </w:pPr>
            <w:r>
              <w:rPr>
                <w:noProof/>
                <w:sz w:val="20"/>
              </w:rPr>
              <w:t>Obsolete: several elements</w:t>
            </w:r>
            <w:r>
              <w:rPr>
                <w:noProof/>
                <w:sz w:val="20"/>
              </w:rPr>
              <w:t xml:space="preserve"> have been taken over by the new regulation on technical measures (Regulation (EU) 2019/1241 on the conservation of fisheries resources and the protection of marine ecosystems through technical measures). In addition, no progress has been made by co-legisl</w:t>
            </w:r>
            <w:r>
              <w:rPr>
                <w:noProof/>
                <w:sz w:val="20"/>
              </w:rPr>
              <w:t xml:space="preserve">ators for several years. </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spacing w:after="0"/>
              <w:jc w:val="left"/>
              <w:rPr>
                <w:noProof/>
                <w:sz w:val="20"/>
              </w:rPr>
            </w:pPr>
            <w:r>
              <w:rPr>
                <w:noProof/>
                <w:sz w:val="20"/>
              </w:rPr>
              <w:t>COM(2012)332 final</w:t>
            </w:r>
            <w:r>
              <w:rPr>
                <w:noProof/>
                <w:sz w:val="20"/>
              </w:rPr>
              <w:br/>
              <w:t>2012/0162 (COD)</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 xml:space="preserve">Proposal for a REGULATION OF THE EUROPEAN PARLIAMENT AND OF THE COUNCIL amending Council Regulation (EC) No 1005/2008 establishing a Community system to prevent, deter and eliminate illegal, </w:t>
            </w:r>
            <w:r>
              <w:rPr>
                <w:noProof/>
                <w:sz w:val="20"/>
              </w:rPr>
              <w:t>unreported and unregulated fishing</w:t>
            </w:r>
          </w:p>
        </w:tc>
        <w:tc>
          <w:tcPr>
            <w:tcW w:w="4413" w:type="dxa"/>
            <w:tcMar>
              <w:top w:w="85" w:type="dxa"/>
              <w:bottom w:w="85" w:type="dxa"/>
              <w:right w:w="108" w:type="dxa"/>
            </w:tcMar>
          </w:tcPr>
          <w:p w:rsidR="00B40DA7" w:rsidRDefault="00531C5A">
            <w:pPr>
              <w:spacing w:after="0"/>
              <w:jc w:val="left"/>
              <w:rPr>
                <w:noProof/>
                <w:sz w:val="20"/>
              </w:rPr>
            </w:pPr>
            <w:r>
              <w:rPr>
                <w:noProof/>
                <w:sz w:val="20"/>
              </w:rPr>
              <w:t>Obsolete: other proposals (such as e.g. the Commission proposal for a new fisheries control regulation (COM(2018)368)  that are either adopted or under negotiation have in the meantime covered main elements of this propos</w:t>
            </w:r>
            <w:r>
              <w:rPr>
                <w:noProof/>
                <w:sz w:val="20"/>
              </w:rPr>
              <w:t>al.</w:t>
            </w:r>
          </w:p>
        </w:tc>
      </w:tr>
      <w:tr w:rsidR="00B40DA7">
        <w:trPr>
          <w:cantSplit/>
        </w:trPr>
        <w:tc>
          <w:tcPr>
            <w:tcW w:w="511" w:type="dxa"/>
            <w:tcBorders>
              <w:bottom w:val="single" w:sz="4" w:space="0" w:color="auto"/>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COM(2012)413 final</w:t>
            </w:r>
            <w:r>
              <w:rPr>
                <w:noProof/>
                <w:sz w:val="20"/>
              </w:rPr>
              <w:br/>
              <w:t>2012/0201 (COD)</w:t>
            </w:r>
          </w:p>
        </w:tc>
        <w:tc>
          <w:tcPr>
            <w:tcW w:w="7836" w:type="dxa"/>
            <w:tcBorders>
              <w:bottom w:val="single" w:sz="4" w:space="0" w:color="auto"/>
            </w:tcBorders>
            <w:shd w:val="clear" w:color="auto" w:fill="auto"/>
            <w:tcMar>
              <w:top w:w="85" w:type="dxa"/>
              <w:bottom w:w="85" w:type="dxa"/>
              <w:right w:w="108" w:type="dxa"/>
            </w:tcMar>
          </w:tcPr>
          <w:p w:rsidR="00B40DA7" w:rsidRDefault="00531C5A">
            <w:pPr>
              <w:spacing w:after="0"/>
              <w:rPr>
                <w:noProof/>
                <w:sz w:val="20"/>
              </w:rPr>
            </w:pPr>
            <w:r>
              <w:rPr>
                <w:noProof/>
                <w:sz w:val="20"/>
              </w:rPr>
              <w:t>Proposal for a REGULATION OF THE EUROPEAN PARLIAMENT AND OF THE COUNCIL amending Council Regulation (EC) No 1100/2007 establishing measures for the recovery of the stock of European eel</w:t>
            </w:r>
          </w:p>
        </w:tc>
        <w:tc>
          <w:tcPr>
            <w:tcW w:w="4413"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Obsolete: the eel stock has e</w:t>
            </w:r>
            <w:r>
              <w:rPr>
                <w:noProof/>
                <w:sz w:val="20"/>
              </w:rPr>
              <w:t>volved since 2012; other regulations such as regulations on fishing opportunities setting yearly total allowable catches and quotas have in the meantime covered main elements of this proposal.</w:t>
            </w:r>
          </w:p>
        </w:tc>
      </w:tr>
      <w:tr w:rsidR="00B40DA7">
        <w:trPr>
          <w:cantSplit/>
        </w:trPr>
        <w:tc>
          <w:tcPr>
            <w:tcW w:w="511" w:type="dxa"/>
            <w:tcBorders>
              <w:bottom w:val="single" w:sz="4" w:space="0" w:color="auto"/>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rsidR="00B40DA7" w:rsidRDefault="00531C5A">
            <w:pPr>
              <w:jc w:val="left"/>
              <w:rPr>
                <w:noProof/>
                <w:sz w:val="20"/>
              </w:rPr>
            </w:pPr>
            <w:r>
              <w:rPr>
                <w:noProof/>
                <w:sz w:val="20"/>
              </w:rPr>
              <w:t>COM(2012)432 final</w:t>
            </w:r>
            <w:r>
              <w:rPr>
                <w:noProof/>
                <w:sz w:val="20"/>
              </w:rPr>
              <w:br/>
              <w:t>2012/0208 (COD)</w:t>
            </w:r>
          </w:p>
        </w:tc>
        <w:tc>
          <w:tcPr>
            <w:tcW w:w="7836" w:type="dxa"/>
            <w:tcBorders>
              <w:bottom w:val="single" w:sz="4" w:space="0" w:color="auto"/>
            </w:tcBorders>
            <w:shd w:val="clear" w:color="auto" w:fill="auto"/>
            <w:tcMar>
              <w:top w:w="85" w:type="dxa"/>
              <w:bottom w:w="85" w:type="dxa"/>
              <w:right w:w="108" w:type="dxa"/>
            </w:tcMar>
          </w:tcPr>
          <w:p w:rsidR="00B40DA7" w:rsidRDefault="00531C5A">
            <w:pPr>
              <w:spacing w:after="0"/>
              <w:rPr>
                <w:noProof/>
                <w:sz w:val="20"/>
              </w:rPr>
            </w:pPr>
            <w:r>
              <w:rPr>
                <w:noProof/>
                <w:sz w:val="20"/>
              </w:rPr>
              <w:t xml:space="preserve">Proposal for a REGULATION </w:t>
            </w:r>
            <w:r>
              <w:rPr>
                <w:noProof/>
                <w:sz w:val="20"/>
              </w:rPr>
              <w:t>OF THE EUROPEAN PARLIAMENT AND OF THE COUNCIL amending Council Regulation (EC) No 850/98 concerning the conservation of fishery resources through technical measures for the protection of juveniles of marine organisms</w:t>
            </w:r>
          </w:p>
        </w:tc>
        <w:tc>
          <w:tcPr>
            <w:tcW w:w="4413"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Obsolete: several elements have been ta</w:t>
            </w:r>
            <w:r>
              <w:rPr>
                <w:noProof/>
                <w:sz w:val="20"/>
              </w:rPr>
              <w:t xml:space="preserve">ken over by the new regulation on technical measures (Regulation (EU) 2019/1241 on the conservation of fisheries resources and the protection of marine ecosystems through technical measures). </w:t>
            </w:r>
          </w:p>
        </w:tc>
      </w:tr>
      <w:tr w:rsidR="00B40DA7">
        <w:trPr>
          <w:cantSplit/>
        </w:trPr>
        <w:tc>
          <w:tcPr>
            <w:tcW w:w="511" w:type="dxa"/>
            <w:tcBorders>
              <w:bottom w:val="single" w:sz="4" w:space="0" w:color="auto"/>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rsidR="00B40DA7" w:rsidRDefault="00531C5A">
            <w:pPr>
              <w:rPr>
                <w:noProof/>
                <w:sz w:val="20"/>
              </w:rPr>
            </w:pPr>
            <w:r>
              <w:rPr>
                <w:noProof/>
                <w:sz w:val="20"/>
              </w:rPr>
              <w:t>COM(2011)470 final</w:t>
            </w:r>
            <w:r>
              <w:rPr>
                <w:noProof/>
                <w:sz w:val="20"/>
              </w:rPr>
              <w:br/>
              <w:t>2011/0206 (COD)</w:t>
            </w:r>
          </w:p>
        </w:tc>
        <w:tc>
          <w:tcPr>
            <w:tcW w:w="7836" w:type="dxa"/>
            <w:tcBorders>
              <w:bottom w:val="single" w:sz="4" w:space="0" w:color="auto"/>
            </w:tcBorders>
            <w:shd w:val="clear" w:color="auto" w:fill="auto"/>
            <w:tcMar>
              <w:top w:w="85" w:type="dxa"/>
              <w:bottom w:w="85" w:type="dxa"/>
              <w:right w:w="108" w:type="dxa"/>
            </w:tcMar>
          </w:tcPr>
          <w:p w:rsidR="00B40DA7" w:rsidRDefault="00531C5A">
            <w:pPr>
              <w:spacing w:after="0"/>
              <w:rPr>
                <w:noProof/>
                <w:sz w:val="20"/>
              </w:rPr>
            </w:pPr>
            <w:r>
              <w:rPr>
                <w:noProof/>
                <w:sz w:val="20"/>
              </w:rPr>
              <w:t xml:space="preserve">Proposal for a REGULATION </w:t>
            </w:r>
            <w:r>
              <w:rPr>
                <w:noProof/>
                <w:sz w:val="20"/>
              </w:rPr>
              <w:t>OF THE EUROPEAN PARLIAMENT AND OF THE COUNCIL establishing a multiannual plan for the Baltic salmon stock and the fisheries exploiting that stock</w:t>
            </w:r>
          </w:p>
        </w:tc>
        <w:tc>
          <w:tcPr>
            <w:tcW w:w="4413"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Obsolete: an overall multiannual plan for the Baltic Sea has in the meantime been adopted (Regulation (EU) 201</w:t>
            </w:r>
            <w:r>
              <w:rPr>
                <w:noProof/>
                <w:sz w:val="20"/>
              </w:rPr>
              <w:t>6/1139 on a multiannual plan for the stocks of cod, herring and sprat in the Baltic Sea and the fisheries exploiting those stocks).</w:t>
            </w:r>
          </w:p>
        </w:tc>
      </w:tr>
      <w:tr w:rsidR="00B40DA7">
        <w:trPr>
          <w:cantSplit/>
        </w:trPr>
        <w:tc>
          <w:tcPr>
            <w:tcW w:w="511" w:type="dxa"/>
            <w:tcBorders>
              <w:bottom w:val="single" w:sz="4" w:space="0" w:color="auto"/>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rsidR="00B40DA7" w:rsidRDefault="00531C5A">
            <w:pPr>
              <w:jc w:val="left"/>
              <w:rPr>
                <w:noProof/>
                <w:sz w:val="20"/>
              </w:rPr>
            </w:pPr>
            <w:r>
              <w:rPr>
                <w:noProof/>
                <w:sz w:val="20"/>
              </w:rPr>
              <w:t>COM(2011)479 final</w:t>
            </w:r>
            <w:r>
              <w:rPr>
                <w:noProof/>
                <w:sz w:val="20"/>
              </w:rPr>
              <w:br/>
              <w:t>2011/0218 (COD)</w:t>
            </w:r>
          </w:p>
        </w:tc>
        <w:tc>
          <w:tcPr>
            <w:tcW w:w="7836" w:type="dxa"/>
            <w:tcBorders>
              <w:bottom w:val="single" w:sz="4" w:space="0" w:color="auto"/>
            </w:tcBorders>
            <w:shd w:val="clear" w:color="auto" w:fill="auto"/>
            <w:tcMar>
              <w:top w:w="85" w:type="dxa"/>
              <w:bottom w:w="85" w:type="dxa"/>
              <w:right w:w="108" w:type="dxa"/>
            </w:tcMar>
          </w:tcPr>
          <w:p w:rsidR="00B40DA7" w:rsidRDefault="00531C5A">
            <w:pPr>
              <w:spacing w:after="0"/>
              <w:rPr>
                <w:noProof/>
                <w:sz w:val="20"/>
              </w:rPr>
            </w:pPr>
            <w:r>
              <w:rPr>
                <w:noProof/>
                <w:sz w:val="20"/>
              </w:rPr>
              <w:t>Proposal for a REGULATION OF THE EUROPEAN PARLIAMENT AND OF THE COUNCIL amending Counci</w:t>
            </w:r>
            <w:r>
              <w:rPr>
                <w:noProof/>
                <w:sz w:val="20"/>
              </w:rPr>
              <w:t>l Regulation (EC) No 1967/2006 concerning management measures for the sustainable exploitation of fishery resources in the Mediterranean Sea</w:t>
            </w:r>
          </w:p>
        </w:tc>
        <w:tc>
          <w:tcPr>
            <w:tcW w:w="4413"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 xml:space="preserve">Obsolete: other regulations have in the meantime covered main elements of this proposal such as </w:t>
            </w:r>
            <w:r>
              <w:rPr>
                <w:noProof/>
              </w:rPr>
              <w:t xml:space="preserve"> </w:t>
            </w:r>
            <w:r>
              <w:rPr>
                <w:noProof/>
                <w:sz w:val="20"/>
              </w:rPr>
              <w:t xml:space="preserve">e.g. the Council regulation (EU) 2019/1022 for a multiannual plan for the fisheries exploiting demersal stocks in the western Mediterranean Sea and amending Regulation (EU) No 508/2014. </w:t>
            </w:r>
          </w:p>
        </w:tc>
      </w:tr>
      <w:tr w:rsidR="00B40DA7">
        <w:trPr>
          <w:cantSplit/>
        </w:trPr>
        <w:tc>
          <w:tcPr>
            <w:tcW w:w="511" w:type="dxa"/>
            <w:tcBorders>
              <w:bottom w:val="single" w:sz="4" w:space="0" w:color="auto"/>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rsidR="00B40DA7" w:rsidRDefault="00531C5A">
            <w:pPr>
              <w:jc w:val="left"/>
              <w:rPr>
                <w:noProof/>
                <w:sz w:val="20"/>
              </w:rPr>
            </w:pPr>
            <w:r>
              <w:rPr>
                <w:noProof/>
                <w:sz w:val="20"/>
              </w:rPr>
              <w:t>COM(2013)892 final</w:t>
            </w:r>
            <w:r>
              <w:rPr>
                <w:noProof/>
                <w:sz w:val="20"/>
              </w:rPr>
              <w:br/>
              <w:t>2013/0433 (COD)</w:t>
            </w:r>
          </w:p>
        </w:tc>
        <w:tc>
          <w:tcPr>
            <w:tcW w:w="7836" w:type="dxa"/>
            <w:tcBorders>
              <w:bottom w:val="single" w:sz="4" w:space="0" w:color="auto"/>
            </w:tcBorders>
            <w:shd w:val="clear" w:color="auto" w:fill="auto"/>
            <w:tcMar>
              <w:top w:w="85" w:type="dxa"/>
              <w:bottom w:w="85" w:type="dxa"/>
              <w:right w:w="108" w:type="dxa"/>
            </w:tcMar>
          </w:tcPr>
          <w:p w:rsidR="00B40DA7" w:rsidRDefault="00531C5A">
            <w:pPr>
              <w:spacing w:after="0"/>
              <w:rPr>
                <w:noProof/>
                <w:sz w:val="20"/>
              </w:rPr>
            </w:pPr>
            <w:r>
              <w:rPr>
                <w:noProof/>
                <w:sz w:val="20"/>
              </w:rPr>
              <w:t xml:space="preserve">Proposal for a DIRECTIVE OF THE </w:t>
            </w:r>
            <w:r>
              <w:rPr>
                <w:noProof/>
                <w:sz w:val="20"/>
              </w:rPr>
              <w:t>EUROPEAN PARLIAMENT AND OF THE COUNCIL on the cloning of animals of the bovine, porcine, ovine, caprine and equine species kept and reproduced for farming purposes</w:t>
            </w:r>
          </w:p>
        </w:tc>
        <w:tc>
          <w:tcPr>
            <w:tcW w:w="4413"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No foreseeable agreement: no progress has been made by co-legislators since 2015 and further</w:t>
            </w:r>
            <w:r>
              <w:rPr>
                <w:noProof/>
                <w:sz w:val="20"/>
              </w:rPr>
              <w:t xml:space="preserve"> progress is unlikely.</w:t>
            </w:r>
          </w:p>
        </w:tc>
      </w:tr>
      <w:tr w:rsidR="00B40DA7">
        <w:trPr>
          <w:cantSplit/>
        </w:trPr>
        <w:tc>
          <w:tcPr>
            <w:tcW w:w="511" w:type="dxa"/>
            <w:tcBorders>
              <w:bottom w:val="single" w:sz="4" w:space="0" w:color="auto"/>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rsidR="00B40DA7" w:rsidRDefault="00531C5A">
            <w:pPr>
              <w:jc w:val="left"/>
              <w:rPr>
                <w:noProof/>
                <w:sz w:val="20"/>
              </w:rPr>
            </w:pPr>
            <w:r>
              <w:rPr>
                <w:noProof/>
                <w:sz w:val="20"/>
              </w:rPr>
              <w:t>COM(2013)893 final</w:t>
            </w:r>
            <w:r>
              <w:rPr>
                <w:noProof/>
                <w:sz w:val="20"/>
              </w:rPr>
              <w:br/>
              <w:t>2013/0434 (APP)</w:t>
            </w:r>
          </w:p>
        </w:tc>
        <w:tc>
          <w:tcPr>
            <w:tcW w:w="7836" w:type="dxa"/>
            <w:tcBorders>
              <w:bottom w:val="single" w:sz="4" w:space="0" w:color="auto"/>
            </w:tcBorders>
            <w:shd w:val="clear" w:color="auto" w:fill="auto"/>
            <w:tcMar>
              <w:top w:w="85" w:type="dxa"/>
              <w:bottom w:w="85" w:type="dxa"/>
              <w:right w:w="108" w:type="dxa"/>
            </w:tcMar>
          </w:tcPr>
          <w:p w:rsidR="00B40DA7" w:rsidRDefault="00531C5A">
            <w:pPr>
              <w:spacing w:after="0"/>
              <w:rPr>
                <w:noProof/>
                <w:sz w:val="20"/>
              </w:rPr>
            </w:pPr>
            <w:r>
              <w:rPr>
                <w:noProof/>
                <w:sz w:val="20"/>
              </w:rPr>
              <w:t>Proposal for a COUNCIL DIRECTIVE on the placing on the market of food from animal clones</w:t>
            </w:r>
          </w:p>
        </w:tc>
        <w:tc>
          <w:tcPr>
            <w:tcW w:w="4413"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No foreseeable agreement: no progress has been made by co-legislators since 2015 and further progress is un</w:t>
            </w:r>
            <w:r>
              <w:rPr>
                <w:noProof/>
                <w:sz w:val="20"/>
              </w:rPr>
              <w:t>likely.</w:t>
            </w:r>
          </w:p>
        </w:tc>
      </w:tr>
      <w:tr w:rsidR="00B40DA7">
        <w:trPr>
          <w:cantSplit/>
        </w:trPr>
        <w:tc>
          <w:tcPr>
            <w:tcW w:w="511" w:type="dxa"/>
            <w:tcBorders>
              <w:bottom w:val="single" w:sz="4" w:space="0" w:color="auto"/>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rsidR="00B40DA7" w:rsidRDefault="00531C5A">
            <w:pPr>
              <w:jc w:val="left"/>
              <w:rPr>
                <w:noProof/>
                <w:sz w:val="20"/>
              </w:rPr>
            </w:pPr>
            <w:r>
              <w:rPr>
                <w:noProof/>
                <w:sz w:val="20"/>
              </w:rPr>
              <w:t>COM(2017)648 final</w:t>
            </w:r>
            <w:r>
              <w:rPr>
                <w:noProof/>
                <w:sz w:val="20"/>
              </w:rPr>
              <w:br/>
              <w:t>2017/0290 (COD)</w:t>
            </w:r>
          </w:p>
        </w:tc>
        <w:tc>
          <w:tcPr>
            <w:tcW w:w="7836" w:type="dxa"/>
            <w:tcBorders>
              <w:bottom w:val="single" w:sz="4" w:space="0" w:color="auto"/>
            </w:tcBorders>
            <w:shd w:val="clear" w:color="auto" w:fill="auto"/>
            <w:tcMar>
              <w:top w:w="85" w:type="dxa"/>
              <w:bottom w:w="85" w:type="dxa"/>
              <w:right w:w="108" w:type="dxa"/>
            </w:tcMar>
          </w:tcPr>
          <w:p w:rsidR="00B40DA7" w:rsidRDefault="00531C5A">
            <w:pPr>
              <w:spacing w:after="0"/>
              <w:rPr>
                <w:noProof/>
                <w:sz w:val="20"/>
              </w:rPr>
            </w:pPr>
            <w:r>
              <w:rPr>
                <w:noProof/>
                <w:sz w:val="20"/>
              </w:rPr>
              <w:t>Proposal for a DIRECTIVE OF THE EUROPEAN PARLIAMENT AND OF THE COUNCIL amending Directive 92/106/EEC on the establishment of common rules for certain types of combined transport of goods between Member States</w:t>
            </w:r>
          </w:p>
        </w:tc>
        <w:tc>
          <w:tcPr>
            <w:tcW w:w="4413"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No</w:t>
            </w:r>
            <w:r>
              <w:rPr>
                <w:noProof/>
                <w:sz w:val="20"/>
              </w:rPr>
              <w:t xml:space="preserve"> foreseeable agreement: several amendments proposed distort the proposal in a manner which prevents achievement of the objectives pursued by the proposal. Moreover, the necessity of increasing the share in total transport of sustainable transport modes und</w:t>
            </w:r>
            <w:r>
              <w:rPr>
                <w:noProof/>
                <w:sz w:val="20"/>
              </w:rPr>
              <w:t>er the European Green Deal requires stronger support for multimodal solutions and the current proposal is insufficient therefore.</w:t>
            </w:r>
          </w:p>
        </w:tc>
      </w:tr>
      <w:tr w:rsidR="00B40DA7">
        <w:trPr>
          <w:cantSplit/>
        </w:trPr>
        <w:tc>
          <w:tcPr>
            <w:tcW w:w="511" w:type="dxa"/>
            <w:tcBorders>
              <w:bottom w:val="single" w:sz="4" w:space="0" w:color="auto"/>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COM(2013)20 final</w:t>
            </w:r>
            <w:r>
              <w:rPr>
                <w:noProof/>
                <w:sz w:val="20"/>
              </w:rPr>
              <w:br/>
              <w:t>2013/0011 (NLE)</w:t>
            </w:r>
            <w:r>
              <w:rPr>
                <w:noProof/>
                <w:sz w:val="20"/>
              </w:rPr>
              <w:br/>
            </w:r>
          </w:p>
        </w:tc>
        <w:tc>
          <w:tcPr>
            <w:tcW w:w="7836" w:type="dxa"/>
            <w:tcBorders>
              <w:bottom w:val="single" w:sz="4" w:space="0" w:color="auto"/>
            </w:tcBorders>
            <w:shd w:val="clear" w:color="auto" w:fill="auto"/>
            <w:tcMar>
              <w:top w:w="85" w:type="dxa"/>
              <w:bottom w:w="85" w:type="dxa"/>
              <w:right w:w="108" w:type="dxa"/>
            </w:tcMar>
          </w:tcPr>
          <w:p w:rsidR="00B40DA7" w:rsidRDefault="00531C5A">
            <w:pPr>
              <w:spacing w:after="0"/>
              <w:rPr>
                <w:noProof/>
                <w:sz w:val="20"/>
              </w:rPr>
            </w:pPr>
            <w:r>
              <w:rPr>
                <w:noProof/>
                <w:sz w:val="20"/>
              </w:rPr>
              <w:t>Proposal for a COUNCIL DECISION on the submission, on behalf of the European Union, of ap</w:t>
            </w:r>
            <w:r>
              <w:rPr>
                <w:noProof/>
                <w:sz w:val="20"/>
              </w:rPr>
              <w:t>plications for new entries in Annex VIII or IX to the Basel Convention on the control of transboundary movements of hazardous wastes and their disposal</w:t>
            </w:r>
          </w:p>
        </w:tc>
        <w:tc>
          <w:tcPr>
            <w:tcW w:w="4413"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Obsolete: the proposal was not adopted ahead of the meeting for which it was intended.</w:t>
            </w:r>
          </w:p>
        </w:tc>
      </w:tr>
      <w:tr w:rsidR="00B40DA7">
        <w:trPr>
          <w:cantSplit/>
        </w:trPr>
        <w:tc>
          <w:tcPr>
            <w:tcW w:w="511" w:type="dxa"/>
            <w:tcBorders>
              <w:bottom w:val="single" w:sz="4" w:space="0" w:color="auto"/>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rsidR="00B40DA7" w:rsidRDefault="00531C5A">
            <w:pPr>
              <w:spacing w:after="0"/>
              <w:jc w:val="left"/>
              <w:rPr>
                <w:noProof/>
                <w:sz w:val="20"/>
                <w:lang w:val="pt-PT"/>
              </w:rPr>
            </w:pPr>
            <w:r>
              <w:rPr>
                <w:noProof/>
                <w:sz w:val="20"/>
                <w:lang w:val="pt-PT"/>
              </w:rPr>
              <w:t>COM(2018)731 fi</w:t>
            </w:r>
            <w:r>
              <w:rPr>
                <w:noProof/>
                <w:sz w:val="20"/>
                <w:lang w:val="pt-PT"/>
              </w:rPr>
              <w:t>nal</w:t>
            </w:r>
            <w:r>
              <w:rPr>
                <w:noProof/>
                <w:sz w:val="20"/>
                <w:lang w:val="pt-PT"/>
              </w:rPr>
              <w:br/>
              <w:t>2018/0379 (NLE)</w:t>
            </w:r>
            <w:r>
              <w:rPr>
                <w:noProof/>
                <w:sz w:val="20"/>
                <w:lang w:val="pt-PT"/>
              </w:rPr>
              <w:br/>
            </w:r>
          </w:p>
        </w:tc>
        <w:tc>
          <w:tcPr>
            <w:tcW w:w="7836" w:type="dxa"/>
            <w:tcBorders>
              <w:bottom w:val="single" w:sz="4" w:space="0" w:color="auto"/>
            </w:tcBorders>
            <w:shd w:val="clear" w:color="auto" w:fill="auto"/>
            <w:tcMar>
              <w:top w:w="85" w:type="dxa"/>
              <w:bottom w:w="85" w:type="dxa"/>
              <w:right w:w="108" w:type="dxa"/>
            </w:tcMar>
          </w:tcPr>
          <w:p w:rsidR="00B40DA7" w:rsidRDefault="00531C5A">
            <w:pPr>
              <w:spacing w:after="0"/>
              <w:jc w:val="left"/>
              <w:rPr>
                <w:noProof/>
                <w:sz w:val="20"/>
              </w:rPr>
            </w:pPr>
            <w:r>
              <w:rPr>
                <w:noProof/>
                <w:sz w:val="20"/>
              </w:rPr>
              <w:t>Proposal for a COUNCIL DECISION on the position to be taken on behalf of the European Union, in the thirty-eighth meeting of the Standing Committee of the Convention on the conservation of European wildlife and natural habitats, with r</w:t>
            </w:r>
            <w:r>
              <w:rPr>
                <w:noProof/>
                <w:sz w:val="20"/>
              </w:rPr>
              <w:t>egards to amendments to Appendices II and III</w:t>
            </w:r>
          </w:p>
        </w:tc>
        <w:tc>
          <w:tcPr>
            <w:tcW w:w="4413"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 xml:space="preserve">Obsolete: the proposal was not adopted ahead of the meeting for which the proposal was intended.  </w:t>
            </w:r>
          </w:p>
        </w:tc>
      </w:tr>
      <w:tr w:rsidR="00B40DA7">
        <w:trPr>
          <w:cantSplit/>
        </w:trPr>
        <w:tc>
          <w:tcPr>
            <w:tcW w:w="511" w:type="dxa"/>
            <w:tcBorders>
              <w:bottom w:val="single" w:sz="4" w:space="0" w:color="auto"/>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rsidR="00B40DA7" w:rsidRDefault="00531C5A">
            <w:pPr>
              <w:spacing w:after="0"/>
              <w:jc w:val="left"/>
              <w:rPr>
                <w:noProof/>
                <w:sz w:val="20"/>
                <w:lang w:val="pt-PT"/>
              </w:rPr>
            </w:pPr>
            <w:r>
              <w:rPr>
                <w:noProof/>
                <w:sz w:val="20"/>
                <w:lang w:val="pt-PT"/>
              </w:rPr>
              <w:t>COM(2019)494 final</w:t>
            </w:r>
            <w:r>
              <w:rPr>
                <w:noProof/>
                <w:sz w:val="20"/>
                <w:lang w:val="pt-PT"/>
              </w:rPr>
              <w:br/>
              <w:t>2019/0241 (NLE)</w:t>
            </w:r>
          </w:p>
        </w:tc>
        <w:tc>
          <w:tcPr>
            <w:tcW w:w="7836" w:type="dxa"/>
            <w:tcBorders>
              <w:bottom w:val="single" w:sz="4" w:space="0" w:color="auto"/>
            </w:tcBorders>
            <w:shd w:val="clear" w:color="auto" w:fill="auto"/>
            <w:tcMar>
              <w:top w:w="85" w:type="dxa"/>
              <w:bottom w:w="85" w:type="dxa"/>
              <w:right w:w="108" w:type="dxa"/>
            </w:tcMar>
          </w:tcPr>
          <w:p w:rsidR="00B40DA7" w:rsidRDefault="00531C5A">
            <w:pPr>
              <w:spacing w:after="0"/>
              <w:jc w:val="left"/>
              <w:rPr>
                <w:noProof/>
                <w:sz w:val="20"/>
              </w:rPr>
            </w:pPr>
            <w:r>
              <w:rPr>
                <w:noProof/>
                <w:sz w:val="20"/>
              </w:rPr>
              <w:t xml:space="preserve">Proposal for a COUNCIL DECISION on the position to be taken on behalf of </w:t>
            </w:r>
            <w:r>
              <w:rPr>
                <w:noProof/>
                <w:sz w:val="20"/>
              </w:rPr>
              <w:t>the European Union in the thirty-ninth meeting of the Standing Committee of the Convention on the Conservation of European Wildlife and Natural Habitats, with regards to amendments to Appendices II and III to that Convention</w:t>
            </w:r>
          </w:p>
        </w:tc>
        <w:tc>
          <w:tcPr>
            <w:tcW w:w="4413"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 xml:space="preserve">Obsolete: the proposal was not </w:t>
            </w:r>
            <w:r>
              <w:rPr>
                <w:noProof/>
                <w:sz w:val="20"/>
              </w:rPr>
              <w:t>adopted ahead of the meeting for which the proposal was intended.</w:t>
            </w:r>
          </w:p>
        </w:tc>
      </w:tr>
      <w:tr w:rsidR="00B40DA7">
        <w:trPr>
          <w:cantSplit/>
        </w:trPr>
        <w:tc>
          <w:tcPr>
            <w:tcW w:w="511" w:type="dxa"/>
            <w:tcBorders>
              <w:bottom w:val="single" w:sz="4" w:space="0" w:color="auto"/>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COM(2009)585 final</w:t>
            </w:r>
            <w:r>
              <w:rPr>
                <w:noProof/>
                <w:sz w:val="20"/>
              </w:rPr>
              <w:br/>
              <w:t>26.10.2009</w:t>
            </w:r>
          </w:p>
        </w:tc>
        <w:tc>
          <w:tcPr>
            <w:tcW w:w="7836" w:type="dxa"/>
            <w:tcBorders>
              <w:bottom w:val="single" w:sz="4" w:space="0" w:color="auto"/>
            </w:tcBorders>
            <w:shd w:val="clear" w:color="auto" w:fill="auto"/>
            <w:tcMar>
              <w:top w:w="85" w:type="dxa"/>
              <w:bottom w:w="85" w:type="dxa"/>
              <w:right w:w="108" w:type="dxa"/>
            </w:tcMar>
          </w:tcPr>
          <w:p w:rsidR="00B40DA7" w:rsidRDefault="00531C5A">
            <w:pPr>
              <w:spacing w:after="0"/>
              <w:jc w:val="left"/>
              <w:rPr>
                <w:noProof/>
                <w:sz w:val="20"/>
              </w:rPr>
            </w:pPr>
            <w:r>
              <w:rPr>
                <w:noProof/>
                <w:sz w:val="20"/>
              </w:rPr>
              <w:t>Proposal for a Council Decision establishing the position to be adopted on behalf of the European Community with regard to proposals for amending Annexes II a</w:t>
            </w:r>
            <w:r>
              <w:rPr>
                <w:noProof/>
                <w:sz w:val="20"/>
              </w:rPr>
              <w:t>nd III to the Protocol concerning Specially Protected Areas and Biological Diversity in the Mediterranean (SPA/BD Protocol) of the Convention for the Protection of the Marine Environment and the Coastal Region of the Mediterranean (Barcelona Convention) at</w:t>
            </w:r>
            <w:r>
              <w:rPr>
                <w:noProof/>
                <w:sz w:val="20"/>
              </w:rPr>
              <w:t xml:space="preserve"> the sixteenth meeting of the Contracting Parties</w:t>
            </w:r>
          </w:p>
        </w:tc>
        <w:tc>
          <w:tcPr>
            <w:tcW w:w="4413"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Obsolete: the proposal was not adopted ahead of the meeting for which it was intended.</w:t>
            </w:r>
          </w:p>
        </w:tc>
      </w:tr>
      <w:tr w:rsidR="00B40DA7">
        <w:trPr>
          <w:cantSplit/>
        </w:trPr>
        <w:tc>
          <w:tcPr>
            <w:tcW w:w="14827" w:type="dxa"/>
            <w:gridSpan w:val="4"/>
            <w:shd w:val="clear" w:color="auto" w:fill="18BAA8" w:themeFill="accent2"/>
            <w:tcMar>
              <w:top w:w="85" w:type="dxa"/>
              <w:bottom w:w="85" w:type="dxa"/>
              <w:right w:w="85" w:type="dxa"/>
            </w:tcMar>
          </w:tcPr>
          <w:p w:rsidR="00B40DA7" w:rsidRDefault="00531C5A">
            <w:pPr>
              <w:keepNext/>
              <w:spacing w:before="60" w:after="60"/>
              <w:rPr>
                <w:noProof/>
                <w:sz w:val="20"/>
              </w:rPr>
            </w:pPr>
            <w:r>
              <w:rPr>
                <w:b/>
                <w:bCs/>
                <w:noProof/>
                <w:color w:val="FFFFFF" w:themeColor="background1"/>
                <w:sz w:val="20"/>
              </w:rPr>
              <w:t>A Europe fit for the Digital Age</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jc w:val="left"/>
              <w:rPr>
                <w:noProof/>
                <w:sz w:val="20"/>
              </w:rPr>
            </w:pPr>
            <w:r>
              <w:rPr>
                <w:noProof/>
                <w:sz w:val="20"/>
              </w:rPr>
              <w:t>COM(2017)257 final</w:t>
            </w:r>
            <w:r>
              <w:rPr>
                <w:noProof/>
                <w:sz w:val="20"/>
              </w:rPr>
              <w:br/>
              <w:t>2017/0087 (COD)</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 xml:space="preserve">Proposal for a REGULATION OF THE EUROPEAN </w:t>
            </w:r>
            <w:r>
              <w:rPr>
                <w:noProof/>
                <w:sz w:val="20"/>
              </w:rPr>
              <w:t>PARLIAMENT AND OF THE COUNCIL setting out the conditions and procedure by which the Commission may request undertakings and associations of undertakings to provide information in relation to the internal market and related areas</w:t>
            </w:r>
          </w:p>
        </w:tc>
        <w:tc>
          <w:tcPr>
            <w:tcW w:w="4413" w:type="dxa"/>
            <w:tcMar>
              <w:top w:w="85" w:type="dxa"/>
              <w:bottom w:w="85" w:type="dxa"/>
              <w:right w:w="108" w:type="dxa"/>
            </w:tcMar>
          </w:tcPr>
          <w:p w:rsidR="00B40DA7" w:rsidRDefault="00531C5A">
            <w:pPr>
              <w:spacing w:after="0"/>
              <w:jc w:val="left"/>
              <w:rPr>
                <w:noProof/>
                <w:sz w:val="20"/>
                <w:highlight w:val="yellow"/>
              </w:rPr>
            </w:pPr>
            <w:r>
              <w:rPr>
                <w:noProof/>
                <w:sz w:val="20"/>
              </w:rPr>
              <w:t>No foreseeable agreement: d</w:t>
            </w:r>
            <w:r>
              <w:rPr>
                <w:noProof/>
                <w:sz w:val="20"/>
              </w:rPr>
              <w:t xml:space="preserve">iscussions have been suspended in the Council since March 2018. </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jc w:val="left"/>
              <w:rPr>
                <w:noProof/>
                <w:sz w:val="20"/>
              </w:rPr>
            </w:pPr>
            <w:r>
              <w:rPr>
                <w:noProof/>
                <w:sz w:val="20"/>
              </w:rPr>
              <w:t>COM(2014)28 final</w:t>
            </w:r>
            <w:r>
              <w:rPr>
                <w:noProof/>
                <w:sz w:val="20"/>
              </w:rPr>
              <w:br/>
              <w:t>2014/0012 (COD)</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Proposal for a REGULATION OF THE EUROPEAN PARLIAMENT AND OF THE COUNCIL amending Regulations (EC) No 715/2007 and (EC) No 595/2009 as regards the reduction</w:t>
            </w:r>
            <w:r>
              <w:rPr>
                <w:noProof/>
                <w:sz w:val="20"/>
              </w:rPr>
              <w:t xml:space="preserve"> of pollutant emissions from road vehicles</w:t>
            </w:r>
          </w:p>
        </w:tc>
        <w:tc>
          <w:tcPr>
            <w:tcW w:w="4413" w:type="dxa"/>
            <w:tcMar>
              <w:top w:w="85" w:type="dxa"/>
              <w:bottom w:w="85" w:type="dxa"/>
              <w:right w:w="108" w:type="dxa"/>
            </w:tcMar>
          </w:tcPr>
          <w:p w:rsidR="00B40DA7" w:rsidRDefault="00531C5A">
            <w:pPr>
              <w:spacing w:after="0"/>
              <w:jc w:val="left"/>
              <w:rPr>
                <w:noProof/>
                <w:sz w:val="20"/>
              </w:rPr>
            </w:pPr>
            <w:r>
              <w:rPr>
                <w:noProof/>
                <w:sz w:val="20"/>
              </w:rPr>
              <w:t>Obsolete: most of the content of the proposal is covered by other files already adopted in the meantime (e.g. provisions on repair and maintenance information adapted by Regulation 2018/858) or pending (pending fi</w:t>
            </w:r>
            <w:r>
              <w:rPr>
                <w:noProof/>
                <w:sz w:val="20"/>
              </w:rPr>
              <w:t>le COM(2019)208). Some other aspects are expected to be covered more comprehensively in a new proposal for the EURO 7 emission standards.</w:t>
            </w:r>
          </w:p>
        </w:tc>
      </w:tr>
      <w:tr w:rsidR="00B40DA7">
        <w:trPr>
          <w:cantSplit/>
        </w:trPr>
        <w:tc>
          <w:tcPr>
            <w:tcW w:w="511" w:type="dxa"/>
            <w:tcBorders>
              <w:bottom w:val="single" w:sz="4" w:space="0" w:color="auto"/>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rsidR="00B40DA7" w:rsidRDefault="00531C5A">
            <w:pPr>
              <w:jc w:val="left"/>
              <w:rPr>
                <w:noProof/>
                <w:sz w:val="20"/>
              </w:rPr>
            </w:pPr>
            <w:r>
              <w:rPr>
                <w:noProof/>
                <w:sz w:val="20"/>
              </w:rPr>
              <w:t>COM(2013)75 final</w:t>
            </w:r>
            <w:r>
              <w:rPr>
                <w:noProof/>
                <w:sz w:val="20"/>
              </w:rPr>
              <w:br/>
              <w:t>2013/0048 (COD)</w:t>
            </w:r>
          </w:p>
        </w:tc>
        <w:tc>
          <w:tcPr>
            <w:tcW w:w="7836" w:type="dxa"/>
            <w:tcBorders>
              <w:bottom w:val="single" w:sz="4" w:space="0" w:color="auto"/>
            </w:tcBorders>
            <w:shd w:val="clear" w:color="auto" w:fill="auto"/>
            <w:tcMar>
              <w:top w:w="85" w:type="dxa"/>
              <w:bottom w:w="85" w:type="dxa"/>
              <w:right w:w="108" w:type="dxa"/>
            </w:tcMar>
          </w:tcPr>
          <w:p w:rsidR="00B40DA7" w:rsidRDefault="00531C5A">
            <w:pPr>
              <w:spacing w:after="0"/>
              <w:rPr>
                <w:noProof/>
                <w:sz w:val="20"/>
              </w:rPr>
            </w:pPr>
            <w:r>
              <w:rPr>
                <w:noProof/>
                <w:sz w:val="20"/>
              </w:rPr>
              <w:t xml:space="preserve">Proposal for a REGULATION OF THE EUROPEAN PARLIAMENT AND OF THE COUNCIL on market </w:t>
            </w:r>
            <w:r>
              <w:rPr>
                <w:noProof/>
                <w:sz w:val="20"/>
              </w:rPr>
              <w:t xml:space="preserve">surveillance of products and amending Council Directives 89/686/EEC and 93/15/EEC, and Directives 94/9/EC, 94/25/EC, 95/16/EC, 97/23/EC, 1999/5/EC, 2000/9/EC, 2000/14/EC, 2001/95/EC, 2004/108/EC, 2006/42/EC, 2006/95/EC, 2007/23/EC, 2008/57/EC, 2009/48/EC, </w:t>
            </w:r>
            <w:r>
              <w:rPr>
                <w:noProof/>
                <w:sz w:val="20"/>
              </w:rPr>
              <w:t>2009/105/EC, 2009/142/EC, 2011/65/EU, Regulation (EU) No 305/2011, Regulation (EC) No 764/2008 and Regulation (EC) No 765/2008 of the European Parliament and of the Council</w:t>
            </w:r>
          </w:p>
        </w:tc>
        <w:tc>
          <w:tcPr>
            <w:tcW w:w="4413"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 xml:space="preserve">Obsolete: the adoption of the regulation on market surveillance and enforcement </w:t>
            </w:r>
            <w:r>
              <w:rPr>
                <w:noProof/>
                <w:sz w:val="20"/>
              </w:rPr>
              <w:t>(Regulation (EU) 2019/1020) made this proposal obsolete and redundant.</w:t>
            </w:r>
          </w:p>
        </w:tc>
      </w:tr>
      <w:tr w:rsidR="00B40DA7">
        <w:trPr>
          <w:cantSplit/>
        </w:trPr>
        <w:tc>
          <w:tcPr>
            <w:tcW w:w="14827" w:type="dxa"/>
            <w:gridSpan w:val="4"/>
            <w:shd w:val="clear" w:color="auto" w:fill="F68A42" w:themeFill="accent3"/>
            <w:tcMar>
              <w:top w:w="85" w:type="dxa"/>
              <w:bottom w:w="85" w:type="dxa"/>
              <w:right w:w="85" w:type="dxa"/>
            </w:tcMar>
          </w:tcPr>
          <w:p w:rsidR="00B40DA7" w:rsidRDefault="00531C5A">
            <w:pPr>
              <w:keepNext/>
              <w:spacing w:before="60" w:after="60"/>
              <w:jc w:val="left"/>
              <w:rPr>
                <w:noProof/>
                <w:sz w:val="20"/>
              </w:rPr>
            </w:pPr>
            <w:r>
              <w:rPr>
                <w:b/>
                <w:bCs/>
                <w:noProof/>
                <w:color w:val="FFFFFF" w:themeColor="background1"/>
                <w:sz w:val="20"/>
              </w:rPr>
              <w:t>An Economy that works for People</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jc w:val="left"/>
              <w:rPr>
                <w:noProof/>
                <w:sz w:val="20"/>
              </w:rPr>
            </w:pPr>
            <w:r>
              <w:rPr>
                <w:noProof/>
                <w:sz w:val="20"/>
              </w:rPr>
              <w:t>COM(2013)342 final</w:t>
            </w:r>
            <w:r>
              <w:rPr>
                <w:noProof/>
                <w:sz w:val="20"/>
              </w:rPr>
              <w:br/>
              <w:t>2013/0181 (COD)</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Proposal for a REGULATION OF THE EUROPEAN PARLIAMENT AND OF THE COUNCIL on the provision and quality of statistics</w:t>
            </w:r>
            <w:r>
              <w:rPr>
                <w:noProof/>
                <w:sz w:val="20"/>
              </w:rPr>
              <w:t xml:space="preserve"> for the macroeconomic imbalances procedure</w:t>
            </w:r>
          </w:p>
        </w:tc>
        <w:tc>
          <w:tcPr>
            <w:tcW w:w="4413" w:type="dxa"/>
            <w:tcMar>
              <w:top w:w="85" w:type="dxa"/>
              <w:bottom w:w="85" w:type="dxa"/>
              <w:right w:w="108" w:type="dxa"/>
            </w:tcMar>
          </w:tcPr>
          <w:p w:rsidR="00B40DA7" w:rsidRDefault="00531C5A">
            <w:pPr>
              <w:spacing w:after="0"/>
              <w:jc w:val="left"/>
              <w:rPr>
                <w:noProof/>
                <w:sz w:val="20"/>
              </w:rPr>
            </w:pPr>
            <w:r>
              <w:rPr>
                <w:noProof/>
                <w:sz w:val="20"/>
              </w:rPr>
              <w:t>Obsolete: the objectives on quality assurance for statistics have been largely met by the Memorandum of Understanding between Eurostat and the Directorate-General of Statistics of the European Central Bank on the</w:t>
            </w:r>
            <w:r>
              <w:rPr>
                <w:noProof/>
                <w:sz w:val="20"/>
              </w:rPr>
              <w:t xml:space="preserve"> quality assurance of statistics underlying the Macroeconomic Imbalances Procedure (2016). The assurance of quality of macroeconomic imbalances procedure (MIP) statistics is part of the ongoing review of economic governance.</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jc w:val="left"/>
              <w:rPr>
                <w:noProof/>
                <w:sz w:val="20"/>
              </w:rPr>
            </w:pPr>
            <w:r>
              <w:rPr>
                <w:noProof/>
                <w:sz w:val="20"/>
              </w:rPr>
              <w:t>COM(2013)884 final</w:t>
            </w:r>
            <w:r>
              <w:rPr>
                <w:noProof/>
                <w:sz w:val="20"/>
              </w:rPr>
              <w:br/>
              <w:t xml:space="preserve">2013/0432 </w:t>
            </w:r>
            <w:r>
              <w:rPr>
                <w:noProof/>
                <w:sz w:val="20"/>
              </w:rPr>
              <w:t>(COD)</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Proposal for a DIRECTIVE OF THE EUROPEAN PARLIAMENT AND OF THE COUNCIL on the Union legal framework for customs infringements and sanctions</w:t>
            </w:r>
          </w:p>
        </w:tc>
        <w:tc>
          <w:tcPr>
            <w:tcW w:w="4413" w:type="dxa"/>
            <w:tcMar>
              <w:top w:w="85" w:type="dxa"/>
              <w:bottom w:w="85" w:type="dxa"/>
              <w:right w:w="108" w:type="dxa"/>
            </w:tcMar>
          </w:tcPr>
          <w:p w:rsidR="00B40DA7" w:rsidRDefault="00531C5A">
            <w:pPr>
              <w:spacing w:after="0"/>
              <w:jc w:val="left"/>
              <w:rPr>
                <w:noProof/>
                <w:sz w:val="20"/>
              </w:rPr>
            </w:pPr>
            <w:r>
              <w:rPr>
                <w:noProof/>
                <w:sz w:val="20"/>
              </w:rPr>
              <w:t>No foreseeable agreement: it will be replaced by a new initiative aiming at reinforcing the enforcement of cus</w:t>
            </w:r>
            <w:r>
              <w:rPr>
                <w:noProof/>
                <w:sz w:val="20"/>
              </w:rPr>
              <w:t>toms rules, in the context of the Action Plan on Customs Union referred to in annex 1 of this Commission Work Programme.</w:t>
            </w:r>
          </w:p>
        </w:tc>
      </w:tr>
      <w:tr w:rsidR="00B40DA7">
        <w:trPr>
          <w:cantSplit/>
        </w:trPr>
        <w:tc>
          <w:tcPr>
            <w:tcW w:w="14827" w:type="dxa"/>
            <w:gridSpan w:val="4"/>
            <w:shd w:val="clear" w:color="auto" w:fill="585EAA" w:themeFill="accent4"/>
            <w:tcMar>
              <w:top w:w="85" w:type="dxa"/>
              <w:bottom w:w="85" w:type="dxa"/>
              <w:right w:w="85" w:type="dxa"/>
            </w:tcMar>
          </w:tcPr>
          <w:p w:rsidR="00B40DA7" w:rsidRDefault="00531C5A">
            <w:pPr>
              <w:keepNext/>
              <w:spacing w:before="60" w:after="60"/>
              <w:rPr>
                <w:noProof/>
                <w:sz w:val="20"/>
              </w:rPr>
            </w:pPr>
            <w:r>
              <w:rPr>
                <w:b/>
                <w:bCs/>
                <w:noProof/>
                <w:color w:val="FFFFFF" w:themeColor="background1"/>
                <w:sz w:val="20"/>
              </w:rPr>
              <w:t>A Stronger Europe in the World</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spacing w:after="0"/>
              <w:jc w:val="left"/>
              <w:rPr>
                <w:noProof/>
                <w:sz w:val="20"/>
              </w:rPr>
            </w:pPr>
            <w:r>
              <w:rPr>
                <w:noProof/>
                <w:sz w:val="20"/>
              </w:rPr>
              <w:t>COM(2009)65-2 final</w:t>
            </w:r>
            <w:r>
              <w:rPr>
                <w:noProof/>
                <w:sz w:val="20"/>
              </w:rPr>
              <w:br/>
              <w:t>2009/0019 (APP)</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 xml:space="preserve">Proposal for a Council Decision on the conclusion of the </w:t>
            </w:r>
            <w:r>
              <w:rPr>
                <w:noProof/>
                <w:sz w:val="20"/>
              </w:rPr>
              <w:t>Agreement on certain aspects of air services between the European Community and the Republic of Korea</w:t>
            </w:r>
          </w:p>
        </w:tc>
        <w:tc>
          <w:tcPr>
            <w:tcW w:w="4413" w:type="dxa"/>
            <w:tcMar>
              <w:top w:w="85" w:type="dxa"/>
              <w:bottom w:w="85" w:type="dxa"/>
              <w:right w:w="108" w:type="dxa"/>
            </w:tcMar>
          </w:tcPr>
          <w:p w:rsidR="00B40DA7" w:rsidRDefault="00531C5A">
            <w:pPr>
              <w:spacing w:after="0"/>
              <w:jc w:val="left"/>
              <w:rPr>
                <w:noProof/>
                <w:sz w:val="20"/>
              </w:rPr>
            </w:pPr>
            <w:r>
              <w:rPr>
                <w:noProof/>
                <w:sz w:val="20"/>
              </w:rPr>
              <w:t>Obsolete: this proposal has been superseded by a new Commission proposal for a Council Decision (COM(2019)92).</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spacing w:after="0"/>
              <w:jc w:val="left"/>
              <w:rPr>
                <w:noProof/>
                <w:sz w:val="20"/>
              </w:rPr>
            </w:pPr>
            <w:r>
              <w:rPr>
                <w:noProof/>
                <w:sz w:val="20"/>
              </w:rPr>
              <w:t>COM(2013)243 final</w:t>
            </w:r>
            <w:r>
              <w:rPr>
                <w:noProof/>
                <w:sz w:val="20"/>
              </w:rPr>
              <w:br/>
              <w:t>2013/0129 (NLE)</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Proposal for a COUNCIL DECISION establishing the position to be adopted on behalf of the European Union with regard to certain resolutions to be voted in the framework of the International Organisation for Vine and Wine (OIV)</w:t>
            </w:r>
          </w:p>
        </w:tc>
        <w:tc>
          <w:tcPr>
            <w:tcW w:w="4413" w:type="dxa"/>
            <w:tcMar>
              <w:top w:w="85" w:type="dxa"/>
              <w:bottom w:w="85" w:type="dxa"/>
              <w:right w:w="108" w:type="dxa"/>
            </w:tcMar>
          </w:tcPr>
          <w:p w:rsidR="00B40DA7" w:rsidRDefault="00531C5A">
            <w:pPr>
              <w:spacing w:after="0"/>
              <w:jc w:val="left"/>
              <w:rPr>
                <w:noProof/>
                <w:sz w:val="20"/>
              </w:rPr>
            </w:pPr>
            <w:r>
              <w:rPr>
                <w:noProof/>
                <w:sz w:val="20"/>
              </w:rPr>
              <w:t>Obsolete: this proposal was no</w:t>
            </w:r>
            <w:r>
              <w:rPr>
                <w:noProof/>
                <w:sz w:val="20"/>
              </w:rPr>
              <w:t>t adopted ahead of the meeting for which it was intended.</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spacing w:after="0"/>
              <w:jc w:val="left"/>
              <w:rPr>
                <w:noProof/>
                <w:sz w:val="20"/>
              </w:rPr>
            </w:pPr>
            <w:r>
              <w:rPr>
                <w:noProof/>
                <w:sz w:val="20"/>
              </w:rPr>
              <w:t>COM(2015)18 final</w:t>
            </w:r>
            <w:r>
              <w:rPr>
                <w:noProof/>
                <w:sz w:val="20"/>
              </w:rPr>
              <w:br/>
              <w:t>2015/0011 (NLE)</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Proposal for a COUNCIL DECISION on the position to be adopted, on behalf of the European Union, within the EEA Joint Committee concerning amending the rules of pr</w:t>
            </w:r>
            <w:r>
              <w:rPr>
                <w:noProof/>
                <w:sz w:val="20"/>
              </w:rPr>
              <w:t>ocedure of the EEA Joint Committee (Croatia Enlargement)</w:t>
            </w:r>
          </w:p>
        </w:tc>
        <w:tc>
          <w:tcPr>
            <w:tcW w:w="4413" w:type="dxa"/>
            <w:tcMar>
              <w:top w:w="85" w:type="dxa"/>
              <w:bottom w:w="85" w:type="dxa"/>
              <w:right w:w="108" w:type="dxa"/>
            </w:tcMar>
          </w:tcPr>
          <w:p w:rsidR="00B40DA7" w:rsidRDefault="00531C5A">
            <w:pPr>
              <w:spacing w:after="0"/>
              <w:jc w:val="left"/>
              <w:rPr>
                <w:noProof/>
                <w:sz w:val="20"/>
              </w:rPr>
            </w:pPr>
            <w:r>
              <w:rPr>
                <w:noProof/>
                <w:sz w:val="20"/>
              </w:rPr>
              <w:t>Obsolete: the substance of this proposal has been covered by Council Decision (EU) 2018/4 of 18 December 2017 on the position to be adopted, on behalf of the European Union, within the EEA Joint Comm</w:t>
            </w:r>
            <w:r>
              <w:rPr>
                <w:noProof/>
                <w:sz w:val="20"/>
              </w:rPr>
              <w:t xml:space="preserve">ittee concerning amending the rules of procedure of the EEA Joint Committee. </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spacing w:after="0"/>
              <w:jc w:val="left"/>
              <w:rPr>
                <w:noProof/>
                <w:sz w:val="20"/>
              </w:rPr>
            </w:pPr>
            <w:r>
              <w:rPr>
                <w:noProof/>
                <w:sz w:val="20"/>
              </w:rPr>
              <w:t>COM(2015)48 final</w:t>
            </w:r>
            <w:r>
              <w:rPr>
                <w:noProof/>
                <w:sz w:val="20"/>
              </w:rPr>
              <w:br/>
              <w:t>2015/0027 (COD)</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Proposal for a REGULATION OF THE EUROPEAN PARLIAMENT AND OF THE COUNCIL protecting against the effects of the extra-territorial application of</w:t>
            </w:r>
            <w:r>
              <w:rPr>
                <w:noProof/>
                <w:sz w:val="20"/>
              </w:rPr>
              <w:t xml:space="preserve"> legislation adopted by a third country and actions based thereon or resulting therefrom (recast)</w:t>
            </w:r>
          </w:p>
        </w:tc>
        <w:tc>
          <w:tcPr>
            <w:tcW w:w="4413" w:type="dxa"/>
            <w:tcMar>
              <w:top w:w="85" w:type="dxa"/>
              <w:bottom w:w="85" w:type="dxa"/>
              <w:right w:w="108" w:type="dxa"/>
            </w:tcMar>
          </w:tcPr>
          <w:p w:rsidR="00B40DA7" w:rsidRDefault="00531C5A">
            <w:pPr>
              <w:spacing w:after="0"/>
              <w:jc w:val="left"/>
              <w:rPr>
                <w:noProof/>
                <w:sz w:val="20"/>
              </w:rPr>
            </w:pPr>
            <w:r>
              <w:rPr>
                <w:noProof/>
                <w:sz w:val="20"/>
              </w:rPr>
              <w:t>No foreseeable agreement: the proposal will be replaced by a new initiative for a reinforced sanctions mechanism, referred to in annex 1 of this Commission Wo</w:t>
            </w:r>
            <w:r>
              <w:rPr>
                <w:noProof/>
                <w:sz w:val="20"/>
              </w:rPr>
              <w:t>rk Programme.</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spacing w:after="0"/>
              <w:jc w:val="left"/>
              <w:rPr>
                <w:noProof/>
                <w:sz w:val="20"/>
              </w:rPr>
            </w:pPr>
            <w:r>
              <w:rPr>
                <w:noProof/>
                <w:sz w:val="20"/>
              </w:rPr>
              <w:t>JOIN(2016)37 final</w:t>
            </w:r>
            <w:r>
              <w:rPr>
                <w:noProof/>
                <w:sz w:val="20"/>
              </w:rPr>
              <w:br/>
              <w:t>2016/0241 (NLE)</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Joint Proposal for a COUNCIL DECISION on the signing, on behalf of the European Union, of the Framework Agreement on Partnership and Cooperation between the European Union and the Government of Malaysia</w:t>
            </w:r>
          </w:p>
        </w:tc>
        <w:tc>
          <w:tcPr>
            <w:tcW w:w="4413" w:type="dxa"/>
            <w:tcMar>
              <w:top w:w="85" w:type="dxa"/>
              <w:bottom w:w="85" w:type="dxa"/>
              <w:right w:w="108" w:type="dxa"/>
            </w:tcMar>
          </w:tcPr>
          <w:p w:rsidR="00B40DA7" w:rsidRDefault="00531C5A">
            <w:pPr>
              <w:spacing w:after="0"/>
              <w:jc w:val="left"/>
              <w:rPr>
                <w:noProof/>
                <w:sz w:val="20"/>
              </w:rPr>
            </w:pPr>
            <w:r>
              <w:rPr>
                <w:noProof/>
                <w:sz w:val="20"/>
              </w:rPr>
              <w:t>Ob</w:t>
            </w:r>
            <w:r>
              <w:rPr>
                <w:noProof/>
                <w:sz w:val="20"/>
              </w:rPr>
              <w:t>solete: a revised Commission proposal for a Council Decision on the signing of the partnership and cooperation agreement as a mixed agreement (and not as EU only) and with provisional application was prepared in 2018 (JOIN(2018)20), making this 2016 propos</w:t>
            </w:r>
            <w:r>
              <w:rPr>
                <w:noProof/>
                <w:sz w:val="20"/>
              </w:rPr>
              <w:t>al obsolete.</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spacing w:after="0"/>
              <w:jc w:val="left"/>
              <w:rPr>
                <w:noProof/>
                <w:sz w:val="20"/>
              </w:rPr>
            </w:pPr>
            <w:r>
              <w:rPr>
                <w:noProof/>
                <w:sz w:val="20"/>
              </w:rPr>
              <w:t>JOIN(2016)38</w:t>
            </w:r>
            <w:r>
              <w:rPr>
                <w:noProof/>
                <w:sz w:val="20"/>
              </w:rPr>
              <w:br/>
              <w:t>2016/0243 (NLE)</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Joint Proposal for a COUNCIL DECISION on the conclusion, on behalf of the European Union, of the Framework Agreement on Partnership and Cooperation between the European Union and the Government of Malaysia</w:t>
            </w:r>
          </w:p>
        </w:tc>
        <w:tc>
          <w:tcPr>
            <w:tcW w:w="4413" w:type="dxa"/>
            <w:tcMar>
              <w:top w:w="85" w:type="dxa"/>
              <w:bottom w:w="85" w:type="dxa"/>
              <w:right w:w="108" w:type="dxa"/>
            </w:tcMar>
          </w:tcPr>
          <w:p w:rsidR="00B40DA7" w:rsidRDefault="00531C5A">
            <w:pPr>
              <w:spacing w:after="0"/>
              <w:jc w:val="left"/>
              <w:rPr>
                <w:noProof/>
                <w:sz w:val="20"/>
              </w:rPr>
            </w:pPr>
            <w:r>
              <w:rPr>
                <w:noProof/>
                <w:sz w:val="20"/>
              </w:rPr>
              <w:t>Obsole</w:t>
            </w:r>
            <w:r>
              <w:rPr>
                <w:noProof/>
                <w:sz w:val="20"/>
              </w:rPr>
              <w:t>te: in the light of the revised Commission proposal on the signature of the partnership and cooperation agreement (JOIN(2018)20)</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spacing w:after="0"/>
              <w:jc w:val="left"/>
              <w:rPr>
                <w:noProof/>
                <w:sz w:val="20"/>
              </w:rPr>
            </w:pPr>
            <w:r>
              <w:rPr>
                <w:noProof/>
                <w:sz w:val="20"/>
              </w:rPr>
              <w:t>COM(2017)668 final</w:t>
            </w:r>
            <w:r>
              <w:rPr>
                <w:noProof/>
                <w:sz w:val="20"/>
              </w:rPr>
              <w:br/>
              <w:t>2017/0301(NLE)</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Proposal for a COUNCIL DECISION on the position to be taken on behalf of the European Union</w:t>
            </w:r>
            <w:r>
              <w:rPr>
                <w:noProof/>
                <w:sz w:val="20"/>
              </w:rPr>
              <w:t xml:space="preserve"> in the Ministerial Conference of the World Trade Organization as regards public stockholding for food security purposes, trade-distorting domestic support, including for cotton, export restrictions in agriculture, fisheries subsidies, domestic regulation </w:t>
            </w:r>
            <w:r>
              <w:rPr>
                <w:noProof/>
                <w:sz w:val="20"/>
              </w:rPr>
              <w:t>in services, and SMEs/Transparency of Regulatory Measures for Trade in Goods</w:t>
            </w:r>
          </w:p>
        </w:tc>
        <w:tc>
          <w:tcPr>
            <w:tcW w:w="4413" w:type="dxa"/>
            <w:tcMar>
              <w:top w:w="85" w:type="dxa"/>
              <w:bottom w:w="85" w:type="dxa"/>
              <w:right w:w="108" w:type="dxa"/>
            </w:tcMar>
          </w:tcPr>
          <w:p w:rsidR="00B40DA7" w:rsidRDefault="00531C5A">
            <w:pPr>
              <w:spacing w:after="0"/>
              <w:jc w:val="left"/>
              <w:rPr>
                <w:noProof/>
                <w:sz w:val="20"/>
              </w:rPr>
            </w:pPr>
            <w:r>
              <w:rPr>
                <w:noProof/>
                <w:sz w:val="20"/>
              </w:rPr>
              <w:t xml:space="preserve">Obsolete: this proposal was overtaken by events, i.e. it was not necessary, as a consensus did not emerge at the 11th WTO Ministerial Conference on the envisaged Doha Development </w:t>
            </w:r>
            <w:r>
              <w:rPr>
                <w:noProof/>
                <w:sz w:val="20"/>
              </w:rPr>
              <w:t>Agenda related decisions.</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spacing w:after="0"/>
              <w:jc w:val="left"/>
              <w:rPr>
                <w:noProof/>
                <w:sz w:val="20"/>
              </w:rPr>
            </w:pPr>
            <w:r>
              <w:rPr>
                <w:noProof/>
                <w:sz w:val="20"/>
              </w:rPr>
              <w:t>JOIN(2018)20 final</w:t>
            </w:r>
            <w:r>
              <w:rPr>
                <w:noProof/>
                <w:sz w:val="20"/>
              </w:rPr>
              <w:br/>
              <w:t>2018/0269 (NLE)</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Joint Proposal for a COUNCIL DECISION on the signing, on behalf of the European Union, and provisional application of the Framework Agreement on Partnership and Cooperation between the European</w:t>
            </w:r>
            <w:r>
              <w:rPr>
                <w:noProof/>
                <w:sz w:val="20"/>
              </w:rPr>
              <w:t xml:space="preserve"> Union and its Member States, of the one part, and the Government of Malaysia, of the other part</w:t>
            </w:r>
          </w:p>
        </w:tc>
        <w:tc>
          <w:tcPr>
            <w:tcW w:w="4413" w:type="dxa"/>
            <w:tcMar>
              <w:top w:w="85" w:type="dxa"/>
              <w:bottom w:w="85" w:type="dxa"/>
              <w:right w:w="108" w:type="dxa"/>
            </w:tcMar>
          </w:tcPr>
          <w:p w:rsidR="00B40DA7" w:rsidRDefault="00531C5A">
            <w:pPr>
              <w:spacing w:after="0"/>
              <w:jc w:val="left"/>
              <w:rPr>
                <w:noProof/>
                <w:sz w:val="20"/>
              </w:rPr>
            </w:pPr>
            <w:r>
              <w:rPr>
                <w:noProof/>
                <w:sz w:val="20"/>
              </w:rPr>
              <w:t xml:space="preserve">Obsolete: the proposal includes a provisional application which is not relevant anymore. </w:t>
            </w:r>
          </w:p>
        </w:tc>
      </w:tr>
      <w:tr w:rsidR="00B40DA7">
        <w:trPr>
          <w:cantSplit/>
        </w:trPr>
        <w:tc>
          <w:tcPr>
            <w:tcW w:w="511" w:type="dxa"/>
            <w:tcBorders>
              <w:bottom w:val="single" w:sz="4" w:space="0" w:color="auto"/>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COM(2019)56 final</w:t>
            </w:r>
            <w:r>
              <w:rPr>
                <w:noProof/>
                <w:sz w:val="20"/>
              </w:rPr>
              <w:br/>
              <w:t>2019/0028 (NLE)</w:t>
            </w:r>
          </w:p>
        </w:tc>
        <w:tc>
          <w:tcPr>
            <w:tcW w:w="7836" w:type="dxa"/>
            <w:tcBorders>
              <w:bottom w:val="single" w:sz="4" w:space="0" w:color="auto"/>
            </w:tcBorders>
            <w:shd w:val="clear" w:color="auto" w:fill="auto"/>
            <w:tcMar>
              <w:top w:w="85" w:type="dxa"/>
              <w:bottom w:w="85" w:type="dxa"/>
              <w:right w:w="108" w:type="dxa"/>
            </w:tcMar>
          </w:tcPr>
          <w:p w:rsidR="00B40DA7" w:rsidRDefault="00531C5A">
            <w:pPr>
              <w:tabs>
                <w:tab w:val="left" w:pos="1224"/>
              </w:tabs>
              <w:spacing w:after="0"/>
              <w:rPr>
                <w:noProof/>
                <w:sz w:val="20"/>
              </w:rPr>
            </w:pPr>
            <w:r>
              <w:rPr>
                <w:noProof/>
                <w:sz w:val="20"/>
              </w:rPr>
              <w:t xml:space="preserve">Proposal for a COUNCIL DECISION </w:t>
            </w:r>
            <w:r>
              <w:rPr>
                <w:noProof/>
                <w:sz w:val="20"/>
              </w:rPr>
              <w:t>on the position to be taken on behalf of the European Union at the 14th General Assembly of the Intergovernmental Organisation for International Carriage by Rail (OTIF) as regards the election of the Secretary General of OTIF for the period from 8 April 20</w:t>
            </w:r>
            <w:r>
              <w:rPr>
                <w:noProof/>
                <w:sz w:val="20"/>
              </w:rPr>
              <w:t>19 to 31 December 2021</w:t>
            </w:r>
          </w:p>
        </w:tc>
        <w:tc>
          <w:tcPr>
            <w:tcW w:w="4413" w:type="dxa"/>
            <w:tcBorders>
              <w:bottom w:val="single" w:sz="4" w:space="0" w:color="auto"/>
            </w:tcBorders>
            <w:tcMar>
              <w:top w:w="85" w:type="dxa"/>
              <w:bottom w:w="85" w:type="dxa"/>
              <w:right w:w="108" w:type="dxa"/>
            </w:tcMar>
          </w:tcPr>
          <w:p w:rsidR="00B40DA7" w:rsidRDefault="00531C5A">
            <w:pPr>
              <w:spacing w:after="0"/>
              <w:jc w:val="left"/>
              <w:rPr>
                <w:noProof/>
                <w:sz w:val="20"/>
              </w:rPr>
            </w:pPr>
            <w:r>
              <w:rPr>
                <w:noProof/>
                <w:sz w:val="20"/>
              </w:rPr>
              <w:t>Obsolete: this proposal was not adopted ahead of the meeting for which it was intended.</w:t>
            </w:r>
          </w:p>
        </w:tc>
      </w:tr>
      <w:tr w:rsidR="00B40DA7">
        <w:trPr>
          <w:cantSplit/>
        </w:trPr>
        <w:tc>
          <w:tcPr>
            <w:tcW w:w="14827" w:type="dxa"/>
            <w:gridSpan w:val="4"/>
            <w:shd w:val="clear" w:color="auto" w:fill="00ADDC" w:themeFill="accent5"/>
            <w:tcMar>
              <w:top w:w="85" w:type="dxa"/>
              <w:bottom w:w="85" w:type="dxa"/>
              <w:right w:w="85" w:type="dxa"/>
            </w:tcMar>
          </w:tcPr>
          <w:p w:rsidR="00B40DA7" w:rsidRDefault="00531C5A">
            <w:pPr>
              <w:keepNext/>
              <w:spacing w:before="60" w:after="60"/>
              <w:rPr>
                <w:noProof/>
                <w:color w:val="FFFFFF" w:themeColor="background1"/>
                <w:sz w:val="20"/>
              </w:rPr>
            </w:pPr>
            <w:r>
              <w:rPr>
                <w:b/>
                <w:bCs/>
                <w:noProof/>
                <w:color w:val="FFFFFF" w:themeColor="background1"/>
                <w:sz w:val="20"/>
              </w:rPr>
              <w:t>A new Push for European Democracy</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spacing w:after="0"/>
              <w:jc w:val="left"/>
              <w:rPr>
                <w:noProof/>
                <w:sz w:val="20"/>
                <w:lang w:val="pt-PT"/>
              </w:rPr>
            </w:pPr>
            <w:r>
              <w:rPr>
                <w:noProof/>
                <w:sz w:val="20"/>
              </w:rPr>
              <w:t>COM(2011)635 final</w:t>
            </w:r>
            <w:r>
              <w:rPr>
                <w:noProof/>
                <w:sz w:val="20"/>
              </w:rPr>
              <w:br/>
              <w:t>2011/0284 (COD)</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 xml:space="preserve">Proposal for a REGULATION OF THE EUROPEAN PARLIAMENT AND OF THE COUNCIL </w:t>
            </w:r>
            <w:r>
              <w:rPr>
                <w:noProof/>
                <w:sz w:val="20"/>
              </w:rPr>
              <w:t>on a Common European Sales Law</w:t>
            </w:r>
          </w:p>
        </w:tc>
        <w:tc>
          <w:tcPr>
            <w:tcW w:w="4413" w:type="dxa"/>
            <w:tcMar>
              <w:top w:w="85" w:type="dxa"/>
              <w:bottom w:w="85" w:type="dxa"/>
              <w:right w:w="108" w:type="dxa"/>
            </w:tcMar>
          </w:tcPr>
          <w:p w:rsidR="00B40DA7" w:rsidRDefault="00531C5A">
            <w:pPr>
              <w:spacing w:after="0"/>
              <w:jc w:val="left"/>
              <w:rPr>
                <w:noProof/>
                <w:sz w:val="20"/>
              </w:rPr>
            </w:pPr>
            <w:r>
              <w:rPr>
                <w:noProof/>
                <w:sz w:val="20"/>
              </w:rPr>
              <w:t>Obsolete: this proposal was replaced by two other proposals concerning contracts i) for the supply of digital content and ii) for the online and other distance sales of goods) that have been adopted in the meantime (Directive</w:t>
            </w:r>
            <w:r>
              <w:rPr>
                <w:noProof/>
                <w:sz w:val="20"/>
              </w:rPr>
              <w:t xml:space="preserve"> (EU) 2019/771 and Directive (EU) 2019/770).</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spacing w:after="0"/>
              <w:jc w:val="left"/>
              <w:rPr>
                <w:noProof/>
                <w:sz w:val="20"/>
                <w:lang w:val="pt-PT"/>
              </w:rPr>
            </w:pPr>
            <w:r>
              <w:rPr>
                <w:noProof/>
                <w:sz w:val="20"/>
                <w:lang w:val="pt-PT"/>
              </w:rPr>
              <w:t>COM(2008)229 final</w:t>
            </w:r>
            <w:r>
              <w:rPr>
                <w:noProof/>
                <w:sz w:val="20"/>
                <w:lang w:val="pt-PT"/>
              </w:rPr>
              <w:br/>
              <w:t>2008/0090 (COD)</w:t>
            </w:r>
            <w:r>
              <w:rPr>
                <w:noProof/>
                <w:sz w:val="20"/>
                <w:lang w:val="pt-PT"/>
              </w:rPr>
              <w:br/>
            </w:r>
            <w:r>
              <w:rPr>
                <w:noProof/>
                <w:sz w:val="20"/>
                <w:lang w:val="pt-PT"/>
              </w:rPr>
              <w:br/>
              <w:t>COM(2011)137 final</w:t>
            </w:r>
            <w:r>
              <w:rPr>
                <w:noProof/>
                <w:sz w:val="20"/>
                <w:lang w:val="pt-PT"/>
              </w:rPr>
              <w:br/>
              <w:t>2011/0073(COD)</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 xml:space="preserve">Proposal for a REGULATION OF THE EUROPEAN PARLIAMENT AND OF THE COUNCIL amending Regulation (EC) No 1049/2001 regarding public access to </w:t>
            </w:r>
            <w:r>
              <w:rPr>
                <w:noProof/>
                <w:sz w:val="20"/>
              </w:rPr>
              <w:t>European Parliament, Council and Commission documents  / Proposal for a Regulation of the European Parliament and of the Council regarding public access to European Parliament, Council and Commission documents</w:t>
            </w:r>
          </w:p>
        </w:tc>
        <w:tc>
          <w:tcPr>
            <w:tcW w:w="4413" w:type="dxa"/>
            <w:tcMar>
              <w:top w:w="85" w:type="dxa"/>
              <w:bottom w:w="85" w:type="dxa"/>
              <w:right w:w="108" w:type="dxa"/>
            </w:tcMar>
          </w:tcPr>
          <w:p w:rsidR="00B40DA7" w:rsidRDefault="00531C5A">
            <w:pPr>
              <w:spacing w:after="0"/>
              <w:jc w:val="left"/>
              <w:rPr>
                <w:noProof/>
                <w:sz w:val="20"/>
              </w:rPr>
            </w:pPr>
            <w:r>
              <w:rPr>
                <w:noProof/>
                <w:sz w:val="20"/>
              </w:rPr>
              <w:t>No foreseeable agreement: no progress has been</w:t>
            </w:r>
            <w:r>
              <w:rPr>
                <w:noProof/>
                <w:sz w:val="20"/>
              </w:rPr>
              <w:t xml:space="preserve"> made by co-legislators on both proposals since 2011. The proposals have become in the meantime largely outdated.</w:t>
            </w:r>
          </w:p>
        </w:tc>
      </w:tr>
      <w:tr w:rsidR="00B40DA7">
        <w:trPr>
          <w:cantSplit/>
        </w:trPr>
        <w:tc>
          <w:tcPr>
            <w:tcW w:w="511" w:type="dxa"/>
            <w:tcBorders>
              <w:right w:val="nil"/>
            </w:tcBorders>
            <w:shd w:val="clear" w:color="auto" w:fill="auto"/>
            <w:tcMar>
              <w:top w:w="85" w:type="dxa"/>
              <w:bottom w:w="85" w:type="dxa"/>
              <w:right w:w="108" w:type="dxa"/>
            </w:tcMar>
          </w:tcPr>
          <w:p w:rsidR="00B40DA7" w:rsidRDefault="00B40DA7">
            <w:pPr>
              <w:pStyle w:val="ListParagraph"/>
              <w:numPr>
                <w:ilvl w:val="0"/>
                <w:numId w:val="21"/>
              </w:numPr>
              <w:spacing w:after="0"/>
              <w:ind w:left="426"/>
              <w:rPr>
                <w:noProof/>
                <w:sz w:val="20"/>
              </w:rPr>
            </w:pPr>
          </w:p>
        </w:tc>
        <w:tc>
          <w:tcPr>
            <w:tcW w:w="2067" w:type="dxa"/>
            <w:tcMar>
              <w:top w:w="85" w:type="dxa"/>
              <w:bottom w:w="85" w:type="dxa"/>
              <w:right w:w="108" w:type="dxa"/>
            </w:tcMar>
          </w:tcPr>
          <w:p w:rsidR="00B40DA7" w:rsidRDefault="00531C5A">
            <w:pPr>
              <w:spacing w:after="0"/>
              <w:jc w:val="left"/>
              <w:rPr>
                <w:noProof/>
                <w:sz w:val="20"/>
              </w:rPr>
            </w:pPr>
            <w:r>
              <w:rPr>
                <w:noProof/>
                <w:sz w:val="20"/>
              </w:rPr>
              <w:t>COM(2013)78 final</w:t>
            </w:r>
            <w:r>
              <w:rPr>
                <w:noProof/>
                <w:sz w:val="20"/>
              </w:rPr>
              <w:br/>
              <w:t>2013/0049 (COD)</w:t>
            </w:r>
          </w:p>
        </w:tc>
        <w:tc>
          <w:tcPr>
            <w:tcW w:w="7836" w:type="dxa"/>
            <w:shd w:val="clear" w:color="auto" w:fill="auto"/>
            <w:tcMar>
              <w:top w:w="85" w:type="dxa"/>
              <w:bottom w:w="85" w:type="dxa"/>
              <w:right w:w="108" w:type="dxa"/>
            </w:tcMar>
          </w:tcPr>
          <w:p w:rsidR="00B40DA7" w:rsidRDefault="00531C5A">
            <w:pPr>
              <w:spacing w:after="0"/>
              <w:rPr>
                <w:noProof/>
                <w:sz w:val="20"/>
              </w:rPr>
            </w:pPr>
            <w:r>
              <w:rPr>
                <w:noProof/>
                <w:sz w:val="20"/>
              </w:rPr>
              <w:t>Proposal for a REGULATION OF THE EUROPEAN PARLIAMENT AND OF THE COUNCIL on consumer product safety and rep</w:t>
            </w:r>
            <w:r>
              <w:rPr>
                <w:noProof/>
                <w:sz w:val="20"/>
              </w:rPr>
              <w:t>ealing Council Directive 87/357/EEC and Directive 2001/95/EC</w:t>
            </w:r>
          </w:p>
        </w:tc>
        <w:tc>
          <w:tcPr>
            <w:tcW w:w="4413" w:type="dxa"/>
            <w:tcMar>
              <w:top w:w="85" w:type="dxa"/>
              <w:bottom w:w="85" w:type="dxa"/>
              <w:right w:w="108" w:type="dxa"/>
            </w:tcMar>
          </w:tcPr>
          <w:p w:rsidR="00B40DA7" w:rsidRDefault="00531C5A">
            <w:pPr>
              <w:spacing w:after="0"/>
              <w:jc w:val="left"/>
              <w:rPr>
                <w:noProof/>
                <w:sz w:val="20"/>
              </w:rPr>
            </w:pPr>
            <w:r>
              <w:rPr>
                <w:noProof/>
                <w:sz w:val="20"/>
              </w:rPr>
              <w:t>No foreseeable agreement and obsolete: this proposal has been partly superseded by the ‘goods package’ which led to the adoption of Regulation (EU) 2019/1020 on market surveillance and compliance</w:t>
            </w:r>
            <w:r>
              <w:rPr>
                <w:noProof/>
                <w:sz w:val="20"/>
              </w:rPr>
              <w:t xml:space="preserve"> of products. The Commission will table a new proposal as announced in the REFIT Annex II.</w:t>
            </w:r>
          </w:p>
        </w:tc>
      </w:tr>
    </w:tbl>
    <w:p w:rsidR="00B40DA7" w:rsidRDefault="00531C5A">
      <w:pPr>
        <w:spacing w:after="600"/>
        <w:jc w:val="center"/>
        <w:rPr>
          <w:b/>
          <w:noProof/>
          <w:sz w:val="28"/>
          <w:szCs w:val="28"/>
          <w:u w:val="single"/>
        </w:rPr>
      </w:pPr>
      <w:r>
        <w:rPr>
          <w:noProof/>
          <w:sz w:val="20"/>
        </w:rPr>
        <w:br w:type="page"/>
      </w:r>
      <w:r>
        <w:rPr>
          <w:b/>
          <w:noProof/>
          <w:sz w:val="28"/>
          <w:szCs w:val="28"/>
          <w:u w:val="single"/>
        </w:rPr>
        <w:t>Annex V: List of envisaged repeals</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37"/>
        <w:gridCol w:w="1657"/>
        <w:gridCol w:w="3101"/>
        <w:gridCol w:w="9389"/>
      </w:tblGrid>
      <w:tr w:rsidR="00B40DA7">
        <w:trPr>
          <w:cantSplit/>
          <w:tblHeader/>
        </w:trPr>
        <w:tc>
          <w:tcPr>
            <w:tcW w:w="150" w:type="pct"/>
            <w:tcBorders>
              <w:bottom w:val="single" w:sz="4" w:space="0" w:color="auto"/>
            </w:tcBorders>
            <w:shd w:val="clear" w:color="auto" w:fill="99CCFF"/>
            <w:tcMar>
              <w:right w:w="85" w:type="dxa"/>
            </w:tcMar>
            <w:vAlign w:val="center"/>
          </w:tcPr>
          <w:p w:rsidR="00B40DA7" w:rsidRDefault="00531C5A">
            <w:pPr>
              <w:tabs>
                <w:tab w:val="left" w:pos="176"/>
              </w:tabs>
              <w:spacing w:before="60" w:after="60"/>
              <w:ind w:hanging="108"/>
              <w:jc w:val="center"/>
              <w:rPr>
                <w:b/>
                <w:noProof/>
                <w:sz w:val="20"/>
              </w:rPr>
            </w:pPr>
            <w:r>
              <w:rPr>
                <w:rFonts w:eastAsia="MS Mincho"/>
                <w:b/>
                <w:bCs/>
                <w:noProof/>
                <w:sz w:val="20"/>
                <w:lang w:eastAsia="ja-JP"/>
              </w:rPr>
              <w:t>Nº</w:t>
            </w:r>
          </w:p>
        </w:tc>
        <w:tc>
          <w:tcPr>
            <w:tcW w:w="568" w:type="pct"/>
            <w:tcBorders>
              <w:bottom w:val="single" w:sz="4" w:space="0" w:color="auto"/>
            </w:tcBorders>
            <w:shd w:val="clear" w:color="auto" w:fill="99CCFF"/>
            <w:tcMar>
              <w:right w:w="85" w:type="dxa"/>
            </w:tcMar>
          </w:tcPr>
          <w:p w:rsidR="00B40DA7" w:rsidRDefault="00531C5A">
            <w:pPr>
              <w:spacing w:before="60" w:after="60"/>
              <w:jc w:val="center"/>
              <w:rPr>
                <w:b/>
                <w:bCs/>
                <w:noProof/>
                <w:sz w:val="20"/>
              </w:rPr>
            </w:pPr>
            <w:r>
              <w:rPr>
                <w:b/>
                <w:bCs/>
                <w:noProof/>
                <w:sz w:val="20"/>
              </w:rPr>
              <w:t>Policy area</w:t>
            </w:r>
          </w:p>
        </w:tc>
        <w:tc>
          <w:tcPr>
            <w:tcW w:w="1063" w:type="pct"/>
            <w:tcBorders>
              <w:bottom w:val="single" w:sz="4" w:space="0" w:color="auto"/>
            </w:tcBorders>
            <w:shd w:val="clear" w:color="auto" w:fill="99CCFF"/>
            <w:tcMar>
              <w:right w:w="85" w:type="dxa"/>
            </w:tcMar>
            <w:vAlign w:val="center"/>
          </w:tcPr>
          <w:p w:rsidR="00B40DA7" w:rsidRDefault="00531C5A">
            <w:pPr>
              <w:spacing w:before="60" w:after="60"/>
              <w:jc w:val="center"/>
              <w:rPr>
                <w:b/>
                <w:bCs/>
                <w:noProof/>
                <w:sz w:val="20"/>
              </w:rPr>
            </w:pPr>
            <w:r>
              <w:rPr>
                <w:b/>
                <w:bCs/>
                <w:noProof/>
                <w:sz w:val="20"/>
              </w:rPr>
              <w:t>Title</w:t>
            </w:r>
          </w:p>
        </w:tc>
        <w:tc>
          <w:tcPr>
            <w:tcW w:w="3219" w:type="pct"/>
            <w:tcBorders>
              <w:bottom w:val="single" w:sz="4" w:space="0" w:color="auto"/>
            </w:tcBorders>
            <w:shd w:val="clear" w:color="auto" w:fill="99CCFF"/>
            <w:tcMar>
              <w:right w:w="85" w:type="dxa"/>
            </w:tcMar>
            <w:vAlign w:val="center"/>
          </w:tcPr>
          <w:p w:rsidR="00B40DA7" w:rsidRDefault="00531C5A">
            <w:pPr>
              <w:spacing w:before="60" w:after="60"/>
              <w:jc w:val="center"/>
              <w:rPr>
                <w:b/>
                <w:bCs/>
                <w:noProof/>
                <w:sz w:val="20"/>
              </w:rPr>
            </w:pPr>
            <w:r>
              <w:rPr>
                <w:b/>
                <w:bCs/>
                <w:noProof/>
                <w:sz w:val="20"/>
              </w:rPr>
              <w:t>Reasons for repeal</w:t>
            </w:r>
          </w:p>
        </w:tc>
      </w:tr>
      <w:tr w:rsidR="00B40DA7">
        <w:trPr>
          <w:cantSplit/>
        </w:trPr>
        <w:tc>
          <w:tcPr>
            <w:tcW w:w="150" w:type="pct"/>
            <w:tcBorders>
              <w:top w:val="single" w:sz="4" w:space="0" w:color="auto"/>
              <w:left w:val="single" w:sz="4" w:space="0" w:color="auto"/>
              <w:bottom w:val="single" w:sz="4" w:space="0" w:color="auto"/>
              <w:right w:val="single" w:sz="4" w:space="0" w:color="auto"/>
            </w:tcBorders>
            <w:tcMar>
              <w:right w:w="108" w:type="dxa"/>
            </w:tcMar>
          </w:tcPr>
          <w:p w:rsidR="00B40DA7" w:rsidRDefault="00B40DA7">
            <w:pPr>
              <w:numPr>
                <w:ilvl w:val="0"/>
                <w:numId w:val="22"/>
              </w:numPr>
              <w:spacing w:after="0"/>
              <w:ind w:left="357" w:hanging="357"/>
              <w:jc w:val="left"/>
              <w:rPr>
                <w:noProof/>
                <w:sz w:val="20"/>
              </w:rPr>
            </w:pPr>
          </w:p>
        </w:tc>
        <w:tc>
          <w:tcPr>
            <w:tcW w:w="568" w:type="pct"/>
            <w:tcBorders>
              <w:top w:val="single" w:sz="4" w:space="0" w:color="auto"/>
              <w:left w:val="single" w:sz="4" w:space="0" w:color="auto"/>
              <w:bottom w:val="single" w:sz="4" w:space="0" w:color="auto"/>
              <w:right w:val="single" w:sz="4" w:space="0" w:color="auto"/>
            </w:tcBorders>
            <w:tcMar>
              <w:right w:w="108" w:type="dxa"/>
            </w:tcMar>
          </w:tcPr>
          <w:p w:rsidR="00B40DA7" w:rsidRDefault="00531C5A">
            <w:pPr>
              <w:rPr>
                <w:noProof/>
                <w:sz w:val="20"/>
              </w:rPr>
            </w:pPr>
            <w:r>
              <w:rPr>
                <w:b/>
                <w:bCs/>
                <w:noProof/>
                <w:sz w:val="20"/>
              </w:rPr>
              <w:t>Transport</w:t>
            </w:r>
          </w:p>
        </w:tc>
        <w:tc>
          <w:tcPr>
            <w:tcW w:w="1063" w:type="pct"/>
            <w:tcBorders>
              <w:top w:val="single" w:sz="4" w:space="0" w:color="auto"/>
              <w:left w:val="single" w:sz="4" w:space="0" w:color="auto"/>
              <w:bottom w:val="single" w:sz="4" w:space="0" w:color="auto"/>
              <w:right w:val="single" w:sz="4" w:space="0" w:color="auto"/>
            </w:tcBorders>
            <w:shd w:val="clear" w:color="auto" w:fill="auto"/>
            <w:tcMar>
              <w:right w:w="108" w:type="dxa"/>
            </w:tcMar>
          </w:tcPr>
          <w:p w:rsidR="00B40DA7" w:rsidRDefault="00531C5A">
            <w:pPr>
              <w:rPr>
                <w:noProof/>
                <w:sz w:val="20"/>
              </w:rPr>
            </w:pPr>
            <w:r>
              <w:rPr>
                <w:noProof/>
                <w:sz w:val="20"/>
              </w:rPr>
              <w:t xml:space="preserve">Regulation (EEC) No 1108/70 of the Council of 4 June 1970 introducing an accounting system for expenditure on infrastructure in respect of transport by rail, road and inland waterway </w:t>
            </w:r>
          </w:p>
        </w:tc>
        <w:tc>
          <w:tcPr>
            <w:tcW w:w="3219" w:type="pct"/>
            <w:tcBorders>
              <w:top w:val="single" w:sz="4" w:space="0" w:color="auto"/>
              <w:left w:val="single" w:sz="4" w:space="0" w:color="auto"/>
              <w:bottom w:val="single" w:sz="4" w:space="0" w:color="auto"/>
              <w:right w:val="single" w:sz="4" w:space="0" w:color="auto"/>
            </w:tcBorders>
            <w:shd w:val="clear" w:color="auto" w:fill="auto"/>
            <w:tcMar>
              <w:right w:w="108" w:type="dxa"/>
            </w:tcMar>
          </w:tcPr>
          <w:p w:rsidR="00B40DA7" w:rsidRDefault="00531C5A">
            <w:pPr>
              <w:spacing w:after="120"/>
              <w:rPr>
                <w:noProof/>
                <w:sz w:val="20"/>
              </w:rPr>
            </w:pPr>
            <w:r>
              <w:rPr>
                <w:noProof/>
                <w:sz w:val="20"/>
              </w:rPr>
              <w:t>Regulation (EEC) 1108/70 provides for the collection of infrastructure e</w:t>
            </w:r>
            <w:r>
              <w:rPr>
                <w:noProof/>
                <w:sz w:val="20"/>
              </w:rPr>
              <w:t>xpenditure data for rail, road and inland waterways, as well as a collection of statistics about the use of the corresponding infrastructure.  According to the Regulation, Member States have to regularly report infrastructure investment data to the Commiss</w:t>
            </w:r>
            <w:r>
              <w:rPr>
                <w:noProof/>
                <w:sz w:val="20"/>
              </w:rPr>
              <w:t>ion. After almost 50 years, only four Member States are still providing this information to the Commission. Meanwhile, definitions and text became outdated, while other data sources became available: some of horizontal nature such as International Transpor</w:t>
            </w:r>
            <w:r>
              <w:rPr>
                <w:noProof/>
                <w:sz w:val="20"/>
              </w:rPr>
              <w:t>t Forum expenditure data and TEN-Tec, other of more sectorial nature such as the Rail Market Monitoring Survey.</w:t>
            </w:r>
          </w:p>
        </w:tc>
      </w:tr>
      <w:tr w:rsidR="00B40DA7">
        <w:trPr>
          <w:cantSplit/>
        </w:trPr>
        <w:tc>
          <w:tcPr>
            <w:tcW w:w="150" w:type="pct"/>
            <w:tcBorders>
              <w:top w:val="single" w:sz="4" w:space="0" w:color="auto"/>
              <w:left w:val="single" w:sz="4" w:space="0" w:color="auto"/>
              <w:bottom w:val="single" w:sz="4" w:space="0" w:color="auto"/>
              <w:right w:val="single" w:sz="4" w:space="0" w:color="auto"/>
            </w:tcBorders>
            <w:tcMar>
              <w:right w:w="108" w:type="dxa"/>
            </w:tcMar>
          </w:tcPr>
          <w:p w:rsidR="00B40DA7" w:rsidRDefault="00B40DA7">
            <w:pPr>
              <w:numPr>
                <w:ilvl w:val="0"/>
                <w:numId w:val="22"/>
              </w:numPr>
              <w:spacing w:after="0"/>
              <w:ind w:left="357" w:hanging="357"/>
              <w:jc w:val="left"/>
              <w:rPr>
                <w:noProof/>
                <w:sz w:val="20"/>
              </w:rPr>
            </w:pPr>
          </w:p>
        </w:tc>
        <w:tc>
          <w:tcPr>
            <w:tcW w:w="568" w:type="pct"/>
            <w:tcBorders>
              <w:top w:val="single" w:sz="4" w:space="0" w:color="auto"/>
              <w:left w:val="single" w:sz="4" w:space="0" w:color="auto"/>
              <w:bottom w:val="single" w:sz="4" w:space="0" w:color="auto"/>
              <w:right w:val="single" w:sz="4" w:space="0" w:color="auto"/>
            </w:tcBorders>
            <w:tcMar>
              <w:right w:w="108" w:type="dxa"/>
            </w:tcMar>
          </w:tcPr>
          <w:p w:rsidR="00B40DA7" w:rsidRDefault="00531C5A">
            <w:pPr>
              <w:rPr>
                <w:noProof/>
                <w:sz w:val="20"/>
              </w:rPr>
            </w:pPr>
            <w:r>
              <w:rPr>
                <w:b/>
                <w:bCs/>
                <w:noProof/>
                <w:sz w:val="20"/>
              </w:rPr>
              <w:t>Taxation</w:t>
            </w:r>
          </w:p>
        </w:tc>
        <w:tc>
          <w:tcPr>
            <w:tcW w:w="1063" w:type="pct"/>
            <w:tcBorders>
              <w:top w:val="single" w:sz="4" w:space="0" w:color="auto"/>
              <w:left w:val="single" w:sz="4" w:space="0" w:color="auto"/>
              <w:bottom w:val="single" w:sz="4" w:space="0" w:color="auto"/>
              <w:right w:val="single" w:sz="4" w:space="0" w:color="auto"/>
            </w:tcBorders>
            <w:shd w:val="clear" w:color="auto" w:fill="auto"/>
            <w:tcMar>
              <w:right w:w="108" w:type="dxa"/>
            </w:tcMar>
          </w:tcPr>
          <w:p w:rsidR="00B40DA7" w:rsidRDefault="00531C5A">
            <w:pPr>
              <w:rPr>
                <w:noProof/>
                <w:sz w:val="20"/>
              </w:rPr>
            </w:pPr>
            <w:r>
              <w:rPr>
                <w:noProof/>
                <w:sz w:val="20"/>
              </w:rPr>
              <w:t>Council Regulation 86/1797/EEC abolishing certain postal fees for customs presentation</w:t>
            </w:r>
          </w:p>
        </w:tc>
        <w:tc>
          <w:tcPr>
            <w:tcW w:w="3219" w:type="pct"/>
            <w:tcBorders>
              <w:top w:val="single" w:sz="4" w:space="0" w:color="auto"/>
              <w:left w:val="single" w:sz="4" w:space="0" w:color="auto"/>
              <w:bottom w:val="single" w:sz="4" w:space="0" w:color="auto"/>
              <w:right w:val="single" w:sz="4" w:space="0" w:color="auto"/>
            </w:tcBorders>
            <w:shd w:val="clear" w:color="auto" w:fill="auto"/>
            <w:tcMar>
              <w:right w:w="108" w:type="dxa"/>
            </w:tcMar>
          </w:tcPr>
          <w:p w:rsidR="00B40DA7" w:rsidRDefault="00531C5A">
            <w:pPr>
              <w:spacing w:after="120"/>
              <w:rPr>
                <w:noProof/>
                <w:sz w:val="20"/>
              </w:rPr>
            </w:pPr>
            <w:r>
              <w:rPr>
                <w:noProof/>
                <w:sz w:val="20"/>
              </w:rPr>
              <w:t>This Regulation clarifies how the prohibition of customs duties and charges having equivalent effect applies for the postal sector for intra EU deliveries. While in substance this text is still valid, it is no longer necessary as the prohibition follows di</w:t>
            </w:r>
            <w:r>
              <w:rPr>
                <w:noProof/>
                <w:sz w:val="20"/>
              </w:rPr>
              <w:t xml:space="preserve">rectly from the treaty. </w:t>
            </w:r>
          </w:p>
        </w:tc>
      </w:tr>
    </w:tbl>
    <w:p w:rsidR="00B40DA7" w:rsidRDefault="00B40DA7">
      <w:pPr>
        <w:spacing w:after="0"/>
        <w:rPr>
          <w:noProof/>
          <w:sz w:val="20"/>
        </w:rPr>
      </w:pPr>
    </w:p>
    <w:sectPr w:rsidR="00B40DA7">
      <w:headerReference w:type="even" r:id="rId26"/>
      <w:headerReference w:type="default" r:id="rId27"/>
      <w:footerReference w:type="even" r:id="rId28"/>
      <w:footerReference w:type="default" r:id="rId29"/>
      <w:headerReference w:type="first" r:id="rId30"/>
      <w:footerReference w:type="first" r:id="rId31"/>
      <w:pgSz w:w="16838" w:h="11906" w:orient="landscape" w:code="9"/>
      <w:pgMar w:top="851" w:right="1134" w:bottom="851"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DA7" w:rsidRDefault="00531C5A">
      <w:pPr>
        <w:spacing w:after="0"/>
      </w:pPr>
      <w:r>
        <w:separator/>
      </w:r>
    </w:p>
  </w:endnote>
  <w:endnote w:type="continuationSeparator" w:id="0">
    <w:p w:rsidR="00B40DA7" w:rsidRDefault="00531C5A">
      <w:pPr>
        <w:spacing w:after="0"/>
      </w:pPr>
      <w:r>
        <w:continuationSeparator/>
      </w:r>
    </w:p>
  </w:endnote>
  <w:endnote w:type="continuationNotice" w:id="1">
    <w:p w:rsidR="00B40DA7" w:rsidRDefault="00B40D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A7" w:rsidRDefault="00B40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A7" w:rsidRDefault="00531C5A">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A7" w:rsidRDefault="00B40DA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A7" w:rsidRDefault="00531C5A">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A7" w:rsidRDefault="00531C5A">
    <w:pPr>
      <w:pStyle w:val="FooterLine"/>
      <w:spacing w:before="0"/>
      <w:jc w:val="right"/>
    </w:pPr>
    <w:r>
      <w:fldChar w:fldCharType="begin"/>
    </w:r>
    <w:r>
      <w:instrText>PAGE   \* MERGEFORMAT</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062222"/>
      <w:docPartObj>
        <w:docPartGallery w:val="Page Numbers (Bottom of Page)"/>
        <w:docPartUnique/>
      </w:docPartObj>
    </w:sdtPr>
    <w:sdtEndPr>
      <w:rPr>
        <w:noProof/>
      </w:rPr>
    </w:sdtEndPr>
    <w:sdtContent>
      <w:p w:rsidR="00B40DA7" w:rsidRDefault="00531C5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DA7" w:rsidRDefault="00531C5A">
      <w:pPr>
        <w:spacing w:after="0"/>
      </w:pPr>
      <w:r>
        <w:separator/>
      </w:r>
    </w:p>
  </w:footnote>
  <w:footnote w:type="continuationSeparator" w:id="0">
    <w:p w:rsidR="00B40DA7" w:rsidRDefault="00531C5A">
      <w:pPr>
        <w:spacing w:after="0"/>
      </w:pPr>
      <w:r>
        <w:continuationSeparator/>
      </w:r>
    </w:p>
  </w:footnote>
  <w:footnote w:type="continuationNotice" w:id="1">
    <w:p w:rsidR="00B40DA7" w:rsidRDefault="00B40DA7">
      <w:pPr>
        <w:spacing w:after="0"/>
      </w:pPr>
    </w:p>
  </w:footnote>
  <w:footnote w:id="2">
    <w:p w:rsidR="00B40DA7" w:rsidRDefault="00531C5A">
      <w:pPr>
        <w:pStyle w:val="FootnoteText"/>
      </w:pPr>
      <w:r>
        <w:rPr>
          <w:rStyle w:val="FootnoteReference"/>
        </w:rPr>
        <w:footnoteRef/>
      </w:r>
      <w:r>
        <w:tab/>
        <w:t xml:space="preserve">In this annex, the Commission provides further information, as far as available, on the initiatives included in its Work Programme, in </w:t>
      </w:r>
      <w:r>
        <w:t>line with the Interinstitutional Agreement on Better Law-making. This information, which is provided in brackets next to each initiative, is indicative only and subject to change during the preparatory process, notably in view of the outcome of an impact a</w:t>
      </w:r>
      <w:r>
        <w:t>ssessment process.</w:t>
      </w:r>
    </w:p>
  </w:footnote>
  <w:footnote w:id="3">
    <w:p w:rsidR="00B40DA7" w:rsidRDefault="00531C5A">
      <w:pPr>
        <w:pStyle w:val="FootnoteText"/>
      </w:pPr>
      <w:r>
        <w:rPr>
          <w:rStyle w:val="FootnoteReference"/>
        </w:rPr>
        <w:footnoteRef/>
      </w:r>
      <w:r>
        <w:tab/>
        <w:t>This annex sets out the most significant revisions, evaluations and Fitness Checks the Commission will undertake, including evaluation work to follow up the Opinions of the REFIT Platform. They will be finalised by the end of 2020.</w:t>
      </w:r>
    </w:p>
  </w:footnote>
  <w:footnote w:id="4">
    <w:p w:rsidR="00B40DA7" w:rsidRDefault="00531C5A">
      <w:pPr>
        <w:pStyle w:val="FootnoteText"/>
        <w:tabs>
          <w:tab w:val="left" w:pos="567"/>
        </w:tabs>
      </w:pPr>
      <w:r>
        <w:rPr>
          <w:rStyle w:val="FootnoteReference"/>
        </w:rPr>
        <w:footnoteRef/>
      </w:r>
      <w:r>
        <w:tab/>
        <w:t>M</w:t>
      </w:r>
      <w:r>
        <w:t>ulti-annual Financial Framework (MFF) proposals are highlighted in grey</w:t>
      </w:r>
    </w:p>
  </w:footnote>
  <w:footnote w:id="5">
    <w:p w:rsidR="00B40DA7" w:rsidRDefault="00531C5A">
      <w:pPr>
        <w:pStyle w:val="FootnoteText"/>
      </w:pPr>
      <w:r>
        <w:rPr>
          <w:rStyle w:val="FootnoteReference"/>
        </w:rPr>
        <w:footnoteRef/>
      </w:r>
      <w:r>
        <w:tab/>
        <w:t>This list includes pending legislative proposals, which the Commission intends to withdraw within six months (by July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A7" w:rsidRDefault="00B40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A7" w:rsidRDefault="00B40DA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A7" w:rsidRDefault="00B40DA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A7" w:rsidRDefault="00B40D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A7" w:rsidRDefault="00B40DA7">
    <w:pPr>
      <w:pStyle w:val="Header"/>
      <w:tabs>
        <w:tab w:val="left" w:pos="10728"/>
      </w:tabs>
      <w:rPr>
        <w:lang w:val="fr-B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DA7" w:rsidRDefault="00B40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9D369E"/>
    <w:multiLevelType w:val="hybridMultilevel"/>
    <w:tmpl w:val="87AE922E"/>
    <w:lvl w:ilvl="0" w:tplc="47A27E52">
      <w:start w:val="1"/>
      <w:numFmt w:val="decimal"/>
      <w:suff w:val="nothing"/>
      <w:lvlText w:val="%1."/>
      <w:lvlJc w:val="left"/>
      <w:pPr>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5"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6"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8"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57B7E92"/>
    <w:multiLevelType w:val="hybridMultilevel"/>
    <w:tmpl w:val="F1002934"/>
    <w:lvl w:ilvl="0" w:tplc="A25416E6">
      <w:start w:val="1"/>
      <w:numFmt w:val="decimal"/>
      <w:suff w:val="nothing"/>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86C143F"/>
    <w:multiLevelType w:val="hybridMultilevel"/>
    <w:tmpl w:val="17546D64"/>
    <w:lvl w:ilvl="0" w:tplc="AB487E34">
      <w:start w:val="1"/>
      <w:numFmt w:val="decimal"/>
      <w:suff w:val="nothing"/>
      <w:lvlText w:val="%1."/>
      <w:lvlJc w:val="left"/>
      <w:pPr>
        <w:ind w:left="0" w:firstLine="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540751D6"/>
    <w:multiLevelType w:val="hybridMultilevel"/>
    <w:tmpl w:val="4828BA3E"/>
    <w:lvl w:ilvl="0" w:tplc="F63AB8D4">
      <w:start w:val="1"/>
      <w:numFmt w:val="decimal"/>
      <w:suff w:val="noth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F35214B"/>
    <w:multiLevelType w:val="hybridMultilevel"/>
    <w:tmpl w:val="68E46B96"/>
    <w:lvl w:ilvl="0" w:tplc="E7B8FBE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BE7DC6"/>
    <w:multiLevelType w:val="hybridMultilevel"/>
    <w:tmpl w:val="E0A84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2"/>
  </w:num>
  <w:num w:numId="2">
    <w:abstractNumId w:val="14"/>
  </w:num>
  <w:num w:numId="3">
    <w:abstractNumId w:val="13"/>
  </w:num>
  <w:num w:numId="4">
    <w:abstractNumId w:val="8"/>
  </w:num>
  <w:num w:numId="5">
    <w:abstractNumId w:val="5"/>
  </w:num>
  <w:num w:numId="6">
    <w:abstractNumId w:val="4"/>
  </w:num>
  <w:num w:numId="7">
    <w:abstractNumId w:val="17"/>
  </w:num>
  <w:num w:numId="8">
    <w:abstractNumId w:val="12"/>
  </w:num>
  <w:num w:numId="9">
    <w:abstractNumId w:val="7"/>
  </w:num>
  <w:num w:numId="10">
    <w:abstractNumId w:val="11"/>
  </w:num>
  <w:num w:numId="11">
    <w:abstractNumId w:val="0"/>
  </w:num>
  <w:num w:numId="12">
    <w:abstractNumId w:val="3"/>
  </w:num>
  <w:num w:numId="13">
    <w:abstractNumId w:val="15"/>
  </w:num>
  <w:num w:numId="14">
    <w:abstractNumId w:val="6"/>
  </w:num>
  <w:num w:numId="15">
    <w:abstractNumId w:val="1"/>
  </w:num>
  <w:num w:numId="16">
    <w:abstractNumId w:val="19"/>
  </w:num>
  <w:num w:numId="17">
    <w:abstractNumId w:val="9"/>
  </w:num>
  <w:num w:numId="18">
    <w:abstractNumId w:val="20"/>
  </w:num>
  <w:num w:numId="19">
    <w:abstractNumId w:val="21"/>
  </w:num>
  <w:num w:numId="20">
    <w:abstractNumId w:val="10"/>
  </w:num>
  <w:num w:numId="21">
    <w:abstractNumId w:val="18"/>
  </w:num>
  <w:num w:numId="22">
    <w:abstractNumId w:val="16"/>
  </w:num>
  <w:num w:numId="2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ttachedTemplate r:id="rId1"/>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5"/>
    <w:docVar w:name="LW_ANNEX_UNIQUE" w:val="0"/>
    <w:docVar w:name="LW_CORRIGENDUM" w:val="&lt;UNUSED&gt;"/>
    <w:docVar w:name="LW_COVERPAGE_EXISTS" w:val="True"/>
    <w:docVar w:name="LW_COVERPAGE_GUID" w:val="6BE53060-8571-414C-BCC1-5F5197E3505C"/>
    <w:docVar w:name="LW_COVERPAGE_TYPE" w:val="1"/>
    <w:docVar w:name="LW_CROSSREFERENCE" w:val="&lt;UNUSED&gt;"/>
    <w:docVar w:name="LW_DocType" w:val="EUROLOOK"/>
    <w:docVar w:name="LW_EMISSION" w:val="29.1.2020"/>
    <w:docVar w:name="LW_EMISSION_ISODATE" w:val="2020-01-29"/>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Commission Work Programme 2020_x000d__x000d__x000d__x000d__x000d__x000b__x000d__x000d__x000d__x000d__x000d__x000b__x000d__x000d__x000d__x000d__x000d__x000b_A Union that strives for more"/>
    <w:docVar w:name="LW_PART_NBR" w:val="&lt;UNUSED&gt;"/>
    <w:docVar w:name="LW_PART_NBR_TOTAL" w:val="&lt;UNUSED&gt;"/>
    <w:docVar w:name="LW_REF.INST.NEW" w:val="COM"/>
    <w:docVar w:name="LW_REF.INST.NEW_ADOPTED" w:val="final"/>
    <w:docVar w:name="LW_REF.INST.NEW_TEXT" w:val="(2020) 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UNICATION FROM THE COMMISSION TO THE EUROPEAN PARLIAMENT, THE COUNCIL, THE EUROPEAN ECONOMIC AND SOCIAL COMMITTEE AND THE COMMITTEE OF THE REGIONS"/>
  </w:docVars>
  <w:rsids>
    <w:rsidRoot w:val="00B40DA7"/>
    <w:rsid w:val="00531C5A"/>
    <w:rsid w:val="00B40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DC99CD4F-0B52-4226-9543-68642475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ne-NP"/>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qFormat="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0"/>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bidi="ar-SA"/>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semiHidden/>
    <w:pPr>
      <w:spacing w:after="120"/>
      <w:ind w:left="357" w:hanging="357"/>
    </w:pPr>
    <w:rPr>
      <w:sz w:val="20"/>
    </w:rPr>
  </w:style>
  <w:style w:type="paragraph" w:styleId="Header">
    <w:name w:val="header"/>
    <w:basedOn w:val="Normal"/>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pPr>
      <w:keepNext/>
      <w:spacing w:before="240"/>
      <w:jc w:val="center"/>
    </w:pPr>
    <w:rPr>
      <w:b/>
      <w:caps/>
    </w:rPr>
  </w:style>
  <w:style w:type="paragraph" w:customStyle="1" w:styleId="Contact">
    <w:name w:val="Contact"/>
    <w:basedOn w:val="Normal"/>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Pr>
      <w:sz w:val="16"/>
      <w:lang w:bidi="ar-SA"/>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rPr>
      <w:lang w:bidi="ar-SA"/>
    </w:rPr>
    <w:tblPr>
      <w:tblCellMar>
        <w:left w:w="0" w:type="dxa"/>
        <w:bottom w:w="340" w:type="dxa"/>
        <w:right w:w="0" w:type="dxa"/>
      </w:tblCellMar>
    </w:tblPr>
  </w:style>
  <w:style w:type="paragraph" w:styleId="NoSpacing">
    <w:name w:val="No Spacing"/>
    <w:uiPriority w:val="1"/>
    <w:pPr>
      <w:jc w:val="both"/>
    </w:pPr>
    <w:rPr>
      <w:sz w:val="24"/>
      <w:lang w:bidi="ar-SA"/>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9ACA3C"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9ACA3C" w:themeColor="accent1"/>
    </w:rPr>
  </w:style>
  <w:style w:type="character" w:styleId="Strong">
    <w:name w:val="Strong"/>
    <w:basedOn w:val="DefaultParagraphFont"/>
    <w:uiPriority w:val="22"/>
    <w:rPr>
      <w:b/>
      <w:bCs/>
    </w:rPr>
  </w:style>
  <w:style w:type="paragraph" w:customStyle="1" w:styleId="LegalNumPar">
    <w:name w:val="LegalNumPar"/>
    <w:basedOn w:val="Normal"/>
    <w:qFormat/>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pPr>
      <w:tabs>
        <w:tab w:val="left" w:pos="5103"/>
      </w:tabs>
      <w:spacing w:before="1200" w:after="0"/>
      <w:jc w:val="left"/>
    </w:pPr>
  </w:style>
  <w:style w:type="paragraph" w:customStyle="1" w:styleId="FooterLine">
    <w:name w:val="FooterLine"/>
    <w:basedOn w:val="Footer"/>
    <w:next w:val="Footer"/>
    <w:uiPriority w:val="99"/>
    <w:pPr>
      <w:tabs>
        <w:tab w:val="right" w:pos="8647"/>
      </w:tabs>
      <w:spacing w:before="120" w:line="264" w:lineRule="auto"/>
      <w:ind w:right="0"/>
      <w:jc w:val="both"/>
    </w:pPr>
    <w:rPr>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outlineLvl w:val="0"/>
    </w:pPr>
  </w:style>
  <w:style w:type="character" w:customStyle="1" w:styleId="FooterCoverPageChar">
    <w:name w:val="Footer Cover Page Char"/>
    <w:basedOn w:val="DefaultParagraphFont"/>
    <w:link w:val="FooterCoverPage"/>
    <w:rPr>
      <w:sz w:val="24"/>
      <w:lang w:bidi="ar-SA"/>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outlineLvl w:val="0"/>
    </w:pPr>
    <w:rPr>
      <w:b/>
      <w:sz w:val="32"/>
    </w:rPr>
  </w:style>
  <w:style w:type="character" w:customStyle="1" w:styleId="FooterSensitivityChar">
    <w:name w:val="Footer Sensitivity Char"/>
    <w:basedOn w:val="DefaultParagraphFont"/>
    <w:link w:val="FooterSensitivity"/>
    <w:rPr>
      <w:b/>
      <w:sz w:val="32"/>
      <w:lang w:bidi="ar-SA"/>
    </w:rPr>
  </w:style>
  <w:style w:type="paragraph" w:customStyle="1" w:styleId="HeaderCoverPage">
    <w:name w:val="Header Cover Page"/>
    <w:basedOn w:val="Normal"/>
    <w:link w:val="HeaderCoverPageChar"/>
    <w:pPr>
      <w:tabs>
        <w:tab w:val="center" w:pos="4535"/>
        <w:tab w:val="right" w:pos="9071"/>
      </w:tabs>
      <w:spacing w:after="120"/>
      <w:outlineLvl w:val="0"/>
    </w:pPr>
  </w:style>
  <w:style w:type="character" w:customStyle="1" w:styleId="HeaderCoverPageChar">
    <w:name w:val="Header Cover Page Char"/>
    <w:basedOn w:val="DefaultParagraphFont"/>
    <w:link w:val="HeaderCoverPage"/>
    <w:rPr>
      <w:sz w:val="24"/>
      <w:lang w:bidi="ar-SA"/>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outlineLvl w:val="0"/>
    </w:pPr>
    <w:rPr>
      <w:b/>
      <w:sz w:val="32"/>
    </w:rPr>
  </w:style>
  <w:style w:type="character" w:customStyle="1" w:styleId="HeaderSensitivityChar">
    <w:name w:val="Header Sensitivity Char"/>
    <w:basedOn w:val="DefaultParagraphFont"/>
    <w:link w:val="HeaderSensitivity"/>
    <w:rPr>
      <w:b/>
      <w:sz w:val="32"/>
      <w:lang w:bidi="ar-S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semiHidden/>
    <w:unhideWhenUsed/>
    <w:rPr>
      <w:vertAlign w:val="superscript"/>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 w:type="paragraph" w:customStyle="1" w:styleId="HeaderSensitivityRight">
    <w:name w:val="Header Sensitivity Right"/>
    <w:basedOn w:val="Normal"/>
    <w:pPr>
      <w:spacing w:after="120"/>
      <w:jc w:val="right"/>
    </w:pPr>
    <w:rPr>
      <w:sz w:val="28"/>
    </w:rPr>
  </w:style>
  <w:style w:type="paragraph" w:customStyle="1" w:styleId="Default">
    <w:name w:val="Default"/>
    <w:pPr>
      <w:autoSpaceDE w:val="0"/>
      <w:autoSpaceDN w:val="0"/>
      <w:adjustRightInd w:val="0"/>
    </w:pPr>
    <w:rPr>
      <w:color w:val="000000"/>
      <w:sz w:val="24"/>
      <w:szCs w:val="24"/>
      <w:lang w:bidi="ar-SA"/>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bidi="ar-SA"/>
    </w:r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uiPriority w:val="99"/>
    <w:semiHidden/>
    <w:rPr>
      <w:lang w:bidi="ar-S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bidi="ar-SA"/>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Pr>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128437">
      <w:bodyDiv w:val="1"/>
      <w:marLeft w:val="0"/>
      <w:marRight w:val="0"/>
      <w:marTop w:val="0"/>
      <w:marBottom w:val="0"/>
      <w:divBdr>
        <w:top w:val="none" w:sz="0" w:space="0" w:color="auto"/>
        <w:left w:val="none" w:sz="0" w:space="0" w:color="auto"/>
        <w:bottom w:val="none" w:sz="0" w:space="0" w:color="auto"/>
        <w:right w:val="none" w:sz="0" w:space="0" w:color="auto"/>
      </w:divBdr>
    </w:div>
    <w:div w:id="1190140997">
      <w:bodyDiv w:val="1"/>
      <w:marLeft w:val="0"/>
      <w:marRight w:val="0"/>
      <w:marTop w:val="0"/>
      <w:marBottom w:val="0"/>
      <w:divBdr>
        <w:top w:val="none" w:sz="0" w:space="0" w:color="auto"/>
        <w:left w:val="none" w:sz="0" w:space="0" w:color="auto"/>
        <w:bottom w:val="none" w:sz="0" w:space="0" w:color="auto"/>
        <w:right w:val="none" w:sz="0" w:space="0" w:color="auto"/>
      </w:divBdr>
    </w:div>
    <w:div w:id="1463765545">
      <w:bodyDiv w:val="1"/>
      <w:marLeft w:val="0"/>
      <w:marRight w:val="0"/>
      <w:marTop w:val="0"/>
      <w:marBottom w:val="0"/>
      <w:divBdr>
        <w:top w:val="none" w:sz="0" w:space="0" w:color="auto"/>
        <w:left w:val="none" w:sz="0" w:space="0" w:color="auto"/>
        <w:bottom w:val="none" w:sz="0" w:space="0" w:color="auto"/>
        <w:right w:val="none" w:sz="0" w:space="0" w:color="auto"/>
      </w:divBdr>
    </w:div>
    <w:div w:id="2018076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ec.europa.eu/info/files/refit-platform-recommendations-health-and-food-safety-xi10a-multiple-use-multiple-source-substances-chlorate_e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ec.europa.eu/info/sites/info/files/opinion_health_food_1a.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c.europa.eu/info/sites/info/files/xi6ab_thmpd_0.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ec.europa.eu/info/sites/info/files/recommendation-xi-11a-b-claims-regulation_0.pdf" TargetMode="External"/><Relationship Id="rId28"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ec.europa.eu/info/sites/info/files/xi.22.a_registration_of_plant_protection.pdf" TargetMode="External"/><Relationship Id="rId27" Type="http://schemas.openxmlformats.org/officeDocument/2006/relationships/header" Target="header5.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VDL Priorities">
      <a:dk1>
        <a:sysClr val="windowText" lastClr="000000"/>
      </a:dk1>
      <a:lt1>
        <a:sysClr val="window" lastClr="FFFFFF"/>
      </a:lt1>
      <a:dk2>
        <a:srgbClr val="0E4194"/>
      </a:dk2>
      <a:lt2>
        <a:srgbClr val="EEECE1"/>
      </a:lt2>
      <a:accent1>
        <a:srgbClr val="9ACA3C"/>
      </a:accent1>
      <a:accent2>
        <a:srgbClr val="18BAA8"/>
      </a:accent2>
      <a:accent3>
        <a:srgbClr val="F68A42"/>
      </a:accent3>
      <a:accent4>
        <a:srgbClr val="585EAA"/>
      </a:accent4>
      <a:accent5>
        <a:srgbClr val="00ADDC"/>
      </a:accent5>
      <a:accent6>
        <a:srgbClr val="DA5C5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fae640a3-2752-44bc-9773-26f5d41ba0dd">EN</EC_Collab_DocumentLanguage>
    <_Status xmlns="http://schemas.microsoft.com/sharepoint/v3/fields">Not Started</_Status>
    <EC_Collab_Reference xmlns="fae640a3-2752-44bc-9773-26f5d41ba0dd" xsi:nil="true"/>
    <EC_Collab_Status xmlns="fae640a3-2752-44bc-9773-26f5d41ba0dd">Published</EC_Collab_Status>
  </documentManagement>
</p:properties>
</file>

<file path=customXml/item3.xml><?xml version="1.0" encoding="utf-8"?>
<EurolookProperties>
  <ProductCustomizationId/>
  <Created>
    <Version>10.0.37611.0</Version>
    <Date>2018-10-23T14:12:56</Date>
    <Language>EN</Language>
  </Created>
  <Edited>
    <Version>10.0.40183.0</Version>
    <Date>2020-01-29T09:03:47</Date>
  </Edited>
  <DocumentModel>
    <Id>6cbda13a-4db2-46c6-876a-ef72275827ef</Id>
    <Name>Report</Name>
  </DocumentModel>
  <DocumentDate>2018-10-23T14:12:56</DocumentDate>
  <DocumentVersion>0.1</DocumentVersion>
  <CompatibilityMode>Eurolook10</CompatibilityMode>
  <Address/>
</EurolookProperties>
</file>

<file path=customXml/item4.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2C3A5D77007E39498C0FBBE1139AD9BC" ma:contentTypeVersion="0" ma:contentTypeDescription="Create a new document in this library." ma:contentTypeScope="" ma:versionID="1c388df75112444336eab93ec6d1fbcb">
  <xsd:schema xmlns:xsd="http://www.w3.org/2001/XMLSchema" xmlns:xs="http://www.w3.org/2001/XMLSchema" xmlns:p="http://schemas.microsoft.com/office/2006/metadata/properties" xmlns:ns2="http://schemas.microsoft.com/sharepoint/v3/fields" xmlns:ns3="fae640a3-2752-44bc-9773-26f5d41ba0dd" targetNamespace="http://schemas.microsoft.com/office/2006/metadata/properties" ma:root="true" ma:fieldsID="4735b83fa646b64efc7f5c450d630223" ns2:_="" ns3:_="">
    <xsd:import namespace="http://schemas.microsoft.com/sharepoint/v3/fields"/>
    <xsd:import namespace="fae640a3-2752-44bc-9773-26f5d41ba0dd"/>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ae640a3-2752-44bc-9773-26f5d41ba0d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7DD7B5D-2A29-4049-B6B0-CF03EF7473F2}">
  <ds:schemaRefs>
    <ds:schemaRef ds:uri="http://schemas.microsoft.com/sharepoint/v3/contenttype/forms"/>
  </ds:schemaRefs>
</ds:datastoreItem>
</file>

<file path=customXml/itemProps2.xml><?xml version="1.0" encoding="utf-8"?>
<ds:datastoreItem xmlns:ds="http://schemas.openxmlformats.org/officeDocument/2006/customXml" ds:itemID="{DAF2D397-A922-43DB-B264-B983795768C6}">
  <ds:schemaRefs>
    <ds:schemaRef ds:uri="fae640a3-2752-44bc-9773-26f5d41ba0d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EE044946-5330-43F7-8D16-AA78684F2938}">
  <ds:schemaRefs/>
</ds:datastoreItem>
</file>

<file path=customXml/itemProps5.xml><?xml version="1.0" encoding="utf-8"?>
<ds:datastoreItem xmlns:ds="http://schemas.openxmlformats.org/officeDocument/2006/customXml" ds:itemID="{4E254431-4F99-45A3-A63C-553A2CB73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ae640a3-2752-44bc-9773-26f5d41ba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2F50DD19-FD7A-4A73-9B92-D68942AD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33</Pages>
  <Words>13270</Words>
  <Characters>72990</Characters>
  <Application>Microsoft Office Word</Application>
  <DocSecurity>0</DocSecurity>
  <PresentationFormat>Microsoft Word 14.0</PresentationFormat>
  <Lines>608</Lines>
  <Paragraphs>172</Paragraphs>
  <ScaleCrop>true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THERACE Christine (SG)</dc:creator>
  <cp:keywords/>
  <dc:description/>
  <cp:lastModifiedBy>HEILEMANN Stefanie (SG)</cp:lastModifiedBy>
  <cp:revision>11</cp:revision>
  <cp:lastPrinted>2020-01-28T17:24:00Z</cp:lastPrinted>
  <dcterms:created xsi:type="dcterms:W3CDTF">2020-01-28T17:24:00Z</dcterms:created>
  <dcterms:modified xsi:type="dcterms:W3CDTF">2020-01-29T08:03:00Z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5</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7.0, Build 20190717</vt:lpwstr>
  </property>
  <property fmtid="{D5CDD505-2E9C-101B-9397-08002B2CF9AE}" pid="11" name="CPTemplateID">
    <vt:lpwstr>CP-039</vt:lpwstr>
  </property>
  <property fmtid="{D5CDD505-2E9C-101B-9397-08002B2CF9AE}" pid="12" name="_LW_INVALIDATED__LW_INVALIDATED__LW_INVALIDATED__LW_INVALIDATED__LW_INVALIDATED__LW_INVALIDATED__LW_INVALIDATED_EurolookVersion">
    <vt:lpwstr>10.0</vt:lpwstr>
  </property>
  <property fmtid="{D5CDD505-2E9C-101B-9397-08002B2CF9AE}" pid="13" name="_LW_INVALIDATED__LW_INVALIDATED__LW_INVALIDATED__LW_INVALIDATED__LW_INVALIDATED__LW_INVALIDATED__LW_INVALIDATED_ELDocType">
    <vt:lpwstr>rep.dot</vt:lpwstr>
  </property>
  <property fmtid="{D5CDD505-2E9C-101B-9397-08002B2CF9AE}" pid="14" name="_LW_INVALIDATED__LW_INVALIDATED__LW_INVALIDATED__LW_INVALIDATED__LW_INVALIDATED_ContentTypeId">
    <vt:lpwstr>0x010100258AA79CEB83498886A3A08681123250002C3A5D77007E39498C0FBBE1139AD9BC</vt:lpwstr>
  </property>
  <property fmtid="{D5CDD505-2E9C-101B-9397-08002B2CF9AE}" pid="15" name="_LW_INVALIDATED__LW_INVALIDATED_ContentTypeId">
    <vt:lpwstr>0x010100258AA79CEB83498886A3A08681123250002C3A5D77007E39498C0FBBE1139AD9BC</vt:lpwstr>
  </property>
</Properties>
</file>