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8C9F5D2A-549D-45EA-9785-6D608B6EF54C" style="width:450.75pt;height:434.25pt">
            <v:imagedata r:id="rId15" o:title=""/>
          </v:shape>
        </w:pict>
      </w:r>
    </w:p>
    <w:bookmarkEnd w:id="0"/>
    <w:p>
      <w:pPr>
        <w:rPr>
          <w:noProof/>
          <w:lang w:eastAsia="de-DE"/>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spacing w:after="360"/>
        <w:jc w:val="center"/>
        <w:outlineLvl w:val="0"/>
        <w:rPr>
          <w:b/>
          <w:noProof/>
          <w:sz w:val="28"/>
          <w:szCs w:val="28"/>
          <w:u w:val="single"/>
        </w:rPr>
      </w:pPr>
      <w:bookmarkStart w:id="1" w:name="_GoBack"/>
      <w:bookmarkEnd w:id="1"/>
      <w:r>
        <w:rPr>
          <w:b/>
          <w:bCs/>
          <w:noProof/>
          <w:sz w:val="28"/>
          <w:szCs w:val="28"/>
          <w:u w:val="single"/>
        </w:rPr>
        <w:lastRenderedPageBreak/>
        <w:t>Annexe I: nouvelles initiatives</w:t>
      </w:r>
      <w:r>
        <w:rPr>
          <w:rStyle w:val="FootnoteReference"/>
          <w:noProof/>
          <w:sz w:val="20"/>
        </w:rPr>
        <w:footnoteReference w:id="2"/>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4252"/>
        <w:gridCol w:w="10064"/>
      </w:tblGrid>
      <w:tr>
        <w:trPr>
          <w:cantSplit/>
          <w:tblHeader/>
        </w:trPr>
        <w:tc>
          <w:tcPr>
            <w:tcW w:w="511" w:type="dxa"/>
            <w:tcBorders>
              <w:top w:val="single" w:sz="4" w:space="0" w:color="auto"/>
              <w:left w:val="single" w:sz="4" w:space="0" w:color="auto"/>
              <w:bottom w:val="single" w:sz="4" w:space="0" w:color="auto"/>
              <w:right w:val="single" w:sz="4" w:space="0" w:color="auto"/>
            </w:tcBorders>
            <w:shd w:val="clear" w:color="auto" w:fill="99CCFF"/>
            <w:vAlign w:val="center"/>
          </w:tcPr>
          <w:p>
            <w:pPr>
              <w:spacing w:after="0"/>
              <w:rPr>
                <w:b/>
                <w:bCs/>
                <w:noProof/>
                <w:sz w:val="20"/>
              </w:rPr>
            </w:pPr>
            <w:r>
              <w:rPr>
                <w:b/>
                <w:bCs/>
                <w:noProof/>
                <w:sz w:val="20"/>
              </w:rPr>
              <w:t>N°</w:t>
            </w:r>
          </w:p>
        </w:tc>
        <w:tc>
          <w:tcPr>
            <w:tcW w:w="4252" w:type="dxa"/>
            <w:tcBorders>
              <w:top w:val="single" w:sz="4" w:space="0" w:color="auto"/>
              <w:left w:val="single" w:sz="4" w:space="0" w:color="auto"/>
              <w:bottom w:val="single" w:sz="4" w:space="0" w:color="auto"/>
              <w:right w:val="single" w:sz="4" w:space="0" w:color="auto"/>
            </w:tcBorders>
            <w:shd w:val="clear" w:color="auto" w:fill="99CCFF"/>
            <w:vAlign w:val="center"/>
          </w:tcPr>
          <w:p>
            <w:pPr>
              <w:spacing w:before="60" w:after="60"/>
              <w:jc w:val="center"/>
              <w:rPr>
                <w:b/>
                <w:bCs/>
                <w:noProof/>
                <w:sz w:val="20"/>
              </w:rPr>
            </w:pPr>
            <w:r>
              <w:rPr>
                <w:b/>
                <w:bCs/>
                <w:noProof/>
                <w:sz w:val="20"/>
              </w:rPr>
              <w:t>Objectif stratégique</w:t>
            </w:r>
          </w:p>
        </w:tc>
        <w:tc>
          <w:tcPr>
            <w:tcW w:w="10064" w:type="dxa"/>
            <w:tcBorders>
              <w:top w:val="single" w:sz="4" w:space="0" w:color="auto"/>
              <w:left w:val="single" w:sz="4" w:space="0" w:color="auto"/>
              <w:bottom w:val="single" w:sz="4" w:space="0" w:color="auto"/>
              <w:right w:val="single" w:sz="4" w:space="0" w:color="auto"/>
            </w:tcBorders>
            <w:shd w:val="clear" w:color="auto" w:fill="99CCFF"/>
            <w:vAlign w:val="center"/>
          </w:tcPr>
          <w:p>
            <w:pPr>
              <w:spacing w:after="0"/>
              <w:jc w:val="center"/>
              <w:rPr>
                <w:b/>
                <w:bCs/>
                <w:noProof/>
                <w:sz w:val="20"/>
              </w:rPr>
            </w:pPr>
            <w:r>
              <w:rPr>
                <w:b/>
                <w:bCs/>
                <w:noProof/>
                <w:sz w:val="20"/>
              </w:rPr>
              <w:t>Initiatives</w:t>
            </w:r>
          </w:p>
        </w:tc>
      </w:tr>
      <w:tr>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pPr>
              <w:keepNext/>
              <w:spacing w:before="60" w:after="60"/>
              <w:jc w:val="left"/>
              <w:rPr>
                <w:b/>
                <w:bCs/>
                <w:noProof/>
                <w:color w:val="FFFFFF" w:themeColor="background1"/>
                <w:sz w:val="20"/>
                <w:lang w:val="fr-BE"/>
              </w:rPr>
            </w:pPr>
            <w:r>
              <w:rPr>
                <w:b/>
                <w:bCs/>
                <w:noProof/>
                <w:color w:val="FFFFFF" w:themeColor="background1"/>
                <w:sz w:val="20"/>
                <w:lang w:val="fr-BE"/>
              </w:rPr>
              <w:t>Un pacte vert pour l’Europe</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jc w:val="left"/>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lang w:val="fr-BE"/>
              </w:rPr>
            </w:pPr>
            <w:r>
              <w:rPr>
                <w:b/>
                <w:bCs/>
                <w:noProof/>
                <w:sz w:val="20"/>
                <w:lang w:val="fr-BE"/>
              </w:rPr>
              <w:t>Le pacte vert pour l’Europe</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lang w:val="fr-BE"/>
              </w:rPr>
            </w:pPr>
            <w:r>
              <w:rPr>
                <w:b/>
                <w:bCs/>
                <w:noProof/>
                <w:sz w:val="20"/>
                <w:lang w:val="fr-BE"/>
              </w:rPr>
              <w:t>Communication sur le pacte vert pour l’Europe</w:t>
            </w:r>
            <w:r>
              <w:rPr>
                <w:noProof/>
                <w:sz w:val="20"/>
                <w:lang w:val="fr-BE"/>
              </w:rPr>
              <w:t xml:space="preserve"> (initiative non législative, T4/2019); </w:t>
            </w:r>
            <w:r>
              <w:rPr>
                <w:noProof/>
                <w:sz w:val="20"/>
                <w:lang w:val="fr-BE"/>
              </w:rPr>
              <w:br/>
            </w:r>
            <w:r>
              <w:rPr>
                <w:b/>
                <w:bCs/>
                <w:noProof/>
                <w:sz w:val="20"/>
                <w:lang w:val="fr-BE"/>
              </w:rPr>
              <w:t>loi européenne sur le climat consacrant l’objectif de neutralité climatique à l’horizon 2050</w:t>
            </w:r>
            <w:r>
              <w:rPr>
                <w:noProof/>
                <w:sz w:val="20"/>
                <w:lang w:val="fr-BE"/>
              </w:rPr>
              <w:t xml:space="preserve"> (initiative législative, article 192, paragraphe 1, du TFUE, T1/2020); </w:t>
            </w:r>
            <w:r>
              <w:rPr>
                <w:noProof/>
                <w:sz w:val="20"/>
                <w:lang w:val="fr-BE"/>
              </w:rPr>
              <w:br/>
            </w:r>
            <w:r>
              <w:rPr>
                <w:b/>
                <w:bCs/>
                <w:noProof/>
                <w:sz w:val="20"/>
                <w:lang w:val="fr-BE"/>
              </w:rPr>
              <w:t>le pacte européen pour le climat</w:t>
            </w:r>
            <w:r>
              <w:rPr>
                <w:noProof/>
                <w:sz w:val="20"/>
                <w:lang w:val="fr-BE"/>
              </w:rPr>
              <w:t xml:space="preserve"> (initiative non législative, T3/2020)</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noProof/>
                <w:sz w:val="20"/>
                <w:lang w:val="fr-BE"/>
              </w:rPr>
            </w:pPr>
            <w:r>
              <w:rPr>
                <w:b/>
                <w:noProof/>
                <w:sz w:val="20"/>
                <w:lang w:val="fr-BE"/>
              </w:rPr>
              <w:t>Financement de la transition durable</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jc w:val="left"/>
              <w:rPr>
                <w:noProof/>
                <w:sz w:val="20"/>
                <w:lang w:val="fr-BE"/>
              </w:rPr>
            </w:pPr>
            <w:r>
              <w:rPr>
                <w:b/>
                <w:bCs/>
                <w:noProof/>
                <w:sz w:val="20"/>
                <w:lang w:val="fr-BE"/>
              </w:rPr>
              <w:t>Plan d'investissement du pacte vert pour l'Europe</w:t>
            </w:r>
            <w:r>
              <w:rPr>
                <w:noProof/>
                <w:sz w:val="20"/>
                <w:lang w:val="fr-BE"/>
              </w:rPr>
              <w:t xml:space="preserve"> (initiative non législative, T1/2020); </w:t>
            </w:r>
            <w:r>
              <w:rPr>
                <w:noProof/>
                <w:sz w:val="20"/>
                <w:lang w:val="fr-BE"/>
              </w:rPr>
              <w:br/>
            </w:r>
            <w:r>
              <w:rPr>
                <w:b/>
                <w:bCs/>
                <w:noProof/>
                <w:sz w:val="20"/>
                <w:lang w:val="fr-BE"/>
              </w:rPr>
              <w:t>Fonds pour une transition juste</w:t>
            </w:r>
            <w:r>
              <w:rPr>
                <w:noProof/>
                <w:sz w:val="20"/>
                <w:lang w:val="fr-BE"/>
              </w:rPr>
              <w:t xml:space="preserve"> (initiative législative, article 175 du TFUE, T1/2020); </w:t>
            </w:r>
            <w:r>
              <w:rPr>
                <w:noProof/>
                <w:sz w:val="20"/>
                <w:lang w:val="fr-BE"/>
              </w:rPr>
              <w:br/>
            </w:r>
            <w:r>
              <w:rPr>
                <w:b/>
                <w:bCs/>
                <w:noProof/>
                <w:sz w:val="20"/>
                <w:lang w:val="fr-BE"/>
              </w:rPr>
              <w:t>stratégie renouvelée en matière de finance durable</w:t>
            </w:r>
            <w:r>
              <w:rPr>
                <w:noProof/>
                <w:sz w:val="20"/>
                <w:lang w:val="fr-BE"/>
              </w:rPr>
              <w:t xml:space="preserve"> (initiative non législative, T3/2020); </w:t>
            </w:r>
          </w:p>
          <w:p>
            <w:pPr>
              <w:spacing w:after="0"/>
              <w:jc w:val="left"/>
              <w:rPr>
                <w:noProof/>
                <w:sz w:val="20"/>
                <w:lang w:val="fr-BE"/>
              </w:rPr>
            </w:pPr>
            <w:r>
              <w:rPr>
                <w:b/>
                <w:bCs/>
                <w:noProof/>
                <w:sz w:val="20"/>
                <w:lang w:val="fr-BE"/>
              </w:rPr>
              <w:t>révision de la directive sur la publication d’informations non financières</w:t>
            </w:r>
            <w:r>
              <w:rPr>
                <w:noProof/>
                <w:sz w:val="20"/>
                <w:lang w:val="fr-BE"/>
              </w:rPr>
              <w:t xml:space="preserve"> (initiative législative incluant une analyse d’impact, article 114 du TFUE,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noProof/>
                <w:sz w:val="20"/>
                <w:lang w:val="fr-BE"/>
              </w:rPr>
            </w:pPr>
            <w:r>
              <w:rPr>
                <w:b/>
                <w:bCs/>
                <w:noProof/>
                <w:sz w:val="20"/>
                <w:lang w:val="fr-BE"/>
              </w:rPr>
              <w:t>Contribution de la Commission à la COP 26 à Glasgow</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lang w:val="fr-BE"/>
              </w:rPr>
            </w:pPr>
            <w:r>
              <w:rPr>
                <w:b/>
                <w:bCs/>
                <w:noProof/>
                <w:sz w:val="20"/>
                <w:lang w:val="fr-BE"/>
              </w:rPr>
              <w:t>Plan cible en matière de climat à l’horizon 2030</w:t>
            </w:r>
            <w:r>
              <w:rPr>
                <w:noProof/>
                <w:sz w:val="20"/>
                <w:lang w:val="fr-BE"/>
              </w:rPr>
              <w:t xml:space="preserve"> (initiative non législative incluant une analyse d’impact, T3/2020); </w:t>
            </w:r>
            <w:r>
              <w:rPr>
                <w:noProof/>
                <w:sz w:val="20"/>
                <w:lang w:val="fr-BE"/>
              </w:rPr>
              <w:br/>
            </w:r>
            <w:r>
              <w:rPr>
                <w:b/>
                <w:bCs/>
                <w:noProof/>
                <w:sz w:val="20"/>
                <w:lang w:val="fr-BE"/>
              </w:rPr>
              <w:t>nouvelle stratégie de l’UE relative à l’adaptation au changement climatique</w:t>
            </w:r>
            <w:r>
              <w:rPr>
                <w:noProof/>
                <w:sz w:val="20"/>
                <w:lang w:val="fr-BE"/>
              </w:rPr>
              <w:t xml:space="preserve"> (initiative non législative, T4/2020);</w:t>
            </w:r>
          </w:p>
          <w:p>
            <w:pPr>
              <w:spacing w:after="0"/>
              <w:jc w:val="left"/>
              <w:rPr>
                <w:noProof/>
                <w:sz w:val="20"/>
                <w:lang w:val="fr-BE"/>
              </w:rPr>
            </w:pPr>
            <w:r>
              <w:rPr>
                <w:b/>
                <w:bCs/>
                <w:noProof/>
                <w:sz w:val="20"/>
                <w:lang w:val="fr-BE"/>
              </w:rPr>
              <w:t>nouvelle stratégie de l'UE pour les forêts</w:t>
            </w:r>
            <w:r>
              <w:rPr>
                <w:noProof/>
                <w:sz w:val="20"/>
                <w:lang w:val="fr-BE"/>
              </w:rPr>
              <w:t xml:space="preserve"> (initiative non législative,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noProof/>
                <w:color w:val="000000"/>
                <w:sz w:val="20"/>
              </w:rPr>
            </w:pPr>
            <w:r>
              <w:rPr>
                <w:b/>
                <w:noProof/>
                <w:sz w:val="20"/>
              </w:rPr>
              <w:t>Durabilité des systèmes alimentaires</w:t>
            </w:r>
          </w:p>
        </w:tc>
        <w:tc>
          <w:tcPr>
            <w:tcW w:w="10064" w:type="dxa"/>
            <w:tcBorders>
              <w:bottom w:val="single" w:sz="4" w:space="0" w:color="auto"/>
            </w:tcBorders>
            <w:tcMar>
              <w:top w:w="85" w:type="dxa"/>
              <w:bottom w:w="85" w:type="dxa"/>
            </w:tcMar>
          </w:tcPr>
          <w:p>
            <w:pPr>
              <w:spacing w:after="0"/>
              <w:jc w:val="left"/>
              <w:rPr>
                <w:noProof/>
                <w:color w:val="FF0000"/>
                <w:sz w:val="20"/>
                <w:lang w:val="fr-BE"/>
              </w:rPr>
            </w:pPr>
            <w:r>
              <w:rPr>
                <w:b/>
                <w:bCs/>
                <w:noProof/>
                <w:sz w:val="20"/>
                <w:lang w:val="fr-BE"/>
              </w:rPr>
              <w:t>Stratégie «De la ferme à la table»</w:t>
            </w:r>
            <w:r>
              <w:rPr>
                <w:noProof/>
                <w:sz w:val="20"/>
                <w:lang w:val="fr-BE"/>
              </w:rPr>
              <w:t xml:space="preserve"> (initiative non législative, T1/2020)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sz w:val="20"/>
              </w:rPr>
              <w:t>Décarbonation de l’énergie</w:t>
            </w:r>
          </w:p>
        </w:tc>
        <w:tc>
          <w:tcPr>
            <w:tcW w:w="10064" w:type="dxa"/>
            <w:tcBorders>
              <w:bottom w:val="single" w:sz="4" w:space="0" w:color="auto"/>
            </w:tcBorders>
            <w:tcMar>
              <w:top w:w="85" w:type="dxa"/>
              <w:bottom w:w="85" w:type="dxa"/>
            </w:tcMar>
          </w:tcPr>
          <w:p>
            <w:pPr>
              <w:spacing w:after="0"/>
              <w:jc w:val="left"/>
              <w:rPr>
                <w:noProof/>
                <w:sz w:val="20"/>
                <w:lang w:val="fr-BE"/>
              </w:rPr>
            </w:pPr>
            <w:r>
              <w:rPr>
                <w:b/>
                <w:bCs/>
                <w:noProof/>
                <w:sz w:val="20"/>
                <w:lang w:val="fr-BE"/>
              </w:rPr>
              <w:t>Stratégie pour une intégration intelligente des secteurs</w:t>
            </w:r>
            <w:r>
              <w:rPr>
                <w:noProof/>
                <w:sz w:val="20"/>
                <w:lang w:val="fr-BE"/>
              </w:rPr>
              <w:t xml:space="preserve"> (initiative non législative, T2/2020);</w:t>
            </w:r>
          </w:p>
          <w:p>
            <w:pPr>
              <w:spacing w:after="0"/>
              <w:jc w:val="left"/>
              <w:rPr>
                <w:noProof/>
                <w:sz w:val="20"/>
                <w:lang w:val="fr-BE"/>
              </w:rPr>
            </w:pPr>
            <w:r>
              <w:rPr>
                <w:b/>
                <w:noProof/>
                <w:sz w:val="20"/>
                <w:lang w:val="fr-BE"/>
              </w:rPr>
              <w:t>vague de rénovation</w:t>
            </w:r>
            <w:r>
              <w:rPr>
                <w:noProof/>
                <w:sz w:val="20"/>
                <w:lang w:val="fr-BE"/>
              </w:rPr>
              <w:t xml:space="preserve"> (initiative non législative, T3/2020);</w:t>
            </w:r>
          </w:p>
          <w:p>
            <w:pPr>
              <w:spacing w:after="0"/>
              <w:jc w:val="left"/>
              <w:rPr>
                <w:noProof/>
                <w:sz w:val="20"/>
                <w:lang w:val="fr-BE"/>
              </w:rPr>
            </w:pPr>
            <w:r>
              <w:rPr>
                <w:b/>
                <w:noProof/>
                <w:sz w:val="20"/>
                <w:lang w:val="fr-BE"/>
              </w:rPr>
              <w:t>énergies renouvelables en mer</w:t>
            </w:r>
            <w:r>
              <w:rPr>
                <w:noProof/>
                <w:sz w:val="20"/>
                <w:lang w:val="fr-BE"/>
              </w:rPr>
              <w:t xml:space="preserve"> (initiative non législative,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jc w:val="left"/>
              <w:rPr>
                <w:b/>
                <w:bCs/>
                <w:noProof/>
                <w:color w:val="000000"/>
                <w:sz w:val="20"/>
              </w:rPr>
            </w:pPr>
            <w:r>
              <w:rPr>
                <w:b/>
                <w:bCs/>
                <w:noProof/>
                <w:sz w:val="20"/>
              </w:rPr>
              <w:t>Production et consommation durables</w:t>
            </w:r>
          </w:p>
        </w:tc>
        <w:tc>
          <w:tcPr>
            <w:tcW w:w="10064" w:type="dxa"/>
            <w:tcBorders>
              <w:bottom w:val="single" w:sz="4" w:space="0" w:color="auto"/>
            </w:tcBorders>
            <w:tcMar>
              <w:top w:w="85" w:type="dxa"/>
              <w:bottom w:w="85" w:type="dxa"/>
            </w:tcMar>
          </w:tcPr>
          <w:p>
            <w:pPr>
              <w:spacing w:after="0"/>
              <w:jc w:val="left"/>
              <w:rPr>
                <w:noProof/>
                <w:sz w:val="20"/>
                <w:lang w:val="fr-BE"/>
              </w:rPr>
            </w:pPr>
            <w:r>
              <w:rPr>
                <w:b/>
                <w:bCs/>
                <w:noProof/>
                <w:sz w:val="20"/>
                <w:lang w:val="fr-BE"/>
              </w:rPr>
              <w:t>Nouveau plan d’action en faveur de l’économie circulaire</w:t>
            </w:r>
            <w:r>
              <w:rPr>
                <w:noProof/>
                <w:sz w:val="20"/>
                <w:lang w:val="fr-BE"/>
              </w:rPr>
              <w:t xml:space="preserve"> (initiative non législative, T1/2020);</w:t>
            </w:r>
          </w:p>
          <w:p>
            <w:pPr>
              <w:spacing w:after="0"/>
              <w:jc w:val="left"/>
              <w:rPr>
                <w:b/>
                <w:bCs/>
                <w:noProof/>
                <w:sz w:val="20"/>
                <w:lang w:val="fr-BE"/>
              </w:rPr>
            </w:pPr>
            <w:r>
              <w:rPr>
                <w:b/>
                <w:bCs/>
                <w:noProof/>
                <w:sz w:val="20"/>
                <w:lang w:val="fr-BE"/>
              </w:rPr>
              <w:t>donner aux consommateurs les moyens d’agir pour la transition verte</w:t>
            </w:r>
            <w:r>
              <w:rPr>
                <w:noProof/>
                <w:sz w:val="20"/>
                <w:lang w:val="fr-BE"/>
              </w:rPr>
              <w:t xml:space="preserve"> (initiative législative incluant une analyse d’impact, article 114 du TFUE,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Protection de notre environnement</w:t>
            </w:r>
          </w:p>
        </w:tc>
        <w:tc>
          <w:tcPr>
            <w:tcW w:w="10064" w:type="dxa"/>
            <w:tcBorders>
              <w:bottom w:val="single" w:sz="4" w:space="0" w:color="auto"/>
            </w:tcBorders>
            <w:tcMar>
              <w:top w:w="85" w:type="dxa"/>
              <w:bottom w:w="85" w:type="dxa"/>
            </w:tcMar>
          </w:tcPr>
          <w:p>
            <w:pPr>
              <w:spacing w:after="0"/>
              <w:jc w:val="left"/>
              <w:rPr>
                <w:b/>
                <w:bCs/>
                <w:noProof/>
                <w:sz w:val="20"/>
                <w:lang w:val="fr-BE"/>
              </w:rPr>
            </w:pPr>
            <w:r>
              <w:rPr>
                <w:b/>
                <w:bCs/>
                <w:noProof/>
                <w:sz w:val="20"/>
                <w:lang w:val="fr-BE"/>
              </w:rPr>
              <w:t>Stratégie de l’UE en faveur de la biodiversité à l’horizon 2030</w:t>
            </w:r>
            <w:r>
              <w:rPr>
                <w:noProof/>
                <w:sz w:val="20"/>
                <w:lang w:val="fr-BE"/>
              </w:rPr>
              <w:t xml:space="preserve"> (initiative non législative, T1/2020);</w:t>
            </w:r>
            <w:r>
              <w:rPr>
                <w:b/>
                <w:bCs/>
                <w:noProof/>
                <w:sz w:val="20"/>
                <w:lang w:val="fr-BE"/>
              </w:rPr>
              <w:t xml:space="preserve"> </w:t>
            </w:r>
          </w:p>
          <w:p>
            <w:pPr>
              <w:spacing w:after="0"/>
              <w:jc w:val="left"/>
              <w:rPr>
                <w:noProof/>
                <w:sz w:val="20"/>
                <w:lang w:val="fr-BE"/>
              </w:rPr>
            </w:pPr>
            <w:r>
              <w:rPr>
                <w:b/>
                <w:bCs/>
                <w:noProof/>
                <w:sz w:val="20"/>
                <w:lang w:val="fr-BE"/>
              </w:rPr>
              <w:t>8</w:t>
            </w:r>
            <w:r>
              <w:rPr>
                <w:b/>
                <w:bCs/>
                <w:noProof/>
                <w:sz w:val="20"/>
                <w:vertAlign w:val="superscript"/>
                <w:lang w:val="fr-BE"/>
              </w:rPr>
              <w:t>e</w:t>
            </w:r>
            <w:r>
              <w:rPr>
                <w:b/>
                <w:bCs/>
                <w:noProof/>
                <w:sz w:val="20"/>
                <w:lang w:val="fr-BE"/>
              </w:rPr>
              <w:t xml:space="preserve"> programme d’action pour l’environnement</w:t>
            </w:r>
            <w:r>
              <w:rPr>
                <w:noProof/>
                <w:sz w:val="20"/>
                <w:lang w:val="fr-BE"/>
              </w:rPr>
              <w:t xml:space="preserve"> (initiative législative, article 192, paragraphe 3, du TFUE, T2/2020);</w:t>
            </w:r>
            <w:r>
              <w:rPr>
                <w:b/>
                <w:bCs/>
                <w:noProof/>
                <w:sz w:val="20"/>
                <w:lang w:val="fr-BE"/>
              </w:rPr>
              <w:br/>
            </w:r>
            <w:r>
              <w:rPr>
                <w:b/>
                <w:noProof/>
                <w:sz w:val="20"/>
                <w:lang w:val="fr-BE"/>
              </w:rPr>
              <w:t>stratégie durable dans le domaine des produits chimiques</w:t>
            </w:r>
            <w:r>
              <w:rPr>
                <w:noProof/>
                <w:sz w:val="20"/>
                <w:lang w:val="fr-BE"/>
              </w:rPr>
              <w:t xml:space="preserve"> (initiative non législative, T3/2020)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Mobilité durable et intelligente</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lang w:val="fr-BE"/>
              </w:rPr>
            </w:pPr>
            <w:r>
              <w:rPr>
                <w:b/>
                <w:bCs/>
                <w:noProof/>
                <w:sz w:val="20"/>
                <w:lang w:val="fr-BE"/>
              </w:rPr>
              <w:t>Stratégie pour une mobilité durable et intelligente</w:t>
            </w:r>
            <w:r>
              <w:rPr>
                <w:noProof/>
                <w:sz w:val="20"/>
                <w:lang w:val="fr-BE"/>
              </w:rPr>
              <w:t xml:space="preserve"> (initiative non législative, T4/2020);</w:t>
            </w:r>
          </w:p>
          <w:p>
            <w:pPr>
              <w:spacing w:after="0"/>
              <w:jc w:val="left"/>
              <w:rPr>
                <w:noProof/>
                <w:sz w:val="20"/>
                <w:lang w:val="fr-BE"/>
              </w:rPr>
            </w:pPr>
            <w:r>
              <w:rPr>
                <w:b/>
                <w:bCs/>
                <w:noProof/>
                <w:sz w:val="20"/>
                <w:lang w:val="fr-BE"/>
              </w:rPr>
              <w:t>ReFuelEU Aviation - Carburants durables pour l’aviation</w:t>
            </w:r>
            <w:r>
              <w:rPr>
                <w:noProof/>
                <w:sz w:val="20"/>
                <w:lang w:val="fr-BE"/>
              </w:rPr>
              <w:t xml:space="preserve"> (initiative législative incluant une analyse d’impact, article 100, paragraphe 2, et/ou article 192, paragraphe 1, du TFUE, T4/2020);</w:t>
            </w:r>
          </w:p>
          <w:p>
            <w:pPr>
              <w:spacing w:after="0"/>
              <w:jc w:val="left"/>
              <w:rPr>
                <w:noProof/>
                <w:sz w:val="20"/>
                <w:lang w:val="fr-BE"/>
              </w:rPr>
            </w:pPr>
            <w:r>
              <w:rPr>
                <w:b/>
                <w:bCs/>
                <w:noProof/>
                <w:sz w:val="20"/>
                <w:lang w:val="fr-BE"/>
              </w:rPr>
              <w:t>FuelEU Maritime - Espace maritime européen vert</w:t>
            </w:r>
            <w:r>
              <w:rPr>
                <w:noProof/>
                <w:sz w:val="20"/>
                <w:lang w:val="fr-BE"/>
              </w:rPr>
              <w:t xml:space="preserve"> (initiative législative incluant une analyse d’impact, article 100, paragraphe 2, et/ou article 192, paragraphe 1, du TFUE, T4/2020)</w:t>
            </w:r>
          </w:p>
        </w:tc>
      </w:tr>
      <w:tr>
        <w:trPr>
          <w:cantSplit/>
        </w:trPr>
        <w:tc>
          <w:tcPr>
            <w:tcW w:w="14827" w:type="dxa"/>
            <w:gridSpan w:val="3"/>
            <w:tcBorders>
              <w:bottom w:val="single" w:sz="4" w:space="0" w:color="auto"/>
            </w:tcBorders>
            <w:shd w:val="clear" w:color="auto" w:fill="18BAA8" w:themeFill="accent2"/>
          </w:tcPr>
          <w:p>
            <w:pPr>
              <w:keepNext/>
              <w:spacing w:before="60" w:after="60"/>
              <w:rPr>
                <w:b/>
                <w:bCs/>
                <w:noProof/>
                <w:sz w:val="20"/>
                <w:lang w:val="fr-BE"/>
              </w:rPr>
            </w:pPr>
            <w:r>
              <w:rPr>
                <w:b/>
                <w:bCs/>
                <w:noProof/>
                <w:color w:val="FFFFFF" w:themeColor="background1"/>
                <w:sz w:val="20"/>
                <w:lang w:val="fr-BE"/>
              </w:rPr>
              <w:t>Une Europe adaptée à l’ère du numérique</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r>
              <w:rPr>
                <w:noProof/>
                <w:color w:val="FFFFFF" w:themeColor="background1"/>
                <w:sz w:val="20"/>
              </w:rPr>
              <w:t>.</w:t>
            </w: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lang w:val="fr-BE"/>
              </w:rPr>
            </w:pPr>
            <w:r>
              <w:rPr>
                <w:b/>
                <w:bCs/>
                <w:noProof/>
                <w:sz w:val="20"/>
                <w:lang w:val="fr-BE"/>
              </w:rPr>
              <w:t>Une Europe adaptée à l’ère du numérique</w:t>
            </w:r>
          </w:p>
        </w:tc>
        <w:tc>
          <w:tcPr>
            <w:tcW w:w="10064" w:type="dxa"/>
            <w:tcBorders>
              <w:bottom w:val="single" w:sz="4" w:space="0" w:color="auto"/>
            </w:tcBorders>
            <w:tcMar>
              <w:top w:w="85" w:type="dxa"/>
              <w:bottom w:w="85" w:type="dxa"/>
            </w:tcMar>
          </w:tcPr>
          <w:p>
            <w:pPr>
              <w:spacing w:after="0"/>
              <w:jc w:val="left"/>
              <w:rPr>
                <w:b/>
                <w:bCs/>
                <w:noProof/>
                <w:color w:val="000000" w:themeColor="text1"/>
                <w:sz w:val="20"/>
                <w:lang w:val="fr-BE"/>
              </w:rPr>
            </w:pPr>
            <w:r>
              <w:rPr>
                <w:b/>
                <w:bCs/>
                <w:noProof/>
                <w:sz w:val="20"/>
                <w:lang w:val="fr-BE"/>
              </w:rPr>
              <w:t>Une stratégie pour l’Europe - adaptée à l’ère du numérique</w:t>
            </w:r>
            <w:r>
              <w:rPr>
                <w:noProof/>
                <w:sz w:val="20"/>
                <w:lang w:val="fr-BE"/>
              </w:rPr>
              <w:t xml:space="preserve"> (initiative non législative, T1/2020);</w:t>
            </w:r>
            <w:r>
              <w:rPr>
                <w:b/>
                <w:bCs/>
                <w:noProof/>
                <w:sz w:val="20"/>
                <w:lang w:val="fr-BE"/>
              </w:rPr>
              <w:t xml:space="preserve"> </w:t>
            </w:r>
          </w:p>
          <w:p>
            <w:pPr>
              <w:spacing w:after="0"/>
              <w:jc w:val="left"/>
              <w:rPr>
                <w:noProof/>
                <w:color w:val="000000" w:themeColor="text1"/>
                <w:sz w:val="20"/>
                <w:lang w:val="fr-BE"/>
              </w:rPr>
            </w:pPr>
            <w:r>
              <w:rPr>
                <w:b/>
                <w:bCs/>
                <w:noProof/>
                <w:sz w:val="20"/>
                <w:lang w:val="fr-BE"/>
              </w:rPr>
              <w:t>plan d’action en matière d’éducation numérique (actualisation)</w:t>
            </w:r>
            <w:r>
              <w:rPr>
                <w:noProof/>
                <w:sz w:val="20"/>
                <w:lang w:val="fr-BE"/>
              </w:rPr>
              <w:t xml:space="preserve"> (initiative non législative, T2/2020)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noProof/>
                <w:sz w:val="20"/>
                <w:lang w:val="fr-BE"/>
              </w:rPr>
            </w:pPr>
            <w:r>
              <w:rPr>
                <w:b/>
                <w:bCs/>
                <w:noProof/>
                <w:sz w:val="20"/>
                <w:lang w:val="fr-BE"/>
              </w:rPr>
              <w:t>Une approche européenne de l’intelligence artificielle</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color w:val="000000" w:themeColor="text1"/>
                <w:sz w:val="20"/>
                <w:lang w:val="fr-BE"/>
              </w:rPr>
            </w:pPr>
            <w:r>
              <w:rPr>
                <w:b/>
                <w:bCs/>
                <w:noProof/>
                <w:sz w:val="20"/>
                <w:lang w:val="fr-BE"/>
              </w:rPr>
              <w:t>Livre blanc sur l’intelligence artificielle</w:t>
            </w:r>
            <w:r>
              <w:rPr>
                <w:noProof/>
                <w:sz w:val="20"/>
                <w:lang w:val="fr-BE"/>
              </w:rPr>
              <w:t xml:space="preserve"> (initiative non législative, T1/2020);</w:t>
            </w:r>
          </w:p>
          <w:p>
            <w:pPr>
              <w:spacing w:after="0"/>
              <w:jc w:val="left"/>
              <w:rPr>
                <w:noProof/>
                <w:color w:val="000000" w:themeColor="text1"/>
                <w:sz w:val="20"/>
                <w:lang w:val="fr-BE"/>
              </w:rPr>
            </w:pPr>
            <w:r>
              <w:rPr>
                <w:b/>
                <w:noProof/>
                <w:sz w:val="20"/>
                <w:lang w:val="fr-BE"/>
              </w:rPr>
              <w:t>stratégie européenne en matière de données</w:t>
            </w:r>
            <w:r>
              <w:rPr>
                <w:noProof/>
                <w:sz w:val="20"/>
                <w:lang w:val="fr-BE"/>
              </w:rPr>
              <w:t xml:space="preserve"> (initiative non législative, T1/2020);</w:t>
            </w:r>
          </w:p>
          <w:p>
            <w:pPr>
              <w:spacing w:after="0"/>
              <w:jc w:val="left"/>
              <w:rPr>
                <w:noProof/>
                <w:sz w:val="20"/>
                <w:lang w:val="fr-BE"/>
              </w:rPr>
            </w:pPr>
            <w:r>
              <w:rPr>
                <w:b/>
                <w:bCs/>
                <w:noProof/>
                <w:sz w:val="20"/>
                <w:lang w:val="fr-BE"/>
              </w:rPr>
              <w:t>suivi du livre blanc sur l’intelligence artificielle, y compris en matière de sécurité, de responsabilité, de droits fondamentaux et de données</w:t>
            </w:r>
            <w:r>
              <w:rPr>
                <w:noProof/>
                <w:sz w:val="20"/>
                <w:lang w:val="fr-BE"/>
              </w:rPr>
              <w:t xml:space="preserve"> (initiative législative incluant une analyse d’impact, article 114 du TFUE,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Services numériques</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noProof/>
                <w:sz w:val="20"/>
                <w:lang w:val="fr-BE"/>
              </w:rPr>
            </w:pPr>
            <w:r>
              <w:rPr>
                <w:b/>
                <w:bCs/>
                <w:noProof/>
                <w:sz w:val="20"/>
                <w:lang w:val="fr-BE"/>
              </w:rPr>
              <w:t>Législation sur les services numériques</w:t>
            </w:r>
            <w:r>
              <w:rPr>
                <w:noProof/>
                <w:sz w:val="20"/>
                <w:lang w:val="fr-BE"/>
              </w:rPr>
              <w:t xml:space="preserve"> (initiative législative incluant une analyse d’impact, article 114 du TFUE,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Renforcement de la cybersécurité</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b/>
                <w:bCs/>
                <w:noProof/>
                <w:color w:val="000000" w:themeColor="text1"/>
                <w:sz w:val="20"/>
                <w:lang w:val="fr-BE"/>
              </w:rPr>
            </w:pPr>
            <w:r>
              <w:rPr>
                <w:b/>
                <w:bCs/>
                <w:noProof/>
                <w:sz w:val="20"/>
                <w:lang w:val="fr-BE"/>
              </w:rPr>
              <w:t>Révision de la directive sur la sécurité des réseaux et des systèmes d’information (directive SRI)</w:t>
            </w:r>
            <w:r>
              <w:rPr>
                <w:noProof/>
                <w:sz w:val="20"/>
                <w:lang w:val="fr-BE"/>
              </w:rPr>
              <w:t xml:space="preserve"> (initiative législative incluant une analyse d’impact, article 114 du TFUE, T4/2020)</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tcBorders>
            <w:shd w:val="clear" w:color="auto" w:fill="FFFFFF" w:themeFill="background1"/>
            <w:tcMar>
              <w:top w:w="85" w:type="dxa"/>
              <w:bottom w:w="85" w:type="dxa"/>
            </w:tcMar>
          </w:tcPr>
          <w:p>
            <w:pPr>
              <w:spacing w:after="0"/>
              <w:rPr>
                <w:b/>
                <w:bCs/>
                <w:noProof/>
                <w:color w:val="000000"/>
                <w:sz w:val="20"/>
                <w:lang w:val="fr-BE"/>
              </w:rPr>
            </w:pPr>
            <w:r>
              <w:rPr>
                <w:b/>
                <w:bCs/>
                <w:noProof/>
                <w:sz w:val="20"/>
                <w:lang w:val="fr-BE"/>
              </w:rPr>
              <w:t>Le numérique au service des consommateurs</w:t>
            </w:r>
          </w:p>
        </w:tc>
        <w:tc>
          <w:tcPr>
            <w:tcW w:w="10064" w:type="dxa"/>
            <w:shd w:val="clear" w:color="auto" w:fill="FFFFFF" w:themeFill="background1"/>
            <w:tcMar>
              <w:top w:w="85" w:type="dxa"/>
              <w:bottom w:w="85" w:type="dxa"/>
            </w:tcMar>
          </w:tcPr>
          <w:p>
            <w:pPr>
              <w:spacing w:after="0"/>
              <w:rPr>
                <w:noProof/>
                <w:sz w:val="20"/>
                <w:lang w:val="fr-BE"/>
              </w:rPr>
            </w:pPr>
            <w:r>
              <w:rPr>
                <w:b/>
                <w:bCs/>
                <w:noProof/>
                <w:sz w:val="20"/>
                <w:lang w:val="fr-BE"/>
              </w:rPr>
              <w:t>Chargeurs universels pour téléphones portables et appareils similaires</w:t>
            </w:r>
            <w:r>
              <w:rPr>
                <w:noProof/>
                <w:sz w:val="20"/>
                <w:lang w:val="fr-BE"/>
              </w:rPr>
              <w:t xml:space="preserve"> (initiative législative incluant une analyse d’impact, article 114 du TFUE, T3/2020);</w:t>
            </w:r>
          </w:p>
          <w:p>
            <w:pPr>
              <w:spacing w:after="0"/>
              <w:rPr>
                <w:noProof/>
                <w:sz w:val="20"/>
                <w:lang w:val="fr-BE"/>
              </w:rPr>
            </w:pPr>
            <w:r>
              <w:rPr>
                <w:b/>
                <w:bCs/>
                <w:noProof/>
                <w:sz w:val="20"/>
                <w:lang w:val="fr-BE"/>
              </w:rPr>
              <w:t>réexamen du règlement concernant l’itinérance</w:t>
            </w:r>
            <w:r>
              <w:rPr>
                <w:noProof/>
                <w:sz w:val="20"/>
                <w:lang w:val="fr-BE"/>
              </w:rPr>
              <w:t xml:space="preserve"> (initiative législative incluant une analyse d’impact, article 114 du TFUE,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r>
              <w:rPr>
                <w:noProof/>
                <w:color w:val="FFFFFF" w:themeColor="background1"/>
                <w:sz w:val="20"/>
              </w:rPr>
              <w:t>.</w:t>
            </w: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noProof/>
                <w:sz w:val="20"/>
                <w:lang w:val="fr-BE"/>
              </w:rPr>
            </w:pPr>
            <w:r>
              <w:rPr>
                <w:b/>
                <w:bCs/>
                <w:noProof/>
                <w:sz w:val="20"/>
                <w:lang w:val="fr-BE"/>
              </w:rPr>
              <w:t>Une nouvelle stratégie industrielle pour l’Europe</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lang w:val="fr-BE"/>
              </w:rPr>
            </w:pPr>
            <w:r>
              <w:rPr>
                <w:b/>
                <w:bCs/>
                <w:noProof/>
                <w:sz w:val="20"/>
                <w:lang w:val="fr-BE"/>
              </w:rPr>
              <w:t>Stratégie industrielle</w:t>
            </w:r>
            <w:r>
              <w:rPr>
                <w:noProof/>
                <w:sz w:val="20"/>
                <w:lang w:val="fr-BE"/>
              </w:rPr>
              <w:t xml:space="preserve"> (initiative non législative, T1/2020); </w:t>
            </w:r>
          </w:p>
          <w:p>
            <w:pPr>
              <w:spacing w:after="0"/>
              <w:jc w:val="left"/>
              <w:rPr>
                <w:b/>
                <w:bCs/>
                <w:noProof/>
                <w:sz w:val="20"/>
                <w:lang w:val="fr-BE"/>
              </w:rPr>
            </w:pPr>
            <w:r>
              <w:rPr>
                <w:b/>
                <w:bCs/>
                <w:noProof/>
                <w:sz w:val="20"/>
                <w:lang w:val="fr-BE"/>
              </w:rPr>
              <w:t>rapport sur les obstacles au marché unique</w:t>
            </w:r>
            <w:r>
              <w:rPr>
                <w:noProof/>
                <w:sz w:val="20"/>
                <w:lang w:val="fr-BE"/>
              </w:rPr>
              <w:t xml:space="preserve"> (initiative non législative, T1/2020);</w:t>
            </w:r>
            <w:r>
              <w:rPr>
                <w:b/>
                <w:bCs/>
                <w:noProof/>
                <w:sz w:val="20"/>
                <w:lang w:val="fr-BE"/>
              </w:rPr>
              <w:t xml:space="preserve"> </w:t>
            </w:r>
          </w:p>
          <w:p>
            <w:pPr>
              <w:spacing w:after="0"/>
              <w:jc w:val="left"/>
              <w:rPr>
                <w:noProof/>
                <w:sz w:val="20"/>
                <w:lang w:val="fr-BE"/>
              </w:rPr>
            </w:pPr>
            <w:r>
              <w:rPr>
                <w:b/>
                <w:bCs/>
                <w:noProof/>
                <w:sz w:val="20"/>
                <w:lang w:val="fr-BE"/>
              </w:rPr>
              <w:t>plan d’action sur le respect de l’application des règles du marché unique</w:t>
            </w:r>
            <w:r>
              <w:rPr>
                <w:noProof/>
                <w:sz w:val="20"/>
                <w:lang w:val="fr-BE"/>
              </w:rPr>
              <w:t xml:space="preserve"> (initiative non législative, T1/2020); </w:t>
            </w:r>
          </w:p>
          <w:p>
            <w:pPr>
              <w:spacing w:after="0"/>
              <w:jc w:val="left"/>
              <w:rPr>
                <w:noProof/>
                <w:sz w:val="20"/>
                <w:lang w:val="fr-BE"/>
              </w:rPr>
            </w:pPr>
            <w:r>
              <w:rPr>
                <w:b/>
                <w:bCs/>
                <w:noProof/>
                <w:sz w:val="20"/>
                <w:lang w:val="fr-BE"/>
              </w:rPr>
              <w:t>stratégie en faveur des PME</w:t>
            </w:r>
            <w:r>
              <w:rPr>
                <w:noProof/>
                <w:sz w:val="20"/>
                <w:lang w:val="fr-BE"/>
              </w:rPr>
              <w:t xml:space="preserve"> (initiative non législative, T1/2020); </w:t>
            </w:r>
          </w:p>
          <w:p>
            <w:pPr>
              <w:spacing w:after="0"/>
              <w:jc w:val="left"/>
              <w:rPr>
                <w:noProof/>
                <w:sz w:val="20"/>
                <w:lang w:val="fr-BE"/>
              </w:rPr>
            </w:pPr>
            <w:r>
              <w:rPr>
                <w:b/>
                <w:bCs/>
                <w:noProof/>
                <w:sz w:val="20"/>
                <w:lang w:val="fr-BE"/>
              </w:rPr>
              <w:t>livre blanc sur un instrument relatif aux subventions étrangères</w:t>
            </w:r>
            <w:r>
              <w:rPr>
                <w:noProof/>
                <w:sz w:val="20"/>
                <w:lang w:val="fr-BE"/>
              </w:rPr>
              <w:t xml:space="preserve"> (initiative non législative, T2/2020)</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bCs/>
                <w:noProof/>
                <w:sz w:val="20"/>
              </w:rPr>
            </w:pPr>
            <w:r>
              <w:rPr>
                <w:b/>
                <w:bCs/>
                <w:noProof/>
                <w:sz w:val="20"/>
              </w:rPr>
              <w:t>Paquet «services aériens»</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jc w:val="left"/>
              <w:rPr>
                <w:noProof/>
                <w:sz w:val="20"/>
                <w:lang w:val="fr-BE"/>
              </w:rPr>
            </w:pPr>
            <w:r>
              <w:rPr>
                <w:b/>
                <w:bCs/>
                <w:noProof/>
                <w:sz w:val="20"/>
                <w:lang w:val="fr-BE"/>
              </w:rPr>
              <w:t>Révision des redevances aéroportuaires</w:t>
            </w:r>
            <w:r>
              <w:rPr>
                <w:noProof/>
                <w:sz w:val="20"/>
                <w:lang w:val="fr-BE"/>
              </w:rPr>
              <w:t xml:space="preserve"> (initiative législative incluant une analyse d’impact, article 100, paragraphe 2, du TFUE, T4/2020); </w:t>
            </w:r>
            <w:r>
              <w:rPr>
                <w:b/>
                <w:bCs/>
                <w:noProof/>
                <w:sz w:val="20"/>
                <w:lang w:val="fr-BE"/>
              </w:rPr>
              <w:t>révision de la fourniture de services aériens</w:t>
            </w:r>
            <w:r>
              <w:rPr>
                <w:noProof/>
                <w:sz w:val="20"/>
                <w:lang w:val="fr-BE"/>
              </w:rPr>
              <w:t xml:space="preserve"> (initiative législative incluant une analyse d’impact, article 100, paragraphe 2, du TFUE,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lang w:val="fr-BE"/>
              </w:rPr>
            </w:pPr>
            <w:r>
              <w:rPr>
                <w:b/>
                <w:bCs/>
                <w:noProof/>
                <w:sz w:val="20"/>
                <w:lang w:val="fr-BE"/>
              </w:rPr>
              <w:t>Vers un espace européen de la recherche</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b/>
                <w:bCs/>
                <w:noProof/>
                <w:sz w:val="20"/>
                <w:lang w:val="fr-BE"/>
              </w:rPr>
            </w:pPr>
            <w:r>
              <w:rPr>
                <w:b/>
                <w:bCs/>
                <w:noProof/>
                <w:sz w:val="20"/>
                <w:lang w:val="fr-BE"/>
              </w:rPr>
              <w:t>Communication sur l’avenir de la recherche et de l’innovation et l’espace européen de la recherche</w:t>
            </w:r>
            <w:r>
              <w:rPr>
                <w:noProof/>
                <w:sz w:val="20"/>
                <w:lang w:val="fr-BE"/>
              </w:rPr>
              <w:t xml:space="preserve"> (initiative non législative, T2/2020);</w:t>
            </w:r>
            <w:r>
              <w:rPr>
                <w:b/>
                <w:bCs/>
                <w:noProof/>
                <w:sz w:val="20"/>
                <w:lang w:val="fr-BE"/>
              </w:rPr>
              <w:t xml:space="preserve"> </w:t>
            </w:r>
          </w:p>
          <w:p>
            <w:pPr>
              <w:spacing w:after="0"/>
              <w:jc w:val="left"/>
              <w:rPr>
                <w:noProof/>
                <w:sz w:val="20"/>
                <w:lang w:val="fr-BE"/>
              </w:rPr>
            </w:pPr>
            <w:r>
              <w:rPr>
                <w:b/>
                <w:bCs/>
                <w:noProof/>
                <w:sz w:val="20"/>
                <w:lang w:val="fr-BE"/>
              </w:rPr>
              <w:t>communication sur les missions de recherche et d’innovation menées dans le cadre d’Horizon Europe</w:t>
            </w:r>
            <w:r>
              <w:rPr>
                <w:noProof/>
                <w:sz w:val="20"/>
                <w:lang w:val="fr-BE"/>
              </w:rPr>
              <w:t xml:space="preserve"> (initiative non législative,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Finance numérique</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lang w:val="fr-BE"/>
              </w:rPr>
            </w:pPr>
            <w:r>
              <w:rPr>
                <w:b/>
                <w:bCs/>
                <w:noProof/>
                <w:sz w:val="20"/>
                <w:lang w:val="fr-BE"/>
              </w:rPr>
              <w:t>Plan d’action sur les technologies financières comprenant une stratégie pour un marché européen intégré des paiements</w:t>
            </w:r>
            <w:r>
              <w:rPr>
                <w:noProof/>
                <w:sz w:val="20"/>
                <w:lang w:val="fr-BE"/>
              </w:rPr>
              <w:t xml:space="preserve"> (initiative non législative, T3/2020);</w:t>
            </w:r>
            <w:r>
              <w:rPr>
                <w:noProof/>
                <w:sz w:val="20"/>
                <w:lang w:val="fr-BE"/>
              </w:rPr>
              <w:br/>
            </w:r>
            <w:r>
              <w:rPr>
                <w:b/>
                <w:bCs/>
                <w:noProof/>
                <w:sz w:val="20"/>
                <w:lang w:val="fr-BE"/>
              </w:rPr>
              <w:t>proposition sur les actifs cryptographiques</w:t>
            </w:r>
            <w:r>
              <w:rPr>
                <w:noProof/>
                <w:sz w:val="20"/>
                <w:lang w:val="fr-BE"/>
              </w:rPr>
              <w:t xml:space="preserve"> (initiative législative incluant une analyse d’impact, article 114 du TFUE, T3/2020); </w:t>
            </w:r>
          </w:p>
          <w:p>
            <w:pPr>
              <w:spacing w:after="0"/>
              <w:jc w:val="left"/>
              <w:rPr>
                <w:noProof/>
                <w:sz w:val="20"/>
                <w:lang w:val="fr-BE"/>
              </w:rPr>
            </w:pPr>
            <w:r>
              <w:rPr>
                <w:b/>
                <w:bCs/>
                <w:noProof/>
                <w:sz w:val="20"/>
                <w:lang w:val="fr-BE"/>
              </w:rPr>
              <w:t>législation transsectorielle sur les services financiers en ce qui concerne la cyber-résilience et la résilience opérationnelle</w:t>
            </w:r>
            <w:r>
              <w:rPr>
                <w:noProof/>
                <w:sz w:val="20"/>
                <w:lang w:val="fr-BE"/>
              </w:rPr>
              <w:t xml:space="preserve"> (initiative législative incluant une analyse d’impact, article 114 du TFUE, T3/2020)</w:t>
            </w:r>
          </w:p>
        </w:tc>
      </w:tr>
      <w:tr>
        <w:trPr>
          <w:cantSplit/>
        </w:trPr>
        <w:tc>
          <w:tcPr>
            <w:tcW w:w="14827" w:type="dxa"/>
            <w:gridSpan w:val="3"/>
            <w:tcBorders>
              <w:bottom w:val="single" w:sz="4" w:space="0" w:color="auto"/>
            </w:tcBorders>
            <w:shd w:val="clear" w:color="auto" w:fill="F68A42" w:themeFill="accent3"/>
          </w:tcPr>
          <w:p>
            <w:pPr>
              <w:keepNext/>
              <w:spacing w:before="60" w:after="60"/>
              <w:rPr>
                <w:b/>
                <w:bCs/>
                <w:noProof/>
                <w:sz w:val="20"/>
                <w:lang w:val="fr-BE"/>
              </w:rPr>
            </w:pPr>
            <w:r>
              <w:rPr>
                <w:b/>
                <w:bCs/>
                <w:noProof/>
                <w:color w:val="FFFFFF" w:themeColor="background1"/>
                <w:sz w:val="20"/>
                <w:lang w:val="fr-BE"/>
              </w:rPr>
              <w:t>Une économie au service des personnes</w:t>
            </w:r>
          </w:p>
        </w:tc>
      </w:tr>
      <w:tr>
        <w:trPr>
          <w:cantSplit/>
        </w:trPr>
        <w:tc>
          <w:tcPr>
            <w:tcW w:w="511" w:type="dxa"/>
            <w:tcBorders>
              <w:right w:val="single" w:sz="4" w:space="0" w:color="auto"/>
            </w:tcBorders>
          </w:tcPr>
          <w:p>
            <w:pPr>
              <w:pStyle w:val="ListParagraph"/>
              <w:numPr>
                <w:ilvl w:val="0"/>
                <w:numId w:val="18"/>
              </w:numPr>
              <w:spacing w:after="0"/>
              <w:ind w:left="426"/>
              <w:rPr>
                <w:noProof/>
                <w:color w:val="FFFFFF" w:themeColor="background1"/>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Europe sociale</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b/>
                <w:bCs/>
                <w:noProof/>
                <w:sz w:val="20"/>
                <w:lang w:val="fr-BE"/>
              </w:rPr>
            </w:pPr>
            <w:r>
              <w:rPr>
                <w:b/>
                <w:bCs/>
                <w:noProof/>
                <w:sz w:val="20"/>
                <w:lang w:val="fr-BE"/>
              </w:rPr>
              <w:t>Une Europe sociale forte pour des transitions justes</w:t>
            </w:r>
            <w:r>
              <w:rPr>
                <w:noProof/>
                <w:sz w:val="20"/>
                <w:lang w:val="fr-BE"/>
              </w:rPr>
              <w:t xml:space="preserve"> (initiative non législative, T1/2020); </w:t>
            </w:r>
            <w:r>
              <w:rPr>
                <w:noProof/>
                <w:sz w:val="20"/>
                <w:lang w:val="fr-BE"/>
              </w:rPr>
              <w:br/>
            </w:r>
            <w:r>
              <w:rPr>
                <w:b/>
                <w:bCs/>
                <w:noProof/>
                <w:sz w:val="20"/>
                <w:lang w:val="fr-BE"/>
              </w:rPr>
              <w:t>des salaires minimums équitables pour les travailleurs de l’UE</w:t>
            </w:r>
            <w:r>
              <w:rPr>
                <w:noProof/>
                <w:sz w:val="20"/>
                <w:lang w:val="fr-BE"/>
              </w:rPr>
              <w:t xml:space="preserve"> [article 153, paragraphe 1, point b), et paragraphe 2, et article 154 du TFUE, T1/T3/2020];</w:t>
            </w:r>
            <w:r>
              <w:rPr>
                <w:noProof/>
                <w:sz w:val="20"/>
                <w:lang w:val="fr-BE"/>
              </w:rPr>
              <w:br/>
            </w:r>
            <w:r>
              <w:rPr>
                <w:b/>
                <w:bCs/>
                <w:noProof/>
                <w:sz w:val="20"/>
                <w:lang w:val="fr-BE"/>
              </w:rPr>
              <w:t>renforcer la garantie pour la jeunesse</w:t>
            </w:r>
            <w:r>
              <w:rPr>
                <w:noProof/>
                <w:sz w:val="20"/>
                <w:lang w:val="fr-BE"/>
              </w:rPr>
              <w:t xml:space="preserve"> (initiative non législative, T2/2020);</w:t>
            </w:r>
            <w:r>
              <w:rPr>
                <w:noProof/>
                <w:sz w:val="20"/>
                <w:lang w:val="fr-BE"/>
              </w:rPr>
              <w:br/>
            </w:r>
            <w:r>
              <w:rPr>
                <w:b/>
                <w:bCs/>
                <w:noProof/>
                <w:sz w:val="20"/>
                <w:lang w:val="fr-BE"/>
              </w:rPr>
              <w:t>régime européen de réassurance chômage</w:t>
            </w:r>
            <w:r>
              <w:rPr>
                <w:noProof/>
                <w:sz w:val="20"/>
                <w:lang w:val="fr-BE"/>
              </w:rPr>
              <w:t xml:space="preserve"> (initiative législative incluant une analyse d’impact, T4/2020)</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shd w:val="clear" w:color="auto" w:fill="FFFFFF" w:themeFill="background1"/>
            <w:tcMar>
              <w:top w:w="85" w:type="dxa"/>
              <w:bottom w:w="85" w:type="dxa"/>
            </w:tcMar>
          </w:tcPr>
          <w:p>
            <w:pPr>
              <w:spacing w:after="0"/>
              <w:rPr>
                <w:b/>
                <w:bCs/>
                <w:noProof/>
                <w:color w:val="000000"/>
                <w:sz w:val="20"/>
              </w:rPr>
            </w:pPr>
            <w:r>
              <w:rPr>
                <w:b/>
                <w:bCs/>
                <w:noProof/>
                <w:sz w:val="20"/>
              </w:rPr>
              <w:t>Gouvernance économique</w:t>
            </w:r>
          </w:p>
        </w:tc>
        <w:tc>
          <w:tcPr>
            <w:tcW w:w="10064" w:type="dxa"/>
            <w:tcBorders>
              <w:bottom w:val="single" w:sz="4" w:space="0" w:color="auto"/>
            </w:tcBorders>
            <w:shd w:val="clear" w:color="auto" w:fill="auto"/>
            <w:tcMar>
              <w:top w:w="85" w:type="dxa"/>
              <w:bottom w:w="85" w:type="dxa"/>
            </w:tcMar>
          </w:tcPr>
          <w:p>
            <w:pPr>
              <w:spacing w:after="0"/>
              <w:rPr>
                <w:b/>
                <w:bCs/>
                <w:noProof/>
                <w:sz w:val="20"/>
                <w:lang w:val="fr-BE"/>
              </w:rPr>
            </w:pPr>
            <w:r>
              <w:rPr>
                <w:b/>
                <w:bCs/>
                <w:noProof/>
                <w:sz w:val="20"/>
                <w:lang w:val="fr-BE"/>
              </w:rPr>
              <w:t>Réexamen du cadre de gouvernance économique</w:t>
            </w:r>
            <w:r>
              <w:rPr>
                <w:noProof/>
                <w:sz w:val="20"/>
                <w:lang w:val="fr-BE"/>
              </w:rPr>
              <w:t xml:space="preserve"> (initiative non législative, T1/2020)</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bCs/>
                <w:noProof/>
                <w:sz w:val="20"/>
                <w:lang w:val="fr-BE"/>
              </w:rPr>
            </w:pPr>
            <w:r>
              <w:rPr>
                <w:b/>
                <w:bCs/>
                <w:noProof/>
                <w:sz w:val="20"/>
                <w:lang w:val="fr-BE"/>
              </w:rPr>
              <w:t>Approfondissement de l’union des marchés des capitaux</w:t>
            </w:r>
          </w:p>
        </w:tc>
        <w:tc>
          <w:tcPr>
            <w:tcW w:w="10064" w:type="dxa"/>
            <w:tcBorders>
              <w:left w:val="single" w:sz="4" w:space="0" w:color="auto"/>
              <w:bottom w:val="single" w:sz="4" w:space="0" w:color="auto"/>
              <w:right w:val="single" w:sz="4" w:space="0" w:color="auto"/>
            </w:tcBorders>
            <w:shd w:val="clear" w:color="auto" w:fill="auto"/>
            <w:tcMar>
              <w:top w:w="85" w:type="dxa"/>
              <w:bottom w:w="85" w:type="dxa"/>
            </w:tcMar>
          </w:tcPr>
          <w:p>
            <w:pPr>
              <w:spacing w:after="0"/>
              <w:jc w:val="left"/>
              <w:rPr>
                <w:noProof/>
                <w:sz w:val="20"/>
                <w:lang w:val="fr-BE"/>
              </w:rPr>
            </w:pPr>
            <w:r>
              <w:rPr>
                <w:b/>
                <w:bCs/>
                <w:noProof/>
                <w:sz w:val="20"/>
                <w:lang w:val="fr-BE"/>
              </w:rPr>
              <w:t>Plan d’action sur l’union des marchés des capitaux</w:t>
            </w:r>
            <w:r>
              <w:rPr>
                <w:noProof/>
                <w:sz w:val="20"/>
                <w:lang w:val="fr-BE"/>
              </w:rPr>
              <w:t xml:space="preserve"> (initiative non législative, T3/2020); </w:t>
            </w:r>
          </w:p>
          <w:p>
            <w:pPr>
              <w:spacing w:after="0"/>
              <w:jc w:val="left"/>
              <w:rPr>
                <w:noProof/>
                <w:sz w:val="20"/>
                <w:lang w:val="fr-BE"/>
              </w:rPr>
            </w:pPr>
            <w:r>
              <w:rPr>
                <w:b/>
                <w:bCs/>
                <w:noProof/>
                <w:sz w:val="20"/>
                <w:lang w:val="fr-BE"/>
              </w:rPr>
              <w:t>réexamen du cadre réglementaire applicable aux entreprises d’investissement et aux opérateurs de marché (MiFIDII et MiFIR), y compris la création d’un système consolidé de publication de l’UE</w:t>
            </w:r>
            <w:r>
              <w:rPr>
                <w:noProof/>
                <w:sz w:val="20"/>
                <w:lang w:val="fr-BE"/>
              </w:rPr>
              <w:t xml:space="preserve"> (initiative législative incluant une analyse d’impact, article 53, paragraphe 1, et article 114, paragraphe 1, du TFUE, T3/2020); </w:t>
            </w:r>
          </w:p>
          <w:p>
            <w:pPr>
              <w:spacing w:after="0"/>
              <w:jc w:val="left"/>
              <w:rPr>
                <w:noProof/>
                <w:sz w:val="20"/>
                <w:lang w:val="fr-BE"/>
              </w:rPr>
            </w:pPr>
            <w:r>
              <w:rPr>
                <w:b/>
                <w:bCs/>
                <w:noProof/>
                <w:sz w:val="20"/>
                <w:lang w:val="fr-BE"/>
              </w:rPr>
              <w:t>réexamen du règlement sur les indices de référence</w:t>
            </w:r>
            <w:r>
              <w:rPr>
                <w:noProof/>
                <w:sz w:val="20"/>
                <w:lang w:val="fr-BE"/>
              </w:rPr>
              <w:t xml:space="preserve"> (initiative législative incluant une analyse d’impact, article 114, paragraphe 1, du TFUE, T3/2020)</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sz w:val="20"/>
              </w:rPr>
              <w:t>Achèvement de l’union bancaire</w:t>
            </w:r>
          </w:p>
        </w:tc>
        <w:tc>
          <w:tcPr>
            <w:tcW w:w="10064" w:type="dxa"/>
            <w:tcMar>
              <w:top w:w="85" w:type="dxa"/>
              <w:bottom w:w="85" w:type="dxa"/>
            </w:tcMar>
          </w:tcPr>
          <w:p>
            <w:pPr>
              <w:spacing w:after="0"/>
              <w:jc w:val="left"/>
              <w:rPr>
                <w:noProof/>
                <w:sz w:val="20"/>
                <w:lang w:val="fr-BE"/>
              </w:rPr>
            </w:pPr>
            <w:r>
              <w:rPr>
                <w:b/>
                <w:bCs/>
                <w:noProof/>
                <w:sz w:val="20"/>
                <w:lang w:val="fr-BE"/>
              </w:rPr>
              <w:t>Plan d'action en faveur de la lutte contre le blanchiment de capitaux</w:t>
            </w:r>
            <w:r>
              <w:rPr>
                <w:noProof/>
                <w:sz w:val="20"/>
                <w:lang w:val="fr-BE"/>
              </w:rPr>
              <w:t xml:space="preserve"> (initiative non législative, T1/2020); </w:t>
            </w:r>
          </w:p>
          <w:p>
            <w:pPr>
              <w:spacing w:after="0"/>
              <w:jc w:val="left"/>
              <w:rPr>
                <w:noProof/>
                <w:sz w:val="20"/>
                <w:lang w:val="fr-BE"/>
              </w:rPr>
            </w:pPr>
            <w:r>
              <w:rPr>
                <w:b/>
                <w:bCs/>
                <w:noProof/>
                <w:sz w:val="20"/>
                <w:lang w:val="fr-BE"/>
              </w:rPr>
              <w:t>réexamen de la législation relative aux exigences de fonds propres</w:t>
            </w:r>
            <w:r>
              <w:rPr>
                <w:noProof/>
                <w:sz w:val="20"/>
                <w:lang w:val="fr-BE"/>
              </w:rPr>
              <w:t xml:space="preserve"> [initiative législative incluant une analyse d’impact, article 114 du TFUE (CRR) et article 53 du TFUE (CRD), T2/2020]</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tcBorders>
            <w:shd w:val="clear" w:color="auto" w:fill="FFFFFF" w:themeFill="background1"/>
            <w:tcMar>
              <w:top w:w="85" w:type="dxa"/>
              <w:bottom w:w="85" w:type="dxa"/>
            </w:tcMar>
          </w:tcPr>
          <w:p>
            <w:pPr>
              <w:spacing w:after="0"/>
              <w:rPr>
                <w:b/>
                <w:bCs/>
                <w:noProof/>
                <w:color w:val="000000"/>
                <w:sz w:val="20"/>
              </w:rPr>
            </w:pPr>
            <w:r>
              <w:rPr>
                <w:b/>
                <w:bCs/>
                <w:noProof/>
                <w:sz w:val="20"/>
              </w:rPr>
              <w:t>Imposition effective</w:t>
            </w:r>
          </w:p>
        </w:tc>
        <w:tc>
          <w:tcPr>
            <w:tcW w:w="10064" w:type="dxa"/>
            <w:shd w:val="clear" w:color="auto" w:fill="FFFFFF" w:themeFill="background1"/>
            <w:tcMar>
              <w:top w:w="85" w:type="dxa"/>
              <w:bottom w:w="85" w:type="dxa"/>
            </w:tcMar>
          </w:tcPr>
          <w:p>
            <w:pPr>
              <w:pStyle w:val="Default"/>
              <w:rPr>
                <w:b/>
                <w:bCs/>
                <w:noProof/>
                <w:sz w:val="20"/>
                <w:szCs w:val="20"/>
                <w:lang w:val="fr-BE"/>
              </w:rPr>
            </w:pPr>
            <w:r>
              <w:rPr>
                <w:b/>
                <w:bCs/>
                <w:noProof/>
                <w:sz w:val="20"/>
                <w:szCs w:val="20"/>
                <w:lang w:val="fr-BE"/>
              </w:rPr>
              <w:t>Fiscalité des entreprises pour le XXI</w:t>
            </w:r>
            <w:r>
              <w:rPr>
                <w:b/>
                <w:bCs/>
                <w:noProof/>
                <w:sz w:val="20"/>
                <w:szCs w:val="20"/>
                <w:vertAlign w:val="superscript"/>
                <w:lang w:val="fr-BE"/>
              </w:rPr>
              <w:t>e</w:t>
            </w:r>
            <w:r>
              <w:rPr>
                <w:b/>
                <w:bCs/>
                <w:noProof/>
                <w:sz w:val="20"/>
                <w:szCs w:val="20"/>
                <w:lang w:val="fr-BE"/>
              </w:rPr>
              <w:t xml:space="preserve"> siècle</w:t>
            </w:r>
            <w:r>
              <w:rPr>
                <w:noProof/>
                <w:sz w:val="20"/>
                <w:szCs w:val="20"/>
                <w:lang w:val="fr-BE"/>
              </w:rPr>
              <w:t xml:space="preserve"> (initiative non législative, T2/2020);</w:t>
            </w:r>
            <w:r>
              <w:rPr>
                <w:b/>
                <w:bCs/>
                <w:noProof/>
                <w:sz w:val="20"/>
                <w:szCs w:val="20"/>
                <w:lang w:val="fr-BE"/>
              </w:rPr>
              <w:t xml:space="preserve"> </w:t>
            </w:r>
          </w:p>
          <w:p>
            <w:pPr>
              <w:pStyle w:val="Default"/>
              <w:rPr>
                <w:noProof/>
                <w:sz w:val="20"/>
                <w:szCs w:val="20"/>
                <w:lang w:val="fr-BE"/>
              </w:rPr>
            </w:pPr>
            <w:r>
              <w:rPr>
                <w:b/>
                <w:bCs/>
                <w:noProof/>
                <w:sz w:val="20"/>
                <w:szCs w:val="20"/>
                <w:lang w:val="fr-BE"/>
              </w:rPr>
              <w:t>plan d’action visant à lutter contre la fraude fiscale et à simplifier et à faciliter la fiscalité</w:t>
            </w:r>
            <w:r>
              <w:rPr>
                <w:noProof/>
                <w:sz w:val="20"/>
                <w:szCs w:val="20"/>
                <w:lang w:val="fr-BE"/>
              </w:rPr>
              <w:t xml:space="preserve"> (initiatives législatives et non législative incluant une analyse d’impact, articles 113 et 115 du TFUE, T2/2020)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sz w:val="20"/>
              </w:rPr>
              <w:t>Paquet «union douanière»</w:t>
            </w:r>
          </w:p>
        </w:tc>
        <w:tc>
          <w:tcPr>
            <w:tcW w:w="10064" w:type="dxa"/>
            <w:tcBorders>
              <w:bottom w:val="single" w:sz="4" w:space="0" w:color="auto"/>
            </w:tcBorders>
            <w:tcMar>
              <w:top w:w="85" w:type="dxa"/>
              <w:bottom w:w="85" w:type="dxa"/>
            </w:tcMar>
          </w:tcPr>
          <w:p>
            <w:pPr>
              <w:pStyle w:val="Default"/>
              <w:rPr>
                <w:noProof/>
                <w:sz w:val="20"/>
                <w:szCs w:val="20"/>
                <w:lang w:val="fr-BE"/>
              </w:rPr>
            </w:pPr>
            <w:r>
              <w:rPr>
                <w:b/>
                <w:noProof/>
                <w:sz w:val="20"/>
                <w:szCs w:val="20"/>
                <w:lang w:val="fr-BE"/>
              </w:rPr>
              <w:t>Plan d’action sur l’union douanière</w:t>
            </w:r>
            <w:r>
              <w:rPr>
                <w:noProof/>
                <w:sz w:val="20"/>
                <w:szCs w:val="20"/>
                <w:lang w:val="fr-BE"/>
              </w:rPr>
              <w:t xml:space="preserve"> (initiative non législative, T2/2020); </w:t>
            </w:r>
          </w:p>
          <w:p>
            <w:pPr>
              <w:pStyle w:val="Default"/>
              <w:rPr>
                <w:noProof/>
                <w:sz w:val="20"/>
                <w:szCs w:val="20"/>
                <w:lang w:val="fr-BE"/>
              </w:rPr>
            </w:pPr>
            <w:r>
              <w:rPr>
                <w:b/>
                <w:noProof/>
                <w:sz w:val="20"/>
                <w:szCs w:val="20"/>
                <w:lang w:val="fr-BE"/>
              </w:rPr>
              <w:t>proposition sur le guichet unique douanier</w:t>
            </w:r>
            <w:r>
              <w:rPr>
                <w:noProof/>
                <w:sz w:val="20"/>
                <w:szCs w:val="20"/>
                <w:lang w:val="fr-BE"/>
              </w:rPr>
              <w:t xml:space="preserve"> (initiative législative incluant une analyse d’impact, articles 33 et 114 du TFUE, T3/2020)</w:t>
            </w:r>
          </w:p>
        </w:tc>
      </w:tr>
      <w:tr>
        <w:trPr>
          <w:cantSplit/>
        </w:trPr>
        <w:tc>
          <w:tcPr>
            <w:tcW w:w="14827" w:type="dxa"/>
            <w:gridSpan w:val="3"/>
            <w:tcBorders>
              <w:bottom w:val="single" w:sz="4" w:space="0" w:color="auto"/>
            </w:tcBorders>
            <w:shd w:val="clear" w:color="auto" w:fill="585EAA" w:themeFill="accent4"/>
          </w:tcPr>
          <w:p>
            <w:pPr>
              <w:keepNext/>
              <w:spacing w:before="60" w:after="60"/>
              <w:rPr>
                <w:b/>
                <w:bCs/>
                <w:noProof/>
                <w:sz w:val="20"/>
                <w:lang w:val="fr-BE"/>
              </w:rPr>
            </w:pPr>
            <w:r>
              <w:rPr>
                <w:b/>
                <w:bCs/>
                <w:noProof/>
                <w:color w:val="FFFFFF" w:themeColor="background1"/>
                <w:sz w:val="20"/>
                <w:lang w:val="fr-BE"/>
              </w:rPr>
              <w:t>Une Europe plus forte sur la scène internationale</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Coopération internationale</w:t>
            </w:r>
          </w:p>
        </w:tc>
        <w:tc>
          <w:tcPr>
            <w:tcW w:w="10064" w:type="dxa"/>
            <w:tcBorders>
              <w:bottom w:val="single" w:sz="4" w:space="0" w:color="auto"/>
            </w:tcBorders>
            <w:tcMar>
              <w:top w:w="85" w:type="dxa"/>
              <w:bottom w:w="85" w:type="dxa"/>
            </w:tcMar>
          </w:tcPr>
          <w:p>
            <w:pPr>
              <w:spacing w:after="0"/>
              <w:jc w:val="left"/>
              <w:rPr>
                <w:noProof/>
                <w:sz w:val="20"/>
                <w:lang w:val="fr-BE"/>
              </w:rPr>
            </w:pPr>
            <w:r>
              <w:rPr>
                <w:b/>
                <w:noProof/>
                <w:sz w:val="20"/>
                <w:lang w:val="fr-BE"/>
              </w:rPr>
              <w:t>Signature et conclusion de l’accord entre l’UE et les pays d’Afrique, des Caraïbes et du Pacifique</w:t>
            </w:r>
            <w:r>
              <w:rPr>
                <w:noProof/>
                <w:sz w:val="20"/>
                <w:lang w:val="fr-BE"/>
              </w:rPr>
              <w:t xml:space="preserve"> (initiative législative, articles 217 et 218 du TFUE, T3/2020)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noProof/>
                <w:color w:val="000000" w:themeColor="text1"/>
                <w:sz w:val="20"/>
              </w:rPr>
            </w:pPr>
            <w:r>
              <w:rPr>
                <w:b/>
                <w:bCs/>
                <w:noProof/>
                <w:sz w:val="20"/>
              </w:rPr>
              <w:t>Souveraineté financière</w:t>
            </w:r>
          </w:p>
        </w:tc>
        <w:tc>
          <w:tcPr>
            <w:tcW w:w="10064" w:type="dxa"/>
            <w:tcBorders>
              <w:bottom w:val="single" w:sz="4" w:space="0" w:color="auto"/>
            </w:tcBorders>
            <w:tcMar>
              <w:top w:w="85" w:type="dxa"/>
              <w:bottom w:w="85" w:type="dxa"/>
            </w:tcMar>
          </w:tcPr>
          <w:p>
            <w:pPr>
              <w:spacing w:after="0"/>
              <w:jc w:val="left"/>
              <w:rPr>
                <w:noProof/>
                <w:sz w:val="20"/>
                <w:lang w:val="fr-BE"/>
              </w:rPr>
            </w:pPr>
            <w:r>
              <w:rPr>
                <w:b/>
                <w:noProof/>
                <w:sz w:val="20"/>
                <w:lang w:val="fr-BE"/>
              </w:rPr>
              <w:t>Renforcement de la souveraineté économique et financière de l’Europe</w:t>
            </w:r>
            <w:r>
              <w:rPr>
                <w:noProof/>
                <w:sz w:val="20"/>
                <w:lang w:val="fr-BE"/>
              </w:rPr>
              <w:t xml:space="preserve"> (initiative non législative, T3/2020)</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sz w:val="20"/>
              </w:rPr>
              <w:t>Stratégie pour l’Afrique</w:t>
            </w:r>
          </w:p>
        </w:tc>
        <w:tc>
          <w:tcPr>
            <w:tcW w:w="10064" w:type="dxa"/>
            <w:tcMar>
              <w:top w:w="85" w:type="dxa"/>
              <w:bottom w:w="85" w:type="dxa"/>
            </w:tcMar>
          </w:tcPr>
          <w:p>
            <w:pPr>
              <w:spacing w:after="0"/>
              <w:jc w:val="left"/>
              <w:rPr>
                <w:noProof/>
                <w:sz w:val="20"/>
                <w:lang w:val="fr-BE"/>
              </w:rPr>
            </w:pPr>
            <w:r>
              <w:rPr>
                <w:b/>
                <w:bCs/>
                <w:noProof/>
                <w:sz w:val="20"/>
                <w:lang w:val="fr-BE"/>
              </w:rPr>
              <w:t>Vers une stratégie globale avec l’Afrique</w:t>
            </w:r>
            <w:r>
              <w:rPr>
                <w:noProof/>
                <w:sz w:val="20"/>
                <w:lang w:val="fr-BE"/>
              </w:rPr>
              <w:t xml:space="preserve"> (initiative non législative, T1/2020)</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sz w:val="20"/>
              </w:rPr>
            </w:pPr>
            <w:r>
              <w:rPr>
                <w:b/>
                <w:bCs/>
                <w:noProof/>
                <w:sz w:val="20"/>
              </w:rPr>
              <w:t>Élargissement</w:t>
            </w:r>
          </w:p>
        </w:tc>
        <w:tc>
          <w:tcPr>
            <w:tcW w:w="10064" w:type="dxa"/>
            <w:tcMar>
              <w:top w:w="85" w:type="dxa"/>
              <w:bottom w:w="85" w:type="dxa"/>
            </w:tcMar>
          </w:tcPr>
          <w:p>
            <w:pPr>
              <w:spacing w:after="0"/>
              <w:jc w:val="left"/>
              <w:rPr>
                <w:b/>
                <w:noProof/>
                <w:sz w:val="20"/>
                <w:lang w:val="fr-BE"/>
              </w:rPr>
            </w:pPr>
            <w:r>
              <w:rPr>
                <w:b/>
                <w:noProof/>
                <w:sz w:val="20"/>
                <w:lang w:val="fr-BE"/>
              </w:rPr>
              <w:t>Renforcement du processus d’adhésion – Une perspective européenne crédible pour les Balkans occidentaux</w:t>
            </w:r>
            <w:r>
              <w:rPr>
                <w:noProof/>
                <w:sz w:val="20"/>
                <w:lang w:val="fr-BE"/>
              </w:rPr>
              <w:t xml:space="preserve"> (initiative non législative, T1/2020);</w:t>
            </w:r>
          </w:p>
          <w:p>
            <w:pPr>
              <w:spacing w:after="0"/>
              <w:jc w:val="left"/>
              <w:rPr>
                <w:b/>
                <w:bCs/>
                <w:noProof/>
                <w:sz w:val="20"/>
                <w:lang w:val="fr-BE"/>
              </w:rPr>
            </w:pPr>
            <w:r>
              <w:rPr>
                <w:b/>
                <w:noProof/>
                <w:sz w:val="20"/>
                <w:lang w:val="fr-BE"/>
              </w:rPr>
              <w:t>renforcement de notre engagement pour les Balkans occidentaux – La contribution de la Commission au sommet UE-Balkans occidentaux</w:t>
            </w:r>
            <w:r>
              <w:rPr>
                <w:noProof/>
                <w:sz w:val="20"/>
                <w:lang w:val="fr-BE"/>
              </w:rPr>
              <w:t xml:space="preserve"> (initiative non législative, T2/2020)</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sz w:val="20"/>
              </w:rPr>
            </w:pPr>
            <w:r>
              <w:rPr>
                <w:b/>
                <w:bCs/>
                <w:noProof/>
                <w:sz w:val="20"/>
              </w:rPr>
              <w:t xml:space="preserve">Partenariat oriental </w:t>
            </w:r>
          </w:p>
        </w:tc>
        <w:tc>
          <w:tcPr>
            <w:tcW w:w="10064" w:type="dxa"/>
            <w:tcMar>
              <w:top w:w="85" w:type="dxa"/>
              <w:bottom w:w="85" w:type="dxa"/>
            </w:tcMar>
          </w:tcPr>
          <w:p>
            <w:pPr>
              <w:spacing w:after="0"/>
              <w:jc w:val="left"/>
              <w:rPr>
                <w:b/>
                <w:bCs/>
                <w:noProof/>
                <w:sz w:val="20"/>
                <w:lang w:val="fr-BE"/>
              </w:rPr>
            </w:pPr>
            <w:r>
              <w:rPr>
                <w:b/>
                <w:bCs/>
                <w:noProof/>
                <w:sz w:val="20"/>
                <w:lang w:val="fr-BE"/>
              </w:rPr>
              <w:t>Partenariat oriental après 2020</w:t>
            </w:r>
            <w:r>
              <w:rPr>
                <w:noProof/>
                <w:sz w:val="20"/>
                <w:lang w:val="fr-BE"/>
              </w:rPr>
              <w:t xml:space="preserve"> (initiative non législative, T1/2020)</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sz w:val="20"/>
                <w:lang w:val="fr-BE"/>
              </w:rPr>
            </w:pPr>
            <w:r>
              <w:rPr>
                <w:b/>
                <w:bCs/>
                <w:noProof/>
                <w:sz w:val="20"/>
                <w:lang w:val="fr-BE"/>
              </w:rPr>
              <w:t>Droits de l’homme, démocratie et égalité entre les hommes et les femmes</w:t>
            </w:r>
          </w:p>
        </w:tc>
        <w:tc>
          <w:tcPr>
            <w:tcW w:w="10064" w:type="dxa"/>
            <w:tcMar>
              <w:top w:w="85" w:type="dxa"/>
              <w:bottom w:w="85" w:type="dxa"/>
            </w:tcMar>
          </w:tcPr>
          <w:p>
            <w:pPr>
              <w:spacing w:after="0"/>
              <w:jc w:val="left"/>
              <w:rPr>
                <w:b/>
                <w:bCs/>
                <w:noProof/>
                <w:sz w:val="20"/>
                <w:lang w:val="fr-BE"/>
              </w:rPr>
            </w:pPr>
            <w:r>
              <w:rPr>
                <w:b/>
                <w:bCs/>
                <w:noProof/>
                <w:sz w:val="20"/>
                <w:lang w:val="fr-BE"/>
              </w:rPr>
              <w:t>Plan d’action en faveur des droits de l’homme et de la démocratie (2020-2024)</w:t>
            </w:r>
            <w:r>
              <w:rPr>
                <w:noProof/>
                <w:sz w:val="20"/>
                <w:lang w:val="fr-BE"/>
              </w:rPr>
              <w:t xml:space="preserve"> (initiatives législative et non législative, T1/2020);</w:t>
            </w:r>
            <w:r>
              <w:rPr>
                <w:b/>
                <w:bCs/>
                <w:noProof/>
                <w:sz w:val="20"/>
                <w:lang w:val="fr-BE"/>
              </w:rPr>
              <w:br/>
              <w:t>plan d’action de l’UE en faveur de l’égalité entre les hommes et les femmes et de l’émancipation des femmes dans les relations extérieures pour la période 2021-2025</w:t>
            </w:r>
            <w:r>
              <w:rPr>
                <w:noProof/>
                <w:sz w:val="20"/>
                <w:lang w:val="fr-BE"/>
              </w:rPr>
              <w:t xml:space="preserve"> (initiative non législative,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sz w:val="20"/>
              </w:rPr>
              <w:t>Réforme de l’OMC</w:t>
            </w:r>
          </w:p>
        </w:tc>
        <w:tc>
          <w:tcPr>
            <w:tcW w:w="10064" w:type="dxa"/>
            <w:tcBorders>
              <w:bottom w:val="single" w:sz="4" w:space="0" w:color="auto"/>
            </w:tcBorders>
            <w:tcMar>
              <w:top w:w="85" w:type="dxa"/>
              <w:bottom w:w="85" w:type="dxa"/>
            </w:tcMar>
          </w:tcPr>
          <w:p>
            <w:pPr>
              <w:spacing w:after="0"/>
              <w:jc w:val="left"/>
              <w:rPr>
                <w:noProof/>
                <w:sz w:val="20"/>
                <w:lang w:val="fr-BE"/>
              </w:rPr>
            </w:pPr>
            <w:r>
              <w:rPr>
                <w:b/>
                <w:bCs/>
                <w:noProof/>
                <w:sz w:val="20"/>
                <w:lang w:val="fr-BE"/>
              </w:rPr>
              <w:t>Initiative sur la réforme de l’OMC</w:t>
            </w:r>
            <w:r>
              <w:rPr>
                <w:noProof/>
                <w:sz w:val="20"/>
                <w:lang w:val="fr-BE"/>
              </w:rPr>
              <w:t xml:space="preserve"> (initiative non législative, T4/2020)</w:t>
            </w:r>
          </w:p>
        </w:tc>
      </w:tr>
      <w:tr>
        <w:trPr>
          <w:cantSplit/>
        </w:trPr>
        <w:tc>
          <w:tcPr>
            <w:tcW w:w="14827" w:type="dxa"/>
            <w:gridSpan w:val="3"/>
            <w:tcBorders>
              <w:bottom w:val="single" w:sz="4" w:space="0" w:color="auto"/>
            </w:tcBorders>
            <w:shd w:val="clear" w:color="auto" w:fill="DA5C57" w:themeFill="accent6"/>
          </w:tcPr>
          <w:p>
            <w:pPr>
              <w:keepNext/>
              <w:spacing w:before="60" w:after="60"/>
              <w:rPr>
                <w:b/>
                <w:bCs/>
                <w:noProof/>
                <w:sz w:val="20"/>
                <w:lang w:val="fr-BE"/>
              </w:rPr>
            </w:pPr>
            <w:r>
              <w:rPr>
                <w:b/>
                <w:bCs/>
                <w:noProof/>
                <w:color w:val="FFFFFF" w:themeColor="background1"/>
                <w:sz w:val="20"/>
                <w:lang w:val="fr-BE"/>
              </w:rPr>
              <w:t>Promotion de notre mode de vie européen</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color w:val="000000"/>
                <w:sz w:val="20"/>
                <w:lang w:val="fr-BE"/>
              </w:rPr>
            </w:pPr>
            <w:r>
              <w:rPr>
                <w:b/>
                <w:bCs/>
                <w:noProof/>
                <w:sz w:val="20"/>
                <w:lang w:val="fr-BE"/>
              </w:rPr>
              <w:t>Promotion des compétences, de l’éducation et de l’inclusion</w:t>
            </w:r>
          </w:p>
        </w:tc>
        <w:tc>
          <w:tcPr>
            <w:tcW w:w="10064" w:type="dxa"/>
            <w:tcMar>
              <w:top w:w="85" w:type="dxa"/>
              <w:bottom w:w="85" w:type="dxa"/>
            </w:tcMar>
          </w:tcPr>
          <w:p>
            <w:pPr>
              <w:spacing w:after="0"/>
              <w:jc w:val="left"/>
              <w:rPr>
                <w:noProof/>
                <w:sz w:val="20"/>
                <w:lang w:val="fr-BE"/>
              </w:rPr>
            </w:pPr>
            <w:r>
              <w:rPr>
                <w:b/>
                <w:bCs/>
                <w:noProof/>
                <w:sz w:val="20"/>
                <w:lang w:val="fr-BE"/>
              </w:rPr>
              <w:t>Stratégie actualisée en matière de compétences pour l’Europe</w:t>
            </w:r>
            <w:r>
              <w:rPr>
                <w:noProof/>
                <w:sz w:val="20"/>
                <w:lang w:val="fr-BE"/>
              </w:rPr>
              <w:t xml:space="preserve"> (initiative non législative, T1/2020);</w:t>
            </w:r>
            <w:r>
              <w:rPr>
                <w:noProof/>
                <w:sz w:val="20"/>
                <w:lang w:val="fr-BE"/>
              </w:rPr>
              <w:br/>
            </w:r>
            <w:r>
              <w:rPr>
                <w:b/>
                <w:bCs/>
                <w:noProof/>
                <w:sz w:val="20"/>
                <w:lang w:val="fr-BE"/>
              </w:rPr>
              <w:t>mise en place d’un espace européen de l’éducation</w:t>
            </w:r>
            <w:r>
              <w:rPr>
                <w:noProof/>
                <w:sz w:val="20"/>
                <w:lang w:val="fr-BE"/>
              </w:rPr>
              <w:t xml:space="preserve"> (initiative non législative, T3/2020); </w:t>
            </w:r>
          </w:p>
          <w:p>
            <w:pPr>
              <w:spacing w:after="0"/>
              <w:jc w:val="left"/>
              <w:rPr>
                <w:noProof/>
                <w:sz w:val="20"/>
                <w:lang w:val="fr-BE"/>
              </w:rPr>
            </w:pPr>
            <w:r>
              <w:rPr>
                <w:b/>
                <w:bCs/>
                <w:noProof/>
                <w:sz w:val="20"/>
                <w:lang w:val="fr-BE"/>
              </w:rPr>
              <w:t>plan d’action sur l’intégration et l’inclusion</w:t>
            </w:r>
            <w:r>
              <w:rPr>
                <w:noProof/>
                <w:sz w:val="20"/>
                <w:lang w:val="fr-BE"/>
              </w:rPr>
              <w:t xml:space="preserve"> (initiative non législative,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lang w:val="fr-BE"/>
              </w:rPr>
            </w:pPr>
            <w:r>
              <w:rPr>
                <w:b/>
                <w:bCs/>
                <w:noProof/>
                <w:sz w:val="20"/>
                <w:lang w:val="fr-BE"/>
              </w:rPr>
              <w:t>Un nouveau pacte sur la migration et l’asile</w:t>
            </w:r>
          </w:p>
        </w:tc>
        <w:tc>
          <w:tcPr>
            <w:tcW w:w="10064" w:type="dxa"/>
            <w:tcBorders>
              <w:bottom w:val="single" w:sz="4" w:space="0" w:color="auto"/>
            </w:tcBorders>
            <w:tcMar>
              <w:top w:w="85" w:type="dxa"/>
              <w:bottom w:w="85" w:type="dxa"/>
            </w:tcMar>
          </w:tcPr>
          <w:p>
            <w:pPr>
              <w:spacing w:after="0"/>
              <w:jc w:val="left"/>
              <w:rPr>
                <w:noProof/>
                <w:sz w:val="20"/>
                <w:lang w:val="fr-BE"/>
              </w:rPr>
            </w:pPr>
            <w:r>
              <w:rPr>
                <w:b/>
                <w:bCs/>
                <w:noProof/>
                <w:sz w:val="20"/>
                <w:lang w:val="fr-BE"/>
              </w:rPr>
              <w:t>Un nouveau pacte sur la migration et l’asile et les propositions législatives qui l’accompagnent</w:t>
            </w:r>
            <w:r>
              <w:rPr>
                <w:noProof/>
                <w:sz w:val="20"/>
                <w:lang w:val="fr-BE"/>
              </w:rPr>
              <w:t xml:space="preserve"> (initiatives non législative et législatives, articles 78 et 79 du TFUE, T1/2020)</w:t>
            </w:r>
            <w:r>
              <w:rPr>
                <w:b/>
                <w:bCs/>
                <w:noProof/>
                <w:sz w:val="20"/>
                <w:lang w:val="fr-BE"/>
              </w:rPr>
              <w:br/>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noProof/>
                <w:sz w:val="20"/>
                <w:lang w:val="fr-BE"/>
              </w:rPr>
            </w:pPr>
            <w:r>
              <w:rPr>
                <w:b/>
                <w:bCs/>
                <w:noProof/>
                <w:sz w:val="20"/>
                <w:lang w:val="fr-BE"/>
              </w:rPr>
              <w:t>Assurer la sécurité de l’Europe</w:t>
            </w:r>
          </w:p>
        </w:tc>
        <w:tc>
          <w:tcPr>
            <w:tcW w:w="10064" w:type="dxa"/>
            <w:tcMar>
              <w:top w:w="85" w:type="dxa"/>
              <w:bottom w:w="85" w:type="dxa"/>
            </w:tcMar>
          </w:tcPr>
          <w:p>
            <w:pPr>
              <w:spacing w:after="0"/>
              <w:jc w:val="left"/>
              <w:rPr>
                <w:noProof/>
                <w:sz w:val="20"/>
                <w:lang w:val="fr-BE"/>
              </w:rPr>
            </w:pPr>
            <w:r>
              <w:rPr>
                <w:b/>
                <w:bCs/>
                <w:noProof/>
                <w:sz w:val="20"/>
                <w:lang w:val="fr-BE"/>
              </w:rPr>
              <w:t>Une nouvelle stratégie pour l'union de la sécurité</w:t>
            </w:r>
            <w:r>
              <w:rPr>
                <w:noProof/>
                <w:sz w:val="20"/>
                <w:lang w:val="fr-BE"/>
              </w:rPr>
              <w:t xml:space="preserve"> (initiative non législative, T2/2020); </w:t>
            </w:r>
          </w:p>
          <w:p>
            <w:pPr>
              <w:spacing w:after="0"/>
              <w:jc w:val="left"/>
              <w:rPr>
                <w:noProof/>
                <w:sz w:val="20"/>
                <w:lang w:val="fr-BE"/>
              </w:rPr>
            </w:pPr>
            <w:r>
              <w:rPr>
                <w:b/>
                <w:bCs/>
                <w:noProof/>
                <w:sz w:val="20"/>
                <w:lang w:val="fr-BE"/>
              </w:rPr>
              <w:t>renforcement du mandat d’Europol</w:t>
            </w:r>
            <w:r>
              <w:rPr>
                <w:noProof/>
                <w:sz w:val="20"/>
                <w:lang w:val="fr-BE"/>
              </w:rPr>
              <w:t xml:space="preserve"> (initiative législative incluant une analyse d’impact, article 88 du TFUE, T4/2020); </w:t>
            </w:r>
            <w:r>
              <w:rPr>
                <w:noProof/>
                <w:sz w:val="20"/>
                <w:lang w:val="fr-BE"/>
              </w:rPr>
              <w:br/>
            </w:r>
            <w:r>
              <w:rPr>
                <w:b/>
                <w:bCs/>
                <w:noProof/>
                <w:sz w:val="20"/>
                <w:lang w:val="fr-BE"/>
              </w:rPr>
              <w:t>proposition de mesures supplémentaires sur la protection des infrastructures critiques</w:t>
            </w:r>
            <w:r>
              <w:rPr>
                <w:noProof/>
                <w:sz w:val="20"/>
                <w:lang w:val="fr-BE"/>
              </w:rPr>
              <w:t xml:space="preserve"> (initiative législative incluant une analyse d’impact, T4/2020);</w:t>
            </w:r>
          </w:p>
          <w:p>
            <w:pPr>
              <w:spacing w:after="0"/>
              <w:jc w:val="left"/>
              <w:rPr>
                <w:noProof/>
                <w:sz w:val="20"/>
                <w:lang w:val="fr-BE"/>
              </w:rPr>
            </w:pPr>
            <w:r>
              <w:rPr>
                <w:b/>
                <w:bCs/>
                <w:noProof/>
                <w:sz w:val="20"/>
                <w:lang w:val="fr-BE"/>
              </w:rPr>
              <w:t>une nouvelle stratégie de l’UE en vue de l’éradication de la traite des êtres humains</w:t>
            </w:r>
            <w:r>
              <w:rPr>
                <w:noProof/>
                <w:sz w:val="20"/>
                <w:lang w:val="fr-BE"/>
              </w:rPr>
              <w:t xml:space="preserve"> (initiative non législative, T4/2020);</w:t>
            </w:r>
          </w:p>
          <w:p>
            <w:pPr>
              <w:spacing w:after="0"/>
              <w:jc w:val="left"/>
              <w:rPr>
                <w:noProof/>
                <w:sz w:val="20"/>
                <w:lang w:val="fr-BE"/>
              </w:rPr>
            </w:pPr>
            <w:r>
              <w:rPr>
                <w:b/>
                <w:bCs/>
                <w:noProof/>
                <w:sz w:val="20"/>
                <w:lang w:val="fr-BE"/>
              </w:rPr>
              <w:t>stratégie de l’UE en faveur d’une lutte plus efficace contre les abus sexuels commis contre des enfants</w:t>
            </w:r>
            <w:r>
              <w:rPr>
                <w:noProof/>
                <w:sz w:val="20"/>
                <w:lang w:val="fr-BE"/>
              </w:rPr>
              <w:t xml:space="preserve"> (initiative non législative, T2/2020) </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Protection de la santé</w:t>
            </w:r>
          </w:p>
        </w:tc>
        <w:tc>
          <w:tcPr>
            <w:tcW w:w="10064" w:type="dxa"/>
            <w:tcBorders>
              <w:bottom w:val="single" w:sz="4" w:space="0" w:color="auto"/>
            </w:tcBorders>
            <w:tcMar>
              <w:top w:w="85" w:type="dxa"/>
              <w:bottom w:w="85" w:type="dxa"/>
            </w:tcMar>
          </w:tcPr>
          <w:p>
            <w:pPr>
              <w:spacing w:after="0"/>
              <w:jc w:val="left"/>
              <w:rPr>
                <w:noProof/>
                <w:sz w:val="20"/>
                <w:lang w:val="fr-BE"/>
              </w:rPr>
            </w:pPr>
            <w:r>
              <w:rPr>
                <w:b/>
                <w:bCs/>
                <w:noProof/>
                <w:sz w:val="20"/>
                <w:lang w:val="fr-BE"/>
              </w:rPr>
              <w:t>Plan européen de lutte contre le cancer</w:t>
            </w:r>
            <w:r>
              <w:rPr>
                <w:noProof/>
                <w:sz w:val="20"/>
                <w:lang w:val="fr-BE"/>
              </w:rPr>
              <w:t xml:space="preserve"> (initiative non législative, T4/2020);</w:t>
            </w:r>
            <w:r>
              <w:rPr>
                <w:noProof/>
                <w:sz w:val="20"/>
                <w:lang w:val="fr-BE"/>
              </w:rPr>
              <w:br/>
            </w:r>
            <w:r>
              <w:rPr>
                <w:b/>
                <w:bCs/>
                <w:noProof/>
                <w:sz w:val="20"/>
                <w:lang w:val="fr-BE"/>
              </w:rPr>
              <w:t>une stratégie pharmaceutique pour l’Europe</w:t>
            </w:r>
            <w:r>
              <w:rPr>
                <w:noProof/>
                <w:sz w:val="20"/>
                <w:lang w:val="fr-BE"/>
              </w:rPr>
              <w:t xml:space="preserve"> (initiative non législative, T4/2020)</w:t>
            </w:r>
          </w:p>
        </w:tc>
      </w:tr>
      <w:tr>
        <w:trPr>
          <w:cantSplit/>
        </w:trPr>
        <w:tc>
          <w:tcPr>
            <w:tcW w:w="14827" w:type="dxa"/>
            <w:gridSpan w:val="3"/>
            <w:tcBorders>
              <w:bottom w:val="single" w:sz="4" w:space="0" w:color="auto"/>
            </w:tcBorders>
            <w:shd w:val="clear" w:color="auto" w:fill="00ADDC" w:themeFill="accent5"/>
          </w:tcPr>
          <w:p>
            <w:pPr>
              <w:keepNext/>
              <w:spacing w:before="60" w:after="60"/>
              <w:rPr>
                <w:b/>
                <w:bCs/>
                <w:noProof/>
                <w:sz w:val="20"/>
                <w:lang w:val="fr-BE"/>
              </w:rPr>
            </w:pPr>
            <w:r>
              <w:rPr>
                <w:b/>
                <w:bCs/>
                <w:noProof/>
                <w:color w:val="FFFFFF" w:themeColor="background1"/>
                <w:sz w:val="20"/>
                <w:lang w:val="fr-BE"/>
              </w:rPr>
              <w:t>Un nouvel élan pour la démocratie européenne</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Agenda du consommateur</w:t>
            </w:r>
          </w:p>
        </w:tc>
        <w:tc>
          <w:tcPr>
            <w:tcW w:w="10064" w:type="dxa"/>
            <w:tcBorders>
              <w:bottom w:val="single" w:sz="4" w:space="0" w:color="auto"/>
            </w:tcBorders>
            <w:tcMar>
              <w:top w:w="85" w:type="dxa"/>
              <w:bottom w:w="85" w:type="dxa"/>
            </w:tcMar>
          </w:tcPr>
          <w:p>
            <w:pPr>
              <w:spacing w:after="0"/>
              <w:rPr>
                <w:noProof/>
                <w:sz w:val="20"/>
                <w:lang w:val="fr-BE"/>
              </w:rPr>
            </w:pPr>
            <w:r>
              <w:rPr>
                <w:b/>
                <w:noProof/>
                <w:sz w:val="20"/>
                <w:lang w:val="fr-BE"/>
              </w:rPr>
              <w:t>Un nouvel agenda du consommateur</w:t>
            </w:r>
            <w:r>
              <w:rPr>
                <w:noProof/>
                <w:sz w:val="20"/>
                <w:lang w:val="fr-BE"/>
              </w:rPr>
              <w:t xml:space="preserve"> (initiative non législative, T4/2020)</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noProof/>
                <w:sz w:val="20"/>
                <w:lang w:val="fr-BE"/>
              </w:rPr>
            </w:pPr>
            <w:r>
              <w:rPr>
                <w:b/>
                <w:bCs/>
                <w:noProof/>
                <w:sz w:val="20"/>
                <w:lang w:val="fr-BE"/>
              </w:rPr>
              <w:t>Faire face aux conséquences de l’évolution démographique</w:t>
            </w:r>
          </w:p>
        </w:tc>
        <w:tc>
          <w:tcPr>
            <w:tcW w:w="10064" w:type="dxa"/>
            <w:tcMar>
              <w:top w:w="85" w:type="dxa"/>
              <w:bottom w:w="85" w:type="dxa"/>
            </w:tcMar>
          </w:tcPr>
          <w:p>
            <w:pPr>
              <w:spacing w:after="0"/>
              <w:jc w:val="left"/>
              <w:rPr>
                <w:b/>
                <w:bCs/>
                <w:noProof/>
                <w:sz w:val="20"/>
                <w:lang w:val="fr-BE"/>
              </w:rPr>
            </w:pPr>
            <w:r>
              <w:rPr>
                <w:b/>
                <w:noProof/>
                <w:sz w:val="20"/>
                <w:lang w:val="fr-BE"/>
              </w:rPr>
              <w:t>Rapport sur l’incidence de l’évolution démographique</w:t>
            </w:r>
            <w:r>
              <w:rPr>
                <w:noProof/>
                <w:sz w:val="20"/>
                <w:lang w:val="fr-BE"/>
              </w:rPr>
              <w:t xml:space="preserve"> (initiative non législative, T1/2020);</w:t>
            </w:r>
            <w:r>
              <w:rPr>
                <w:b/>
                <w:bCs/>
                <w:noProof/>
                <w:sz w:val="20"/>
                <w:lang w:val="fr-BE"/>
              </w:rPr>
              <w:br/>
              <w:t>livre vert sur le vieillissement</w:t>
            </w:r>
            <w:r>
              <w:rPr>
                <w:noProof/>
                <w:sz w:val="20"/>
                <w:lang w:val="fr-BE"/>
              </w:rPr>
              <w:t xml:space="preserve"> (initiative non législative, T4/2020) </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jc w:val="left"/>
              <w:rPr>
                <w:noProof/>
                <w:sz w:val="20"/>
                <w:lang w:val="fr-BE"/>
              </w:rPr>
            </w:pPr>
            <w:r>
              <w:rPr>
                <w:b/>
                <w:bCs/>
                <w:noProof/>
                <w:sz w:val="20"/>
                <w:lang w:val="fr-BE"/>
              </w:rPr>
              <w:t>Initiatives en faveur de l’égalité et de la non-discrimination</w:t>
            </w:r>
          </w:p>
        </w:tc>
        <w:tc>
          <w:tcPr>
            <w:tcW w:w="10064" w:type="dxa"/>
            <w:tcMar>
              <w:top w:w="85" w:type="dxa"/>
              <w:bottom w:w="85" w:type="dxa"/>
            </w:tcMar>
          </w:tcPr>
          <w:p>
            <w:pPr>
              <w:spacing w:after="0"/>
              <w:jc w:val="left"/>
              <w:rPr>
                <w:noProof/>
                <w:sz w:val="20"/>
                <w:lang w:val="fr-BE"/>
              </w:rPr>
            </w:pPr>
            <w:r>
              <w:rPr>
                <w:b/>
                <w:bCs/>
                <w:noProof/>
                <w:sz w:val="20"/>
                <w:lang w:val="fr-BE"/>
              </w:rPr>
              <w:t>Stratégie européenne en faveur de l’égalité entre les hommes et les femmes</w:t>
            </w:r>
            <w:r>
              <w:rPr>
                <w:noProof/>
                <w:sz w:val="20"/>
                <w:lang w:val="fr-BE"/>
              </w:rPr>
              <w:t xml:space="preserve"> (initiative non législative, T1/2020), </w:t>
            </w:r>
            <w:r>
              <w:rPr>
                <w:b/>
                <w:bCs/>
                <w:noProof/>
                <w:sz w:val="20"/>
                <w:lang w:val="fr-BE"/>
              </w:rPr>
              <w:t>suivie de mesures contraignantes en matière de transparence des rémunérations</w:t>
            </w:r>
            <w:r>
              <w:rPr>
                <w:noProof/>
                <w:sz w:val="20"/>
                <w:lang w:val="fr-BE"/>
              </w:rPr>
              <w:t xml:space="preserve"> (initiative législative incluant une analyse d’impact, article 157 du TFUE, T4/2020);</w:t>
            </w:r>
            <w:r>
              <w:rPr>
                <w:noProof/>
                <w:sz w:val="20"/>
                <w:lang w:val="fr-BE"/>
              </w:rPr>
              <w:br/>
            </w:r>
            <w:r>
              <w:rPr>
                <w:b/>
                <w:bCs/>
                <w:noProof/>
                <w:sz w:val="20"/>
                <w:lang w:val="fr-BE"/>
              </w:rPr>
              <w:t>stratégie en faveur de l’égalité de traitement à l'égard des personnes LGBTI</w:t>
            </w:r>
            <w:r>
              <w:rPr>
                <w:noProof/>
                <w:sz w:val="20"/>
                <w:lang w:val="fr-BE"/>
              </w:rPr>
              <w:t xml:space="preserve"> (initiative non législative, T4/2020);</w:t>
            </w:r>
            <w:r>
              <w:rPr>
                <w:noProof/>
                <w:sz w:val="20"/>
                <w:lang w:val="fr-BE"/>
              </w:rPr>
              <w:br/>
            </w:r>
            <w:r>
              <w:rPr>
                <w:b/>
                <w:bCs/>
                <w:noProof/>
                <w:sz w:val="20"/>
                <w:lang w:val="fr-BE"/>
              </w:rPr>
              <w:t>cadre de l’UE pour l’après-2020 pour les stratégies en matière d’égalité et d’inclusion des Roms</w:t>
            </w:r>
            <w:r>
              <w:rPr>
                <w:noProof/>
                <w:sz w:val="20"/>
                <w:lang w:val="fr-BE"/>
              </w:rPr>
              <w:t xml:space="preserve"> (initiative non législative,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Démocratie</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noProof/>
                <w:sz w:val="20"/>
                <w:lang w:val="fr-BE"/>
              </w:rPr>
            </w:pPr>
            <w:r>
              <w:rPr>
                <w:b/>
                <w:bCs/>
                <w:noProof/>
                <w:sz w:val="20"/>
                <w:lang w:val="fr-BE"/>
              </w:rPr>
              <w:t>Plan d’action pour la démocratie européenne</w:t>
            </w:r>
            <w:r>
              <w:rPr>
                <w:noProof/>
                <w:sz w:val="20"/>
                <w:lang w:val="fr-BE"/>
              </w:rPr>
              <w:t xml:space="preserve"> (initiatives non législative et législatives incluant une analyse d’impact, articles 224 et 114 du TFUE, T4/2020)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Avenir de l’Europe</w:t>
            </w:r>
          </w:p>
        </w:tc>
        <w:tc>
          <w:tcPr>
            <w:tcW w:w="10064" w:type="dxa"/>
            <w:tcBorders>
              <w:bottom w:val="single" w:sz="4" w:space="0" w:color="auto"/>
            </w:tcBorders>
            <w:tcMar>
              <w:top w:w="85" w:type="dxa"/>
              <w:bottom w:w="85" w:type="dxa"/>
            </w:tcMar>
          </w:tcPr>
          <w:p>
            <w:pPr>
              <w:spacing w:after="0"/>
              <w:rPr>
                <w:noProof/>
                <w:sz w:val="20"/>
                <w:lang w:val="fr-BE"/>
              </w:rPr>
            </w:pPr>
            <w:r>
              <w:rPr>
                <w:b/>
                <w:noProof/>
                <w:sz w:val="20"/>
                <w:lang w:val="fr-BE"/>
              </w:rPr>
              <w:t>Donner forme à la conférence sur l’avenir de l’Europe</w:t>
            </w:r>
            <w:r>
              <w:rPr>
                <w:noProof/>
                <w:sz w:val="20"/>
                <w:lang w:val="fr-BE"/>
              </w:rPr>
              <w:t xml:space="preserve"> (initiative non législative, T1/2020)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État de droit</w:t>
            </w:r>
          </w:p>
        </w:tc>
        <w:tc>
          <w:tcPr>
            <w:tcW w:w="10064" w:type="dxa"/>
            <w:tcBorders>
              <w:bottom w:val="single" w:sz="4" w:space="0" w:color="auto"/>
            </w:tcBorders>
            <w:tcMar>
              <w:top w:w="85" w:type="dxa"/>
              <w:bottom w:w="85" w:type="dxa"/>
            </w:tcMar>
          </w:tcPr>
          <w:p>
            <w:pPr>
              <w:spacing w:after="0"/>
              <w:rPr>
                <w:noProof/>
                <w:sz w:val="20"/>
                <w:lang w:val="fr-BE"/>
              </w:rPr>
            </w:pPr>
            <w:r>
              <w:rPr>
                <w:b/>
                <w:bCs/>
                <w:noProof/>
                <w:sz w:val="20"/>
                <w:lang w:val="fr-BE"/>
              </w:rPr>
              <w:t>Rapport annuel 2020 sur l’état de droit</w:t>
            </w:r>
            <w:r>
              <w:rPr>
                <w:noProof/>
                <w:sz w:val="20"/>
                <w:lang w:val="fr-BE"/>
              </w:rPr>
              <w:t xml:space="preserve"> (initiative non législative, T3/2020)</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sz w:val="20"/>
              </w:rPr>
              <w:t>Droits fondamentaux</w:t>
            </w:r>
          </w:p>
        </w:tc>
        <w:tc>
          <w:tcPr>
            <w:tcW w:w="10064" w:type="dxa"/>
            <w:tcMar>
              <w:top w:w="85" w:type="dxa"/>
              <w:bottom w:w="85" w:type="dxa"/>
            </w:tcMar>
          </w:tcPr>
          <w:p>
            <w:pPr>
              <w:spacing w:after="0"/>
              <w:jc w:val="left"/>
              <w:rPr>
                <w:noProof/>
                <w:sz w:val="20"/>
                <w:lang w:val="fr-BE"/>
              </w:rPr>
            </w:pPr>
            <w:r>
              <w:rPr>
                <w:b/>
                <w:bCs/>
                <w:noProof/>
                <w:sz w:val="20"/>
                <w:lang w:val="fr-BE"/>
              </w:rPr>
              <w:t>Nouvelle stratégie pour la mise en œuvre de la charte des droits fondamentaux</w:t>
            </w:r>
            <w:r>
              <w:rPr>
                <w:noProof/>
                <w:sz w:val="20"/>
                <w:lang w:val="fr-BE"/>
              </w:rPr>
              <w:t xml:space="preserve"> (initiative non législative, T4/2020);</w:t>
            </w:r>
            <w:r>
              <w:rPr>
                <w:noProof/>
                <w:sz w:val="20"/>
                <w:lang w:val="fr-BE"/>
              </w:rPr>
              <w:br/>
            </w:r>
            <w:r>
              <w:rPr>
                <w:b/>
                <w:bCs/>
                <w:noProof/>
                <w:sz w:val="20"/>
                <w:lang w:val="fr-BE"/>
              </w:rPr>
              <w:t>stratégie de l’UE en matière de droits des victimes</w:t>
            </w:r>
            <w:r>
              <w:rPr>
                <w:noProof/>
                <w:sz w:val="20"/>
                <w:lang w:val="fr-BE"/>
              </w:rPr>
              <w:t xml:space="preserve"> (initiative non législative, T2/2020); </w:t>
            </w:r>
          </w:p>
          <w:p>
            <w:pPr>
              <w:spacing w:after="0"/>
              <w:jc w:val="left"/>
              <w:rPr>
                <w:noProof/>
                <w:sz w:val="20"/>
                <w:lang w:val="fr-BE"/>
              </w:rPr>
            </w:pPr>
            <w:r>
              <w:rPr>
                <w:b/>
                <w:bCs/>
                <w:noProof/>
                <w:sz w:val="20"/>
                <w:lang w:val="fr-BE"/>
              </w:rPr>
              <w:t>rapport sur l’application du règlement général sur la protection des données (RGPD)</w:t>
            </w:r>
            <w:r>
              <w:rPr>
                <w:noProof/>
                <w:sz w:val="20"/>
                <w:lang w:val="fr-BE"/>
              </w:rPr>
              <w:t xml:space="preserve"> (initiative non législative, T2/2020);</w:t>
            </w:r>
            <w:r>
              <w:rPr>
                <w:noProof/>
                <w:sz w:val="20"/>
                <w:lang w:val="fr-BE"/>
              </w:rPr>
              <w:br/>
            </w:r>
            <w:r>
              <w:rPr>
                <w:b/>
                <w:bCs/>
                <w:noProof/>
                <w:sz w:val="20"/>
                <w:lang w:val="fr-BE"/>
              </w:rPr>
              <w:t>alignement des règles pertinentes de l’Union en matière d’application de la législation en ce qui concerne la protection des données</w:t>
            </w:r>
            <w:r>
              <w:rPr>
                <w:noProof/>
                <w:sz w:val="20"/>
                <w:lang w:val="fr-BE"/>
              </w:rPr>
              <w:t xml:space="preserve"> (initiative non législative, T2/2020)</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Amélioration de la réglementation</w:t>
            </w:r>
          </w:p>
        </w:tc>
        <w:tc>
          <w:tcPr>
            <w:tcW w:w="10064" w:type="dxa"/>
            <w:tcBorders>
              <w:bottom w:val="single" w:sz="4" w:space="0" w:color="auto"/>
            </w:tcBorders>
            <w:tcMar>
              <w:top w:w="85" w:type="dxa"/>
              <w:bottom w:w="85" w:type="dxa"/>
            </w:tcMar>
          </w:tcPr>
          <w:p>
            <w:pPr>
              <w:spacing w:after="0"/>
              <w:rPr>
                <w:noProof/>
                <w:sz w:val="20"/>
                <w:lang w:val="fr-BE"/>
              </w:rPr>
            </w:pPr>
            <w:r>
              <w:rPr>
                <w:b/>
                <w:noProof/>
                <w:sz w:val="20"/>
                <w:lang w:val="fr-BE"/>
              </w:rPr>
              <w:t>Communication sur l’amélioration de la réglementation</w:t>
            </w:r>
            <w:r>
              <w:rPr>
                <w:noProof/>
                <w:sz w:val="20"/>
                <w:lang w:val="fr-BE"/>
              </w:rPr>
              <w:t xml:space="preserve"> (initiative non législative, T2/2020) </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vAlign w:val="center"/>
          </w:tcPr>
          <w:p>
            <w:pPr>
              <w:spacing w:after="0"/>
              <w:rPr>
                <w:noProof/>
                <w:sz w:val="20"/>
              </w:rPr>
            </w:pPr>
            <w:r>
              <w:rPr>
                <w:b/>
                <w:bCs/>
                <w:noProof/>
                <w:sz w:val="20"/>
              </w:rPr>
              <w:t>Prospective</w:t>
            </w:r>
          </w:p>
        </w:tc>
        <w:tc>
          <w:tcPr>
            <w:tcW w:w="10064" w:type="dxa"/>
            <w:tcMar>
              <w:top w:w="85" w:type="dxa"/>
              <w:bottom w:w="85" w:type="dxa"/>
            </w:tcMar>
            <w:vAlign w:val="center"/>
          </w:tcPr>
          <w:p>
            <w:pPr>
              <w:spacing w:after="0"/>
              <w:rPr>
                <w:noProof/>
                <w:sz w:val="20"/>
                <w:lang w:val="fr-BE"/>
              </w:rPr>
            </w:pPr>
            <w:r>
              <w:rPr>
                <w:b/>
                <w:noProof/>
                <w:sz w:val="20"/>
                <w:lang w:val="fr-BE"/>
              </w:rPr>
              <w:t>Rapport de prospective annuel 2020</w:t>
            </w:r>
            <w:r>
              <w:rPr>
                <w:noProof/>
                <w:sz w:val="20"/>
                <w:lang w:val="fr-BE"/>
              </w:rPr>
              <w:t xml:space="preserve"> (initiative non législative, T2/2020)</w:t>
            </w:r>
          </w:p>
        </w:tc>
      </w:tr>
    </w:tbl>
    <w:p>
      <w:pPr>
        <w:spacing w:after="0"/>
        <w:rPr>
          <w:noProof/>
          <w:sz w:val="20"/>
          <w:lang w:val="fr-BE"/>
        </w:rPr>
      </w:pPr>
    </w:p>
    <w:p>
      <w:pPr>
        <w:spacing w:after="0"/>
        <w:jc w:val="left"/>
        <w:rPr>
          <w:noProof/>
          <w:sz w:val="20"/>
          <w:lang w:val="fr-BE"/>
        </w:rPr>
      </w:pPr>
      <w:r>
        <w:rPr>
          <w:noProof/>
          <w:lang w:val="fr-BE"/>
        </w:rPr>
        <w:br w:type="page"/>
      </w:r>
    </w:p>
    <w:p>
      <w:pPr>
        <w:keepNext/>
        <w:tabs>
          <w:tab w:val="left" w:pos="651"/>
          <w:tab w:val="left" w:pos="2054"/>
          <w:tab w:val="left" w:pos="4893"/>
        </w:tabs>
        <w:spacing w:after="600" w:line="276" w:lineRule="auto"/>
        <w:jc w:val="center"/>
        <w:rPr>
          <w:b/>
          <w:noProof/>
          <w:sz w:val="28"/>
          <w:szCs w:val="28"/>
          <w:u w:val="single"/>
        </w:rPr>
      </w:pPr>
      <w:r>
        <w:rPr>
          <w:b/>
          <w:bCs/>
          <w:noProof/>
          <w:sz w:val="28"/>
          <w:szCs w:val="28"/>
          <w:u w:val="single"/>
        </w:rPr>
        <w:t>Annexe II: initiatives REFIT</w:t>
      </w:r>
      <w:r>
        <w:rPr>
          <w:rStyle w:val="FootnoteReference"/>
          <w:b/>
          <w:bCs/>
          <w:noProof/>
          <w:sz w:val="28"/>
          <w:szCs w:val="28"/>
          <w:u w:val="single"/>
        </w:rPr>
        <w:footnoteReference w:id="3"/>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647"/>
        <w:gridCol w:w="4400"/>
        <w:gridCol w:w="9780"/>
      </w:tblGrid>
      <w:tr>
        <w:trPr>
          <w:cantSplit/>
          <w:tblHeader/>
        </w:trPr>
        <w:tc>
          <w:tcPr>
            <w:tcW w:w="647"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rPr>
            </w:pPr>
            <w:r>
              <w:rPr>
                <w:b/>
                <w:bCs/>
                <w:noProof/>
                <w:sz w:val="20"/>
              </w:rPr>
              <w:t>N°</w:t>
            </w:r>
          </w:p>
        </w:tc>
        <w:tc>
          <w:tcPr>
            <w:tcW w:w="4400"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rPr>
            </w:pPr>
            <w:r>
              <w:rPr>
                <w:b/>
                <w:noProof/>
                <w:sz w:val="20"/>
              </w:rPr>
              <w:t>Titre</w:t>
            </w:r>
          </w:p>
        </w:tc>
        <w:tc>
          <w:tcPr>
            <w:tcW w:w="9780"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lang w:val="fr-BE"/>
              </w:rPr>
            </w:pPr>
            <w:r>
              <w:rPr>
                <w:b/>
                <w:noProof/>
                <w:sz w:val="20"/>
                <w:lang w:val="fr-BE"/>
              </w:rPr>
              <w:t>Objectif/potentiel de simplification</w:t>
            </w:r>
            <w:r>
              <w:rPr>
                <w:noProof/>
                <w:sz w:val="20"/>
                <w:lang w:val="fr-BE"/>
              </w:rPr>
              <w:t xml:space="preserve"> (brève explication de l’objectif REFIT des révisions et potentiel de simplification pour les évaluations et les bilans de qualité)</w:t>
            </w:r>
          </w:p>
        </w:tc>
      </w:tr>
      <w:tr>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pPr>
              <w:keepNext/>
              <w:spacing w:before="60" w:after="60"/>
              <w:rPr>
                <w:b/>
                <w:bCs/>
                <w:noProof/>
                <w:sz w:val="20"/>
                <w:lang w:val="fr-BE"/>
              </w:rPr>
            </w:pPr>
            <w:r>
              <w:rPr>
                <w:b/>
                <w:bCs/>
                <w:noProof/>
                <w:color w:val="FFFFFF" w:themeColor="background1"/>
                <w:sz w:val="20"/>
                <w:lang w:val="fr-BE"/>
              </w:rPr>
              <w:t>Un pacte vert pour l’Europe</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lang w:val="fr-BE"/>
              </w:rPr>
            </w:pPr>
            <w:r>
              <w:rPr>
                <w:b/>
                <w:bCs/>
                <w:noProof/>
                <w:sz w:val="20"/>
                <w:lang w:val="fr-BE"/>
              </w:rPr>
              <w:t>Évaluation des normes de commercialisation [contenues dans le règlement portant organisation commune des marchés (OCM unique), les directives dites «petit-déjeuner» et le droit dérivé de l’OCM]</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L’évaluation des normes de commercialisation permettra d’évaluer la cohérence entre les différents textes législatifs et de déterminer le potentiel de simplification. Les résultats de l’évaluation pourraient servir de base à la réflexion sur la nécessité de modifier la réglementation en matière de normes de commercialisation.</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lang w:val="fr-BE"/>
              </w:rPr>
            </w:pPr>
            <w:r>
              <w:rPr>
                <w:b/>
                <w:bCs/>
                <w:noProof/>
                <w:sz w:val="20"/>
                <w:lang w:val="fr-BE"/>
              </w:rPr>
              <w:t>Évaluation des indications géographiques et des spécialités traditionnelles garanties protégées dans l’UE</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L’évaluation des indications géographiques et des garanties des spécialités traditionnelles garanties permettra d’évaluer la cohérence entre les différents éléments du cadre juridique des systèmes de qualité de l’UE et d’examiner la nécessité de l’améliorer (modernisation, simplification et rationalisation). Les résultats de l’évaluation pourraient servir de base à la réflexion sur la nécessité de modifier la réglementation en matière de systèmes de qualité de l’UE.</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lang w:val="fr-BE"/>
              </w:rPr>
            </w:pPr>
            <w:r>
              <w:rPr>
                <w:b/>
                <w:bCs/>
                <w:noProof/>
                <w:sz w:val="20"/>
                <w:lang w:val="fr-BE"/>
              </w:rPr>
              <w:t xml:space="preserve">Révision des lignes directrices concernant certaines aides d'État dans le contexte du système d'échange de quotas d'émission de gaz à effet de serre après 2020 </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lang w:val="fr-BE"/>
              </w:rPr>
              <w:t xml:space="preserve">Les États membres peuvent accorder une compensation à certains grands consommateurs d’électricité pour une partie des coûts d’électricité plus élevés qu’ils doivent supporter en raison du système d’échange de quotas d’émission de l’UE. L’objectif de cette compensation est de réduire autant que possible le risque de fuites de carbone, qui survient lorsque le coût des émissions pousse les entreprises de l’UE à délocaliser leur production vers des pays tiers n’ayant pas de contraintes comparables. Les règles existantes prévoyant une compensation seront révisées afin de pouvoir être adaptées au nouveau système d’échange de quotas d’émission pour la période 2021-2030. </w:t>
            </w:r>
            <w:r>
              <w:rPr>
                <w:noProof/>
                <w:sz w:val="20"/>
              </w:rPr>
              <w:t>(initiative non législative incluant une analyse d’impact, T4/2020)</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lang w:val="fr-BE"/>
              </w:rPr>
            </w:pPr>
            <w:r>
              <w:rPr>
                <w:b/>
                <w:bCs/>
                <w:noProof/>
                <w:sz w:val="20"/>
                <w:lang w:val="fr-BE"/>
              </w:rPr>
              <w:t xml:space="preserve">Révision du règlement sur les réseaux transeuropéens d’énergie (RTE-E) </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i/>
                <w:iCs/>
                <w:noProof/>
                <w:sz w:val="20"/>
                <w:lang w:val="fr-BE"/>
              </w:rPr>
            </w:pPr>
            <w:r>
              <w:rPr>
                <w:noProof/>
                <w:sz w:val="20"/>
                <w:lang w:val="fr-BE"/>
              </w:rPr>
              <w:t>Cette initiative fera en sorte que le règlement RTE-E soit pleinement conforme au pacte vert pour l’Europe et aux objectifs de décarbonisation à long terme de l’Union, tout en contribuant à l’intégration du secteur et du marché, à la sécurité d’approvisionnement et à la concurrence. (initiative législative incluant une analyse d’impact, articles 170 et 171 du TFUE, T4/2020)</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lang w:val="fr-BE"/>
              </w:rPr>
            </w:pPr>
            <w:r>
              <w:rPr>
                <w:b/>
                <w:bCs/>
                <w:noProof/>
                <w:sz w:val="20"/>
                <w:lang w:val="fr-BE"/>
              </w:rPr>
              <w:t>Évaluation de la directive 2011/65/UE relative à la limitation de l’utilisation de certaines substances dangereuses dans les équipements électriques et électroniques (LdSD)</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L’évaluation de la directive LdSD visera à déterminer son efficacité et son efficience en ce qui concerne la procédure d’adoption des limitations relatives aux substances et l’octroi d’exemptions à ces limitations. Elle visera également à évaluer sa cohérence avec d’autres actes législatifs de l’UE et leur pertinence par rapport à ces derniers, notamment à la lumière des évaluations de la directive REACH et de la directive sur l’écoconception.</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lang w:val="fr-BE"/>
              </w:rPr>
            </w:pPr>
            <w:r>
              <w:rPr>
                <w:b/>
                <w:bCs/>
                <w:noProof/>
                <w:sz w:val="20"/>
                <w:lang w:val="fr-BE"/>
              </w:rPr>
              <w:t xml:space="preserve">Évaluation de la directive 2000/53/UE sur les véhicules hors d’usage (VHU)  </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L’évaluation de la directive VHU visera à déterminer son efficacité, son efficience, sa cohérence avec d’autres textes législatifs et sa pertinence à la lumière des objectifs plus généraux en matière d’économie circulaire, de plastique, d’utilisation efficace des ressources, de matières premières, etc.</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lang w:val="fr-BE"/>
              </w:rPr>
            </w:pPr>
            <w:r>
              <w:rPr>
                <w:b/>
                <w:bCs/>
                <w:noProof/>
                <w:sz w:val="20"/>
                <w:lang w:val="fr-BE"/>
              </w:rPr>
              <w:t>Évaluation de la directive 2010/75/UE relative aux émissions industrielles (DEI)</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L’évaluation de la directive DEI visera à déterminer son efficacité, son efficience, sa valeur ajoutée européenne, sa cohérence avec d’autres dispositions législatives et sa pertinence pour le traitement des sources (agro-)industrielles importantes de pollution de l’air, de l’eau et des sols.</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lang w:val="fr-BE"/>
              </w:rPr>
            </w:pPr>
            <w:r>
              <w:rPr>
                <w:b/>
                <w:bCs/>
                <w:noProof/>
                <w:sz w:val="20"/>
                <w:lang w:val="fr-BE"/>
              </w:rPr>
              <w:t>Bilan de qualité des règles de l’UE en matière de lutte contre l’exploitation illégale des forêts [règlement de l’UE sur le bois, règlement (UE) n° 995/2010 et règlement (CE) n° 2173/2005]</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Le bilan de qualité permettra d’évaluer l’efficacité, l’efficience, la cohérence, la pertinence et la valeur ajoutée européenne des deux règlements dans l’aide à la lutte contre l’exploitation illégale des forêts au niveau mondial. Les enseignements tirés du bilan de qualité seront utiles pour l’évaluation des mesures agissant sur la demande concernant d’autres matières premières.</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lang w:val="fr-BE"/>
              </w:rPr>
            </w:pPr>
            <w:r>
              <w:rPr>
                <w:b/>
                <w:bCs/>
                <w:noProof/>
                <w:sz w:val="20"/>
                <w:lang w:val="fr-BE"/>
              </w:rPr>
              <w:t xml:space="preserve">Révision de la directive de l’UE sur les batteries </w:t>
            </w:r>
          </w:p>
        </w:tc>
        <w:tc>
          <w:tcPr>
            <w:tcW w:w="9780" w:type="dxa"/>
            <w:tcBorders>
              <w:top w:val="single" w:sz="4" w:space="0" w:color="auto"/>
              <w:left w:val="single" w:sz="4" w:space="0" w:color="auto"/>
              <w:bottom w:val="single" w:sz="4" w:space="0" w:color="auto"/>
            </w:tcBorders>
            <w:vAlign w:val="center"/>
          </w:tcPr>
          <w:p>
            <w:pPr>
              <w:keepNext/>
              <w:spacing w:after="0"/>
              <w:rPr>
                <w:rFonts w:eastAsiaTheme="minorEastAsia" w:cstheme="minorBidi"/>
                <w:noProof/>
                <w:sz w:val="20"/>
              </w:rPr>
            </w:pPr>
            <w:r>
              <w:rPr>
                <w:noProof/>
                <w:sz w:val="20"/>
                <w:lang w:val="fr-BE"/>
              </w:rPr>
              <w:t xml:space="preserve">Conformément aux conclusions des rapports d’évaluation/de mise en œuvre de la directive sur les batteries, la révision devrait permettre de mieux prendre en compte la circularité, d’améliorer la durabilité et de rester en phase avec le progrès technologique. Cela est également prévu dans le plan d’action stratégique sur les batteries. À la suite des conclusions des rapports sur la directive, l’initiative modifiera la directive ou une proposition de nouveau règlement abrogeant la directive sera élaborée, notamment pour englober les exigences en matière de fin de vie et de durabilité. </w:t>
            </w:r>
            <w:r>
              <w:rPr>
                <w:noProof/>
                <w:sz w:val="20"/>
              </w:rPr>
              <w:t>(initiative législative incluant une analyse d’impact, T4/2020)</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lang w:val="fr-BE"/>
              </w:rPr>
            </w:pPr>
            <w:r>
              <w:rPr>
                <w:b/>
                <w:bCs/>
                <w:noProof/>
                <w:sz w:val="20"/>
                <w:lang w:val="fr-BE"/>
              </w:rPr>
              <w:t>Bilan de qualité de la législation de l’UE pertinente sur les perturbateurs endocriniens</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Les perturbateurs endocriniens sont des substances qui altèrent le fonctionnement du système endocrinien (hormonal) et nuisent à la santé des personnes ou des animaux. Diverses mesures de l’UE réglementent ces substances. Le bilan de qualité déterminera si ces mesures permettent d’atteindre l’objectif général de protection de la santé humaine et de l’environnement. Il permettra d’évaluer la cohérence, l’efficacité, l’efficience, la pertinence et la valeur ajoutée européenne de la législation de l’UE, en mettant l’accent sur la cohérence dans l’ensemble de l’acquis relatif aux produits chimiques.</w:t>
            </w:r>
          </w:p>
        </w:tc>
      </w:tr>
      <w:tr>
        <w:trPr>
          <w:cantSplit/>
        </w:trPr>
        <w:tc>
          <w:tcPr>
            <w:tcW w:w="647" w:type="dxa"/>
            <w:tcBorders>
              <w:bottom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lang w:val="fr-BE"/>
              </w:rPr>
            </w:pPr>
          </w:p>
        </w:tc>
        <w:tc>
          <w:tcPr>
            <w:tcW w:w="4400" w:type="dxa"/>
            <w:tcBorders>
              <w:bottom w:val="single" w:sz="4" w:space="0" w:color="auto"/>
            </w:tcBorders>
          </w:tcPr>
          <w:p>
            <w:pPr>
              <w:keepNext/>
              <w:spacing w:after="0"/>
              <w:rPr>
                <w:rFonts w:eastAsiaTheme="minorEastAsia" w:cstheme="minorBidi"/>
                <w:b/>
                <w:bCs/>
                <w:noProof/>
                <w:sz w:val="20"/>
                <w:lang w:val="fr-BE"/>
              </w:rPr>
            </w:pPr>
            <w:r>
              <w:rPr>
                <w:b/>
                <w:bCs/>
                <w:noProof/>
                <w:sz w:val="20"/>
                <w:lang w:val="fr-BE"/>
              </w:rPr>
              <w:t>Révision du règlement sur les normes de commercialisation applicables aux produits de la pêche et de l’aquaculture dans l’UE</w:t>
            </w:r>
          </w:p>
        </w:tc>
        <w:tc>
          <w:tcPr>
            <w:tcW w:w="9780" w:type="dxa"/>
            <w:tcBorders>
              <w:bottom w:val="single" w:sz="4" w:space="0" w:color="auto"/>
            </w:tcBorders>
          </w:tcPr>
          <w:p>
            <w:pPr>
              <w:keepNext/>
              <w:spacing w:after="0"/>
              <w:rPr>
                <w:rFonts w:eastAsiaTheme="minorEastAsia" w:cstheme="minorBidi"/>
                <w:noProof/>
                <w:sz w:val="20"/>
                <w:lang w:val="fr-BE"/>
              </w:rPr>
            </w:pPr>
            <w:r>
              <w:rPr>
                <w:noProof/>
                <w:sz w:val="20"/>
                <w:lang w:val="fr-BE"/>
              </w:rPr>
              <w:t>Cette révision simplifiera la structure juridique: un règlement (UE) remplacera trois règlements couvrant actuellement aussi les produits de l’aquaculture, la transparence et l’information des consommateurs. (initiative législative incluant une analyse d’impact, article 43 du TFUE, politique commune de la pêche, T4/2020)</w:t>
            </w:r>
          </w:p>
        </w:tc>
      </w:tr>
      <w:tr>
        <w:trPr>
          <w:cantSplit/>
        </w:trPr>
        <w:tc>
          <w:tcPr>
            <w:tcW w:w="647" w:type="dxa"/>
            <w:tcBorders>
              <w:bottom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lang w:val="fr-BE"/>
              </w:rPr>
            </w:pPr>
          </w:p>
        </w:tc>
        <w:tc>
          <w:tcPr>
            <w:tcW w:w="4400" w:type="dxa"/>
            <w:tcBorders>
              <w:bottom w:val="single" w:sz="4" w:space="0" w:color="auto"/>
            </w:tcBorders>
          </w:tcPr>
          <w:p>
            <w:pPr>
              <w:keepNext/>
              <w:spacing w:after="0"/>
              <w:jc w:val="left"/>
              <w:rPr>
                <w:rFonts w:eastAsiaTheme="minorEastAsia" w:cstheme="minorBidi"/>
                <w:b/>
                <w:bCs/>
                <w:noProof/>
                <w:sz w:val="20"/>
                <w:lang w:val="fr-BE"/>
              </w:rPr>
            </w:pPr>
            <w:r>
              <w:rPr>
                <w:b/>
                <w:bCs/>
                <w:noProof/>
                <w:sz w:val="20"/>
                <w:lang w:val="fr-BE"/>
              </w:rPr>
              <w:t>Évaluation du règlement (UE) n° 913/2010 relatif au réseau ferroviaire européen pour un fret compétitif</w:t>
            </w:r>
            <w:r>
              <w:rPr>
                <w:b/>
                <w:noProof/>
                <w:sz w:val="20"/>
                <w:lang w:val="fr-BE"/>
              </w:rPr>
              <w:br/>
            </w:r>
            <w:r>
              <w:rPr>
                <w:b/>
                <w:bCs/>
                <w:noProof/>
                <w:sz w:val="20"/>
                <w:lang w:val="fr-BE"/>
              </w:rPr>
              <w:t>(règlement relatif aux corridors de fret ferroviaire)</w:t>
            </w:r>
          </w:p>
        </w:tc>
        <w:tc>
          <w:tcPr>
            <w:tcW w:w="9780" w:type="dxa"/>
            <w:tcBorders>
              <w:bottom w:val="single" w:sz="4" w:space="0" w:color="auto"/>
            </w:tcBorders>
          </w:tcPr>
          <w:p>
            <w:pPr>
              <w:keepNext/>
              <w:spacing w:after="0"/>
              <w:jc w:val="left"/>
              <w:rPr>
                <w:rFonts w:eastAsiaTheme="minorEastAsia" w:cstheme="minorBidi"/>
                <w:noProof/>
                <w:sz w:val="20"/>
                <w:lang w:val="fr-BE"/>
              </w:rPr>
            </w:pPr>
            <w:r>
              <w:rPr>
                <w:noProof/>
                <w:sz w:val="20"/>
                <w:lang w:val="fr-BE"/>
              </w:rPr>
              <w:t>L’augmentation du transport ferroviaire de marchandises est un élément clé de la politique de l’UE visant à réduire les émissions de CO</w:t>
            </w:r>
            <w:r>
              <w:rPr>
                <w:noProof/>
                <w:sz w:val="20"/>
                <w:vertAlign w:val="subscript"/>
                <w:lang w:val="fr-BE"/>
              </w:rPr>
              <w:t>2</w:t>
            </w:r>
            <w:r>
              <w:rPr>
                <w:noProof/>
                <w:sz w:val="20"/>
                <w:lang w:val="fr-BE"/>
              </w:rPr>
              <w:t xml:space="preserve"> dues aux transports, mais elle est confrontée à des difficultés. Le règlement relatif aux corridors de fret ferroviaire vise à améliorer la coopération et la coordination sur un certain nombre de corridors présentant un potentiel particulier pour le développement du fret ferroviaire international.</w:t>
            </w:r>
            <w:r>
              <w:rPr>
                <w:noProof/>
                <w:sz w:val="20"/>
                <w:lang w:val="fr-BE"/>
              </w:rPr>
              <w:br/>
              <w:t>Le règlement (UE) n° 913/2010 relatif au réseau ferroviaire européen pour un fret compétitif est entré en vigueur en 2010 et neuf corridors de fret ferroviaire ont été mis en place, suivis, ultérieurement, de deux autres. L’objectif de cette évaluation est de fournir un aperçu complet de la mise en œuvre du règlement ainsi qu’une évaluation de ses effets. Il sera utile de déterminer quelles actions supplémentaires sont nécessaires au niveau de l’UE pour stimuler le fret ferroviaire.</w:t>
            </w:r>
          </w:p>
        </w:tc>
      </w:tr>
      <w:tr>
        <w:trPr>
          <w:cantSplit/>
        </w:trPr>
        <w:tc>
          <w:tcPr>
            <w:tcW w:w="647" w:type="dxa"/>
            <w:tcBorders>
              <w:bottom w:val="single" w:sz="4" w:space="0" w:color="auto"/>
            </w:tcBorders>
            <w:shd w:val="clear" w:color="auto" w:fill="auto"/>
          </w:tcPr>
          <w:p>
            <w:pPr>
              <w:keepNext/>
              <w:spacing w:after="0" w:line="276" w:lineRule="auto"/>
              <w:jc w:val="left"/>
              <w:rPr>
                <w:rFonts w:eastAsiaTheme="minorHAnsi" w:cstheme="minorBidi"/>
                <w:noProof/>
                <w:color w:val="000000"/>
                <w:sz w:val="20"/>
                <w:lang w:val="fr-BE"/>
              </w:rPr>
            </w:pPr>
          </w:p>
        </w:tc>
        <w:tc>
          <w:tcPr>
            <w:tcW w:w="4400" w:type="dxa"/>
            <w:tcBorders>
              <w:bottom w:val="single" w:sz="4" w:space="0" w:color="auto"/>
            </w:tcBorders>
          </w:tcPr>
          <w:p>
            <w:pPr>
              <w:keepNext/>
              <w:spacing w:after="0"/>
              <w:jc w:val="left"/>
              <w:rPr>
                <w:rFonts w:eastAsiaTheme="minorEastAsia" w:cstheme="minorBidi"/>
                <w:b/>
                <w:bCs/>
                <w:noProof/>
                <w:sz w:val="20"/>
                <w:lang w:val="fr-BE"/>
              </w:rPr>
            </w:pPr>
          </w:p>
        </w:tc>
        <w:tc>
          <w:tcPr>
            <w:tcW w:w="9780" w:type="dxa"/>
            <w:tcBorders>
              <w:bottom w:val="single" w:sz="4" w:space="0" w:color="auto"/>
            </w:tcBorders>
          </w:tcPr>
          <w:p>
            <w:pPr>
              <w:keepNext/>
              <w:spacing w:after="0"/>
              <w:rPr>
                <w:rFonts w:eastAsiaTheme="minorEastAsia" w:cstheme="minorBidi"/>
                <w:noProof/>
                <w:sz w:val="20"/>
                <w:lang w:val="fr-BE"/>
              </w:rPr>
            </w:pPr>
          </w:p>
        </w:tc>
      </w:tr>
      <w:tr>
        <w:trPr>
          <w:cantSplit/>
        </w:trPr>
        <w:tc>
          <w:tcPr>
            <w:tcW w:w="647" w:type="dxa"/>
            <w:tcBorders>
              <w:bottom w:val="single" w:sz="4" w:space="0" w:color="auto"/>
            </w:tcBorders>
            <w:shd w:val="clear" w:color="auto" w:fill="auto"/>
          </w:tcPr>
          <w:p>
            <w:pPr>
              <w:keepNext/>
              <w:spacing w:after="0" w:line="276" w:lineRule="auto"/>
              <w:jc w:val="left"/>
              <w:rPr>
                <w:rFonts w:eastAsiaTheme="minorHAnsi" w:cstheme="minorBidi"/>
                <w:noProof/>
                <w:color w:val="000000"/>
                <w:sz w:val="20"/>
                <w:lang w:val="fr-BE"/>
              </w:rPr>
            </w:pPr>
          </w:p>
        </w:tc>
        <w:tc>
          <w:tcPr>
            <w:tcW w:w="4400" w:type="dxa"/>
            <w:tcBorders>
              <w:bottom w:val="single" w:sz="4" w:space="0" w:color="auto"/>
            </w:tcBorders>
          </w:tcPr>
          <w:p>
            <w:pPr>
              <w:keepNext/>
              <w:spacing w:after="0"/>
              <w:jc w:val="left"/>
              <w:rPr>
                <w:rFonts w:eastAsiaTheme="minorEastAsia" w:cstheme="minorBidi"/>
                <w:b/>
                <w:bCs/>
                <w:noProof/>
                <w:sz w:val="20"/>
                <w:lang w:val="fr-BE"/>
              </w:rPr>
            </w:pPr>
          </w:p>
        </w:tc>
        <w:tc>
          <w:tcPr>
            <w:tcW w:w="9780" w:type="dxa"/>
            <w:tcBorders>
              <w:bottom w:val="single" w:sz="4" w:space="0" w:color="auto"/>
            </w:tcBorders>
          </w:tcPr>
          <w:p>
            <w:pPr>
              <w:keepNext/>
              <w:spacing w:after="0"/>
              <w:rPr>
                <w:rFonts w:eastAsiaTheme="minorEastAsia" w:cstheme="minorBidi"/>
                <w:noProof/>
                <w:sz w:val="20"/>
                <w:lang w:val="fr-BE"/>
              </w:rPr>
            </w:pPr>
          </w:p>
        </w:tc>
      </w:tr>
      <w:tr>
        <w:trPr>
          <w:cantSplit/>
        </w:trPr>
        <w:tc>
          <w:tcPr>
            <w:tcW w:w="647" w:type="dxa"/>
            <w:tcBorders>
              <w:bottom w:val="single" w:sz="4" w:space="0" w:color="auto"/>
            </w:tcBorders>
            <w:shd w:val="clear" w:color="auto" w:fill="auto"/>
          </w:tcPr>
          <w:p>
            <w:pPr>
              <w:keepNext/>
              <w:spacing w:after="0" w:line="276" w:lineRule="auto"/>
              <w:jc w:val="left"/>
              <w:rPr>
                <w:rFonts w:eastAsiaTheme="minorHAnsi" w:cstheme="minorBidi"/>
                <w:noProof/>
                <w:color w:val="000000"/>
                <w:sz w:val="20"/>
                <w:lang w:val="fr-BE"/>
              </w:rPr>
            </w:pPr>
          </w:p>
        </w:tc>
        <w:tc>
          <w:tcPr>
            <w:tcW w:w="4400" w:type="dxa"/>
            <w:tcBorders>
              <w:bottom w:val="single" w:sz="4" w:space="0" w:color="auto"/>
            </w:tcBorders>
          </w:tcPr>
          <w:p>
            <w:pPr>
              <w:keepNext/>
              <w:spacing w:after="0"/>
              <w:jc w:val="left"/>
              <w:rPr>
                <w:rFonts w:eastAsiaTheme="minorEastAsia" w:cstheme="minorBidi"/>
                <w:b/>
                <w:bCs/>
                <w:noProof/>
                <w:sz w:val="20"/>
                <w:lang w:val="fr-BE"/>
              </w:rPr>
            </w:pPr>
          </w:p>
        </w:tc>
        <w:tc>
          <w:tcPr>
            <w:tcW w:w="9780" w:type="dxa"/>
            <w:tcBorders>
              <w:bottom w:val="single" w:sz="4" w:space="0" w:color="auto"/>
            </w:tcBorders>
          </w:tcPr>
          <w:p>
            <w:pPr>
              <w:keepNext/>
              <w:spacing w:after="0"/>
              <w:rPr>
                <w:rFonts w:eastAsiaTheme="minorEastAsia" w:cstheme="minorBidi"/>
                <w:noProof/>
                <w:sz w:val="20"/>
                <w:lang w:val="fr-BE"/>
              </w:rPr>
            </w:pP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lang w:val="fr-BE"/>
              </w:rPr>
            </w:pPr>
            <w:r>
              <w:rPr>
                <w:b/>
                <w:bCs/>
                <w:noProof/>
                <w:sz w:val="20"/>
                <w:lang w:val="fr-BE"/>
              </w:rPr>
              <w:t xml:space="preserve">Évaluation de la directive 2009/128/CE concernant l’utilisation durable des pesticides </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Cette évaluation portera, entre autres, sur les progrès accomplis par la directive en ce qui concerne la réduction de la dépendance à l’égard des pesticides et la stimulation du recours à des alternatives aux pesticides qui soient à faible risque et non chimiques. Le potentiel de simplification sera également examiné, par exemple en ce qui concerne les règles relatives à l’inspection du matériel d'application des pesticides et les nouvelles règles de contrôle officiel.</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lang w:val="fr-BE"/>
              </w:rPr>
            </w:pPr>
            <w:r>
              <w:rPr>
                <w:b/>
                <w:bCs/>
                <w:noProof/>
                <w:sz w:val="20"/>
                <w:lang w:val="fr-BE"/>
              </w:rPr>
              <w:t xml:space="preserve">Évaluation de la stratégie de l'UE pour le bien-être animal (2012-2015) </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b/>
                <w:bCs/>
                <w:noProof/>
                <w:sz w:val="20"/>
                <w:lang w:val="fr-BE"/>
              </w:rPr>
            </w:pPr>
            <w:r>
              <w:rPr>
                <w:noProof/>
                <w:sz w:val="20"/>
                <w:lang w:val="fr-BE"/>
              </w:rPr>
              <w:t>Cette évaluation examinera la mesure dans laquelle la stratégie de l’UE pour le bien-être animal a contribué à simplifier le cadre de l’UE en matière de bien-être animal, et ce qui peut encore être fait en matière de simplification, compte tenu de l’évolution des besoins dans ce domaine.</w:t>
            </w:r>
          </w:p>
        </w:tc>
      </w:tr>
      <w:tr>
        <w:trPr>
          <w:cantSplit/>
          <w:trHeight w:val="2027"/>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lang w:val="fr-BE"/>
              </w:rPr>
            </w:pPr>
            <w:r>
              <w:rPr>
                <w:b/>
                <w:bCs/>
                <w:noProof/>
                <w:sz w:val="20"/>
                <w:lang w:val="fr-BE"/>
              </w:rPr>
              <w:t>Évaluation de l’autorisation des produits phytopharmaceutiques et teneur maximale en résidus de pesticides</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Cette évaluation porte sur la mise en œuvre et le fonctionnement du règlement (CE) n° 1107/2009 concernant la mise sur le marché des produits phytopharmaceutiques et le règlement (CE) n° 396/2005 concernant les limites maximales applicables aux résidus de pesticides dans tous les États membres depuis qu’ils sont applicables, soit, respectivement, en juin 2011 et en septembre 2008. Elle propose des moyens d’améliorer la mise en œuvre des règlements afin de simplifier ou de renforcer le cadre réglementaire actuel, par exemple pour remédier aux retards et améliorer la transparence, améliorer le système d’autorisation et de reconnaissance mutuelle par zone des autorisations, promouvoir une protection phytosanitaire durable, des solutions à faible risque et une atténuation efficace des risques, ainsi que pour renforcer la cohérence et la cohésion entre les règlements et les autres actes législatifs de l’UE.</w:t>
            </w:r>
          </w:p>
          <w:p>
            <w:pPr>
              <w:keepNext/>
              <w:spacing w:after="0"/>
              <w:rPr>
                <w:rFonts w:eastAsiaTheme="minorEastAsia" w:cstheme="minorBidi"/>
                <w:noProof/>
                <w:sz w:val="20"/>
                <w:lang w:val="fr-BE"/>
              </w:rPr>
            </w:pPr>
            <w:r>
              <w:rPr>
                <w:noProof/>
                <w:sz w:val="20"/>
                <w:lang w:val="fr-BE"/>
              </w:rPr>
              <w:t>L’évaluation se penche également sur les questions soulevées dans l’</w:t>
            </w:r>
            <w:hyperlink r:id="rId22" w:history="1">
              <w:r>
                <w:rPr>
                  <w:noProof/>
                  <w:color w:val="0000FF" w:themeColor="hyperlink"/>
                  <w:sz w:val="20"/>
                  <w:u w:val="single"/>
                  <w:lang w:val="fr-BE"/>
                </w:rPr>
                <w:t>avis XI.10.a de la plateforme REFIT</w:t>
              </w:r>
            </w:hyperlink>
            <w:r>
              <w:rPr>
                <w:noProof/>
                <w:lang w:val="fr-BE"/>
              </w:rPr>
              <w:t xml:space="preserve"> </w:t>
            </w:r>
            <w:r>
              <w:rPr>
                <w:noProof/>
                <w:sz w:val="20"/>
                <w:lang w:val="fr-BE"/>
              </w:rPr>
              <w:t>sur les substances à usages/sources multiples – Chlorate, adopté le 7.6.2017, et dans l’</w:t>
            </w:r>
            <w:hyperlink r:id="rId23" w:history="1">
              <w:r>
                <w:rPr>
                  <w:noProof/>
                  <w:color w:val="0000FF" w:themeColor="hyperlink"/>
                  <w:sz w:val="20"/>
                  <w:u w:val="single"/>
                  <w:lang w:val="fr-BE"/>
                </w:rPr>
                <w:t>avis XI.22.a de la plateforme REFIT</w:t>
              </w:r>
            </w:hyperlink>
            <w:r>
              <w:rPr>
                <w:noProof/>
                <w:lang w:val="fr-BE"/>
              </w:rPr>
              <w:t xml:space="preserve"> </w:t>
            </w:r>
            <w:r>
              <w:rPr>
                <w:noProof/>
                <w:sz w:val="20"/>
                <w:lang w:val="fr-BE"/>
              </w:rPr>
              <w:t>sur l’enregistrement des produits phytopharmaceutiques, adopté le 14.3.2019.</w:t>
            </w:r>
          </w:p>
        </w:tc>
      </w:tr>
      <w:tr>
        <w:trPr>
          <w:cantSplit/>
          <w:trHeight w:val="1336"/>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lang w:val="fr-BE"/>
              </w:rPr>
            </w:pPr>
            <w:r>
              <w:rPr>
                <w:b/>
                <w:bCs/>
                <w:noProof/>
                <w:sz w:val="20"/>
                <w:lang w:val="fr-BE"/>
              </w:rPr>
              <w:t>Évaluation du règlement (CE) n° 1924/2006 concernant les allégations nutritionnelles et de santé portant sur les denrées alimentaires en ce qui concerne les profils nutritionnels et les allégations de santé portant sur les plantes et leurs préparations, et du cadre réglementaire général de leur utilisation dans les denrées alimentaires</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Cette évaluation porte sur la question soulevée par l’</w:t>
            </w:r>
            <w:hyperlink r:id="rId24" w:history="1">
              <w:r>
                <w:rPr>
                  <w:noProof/>
                  <w:color w:val="0000FF" w:themeColor="hyperlink"/>
                  <w:sz w:val="20"/>
                  <w:u w:val="single"/>
                  <w:lang w:val="fr-BE"/>
                </w:rPr>
                <w:t>avis XI.11.a-b de la plateforme REFIT</w:t>
              </w:r>
            </w:hyperlink>
            <w:r>
              <w:rPr>
                <w:noProof/>
                <w:lang w:val="fr-BE"/>
              </w:rPr>
              <w:t xml:space="preserve"> </w:t>
            </w:r>
            <w:r>
              <w:rPr>
                <w:noProof/>
                <w:sz w:val="20"/>
                <w:lang w:val="fr-BE"/>
              </w:rPr>
              <w:t>sur l’établissement de profils nutritionnels. L’évaluation a permis de déterminer les incidences de la situation actuelle (en l’absence de profils nutritionnels au niveau de l’UE). Elle se penche sur la question de savoir si les profils nutritionnels restent adaptés à leur objectif, justifiés et adéquats pour garantir le respect des objectifs du règlement sur les allégations. Les résultats de cette évaluation sont aussi attendus pour répondre aux questions soulevées par les entreprises sur la directive relative aux médicaments traditionnels à base de plantes, qui figurent dans l’</w:t>
            </w:r>
            <w:hyperlink r:id="rId25" w:history="1">
              <w:r>
                <w:rPr>
                  <w:noProof/>
                  <w:color w:val="0000FF" w:themeColor="hyperlink"/>
                  <w:sz w:val="20"/>
                  <w:u w:val="single"/>
                  <w:lang w:val="fr-BE"/>
                </w:rPr>
                <w:t>avis XI.6.a-b de la plateforme REFIT</w:t>
              </w:r>
            </w:hyperlink>
            <w:r>
              <w:rPr>
                <w:noProof/>
                <w:sz w:val="20"/>
                <w:lang w:val="fr-BE"/>
              </w:rPr>
              <w:t>.</w:t>
            </w:r>
          </w:p>
        </w:tc>
      </w:tr>
      <w:tr>
        <w:trPr>
          <w:cantSplit/>
          <w:trHeight w:val="1380"/>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lang w:val="fr-BE"/>
              </w:rPr>
            </w:pPr>
            <w:r>
              <w:rPr>
                <w:b/>
                <w:bCs/>
                <w:noProof/>
                <w:sz w:val="20"/>
                <w:lang w:val="fr-BE"/>
              </w:rPr>
              <w:t>Évaluation des matériaux destinés à entrer en contact avec des denrées alimentaires</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Cette évaluation examine tous les aspects de la législation actuelle de l’UE sur les matériaux destinés à entrer en contact avec des denrées alimentaires, y compris l’efficacité de la déclaration de conformité, qui est actuellement requise pour des mesures spécifiques au niveau de l’UE. Sur la base de cette évaluation, la Commission examinera si d’autres mesures sont nécessaires au niveau de l’UE, notamment en prenant en compte différents points tels que celui soulevé par l’</w:t>
            </w:r>
            <w:hyperlink r:id="rId26" w:history="1">
              <w:r>
                <w:rPr>
                  <w:noProof/>
                  <w:color w:val="0000FF" w:themeColor="hyperlink"/>
                  <w:sz w:val="20"/>
                  <w:u w:val="single"/>
                  <w:lang w:val="fr-BE"/>
                </w:rPr>
                <w:t>avis XI.1a de la plateforme REFIT</w:t>
              </w:r>
            </w:hyperlink>
            <w:r>
              <w:rPr>
                <w:noProof/>
                <w:sz w:val="20"/>
                <w:lang w:val="fr-BE"/>
              </w:rPr>
              <w:t>, qui recommande une obligation européenne commune pour une déclaration de conformité concernant la totalité des matériaux destinés à entrer en contact avec des denrées alimentaires.</w:t>
            </w:r>
          </w:p>
        </w:tc>
      </w:tr>
      <w:tr>
        <w:trPr>
          <w:cantSplit/>
          <w:trHeight w:val="1380"/>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lang w:val="fr-BE"/>
              </w:rPr>
            </w:pPr>
            <w:r>
              <w:rPr>
                <w:b/>
                <w:bCs/>
                <w:noProof/>
                <w:sz w:val="20"/>
                <w:lang w:val="fr-BE"/>
              </w:rPr>
              <w:t>Évaluation de la directive 2005/44/CE relative à des services d’information fluviale (SIF) harmonisés sur les voies navigables communautaires</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lang w:val="fr-BE"/>
              </w:rPr>
            </w:pPr>
            <w:r>
              <w:rPr>
                <w:noProof/>
                <w:sz w:val="20"/>
                <w:lang w:val="fr-BE"/>
              </w:rPr>
              <w:t>Les services d’information fluviale (SIF) utilisent les technologies de l’information et de la communication (TIC) pour rendre le transport par voies navigables intérieures sûr, efficace et respectueux de l’environnement. La directive SIF fournit un cadre pour les exigences minimales et les spécifications techniques concernant la fourniture et la mise en œuvre de SIF afin d’assurer l’harmonisation, l’interopérabilité et la compatibilité transfrontière des systèmes SIF des États membres pour les voies navigables de classe IV ou supérieure. L’évaluation porte sur la mise en œuvre de la directive et sur l’évolution récente du secteur en matière d’organisation et de technologie, en particulier en ce qui concerne les technologies numériques. Elle vise également à déterminer les possibilités de simplification du processus d’élaboration des mises à jour des spécifications techniques au titre de la directive.</w:t>
            </w:r>
          </w:p>
        </w:tc>
      </w:tr>
      <w:tr>
        <w:trPr>
          <w:cantSplit/>
        </w:trPr>
        <w:tc>
          <w:tcPr>
            <w:tcW w:w="14827" w:type="dxa"/>
            <w:gridSpan w:val="3"/>
            <w:shd w:val="clear" w:color="auto" w:fill="18BAA8" w:themeFill="accent2"/>
          </w:tcPr>
          <w:p>
            <w:pPr>
              <w:keepNext/>
              <w:spacing w:before="60" w:after="60"/>
              <w:rPr>
                <w:b/>
                <w:bCs/>
                <w:noProof/>
                <w:sz w:val="20"/>
                <w:lang w:val="fr-BE"/>
              </w:rPr>
            </w:pPr>
            <w:r>
              <w:rPr>
                <w:b/>
                <w:bCs/>
                <w:noProof/>
                <w:color w:val="FFFFFF" w:themeColor="background1"/>
                <w:sz w:val="20"/>
                <w:lang w:val="fr-BE"/>
              </w:rPr>
              <w:t>Une Europe adaptée à l’ère du numérique</w:t>
            </w:r>
          </w:p>
        </w:tc>
      </w:tr>
      <w:tr>
        <w:trPr>
          <w:cantSplit/>
        </w:trPr>
        <w:tc>
          <w:tcPr>
            <w:tcW w:w="647" w:type="dxa"/>
            <w:shd w:val="clear" w:color="auto" w:fill="auto"/>
          </w:tcPr>
          <w:p>
            <w:pPr>
              <w:numPr>
                <w:ilvl w:val="0"/>
                <w:numId w:val="23"/>
              </w:numPr>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color w:val="000000" w:themeColor="text1"/>
                <w:sz w:val="20"/>
                <w:lang w:val="fr-BE"/>
              </w:rPr>
            </w:pPr>
            <w:r>
              <w:rPr>
                <w:b/>
                <w:bCs/>
                <w:noProof/>
                <w:sz w:val="20"/>
                <w:lang w:val="fr-BE"/>
              </w:rPr>
              <w:t>Rapport de la Commission au Parlement européen et au Conseil sur l’application du règlement (UE) n° 910/2014 sur l’identification électronique et les services de confiance pour les transactions électroniques au sein du marché intérieur (règlement eIDAS)</w:t>
            </w:r>
          </w:p>
        </w:tc>
        <w:tc>
          <w:tcPr>
            <w:tcW w:w="9780" w:type="dxa"/>
          </w:tcPr>
          <w:p>
            <w:pPr>
              <w:spacing w:after="0"/>
              <w:rPr>
                <w:rFonts w:eastAsiaTheme="minorEastAsia" w:cstheme="minorBidi"/>
                <w:noProof/>
                <w:color w:val="000000" w:themeColor="text1"/>
                <w:sz w:val="20"/>
                <w:lang w:val="fr-BE"/>
              </w:rPr>
            </w:pPr>
            <w:r>
              <w:rPr>
                <w:noProof/>
                <w:sz w:val="20"/>
                <w:lang w:val="fr-BE"/>
              </w:rPr>
              <w:t>La Commission présentera au Parlement européen et au Conseil un rapport sur l’application du règlement (UE) n° 910/2014 au plus tard le 1</w:t>
            </w:r>
            <w:r>
              <w:rPr>
                <w:noProof/>
                <w:sz w:val="20"/>
                <w:vertAlign w:val="superscript"/>
                <w:lang w:val="fr-BE"/>
              </w:rPr>
              <w:t>er</w:t>
            </w:r>
            <w:r>
              <w:rPr>
                <w:noProof/>
                <w:sz w:val="20"/>
                <w:lang w:val="fr-BE"/>
              </w:rPr>
              <w:t xml:space="preserve"> juillet 2020, conformément à l’article 49 du règlement. Ce rapport évaluera dans quelle mesure le cadre eIDAS reste adapté à sa finalité en apportant les réalisations, résultats et impacts escomptés, et pourrait recenser d’éventuelles nouvelles actions visant à améliorer les performances en matière de réglementation. La Commission procédera à une évaluation conformément aux lignes directrices pour une meilleure réglementation, et mènera également dans ce cadre une consultation publique et une consultation ciblée des parties prenantes.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color w:val="000000" w:themeColor="text1"/>
                <w:sz w:val="20"/>
                <w:lang w:val="fr-BE"/>
              </w:rPr>
            </w:pPr>
            <w:r>
              <w:rPr>
                <w:b/>
                <w:bCs/>
                <w:noProof/>
                <w:sz w:val="20"/>
                <w:lang w:val="fr-BE"/>
              </w:rPr>
              <w:t>Réexamen de la directive sur la réduction des coûts du haut débit (directive 2014/61/UE)</w:t>
            </w:r>
          </w:p>
        </w:tc>
        <w:tc>
          <w:tcPr>
            <w:tcW w:w="9780" w:type="dxa"/>
          </w:tcPr>
          <w:p>
            <w:pPr>
              <w:spacing w:after="0"/>
              <w:rPr>
                <w:rFonts w:eastAsiaTheme="minorEastAsia" w:cstheme="minorBidi"/>
                <w:noProof/>
                <w:color w:val="000000" w:themeColor="text1"/>
                <w:sz w:val="20"/>
                <w:lang w:val="fr-BE"/>
              </w:rPr>
            </w:pPr>
            <w:r>
              <w:rPr>
                <w:noProof/>
                <w:sz w:val="20"/>
                <w:lang w:val="fr-BE"/>
              </w:rPr>
              <w:t xml:space="preserve">Le réexamen vise à réduire les charges administratives inutiles et coûteuses qui peuvent considérablement dissuader et retarder le déploiement des réseaux. Il vise à encore améliorer la mesure actuelle en simplifiant davantage les permis et les procédures ou en rendant les travaux d’ingénierie plus souples par une meilleure coordination avec d’autres infrastructures (routes, énergie, etc.). Cela peut représenter une occasion importante d’adopter de nouvelles dispositions législatives visant à réduire les charges administratives globales dans le secteur.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color w:val="000000" w:themeColor="text1"/>
                <w:sz w:val="20"/>
                <w:lang w:val="fr-BE"/>
              </w:rPr>
            </w:pPr>
            <w:r>
              <w:rPr>
                <w:b/>
                <w:bCs/>
                <w:noProof/>
                <w:sz w:val="20"/>
                <w:lang w:val="fr-BE"/>
              </w:rPr>
              <w:t>Réexamen du règlement sur le marché intérieur et le commerce électronique transfrontière (blocage géographique)</w:t>
            </w:r>
          </w:p>
        </w:tc>
        <w:tc>
          <w:tcPr>
            <w:tcW w:w="9780" w:type="dxa"/>
          </w:tcPr>
          <w:p>
            <w:pPr>
              <w:spacing w:after="0"/>
              <w:rPr>
                <w:rFonts w:eastAsiaTheme="minorEastAsia" w:cstheme="minorBidi"/>
                <w:noProof/>
                <w:color w:val="000000" w:themeColor="text1"/>
                <w:sz w:val="20"/>
                <w:lang w:val="fr-BE"/>
              </w:rPr>
            </w:pPr>
            <w:r>
              <w:rPr>
                <w:noProof/>
                <w:sz w:val="20"/>
                <w:lang w:val="fr-BE"/>
              </w:rPr>
              <w:t xml:space="preserve">La Commission présentera au Parlement européen, au Conseil et au Comité économique et social européen un rapport sur l’évaluation du règlement (UE) 2018/302 au plus tard le 23 mars 2020, conformément à l’article 9 dudit règlement. La Commission prendra en considération l'incidence globale du règlement sur le marché intérieur et le commerce électronique transfrontière, notamment la charge administrative et financière supplémentaire potentielle pour les professionnels, qui résulte de l'existence de différents régimes réglementaires applicables en matière de droit des contrats de consommation.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color w:val="000000" w:themeColor="text1"/>
                <w:sz w:val="20"/>
                <w:lang w:val="fr-BE"/>
              </w:rPr>
            </w:pPr>
            <w:r>
              <w:rPr>
                <w:b/>
                <w:bCs/>
                <w:noProof/>
                <w:sz w:val="20"/>
                <w:lang w:val="fr-BE"/>
              </w:rPr>
              <w:t xml:space="preserve">Révision de la recommandation sur la numérisation et l’accessibilité en ligne du matériel culturel et la conservation numérique (2011/711/UE) </w:t>
            </w:r>
          </w:p>
        </w:tc>
        <w:tc>
          <w:tcPr>
            <w:tcW w:w="9780" w:type="dxa"/>
          </w:tcPr>
          <w:p>
            <w:pPr>
              <w:spacing w:after="0"/>
              <w:rPr>
                <w:rFonts w:eastAsiaTheme="minorEastAsia" w:cstheme="minorBidi"/>
                <w:noProof/>
                <w:color w:val="000000" w:themeColor="text1"/>
                <w:sz w:val="20"/>
                <w:lang w:val="fr-BE"/>
              </w:rPr>
            </w:pPr>
            <w:r>
              <w:rPr>
                <w:noProof/>
                <w:sz w:val="20"/>
                <w:lang w:val="fr-BE"/>
              </w:rPr>
              <w:t>L’évaluation en cours porte sur l’un des principaux instruments d’action concernant la numérisation, l’accessibilité en ligne et la conservation numérique du patrimoine culturel. Elle vise à recueillir l’avis des parties prenantes au sujet d’une éventuelle actualisation qui permettrait de mieux prendre en compte les besoins actuels du public dans ce domaine et d’augmenter le potentiel du patrimoine culturel européen au profit des citoyens.</w:t>
            </w:r>
            <w:r>
              <w:rPr>
                <w:noProof/>
                <w:sz w:val="20"/>
                <w:lang w:val="fr-BE"/>
              </w:rPr>
              <w:br/>
              <w:t xml:space="preserve">La révision se concentrera sur ces aspects en tenant compte des évolutions technologiques actuelles et des besoins du secteur.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sz w:val="20"/>
                <w:lang w:val="fr-BE"/>
              </w:rPr>
            </w:pPr>
            <w:r>
              <w:rPr>
                <w:b/>
                <w:bCs/>
                <w:noProof/>
                <w:sz w:val="20"/>
                <w:lang w:val="fr-BE"/>
              </w:rPr>
              <w:t>Bilan de qualité du paquet législatif sur la modernisation du contrôle des aides d’État de 2012, des lignes directrices sur le transport ferroviaire et de l’assurance-crédit à l’exportation à court terme</w:t>
            </w:r>
          </w:p>
        </w:tc>
        <w:tc>
          <w:tcPr>
            <w:tcW w:w="9780" w:type="dxa"/>
          </w:tcPr>
          <w:p>
            <w:pPr>
              <w:spacing w:after="0"/>
              <w:rPr>
                <w:rFonts w:eastAsiaTheme="minorEastAsia" w:cstheme="minorBidi"/>
                <w:noProof/>
                <w:spacing w:val="-2"/>
                <w:sz w:val="20"/>
                <w:lang w:val="fr-BE"/>
              </w:rPr>
            </w:pPr>
            <w:r>
              <w:rPr>
                <w:noProof/>
                <w:sz w:val="20"/>
                <w:lang w:val="fr-BE"/>
              </w:rPr>
              <w:t>En raison de la modernisation du contrôle des aides d’État, 96 % des mesures d’aide nouvelles mises en œuvre sont traitées par des autorités nationales. Cela permet une mise en œuvre plus rapide par les États membres et aux autorités chargées du contrôle des aides d’État de se montrer «très visibles sur les grands enjeux, mais plus discrètes sur les questions de moindre importance». Le bilan de qualité en cours vise, entre autres, à évaluer dans quelle mesure le régime actuel a contribué à réduire la charge administrative et s’il est possible de rationaliser et de simplifier encore davantage les règles en matière d’aides d’État.</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sz w:val="20"/>
                <w:lang w:val="fr-BE"/>
              </w:rPr>
            </w:pPr>
            <w:r>
              <w:rPr>
                <w:b/>
                <w:bCs/>
                <w:noProof/>
                <w:sz w:val="20"/>
                <w:lang w:val="fr-BE"/>
              </w:rPr>
              <w:t>Évaluation du règlement d’exemption par catégorie applicable aux accords verticaux</w:t>
            </w:r>
          </w:p>
        </w:tc>
        <w:tc>
          <w:tcPr>
            <w:tcW w:w="9780" w:type="dxa"/>
          </w:tcPr>
          <w:p>
            <w:pPr>
              <w:spacing w:after="0"/>
              <w:rPr>
                <w:rFonts w:eastAsiaTheme="minorEastAsia" w:cstheme="minorBidi"/>
                <w:noProof/>
                <w:spacing w:val="-2"/>
                <w:sz w:val="20"/>
                <w:lang w:val="fr-BE"/>
              </w:rPr>
            </w:pPr>
            <w:r>
              <w:rPr>
                <w:noProof/>
                <w:sz w:val="20"/>
                <w:lang w:val="fr-BE"/>
              </w:rPr>
              <w:t>L’évaluation en cours du règlement d’exemption par catégorie applicable aux accords verticaux et des lignes directrices sur les restrictions verticales vise notamment à déterminer dans quelle mesure le régime actuel a atteint son objectif consistant à offrir une sphère de sécurité pour les accords verticaux qui renforcent globalement l’efficacité, ce qui permet de créer une sécurité juridique et de réduire les coûts de mise en conformité pesant sur les parties prenantes. Il s’agit notamment de recenser les domaines dans lesquels le régime actuel pourrait ne pas prendre en compte correctement les nouvelles évolutions du marché, ainsi que ses éventuelles défaillances qui pourraient être source d’insécurité juridique, d’incohérence dans l’application des règles verticales dans les différents États membres de l’UE et, partant, d’accroissement des coûts de mise en conformité pour les parties prenantes.</w:t>
            </w:r>
          </w:p>
        </w:tc>
      </w:tr>
      <w:tr>
        <w:trPr>
          <w:cantSplit/>
        </w:trPr>
        <w:tc>
          <w:tcPr>
            <w:tcW w:w="647" w:type="dxa"/>
            <w:shd w:val="clear" w:color="auto" w:fill="auto"/>
          </w:tcPr>
          <w:p>
            <w:pPr>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sz w:val="20"/>
                <w:lang w:val="fr-BE"/>
              </w:rPr>
            </w:pPr>
          </w:p>
        </w:tc>
        <w:tc>
          <w:tcPr>
            <w:tcW w:w="9780" w:type="dxa"/>
            <w:shd w:val="clear" w:color="auto" w:fill="auto"/>
          </w:tcPr>
          <w:p>
            <w:pPr>
              <w:spacing w:after="0"/>
              <w:rPr>
                <w:rFonts w:eastAsiaTheme="minorEastAsia" w:cstheme="minorBidi"/>
                <w:noProof/>
                <w:spacing w:val="-2"/>
                <w:sz w:val="20"/>
                <w:lang w:val="fr-BE"/>
              </w:rPr>
            </w:pPr>
          </w:p>
        </w:tc>
      </w:tr>
      <w:tr>
        <w:trPr>
          <w:cantSplit/>
        </w:trPr>
        <w:tc>
          <w:tcPr>
            <w:tcW w:w="647" w:type="dxa"/>
            <w:shd w:val="clear" w:color="auto" w:fill="auto"/>
          </w:tcPr>
          <w:p>
            <w:pPr>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sz w:val="20"/>
                <w:lang w:val="fr-BE"/>
              </w:rPr>
            </w:pPr>
          </w:p>
        </w:tc>
        <w:tc>
          <w:tcPr>
            <w:tcW w:w="9780" w:type="dxa"/>
          </w:tcPr>
          <w:p>
            <w:pPr>
              <w:spacing w:after="0"/>
              <w:rPr>
                <w:rFonts w:eastAsiaTheme="minorEastAsia" w:cstheme="minorBidi"/>
                <w:noProof/>
                <w:spacing w:val="-2"/>
                <w:sz w:val="20"/>
                <w:lang w:val="fr-BE"/>
              </w:rPr>
            </w:pP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sz w:val="20"/>
                <w:lang w:val="fr-BE"/>
              </w:rPr>
            </w:pPr>
            <w:r>
              <w:rPr>
                <w:b/>
                <w:bCs/>
                <w:noProof/>
                <w:sz w:val="20"/>
                <w:lang w:val="fr-BE"/>
              </w:rPr>
              <w:t>Évaluation des aspects procéduraux et juridictionnels du contrôle des concentrations de l’UE</w:t>
            </w:r>
          </w:p>
        </w:tc>
        <w:tc>
          <w:tcPr>
            <w:tcW w:w="9780" w:type="dxa"/>
          </w:tcPr>
          <w:p>
            <w:pPr>
              <w:spacing w:after="0"/>
              <w:rPr>
                <w:rFonts w:eastAsiaTheme="minorEastAsia" w:cstheme="minorBidi"/>
                <w:noProof/>
                <w:spacing w:val="-2"/>
                <w:sz w:val="20"/>
                <w:lang w:val="fr-BE"/>
              </w:rPr>
            </w:pPr>
            <w:r>
              <w:rPr>
                <w:noProof/>
                <w:sz w:val="20"/>
                <w:lang w:val="fr-BE"/>
              </w:rPr>
              <w:t>L’évaluation en cours porte sur la simplification et la réduction des formalités administratives lorsque cela s’avère nécessaire, sur la rationalisation du système de renvoi et sur d’autres améliorations à caractère technique. En outre, à la lumière du débat récent sur l’efficacité des seuils de compétence strictement fondés sur le chiffre d’affaires prévus par le règlement sur les concentrations de l’UE, l’évaluation vise également à déterminer si ceux-ci permettent de couvrir toutes les opérations qui peuvent avoir une incidence sur le marché intérieur.</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sz w:val="20"/>
                <w:lang w:val="fr-BE"/>
              </w:rPr>
            </w:pPr>
            <w:r>
              <w:rPr>
                <w:b/>
                <w:bCs/>
                <w:noProof/>
                <w:sz w:val="20"/>
                <w:lang w:val="fr-BE"/>
              </w:rPr>
              <w:t>Modification ciblée du règlement général d’exemption par catégorie par rapport aux programmes de financement de l’UE</w:t>
            </w:r>
          </w:p>
        </w:tc>
        <w:tc>
          <w:tcPr>
            <w:tcW w:w="9780" w:type="dxa"/>
            <w:shd w:val="clear" w:color="auto" w:fill="auto"/>
          </w:tcPr>
          <w:p>
            <w:pPr>
              <w:spacing w:after="0"/>
              <w:rPr>
                <w:rFonts w:eastAsiaTheme="minorEastAsia" w:cstheme="minorBidi"/>
                <w:noProof/>
                <w:spacing w:val="-2"/>
                <w:sz w:val="20"/>
                <w:lang w:val="fr-BE"/>
              </w:rPr>
            </w:pPr>
            <w:r>
              <w:rPr>
                <w:noProof/>
                <w:sz w:val="20"/>
                <w:lang w:val="fr-BE"/>
              </w:rPr>
              <w:t>La Commission entend modifier le règlement général d’exemption par catégorie de manière ciblée pour accompagner le prochain cadre financier pluriannuel. La proposition garantira que les financements nationaux provenant des fonds des États membres ou des Fonds ESI gérés au niveau national et les fonds de l’UE gérés au niveau central puissent être combinés de manière harmonieuse dans les domaines suivants: les produits financiers bénéficiant du soutien du fonds InvestEU; les projets de RDI bénéficiant d’un label d’excellence au titre d’Horizon 2020 ou d’Horizon Europe, ainsi que les projets de cofinancement et les actions de formation d’équipe relevant d’Horizon 2020 ou d’Horizon Europe; et les projets de coopération territoriale européenne. (T3 2020)</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autoSpaceDE w:val="0"/>
              <w:autoSpaceDN w:val="0"/>
              <w:adjustRightInd w:val="0"/>
              <w:spacing w:after="0"/>
              <w:rPr>
                <w:rFonts w:eastAsiaTheme="minorEastAsia"/>
                <w:b/>
                <w:bCs/>
                <w:noProof/>
                <w:color w:val="000000"/>
                <w:sz w:val="20"/>
                <w:lang w:val="fr-BE"/>
              </w:rPr>
            </w:pPr>
            <w:r>
              <w:rPr>
                <w:b/>
                <w:bCs/>
                <w:noProof/>
                <w:sz w:val="20"/>
                <w:lang w:val="fr-BE"/>
              </w:rPr>
              <w:t xml:space="preserve">Règlement d’exemption par catégorie en faveur des consortiums (exemption de l’article 101 du TFUE pour certains types d’accords de coopération entre opérateurs maritimes) </w:t>
            </w:r>
          </w:p>
        </w:tc>
        <w:tc>
          <w:tcPr>
            <w:tcW w:w="9780" w:type="dxa"/>
            <w:shd w:val="clear" w:color="auto" w:fill="auto"/>
          </w:tcPr>
          <w:p>
            <w:pPr>
              <w:spacing w:after="0"/>
              <w:rPr>
                <w:rFonts w:eastAsiaTheme="minorEastAsia" w:cstheme="minorBidi"/>
                <w:noProof/>
                <w:spacing w:val="-2"/>
                <w:sz w:val="20"/>
                <w:lang w:val="fr-BE"/>
              </w:rPr>
            </w:pPr>
            <w:r>
              <w:rPr>
                <w:noProof/>
                <w:sz w:val="20"/>
                <w:lang w:val="fr-BE"/>
              </w:rPr>
              <w:t>La prorogation de l’actuel règlement d’exemption par catégorie en faveur des consortiums pour une période de quatre ans permettra de continuer à simplifier l’examen de la conformité des consortiums avec les règles de concurrence, de limiter la dépendance à l’égard des conseils extérieurs et de réduire les frais juridiques. (T2 2020)</w:t>
            </w:r>
          </w:p>
        </w:tc>
      </w:tr>
      <w:tr>
        <w:trPr>
          <w:cantSplit/>
        </w:trPr>
        <w:tc>
          <w:tcPr>
            <w:tcW w:w="647" w:type="dxa"/>
            <w:shd w:val="clear" w:color="auto" w:fill="auto"/>
          </w:tcPr>
          <w:p>
            <w:pPr>
              <w:spacing w:after="0" w:line="276" w:lineRule="auto"/>
              <w:jc w:val="left"/>
              <w:rPr>
                <w:rFonts w:eastAsiaTheme="minorHAnsi" w:cstheme="minorBidi"/>
                <w:b/>
                <w:noProof/>
                <w:color w:val="000000"/>
                <w:sz w:val="20"/>
                <w:lang w:val="fr-BE"/>
              </w:rPr>
            </w:pPr>
          </w:p>
        </w:tc>
        <w:tc>
          <w:tcPr>
            <w:tcW w:w="4400" w:type="dxa"/>
            <w:shd w:val="clear" w:color="auto" w:fill="auto"/>
          </w:tcPr>
          <w:p>
            <w:pPr>
              <w:autoSpaceDE w:val="0"/>
              <w:autoSpaceDN w:val="0"/>
              <w:adjustRightInd w:val="0"/>
              <w:spacing w:after="0"/>
              <w:rPr>
                <w:rFonts w:eastAsiaTheme="minorEastAsia"/>
                <w:b/>
                <w:bCs/>
                <w:noProof/>
                <w:color w:val="000000"/>
                <w:sz w:val="20"/>
                <w:lang w:val="fr-BE"/>
              </w:rPr>
            </w:pPr>
          </w:p>
        </w:tc>
        <w:tc>
          <w:tcPr>
            <w:tcW w:w="9780" w:type="dxa"/>
            <w:shd w:val="clear" w:color="auto" w:fill="auto"/>
          </w:tcPr>
          <w:p>
            <w:pPr>
              <w:spacing w:after="0"/>
              <w:rPr>
                <w:rFonts w:eastAsiaTheme="minorEastAsia" w:cstheme="minorBidi"/>
                <w:noProof/>
                <w:spacing w:val="-2"/>
                <w:sz w:val="20"/>
                <w:lang w:val="fr-BE"/>
              </w:rPr>
            </w:pP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autoSpaceDE w:val="0"/>
              <w:autoSpaceDN w:val="0"/>
              <w:adjustRightInd w:val="0"/>
              <w:spacing w:after="0"/>
              <w:rPr>
                <w:rFonts w:eastAsiaTheme="minorEastAsia"/>
                <w:b/>
                <w:bCs/>
                <w:noProof/>
                <w:color w:val="000000"/>
                <w:sz w:val="20"/>
                <w:lang w:val="fr-BE"/>
              </w:rPr>
            </w:pPr>
            <w:r>
              <w:rPr>
                <w:b/>
                <w:bCs/>
                <w:noProof/>
                <w:sz w:val="20"/>
                <w:lang w:val="fr-BE"/>
              </w:rPr>
              <w:t>Évaluation de la directive 2014/35/UE «basse tension»</w:t>
            </w:r>
          </w:p>
        </w:tc>
        <w:tc>
          <w:tcPr>
            <w:tcW w:w="9780" w:type="dxa"/>
            <w:shd w:val="clear" w:color="auto" w:fill="auto"/>
          </w:tcPr>
          <w:p>
            <w:pPr>
              <w:spacing w:after="0"/>
              <w:rPr>
                <w:rFonts w:eastAsiaTheme="minorEastAsia" w:cstheme="minorBidi"/>
                <w:noProof/>
                <w:spacing w:val="-2"/>
                <w:sz w:val="20"/>
                <w:lang w:val="fr-BE"/>
              </w:rPr>
            </w:pPr>
            <w:r>
              <w:rPr>
                <w:noProof/>
                <w:sz w:val="20"/>
                <w:lang w:val="fr-BE"/>
              </w:rPr>
              <w:t xml:space="preserve">La directive «basse tension» garantit que le matériel électrique employé dans certaines limites de tension offre un niveau élevé de protection aux citoyens européens et bénéficie pleinement des avantages du marché unique. Elle est d’application depuis le 20 avril 2016. L’objectif de cette évaluation est de déterminer si la directive est adaptée à sa finalité en termes d’efficacité, d’efficience, de pertinence, de cohérence et de valeur ajoutée européenne. Sur la base des conclusions concernant le fonctionnement de la directive, la Commission examinera les prochaines étapes qui pourraient être nécessaires pour en améliorer le fonctionnement.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autoSpaceDE w:val="0"/>
              <w:autoSpaceDN w:val="0"/>
              <w:adjustRightInd w:val="0"/>
              <w:spacing w:after="0"/>
              <w:rPr>
                <w:rFonts w:eastAsiaTheme="minorEastAsia"/>
                <w:b/>
                <w:bCs/>
                <w:noProof/>
                <w:color w:val="000000"/>
                <w:sz w:val="20"/>
                <w:lang w:val="fr-BE"/>
              </w:rPr>
            </w:pPr>
            <w:r>
              <w:rPr>
                <w:b/>
                <w:bCs/>
                <w:noProof/>
                <w:sz w:val="20"/>
                <w:lang w:val="fr-BE"/>
              </w:rPr>
              <w:t>Évaluation de la directive 97/67/UE sur les services postaux</w:t>
            </w:r>
          </w:p>
        </w:tc>
        <w:tc>
          <w:tcPr>
            <w:tcW w:w="9780" w:type="dxa"/>
            <w:shd w:val="clear" w:color="auto" w:fill="auto"/>
          </w:tcPr>
          <w:p>
            <w:pPr>
              <w:spacing w:after="0"/>
              <w:rPr>
                <w:rFonts w:eastAsiaTheme="minorEastAsia" w:cstheme="minorBidi"/>
                <w:noProof/>
                <w:spacing w:val="-2"/>
                <w:sz w:val="20"/>
                <w:lang w:val="fr-BE"/>
              </w:rPr>
            </w:pPr>
            <w:r>
              <w:rPr>
                <w:noProof/>
                <w:sz w:val="20"/>
                <w:lang w:val="fr-BE"/>
              </w:rPr>
              <w:t>Le secteur postal connaît d’importants changements découlant de la numérisation. La directive sur les services postaux (97/67/CE) date de 1997 et a été révisée en 2002 et 2008. Le rapport sur l’application de la directive sera accompagné d’une évaluation visant à déterminer si la directive est encore adaptée à sa finalité et résiste à l’épreuve du temps.</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sz w:val="20"/>
                <w:lang w:val="fr-BE"/>
              </w:rPr>
            </w:pPr>
            <w:r>
              <w:rPr>
                <w:b/>
                <w:bCs/>
                <w:noProof/>
                <w:sz w:val="20"/>
                <w:lang w:val="fr-BE"/>
              </w:rPr>
              <w:t xml:space="preserve">Évaluation de la définition des PME </w:t>
            </w:r>
          </w:p>
        </w:tc>
        <w:tc>
          <w:tcPr>
            <w:tcW w:w="9780" w:type="dxa"/>
            <w:shd w:val="clear" w:color="auto" w:fill="auto"/>
          </w:tcPr>
          <w:p>
            <w:pPr>
              <w:spacing w:after="0"/>
              <w:rPr>
                <w:rFonts w:eastAsiaTheme="minorEastAsia" w:cstheme="minorBidi"/>
                <w:noProof/>
                <w:sz w:val="20"/>
                <w:lang w:val="fr-BE"/>
              </w:rPr>
            </w:pPr>
            <w:r>
              <w:rPr>
                <w:noProof/>
                <w:sz w:val="20"/>
                <w:lang w:val="fr-BE"/>
              </w:rPr>
              <w:t>Cette initiative porte sur la recommandation de la Commission concernant la définition des micro, petites et moyennes entreprises (2003/361/CE). Cette recommandation définit les critères permettant de déterminer si une entreprise est une PME (c’est-à-dire les effectifs, le chiffre d’affaires/le total du bilan et l’indépendance) et est d’application depuis le 1</w:t>
            </w:r>
            <w:r>
              <w:rPr>
                <w:noProof/>
                <w:sz w:val="20"/>
                <w:vertAlign w:val="superscript"/>
                <w:lang w:val="fr-BE"/>
              </w:rPr>
              <w:t>er</w:t>
            </w:r>
            <w:r>
              <w:rPr>
                <w:noProof/>
                <w:sz w:val="20"/>
                <w:lang w:val="fr-BE"/>
              </w:rPr>
              <w:t xml:space="preserve"> janvier 2005, date à laquelle elle a remplacé la recommandation 96/280/CE. Étant donné qu’il est fait référence à la recommandation dans plus de 100 actes juridiques de l’UE couvrant un large éventail de politiques de l’UE, telles que les aides d’État, un remplacement devra également prendre en compte ces références.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sz w:val="20"/>
                <w:lang w:val="fr-BE"/>
              </w:rPr>
            </w:pPr>
            <w:r>
              <w:rPr>
                <w:b/>
                <w:bCs/>
                <w:noProof/>
                <w:sz w:val="20"/>
                <w:lang w:val="fr-BE"/>
              </w:rPr>
              <w:t>Révision de la directive 2006/42/UE sur les machines</w:t>
            </w:r>
          </w:p>
        </w:tc>
        <w:tc>
          <w:tcPr>
            <w:tcW w:w="9780" w:type="dxa"/>
            <w:shd w:val="clear" w:color="auto" w:fill="auto"/>
          </w:tcPr>
          <w:p>
            <w:pPr>
              <w:spacing w:after="0"/>
              <w:jc w:val="left"/>
              <w:rPr>
                <w:rFonts w:eastAsiaTheme="minorEastAsia" w:cstheme="minorBidi"/>
                <w:noProof/>
                <w:sz w:val="20"/>
                <w:lang w:val="fr-BE"/>
              </w:rPr>
            </w:pPr>
            <w:r>
              <w:rPr>
                <w:noProof/>
                <w:sz w:val="20"/>
                <w:lang w:val="fr-BE"/>
              </w:rPr>
              <w:t xml:space="preserve">Cette initiative vise à: </w:t>
            </w:r>
            <w:r>
              <w:rPr>
                <w:noProof/>
                <w:sz w:val="20"/>
                <w:lang w:val="fr-BE"/>
              </w:rPr>
              <w:br/>
              <w:t xml:space="preserve">i) faire face aux risques inhérents aux nouvelles technologies, tout en favorisant les progrès techniques; </w:t>
            </w:r>
            <w:r>
              <w:rPr>
                <w:noProof/>
                <w:sz w:val="20"/>
                <w:lang w:val="fr-BE"/>
              </w:rPr>
              <w:br/>
              <w:t xml:space="preserve">ii) simplifier les exigences en matière de documentation en autorisant les formats numériques et, partant, réduire la charge administrative pesant sur les opérateurs économiques, tout en ayant un effet positif sur les coûts environnementaux; </w:t>
            </w:r>
            <w:r>
              <w:rPr>
                <w:noProof/>
                <w:sz w:val="20"/>
                <w:lang w:val="fr-BE"/>
              </w:rPr>
              <w:br/>
              <w:t>iii) améliorer la clarté juridique de certaines notions et définitions importantes du texte actuel de la directive;</w:t>
            </w:r>
            <w:r>
              <w:rPr>
                <w:noProof/>
                <w:sz w:val="20"/>
                <w:lang w:val="fr-BE"/>
              </w:rPr>
              <w:br/>
              <w:t>iv) garantir la cohérence avec d’autres directives et règlements relatifs aux produits et améliorer l’application de la législation grâce à l’alignement sur le nouveau cadre législatif;</w:t>
            </w:r>
            <w:r>
              <w:rPr>
                <w:noProof/>
                <w:sz w:val="20"/>
                <w:lang w:val="fr-BE"/>
              </w:rPr>
              <w:br/>
              <w:t>v) réduire les coûts de transposition en transformant la directive en règlement.</w:t>
            </w:r>
            <w:r>
              <w:rPr>
                <w:noProof/>
                <w:sz w:val="20"/>
                <w:lang w:val="fr-BE"/>
              </w:rPr>
              <w:br/>
              <w:t>(initiative législative, incluant une analyse d’impact, article 114 du TFUE, T4 2020)</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jc w:val="left"/>
              <w:rPr>
                <w:rFonts w:eastAsiaTheme="minorEastAsia" w:cstheme="minorBidi"/>
                <w:b/>
                <w:bCs/>
                <w:noProof/>
                <w:sz w:val="20"/>
                <w:lang w:val="fr-BE"/>
              </w:rPr>
            </w:pPr>
            <w:r>
              <w:rPr>
                <w:b/>
                <w:bCs/>
                <w:noProof/>
                <w:sz w:val="20"/>
                <w:lang w:val="fr-BE"/>
              </w:rPr>
              <w:t xml:space="preserve">Évaluation de la législation de l’UE sur la protection des dessins ou modèles </w:t>
            </w:r>
          </w:p>
        </w:tc>
        <w:tc>
          <w:tcPr>
            <w:tcW w:w="9780" w:type="dxa"/>
            <w:shd w:val="clear" w:color="auto" w:fill="auto"/>
          </w:tcPr>
          <w:p>
            <w:pPr>
              <w:spacing w:after="0"/>
              <w:rPr>
                <w:rFonts w:eastAsiaTheme="minorEastAsia" w:cstheme="minorBidi"/>
                <w:noProof/>
                <w:sz w:val="20"/>
                <w:lang w:val="fr-BE"/>
              </w:rPr>
            </w:pPr>
            <w:r>
              <w:rPr>
                <w:noProof/>
                <w:sz w:val="20"/>
                <w:lang w:val="fr-BE"/>
              </w:rPr>
              <w:t xml:space="preserve">L’évaluation a pour but d’examiner dans quelle mesure la législation actuelle de l’UE sur la protection des dessins ou modèles a atteint ses objectifs en termes d’efficience, d’efficacité, de pertinence, de cohérence et de valeur ajoutée européenne, et fournira des indications claires quant à la mesure dans laquelle cette législation est toujours considérée comme adaptée à sa finalité. L’évaluation recensera les possibilités de rationalisation des procédures d’enregistrement en vue de faciliter le recours à la protection des dessins ou modèles dans l’UE, ce qui pourrait engendrer une réduction des coûts et des charges administratives au profit des entreprises, des créateurs et des PME. </w:t>
            </w:r>
          </w:p>
        </w:tc>
      </w:tr>
      <w:tr>
        <w:trPr>
          <w:cantSplit/>
        </w:trPr>
        <w:tc>
          <w:tcPr>
            <w:tcW w:w="647" w:type="dxa"/>
            <w:shd w:val="clear" w:color="auto" w:fill="auto"/>
          </w:tcPr>
          <w:p>
            <w:pPr>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jc w:val="left"/>
              <w:rPr>
                <w:rFonts w:eastAsiaTheme="minorEastAsia" w:cstheme="minorBidi"/>
                <w:b/>
                <w:bCs/>
                <w:noProof/>
                <w:sz w:val="20"/>
                <w:lang w:val="fr-BE"/>
              </w:rPr>
            </w:pPr>
          </w:p>
        </w:tc>
        <w:tc>
          <w:tcPr>
            <w:tcW w:w="9780" w:type="dxa"/>
          </w:tcPr>
          <w:p>
            <w:pPr>
              <w:spacing w:after="0"/>
              <w:rPr>
                <w:rFonts w:eastAsiaTheme="minorEastAsia" w:cstheme="minorBidi"/>
                <w:noProof/>
                <w:sz w:val="20"/>
                <w:lang w:val="fr-BE"/>
              </w:rPr>
            </w:pPr>
          </w:p>
        </w:tc>
      </w:tr>
      <w:tr>
        <w:trPr>
          <w:cantSplit/>
        </w:trPr>
        <w:tc>
          <w:tcPr>
            <w:tcW w:w="647" w:type="dxa"/>
            <w:shd w:val="clear" w:color="auto" w:fill="auto"/>
          </w:tcPr>
          <w:p>
            <w:pPr>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jc w:val="left"/>
              <w:rPr>
                <w:rFonts w:eastAsiaTheme="minorEastAsia" w:cstheme="minorBidi"/>
                <w:b/>
                <w:bCs/>
                <w:noProof/>
                <w:sz w:val="20"/>
                <w:lang w:val="fr-BE"/>
              </w:rPr>
            </w:pPr>
          </w:p>
        </w:tc>
        <w:tc>
          <w:tcPr>
            <w:tcW w:w="9780" w:type="dxa"/>
          </w:tcPr>
          <w:p>
            <w:pPr>
              <w:spacing w:after="0"/>
              <w:rPr>
                <w:rFonts w:eastAsiaTheme="minorEastAsia" w:cstheme="minorBidi"/>
                <w:noProof/>
                <w:sz w:val="20"/>
                <w:lang w:val="fr-BE"/>
              </w:rPr>
            </w:pPr>
          </w:p>
        </w:tc>
      </w:tr>
      <w:tr>
        <w:trPr>
          <w:cantSplit/>
        </w:trPr>
        <w:tc>
          <w:tcPr>
            <w:tcW w:w="647" w:type="dxa"/>
            <w:tcBorders>
              <w:bottom w:val="single" w:sz="4" w:space="0" w:color="auto"/>
            </w:tcBorders>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tcBorders>
              <w:bottom w:val="single" w:sz="4" w:space="0" w:color="auto"/>
            </w:tcBorders>
            <w:shd w:val="clear" w:color="auto" w:fill="auto"/>
          </w:tcPr>
          <w:p>
            <w:pPr>
              <w:spacing w:after="0"/>
              <w:jc w:val="left"/>
              <w:rPr>
                <w:rFonts w:eastAsiaTheme="minorEastAsia" w:cstheme="minorBidi"/>
                <w:b/>
                <w:bCs/>
                <w:noProof/>
                <w:sz w:val="20"/>
                <w:lang w:val="fr-BE"/>
              </w:rPr>
            </w:pPr>
            <w:r>
              <w:rPr>
                <w:b/>
                <w:bCs/>
                <w:noProof/>
                <w:sz w:val="20"/>
                <w:lang w:val="fr-BE"/>
              </w:rPr>
              <w:t>Évaluation de la directive 2006/126/CE relative au permis de conduire</w:t>
            </w:r>
          </w:p>
        </w:tc>
        <w:tc>
          <w:tcPr>
            <w:tcW w:w="9780" w:type="dxa"/>
            <w:tcBorders>
              <w:bottom w:val="single" w:sz="4" w:space="0" w:color="auto"/>
            </w:tcBorders>
          </w:tcPr>
          <w:p>
            <w:pPr>
              <w:spacing w:after="0"/>
              <w:rPr>
                <w:rFonts w:eastAsiaTheme="minorEastAsia" w:cstheme="minorBidi"/>
                <w:noProof/>
                <w:sz w:val="20"/>
                <w:lang w:val="fr-BE"/>
              </w:rPr>
            </w:pPr>
            <w:r>
              <w:rPr>
                <w:noProof/>
                <w:sz w:val="20"/>
                <w:lang w:val="fr-BE"/>
              </w:rPr>
              <w:t>L’évaluation ex post permettra de déterminer dans quelle mesure la directive a permis d’améliorer la sécurité routière, de faciliter la libre circulation et de réduire les possibilités de fraude. Elle permettra également d’examiner les progrès techniques accomplis, par exemple en ce qui concerne les véhicules et la numérisation (licences numériques).</w:t>
            </w:r>
          </w:p>
        </w:tc>
      </w:tr>
      <w:tr>
        <w:trPr>
          <w:cantSplit/>
        </w:trPr>
        <w:tc>
          <w:tcPr>
            <w:tcW w:w="14827" w:type="dxa"/>
            <w:gridSpan w:val="3"/>
            <w:shd w:val="clear" w:color="auto" w:fill="F68A42" w:themeFill="accent3"/>
          </w:tcPr>
          <w:p>
            <w:pPr>
              <w:keepNext/>
              <w:spacing w:before="60" w:after="60"/>
              <w:rPr>
                <w:rFonts w:eastAsiaTheme="minorEastAsia" w:cstheme="minorBidi"/>
                <w:noProof/>
                <w:sz w:val="20"/>
                <w:lang w:val="fr-BE"/>
              </w:rPr>
            </w:pPr>
            <w:r>
              <w:rPr>
                <w:b/>
                <w:bCs/>
                <w:noProof/>
                <w:color w:val="FFFFFF" w:themeColor="background1"/>
                <w:sz w:val="20"/>
                <w:lang w:val="fr-BE"/>
              </w:rPr>
              <w:t>Une économie au service des personnes</w:t>
            </w:r>
          </w:p>
        </w:tc>
      </w:tr>
      <w:tr>
        <w:trPr>
          <w:cantSplit/>
        </w:trPr>
        <w:tc>
          <w:tcPr>
            <w:tcW w:w="647" w:type="dxa"/>
            <w:shd w:val="clear" w:color="auto" w:fill="auto"/>
          </w:tcPr>
          <w:p>
            <w:pPr>
              <w:spacing w:after="0" w:line="276" w:lineRule="auto"/>
              <w:jc w:val="left"/>
              <w:rPr>
                <w:rFonts w:eastAsiaTheme="minorHAnsi" w:cstheme="minorBidi"/>
                <w:b/>
                <w:noProof/>
                <w:color w:val="000000"/>
                <w:sz w:val="20"/>
                <w:lang w:val="fr-BE"/>
              </w:rPr>
            </w:pPr>
          </w:p>
        </w:tc>
        <w:tc>
          <w:tcPr>
            <w:tcW w:w="4400" w:type="dxa"/>
          </w:tcPr>
          <w:p>
            <w:pPr>
              <w:spacing w:after="0" w:line="276" w:lineRule="auto"/>
              <w:jc w:val="left"/>
              <w:rPr>
                <w:rFonts w:eastAsiaTheme="minorEastAsia" w:cstheme="minorBidi"/>
                <w:b/>
                <w:bCs/>
                <w:noProof/>
                <w:sz w:val="20"/>
                <w:lang w:val="fr-BE"/>
              </w:rPr>
            </w:pPr>
          </w:p>
        </w:tc>
        <w:tc>
          <w:tcPr>
            <w:tcW w:w="9780" w:type="dxa"/>
          </w:tcPr>
          <w:p>
            <w:pPr>
              <w:spacing w:after="0"/>
              <w:rPr>
                <w:rFonts w:eastAsiaTheme="minorEastAsia" w:cstheme="minorBidi"/>
                <w:noProof/>
                <w:sz w:val="20"/>
                <w:lang w:val="fr-BE"/>
              </w:rPr>
            </w:pPr>
          </w:p>
        </w:tc>
      </w:tr>
      <w:tr>
        <w:trPr>
          <w:cantSplit/>
        </w:trPr>
        <w:tc>
          <w:tcPr>
            <w:tcW w:w="647" w:type="dxa"/>
            <w:shd w:val="clear" w:color="auto" w:fill="auto"/>
          </w:tcPr>
          <w:p>
            <w:pPr>
              <w:numPr>
                <w:ilvl w:val="0"/>
                <w:numId w:val="23"/>
              </w:numPr>
              <w:spacing w:after="0" w:line="276" w:lineRule="auto"/>
              <w:jc w:val="left"/>
              <w:rPr>
                <w:rFonts w:eastAsiaTheme="minorHAnsi" w:cstheme="minorBidi"/>
                <w:b/>
                <w:noProof/>
                <w:color w:val="000000"/>
                <w:sz w:val="20"/>
                <w:lang w:val="fr-BE"/>
              </w:rPr>
            </w:pPr>
          </w:p>
        </w:tc>
        <w:tc>
          <w:tcPr>
            <w:tcW w:w="4400" w:type="dxa"/>
          </w:tcPr>
          <w:p>
            <w:pPr>
              <w:spacing w:after="0" w:line="276" w:lineRule="auto"/>
              <w:jc w:val="left"/>
              <w:rPr>
                <w:rFonts w:eastAsiaTheme="minorEastAsia" w:cstheme="minorBidi"/>
                <w:b/>
                <w:bCs/>
                <w:noProof/>
                <w:sz w:val="20"/>
                <w:lang w:val="fr-BE"/>
              </w:rPr>
            </w:pPr>
            <w:r>
              <w:rPr>
                <w:b/>
                <w:bCs/>
                <w:noProof/>
                <w:sz w:val="20"/>
                <w:lang w:val="fr-BE"/>
              </w:rPr>
              <w:t>Règles d’arrondi uniformes [suivi du rapport sur les dernières évolutions relatives aux pièces libellées en euros COM (2018)787 final/2]</w:t>
            </w:r>
          </w:p>
        </w:tc>
        <w:tc>
          <w:tcPr>
            <w:tcW w:w="9780" w:type="dxa"/>
          </w:tcPr>
          <w:p>
            <w:pPr>
              <w:spacing w:after="0"/>
              <w:rPr>
                <w:rFonts w:eastAsiaTheme="minorEastAsia" w:cstheme="minorBidi"/>
                <w:noProof/>
                <w:sz w:val="20"/>
                <w:lang w:val="fr-BE"/>
              </w:rPr>
            </w:pPr>
            <w:r>
              <w:rPr>
                <w:noProof/>
                <w:sz w:val="20"/>
                <w:lang w:val="fr-BE"/>
              </w:rPr>
              <w:t>Évaluation de l’utilisation des pièces d’un et de deux cents d’euro et de la possibilité d’introduire des règles d’arrondi communes. Une proposition envisageable permettrait d’introduire des règles d’arrondi communes afin de remédier aux problèmes liés à l’utilisation des pièces d’un et de deux cents d’euro (initiative législative, incluant une analyse d’impact, article 133 du TFUE, T4 2020).</w:t>
            </w:r>
          </w:p>
        </w:tc>
      </w:tr>
      <w:tr>
        <w:trPr>
          <w:cantSplit/>
        </w:trPr>
        <w:tc>
          <w:tcPr>
            <w:tcW w:w="647" w:type="dxa"/>
            <w:shd w:val="clear" w:color="auto" w:fill="auto"/>
          </w:tcPr>
          <w:p>
            <w:pPr>
              <w:numPr>
                <w:ilvl w:val="0"/>
                <w:numId w:val="23"/>
              </w:numPr>
              <w:spacing w:after="0" w:line="276" w:lineRule="auto"/>
              <w:jc w:val="left"/>
              <w:rPr>
                <w:rFonts w:eastAsiaTheme="minorHAnsi" w:cstheme="minorBidi"/>
                <w:b/>
                <w:noProof/>
                <w:color w:val="000000"/>
                <w:sz w:val="20"/>
                <w:lang w:val="fr-BE"/>
              </w:rPr>
            </w:pPr>
          </w:p>
        </w:tc>
        <w:tc>
          <w:tcPr>
            <w:tcW w:w="4400" w:type="dxa"/>
          </w:tcPr>
          <w:p>
            <w:pPr>
              <w:spacing w:after="0"/>
              <w:jc w:val="left"/>
              <w:rPr>
                <w:rFonts w:eastAsiaTheme="minorEastAsia" w:cstheme="minorBidi"/>
                <w:b/>
                <w:bCs/>
                <w:noProof/>
                <w:sz w:val="20"/>
                <w:lang w:val="fr-BE"/>
              </w:rPr>
            </w:pPr>
            <w:r>
              <w:rPr>
                <w:b/>
                <w:bCs/>
                <w:noProof/>
                <w:sz w:val="20"/>
                <w:lang w:val="fr-BE"/>
              </w:rPr>
              <w:t>Bilan de qualité en matière de publication d’informations par les entreprises</w:t>
            </w:r>
          </w:p>
        </w:tc>
        <w:tc>
          <w:tcPr>
            <w:tcW w:w="9780" w:type="dxa"/>
          </w:tcPr>
          <w:p>
            <w:pPr>
              <w:spacing w:after="0"/>
              <w:rPr>
                <w:rFonts w:eastAsiaTheme="minorEastAsia" w:cstheme="minorBidi"/>
                <w:b/>
                <w:bCs/>
                <w:noProof/>
                <w:sz w:val="20"/>
                <w:lang w:val="fr-BE"/>
              </w:rPr>
            </w:pPr>
            <w:r>
              <w:rPr>
                <w:noProof/>
                <w:sz w:val="20"/>
                <w:lang w:val="fr-BE"/>
              </w:rPr>
              <w:t>L’objectif de ce bilan de qualité est de déterminer si la législation de l’UE sur la publication régulière d’informations par les entreprises continue de répondre aux besoins d’information des parties prenantes sur les activités et les performances des entreprises, ainsi que les risques et les incidences qui leur sont associés.</w:t>
            </w:r>
          </w:p>
        </w:tc>
      </w:tr>
      <w:tr>
        <w:trPr>
          <w:cantSplit/>
        </w:trPr>
        <w:tc>
          <w:tcPr>
            <w:tcW w:w="647" w:type="dxa"/>
            <w:shd w:val="clear" w:color="auto" w:fill="auto"/>
          </w:tcPr>
          <w:p>
            <w:pPr>
              <w:numPr>
                <w:ilvl w:val="0"/>
                <w:numId w:val="23"/>
              </w:numPr>
              <w:spacing w:after="0" w:line="276" w:lineRule="auto"/>
              <w:jc w:val="left"/>
              <w:rPr>
                <w:rFonts w:eastAsiaTheme="minorHAnsi" w:cstheme="minorBidi"/>
                <w:b/>
                <w:noProof/>
                <w:color w:val="000000"/>
                <w:sz w:val="20"/>
                <w:lang w:val="fr-BE"/>
              </w:rPr>
            </w:pPr>
          </w:p>
        </w:tc>
        <w:tc>
          <w:tcPr>
            <w:tcW w:w="4400" w:type="dxa"/>
          </w:tcPr>
          <w:p>
            <w:pPr>
              <w:spacing w:after="0"/>
              <w:jc w:val="left"/>
              <w:rPr>
                <w:rFonts w:eastAsiaTheme="minorEastAsia" w:cstheme="minorBidi"/>
                <w:b/>
                <w:bCs/>
                <w:noProof/>
                <w:sz w:val="20"/>
                <w:lang w:val="fr-BE"/>
              </w:rPr>
            </w:pPr>
            <w:r>
              <w:rPr>
                <w:b/>
                <w:bCs/>
                <w:noProof/>
                <w:sz w:val="20"/>
                <w:lang w:val="fr-BE"/>
              </w:rPr>
              <w:t>Évaluation de la législation sur le commerce des précurseurs de drogues</w:t>
            </w:r>
          </w:p>
        </w:tc>
        <w:tc>
          <w:tcPr>
            <w:tcW w:w="9780" w:type="dxa"/>
          </w:tcPr>
          <w:p>
            <w:pPr>
              <w:spacing w:after="0"/>
              <w:rPr>
                <w:rFonts w:eastAsiaTheme="minorEastAsia" w:cstheme="minorBidi"/>
                <w:noProof/>
                <w:color w:val="000000" w:themeColor="text1"/>
                <w:sz w:val="20"/>
                <w:lang w:val="fr-BE"/>
              </w:rPr>
            </w:pPr>
            <w:r>
              <w:rPr>
                <w:noProof/>
                <w:sz w:val="20"/>
                <w:lang w:val="fr-BE"/>
              </w:rPr>
              <w:t>Le règlement (CE) n° 273/2004 et le règlement (CE) n° 111/2005 relatifs aux précurseurs de drogues seront évalués à la lumière de leur objectif, qui consiste à mettre en place un système de surveillance et de contrôle du commerce des précurseurs de drogues afin d’empêcher leur détournement de la chaîne d’approvisionnement légale vers la production illicite de drogues. Outre ces deux règlements, l’évaluation portera aussi sur les actes qui les accompagnent, à savoir le règlement délégué 2015/1011 et le règlement d’exécution 2015/1013.</w:t>
            </w:r>
          </w:p>
        </w:tc>
      </w:tr>
      <w:tr>
        <w:trPr>
          <w:cantSplit/>
        </w:trPr>
        <w:tc>
          <w:tcPr>
            <w:tcW w:w="647" w:type="dxa"/>
            <w:tcBorders>
              <w:bottom w:val="single" w:sz="4" w:space="0" w:color="auto"/>
            </w:tcBorders>
            <w:shd w:val="clear" w:color="auto" w:fill="auto"/>
          </w:tcPr>
          <w:p>
            <w:pPr>
              <w:numPr>
                <w:ilvl w:val="0"/>
                <w:numId w:val="23"/>
              </w:numPr>
              <w:spacing w:after="0" w:line="276" w:lineRule="auto"/>
              <w:jc w:val="left"/>
              <w:rPr>
                <w:rFonts w:eastAsiaTheme="minorHAnsi" w:cstheme="minorBidi"/>
                <w:b/>
                <w:noProof/>
                <w:color w:val="000000"/>
                <w:sz w:val="20"/>
                <w:lang w:val="fr-BE"/>
              </w:rPr>
            </w:pPr>
          </w:p>
        </w:tc>
        <w:tc>
          <w:tcPr>
            <w:tcW w:w="4400" w:type="dxa"/>
            <w:tcBorders>
              <w:bottom w:val="single" w:sz="4" w:space="0" w:color="auto"/>
            </w:tcBorders>
          </w:tcPr>
          <w:p>
            <w:pPr>
              <w:spacing w:after="0"/>
              <w:jc w:val="left"/>
              <w:rPr>
                <w:rFonts w:eastAsiaTheme="minorEastAsia" w:cstheme="minorBidi"/>
                <w:b/>
                <w:bCs/>
                <w:noProof/>
                <w:sz w:val="20"/>
                <w:lang w:val="fr-BE"/>
              </w:rPr>
            </w:pPr>
            <w:r>
              <w:rPr>
                <w:b/>
                <w:bCs/>
                <w:noProof/>
                <w:sz w:val="20"/>
                <w:lang w:val="fr-BE"/>
              </w:rPr>
              <w:t xml:space="preserve">Évaluation du règlement 515/97 relatif à l’assistance mutuelle en matière douanière  </w:t>
            </w:r>
          </w:p>
        </w:tc>
        <w:tc>
          <w:tcPr>
            <w:tcW w:w="9780" w:type="dxa"/>
            <w:tcBorders>
              <w:bottom w:val="single" w:sz="4" w:space="0" w:color="auto"/>
            </w:tcBorders>
          </w:tcPr>
          <w:p>
            <w:pPr>
              <w:spacing w:after="0"/>
              <w:rPr>
                <w:rFonts w:eastAsiaTheme="minorEastAsia" w:cstheme="minorBidi"/>
                <w:noProof/>
                <w:sz w:val="20"/>
                <w:lang w:val="fr-BE"/>
              </w:rPr>
            </w:pPr>
            <w:r>
              <w:rPr>
                <w:noProof/>
                <w:sz w:val="20"/>
                <w:lang w:val="fr-BE"/>
              </w:rPr>
              <w:t>Le règlement (CE) n° 515/97 garantit l’application correcte de la législation douanière de l’UE. Depuis la révision de 2015 du règlement (CE) n° 515/97, de nouvelles évolutions (telles que le nouveau régime de protection des données, les nouveaux risques de fraude) ont été observées. L’évaluation portera sur le fonctionnement général du règlement n° 515/97 et inclura également une consultation ciblée.</w:t>
            </w:r>
          </w:p>
        </w:tc>
      </w:tr>
      <w:tr>
        <w:trPr>
          <w:cantSplit/>
        </w:trPr>
        <w:tc>
          <w:tcPr>
            <w:tcW w:w="14827" w:type="dxa"/>
            <w:gridSpan w:val="3"/>
            <w:tcBorders>
              <w:bottom w:val="single" w:sz="4" w:space="0" w:color="auto"/>
            </w:tcBorders>
            <w:shd w:val="clear" w:color="auto" w:fill="585EAA" w:themeFill="accent4"/>
          </w:tcPr>
          <w:p>
            <w:pPr>
              <w:keepNext/>
              <w:spacing w:before="60" w:after="60"/>
              <w:rPr>
                <w:b/>
                <w:bCs/>
                <w:noProof/>
                <w:sz w:val="20"/>
                <w:lang w:val="fr-BE"/>
              </w:rPr>
            </w:pPr>
            <w:r>
              <w:rPr>
                <w:b/>
                <w:bCs/>
                <w:noProof/>
                <w:color w:val="FFFFFF" w:themeColor="background1"/>
                <w:sz w:val="20"/>
                <w:lang w:val="fr-BE"/>
              </w:rPr>
              <w:t>Une Europe plus forte sur la scène internationale</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noProof/>
                <w:sz w:val="20"/>
                <w:lang w:val="fr-BE"/>
              </w:rPr>
            </w:pP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lang w:val="fr-BE"/>
              </w:rPr>
            </w:pP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noProof/>
                <w:sz w:val="20"/>
                <w:lang w:val="fr-BE"/>
              </w:rPr>
            </w:pP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lang w:val="fr-BE"/>
              </w:rPr>
            </w:pP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noProof/>
                <w:sz w:val="20"/>
                <w:lang w:val="fr-BE"/>
              </w:rPr>
            </w:pP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lang w:val="fr-BE"/>
              </w:rPr>
            </w:pP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noProof/>
                <w:sz w:val="20"/>
                <w:lang w:val="fr-BE"/>
              </w:rPr>
            </w:pPr>
            <w:r>
              <w:rPr>
                <w:b/>
                <w:noProof/>
                <w:sz w:val="20"/>
                <w:lang w:val="fr-BE"/>
              </w:rPr>
              <w:t>Évaluation du volet commercial des six accords d’association de l’UE avec les pays euro-méditerranéens (Tunisie, Maroc, Égypte, Jordanie, Algérie et Liban)</w:t>
            </w: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lang w:val="fr-BE"/>
              </w:rPr>
            </w:pPr>
            <w:r>
              <w:rPr>
                <w:noProof/>
                <w:sz w:val="20"/>
                <w:lang w:val="fr-BE"/>
              </w:rPr>
              <w:t xml:space="preserve">Cette évaluation pourrait permettre de recenser des possibilités de rationalisation des procédures offrant un potentiel de réduction des coûts et de la charge administrative et de simplification des processus. En outre, ces bienfaits potentiels pourraient servir dans toute renégociation future de cet accord ou dans la négociation d’accords avec d’autres pays.  </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noProof/>
                <w:sz w:val="20"/>
                <w:lang w:val="fr-BE"/>
              </w:rPr>
            </w:pPr>
            <w:r>
              <w:rPr>
                <w:b/>
                <w:noProof/>
                <w:sz w:val="20"/>
                <w:lang w:val="fr-BE"/>
              </w:rPr>
              <w:t>Évaluation de la mise en œuvre de l’accord de partenariat économique UE-CARIFORUM</w:t>
            </w: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lang w:val="fr-BE"/>
              </w:rPr>
            </w:pPr>
            <w:r>
              <w:rPr>
                <w:noProof/>
                <w:sz w:val="20"/>
                <w:lang w:val="fr-BE"/>
              </w:rPr>
              <w:t xml:space="preserve">Cette évaluation pourrait permettre de recenser les possibilités de rationalisation des procédures offrant un potentiel de réduction des coûts et de la charge administrative et de simplification des processus. En outre, ces bienfaits potentiels pourraient servir dans toute renégociation future de cet accord ou dans la négociation d’accords avec d’autres pays.  </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bCs/>
                <w:noProof/>
                <w:sz w:val="20"/>
                <w:lang w:val="fr-BE"/>
              </w:rPr>
            </w:pPr>
            <w:r>
              <w:rPr>
                <w:b/>
                <w:bCs/>
                <w:noProof/>
                <w:sz w:val="20"/>
                <w:lang w:val="fr-BE"/>
              </w:rPr>
              <w:t>Commerce sans torture</w:t>
            </w: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lang w:val="fr-BE"/>
              </w:rPr>
            </w:pPr>
            <w:r>
              <w:rPr>
                <w:noProof/>
                <w:sz w:val="20"/>
                <w:lang w:val="fr-BE"/>
              </w:rPr>
              <w:t>Examen du règlement (UE) 2019/125 («règlement anti-torture») concernant le commerce de certains biens susceptibles d’être utilisés en vue d’infliger la peine capitale, la torture ou d’autres peines ou traitements cruels, inhumains ou dégradants.</w:t>
            </w:r>
            <w:r>
              <w:rPr>
                <w:noProof/>
                <w:sz w:val="20"/>
                <w:lang w:val="fr-BE"/>
              </w:rPr>
              <w:br/>
              <w:t>En vertu de l’article 32 du «règlement anti-torture», la Commission examine sa mise en œuvre au plus tard le 31 juillet 2020, et tous les cinq ans par la suite. Sur la base du rapport d’examen à adopter d’ici juillet 2020, la Commission décidera s’il y a lieu de proposer des modifications du règlement. Sans préjudice des résultats de l’examen et pour autant que les biens concernés restent soumis à des restrictions effectives, une simplification pourrait être envisagée dans certains domaines, par exemple en ce qui concerne les exigences en matière de déclaration ou les échanges d’informations.</w:t>
            </w:r>
          </w:p>
        </w:tc>
      </w:tr>
      <w:tr>
        <w:trPr>
          <w:cantSplit/>
        </w:trPr>
        <w:tc>
          <w:tcPr>
            <w:tcW w:w="14827" w:type="dxa"/>
            <w:gridSpan w:val="3"/>
            <w:shd w:val="clear" w:color="auto" w:fill="DA5C57" w:themeFill="accent6"/>
          </w:tcPr>
          <w:p>
            <w:pPr>
              <w:keepNext/>
              <w:spacing w:before="60" w:after="60"/>
              <w:rPr>
                <w:b/>
                <w:bCs/>
                <w:noProof/>
                <w:sz w:val="20"/>
                <w:lang w:val="fr-BE"/>
              </w:rPr>
            </w:pPr>
            <w:r>
              <w:rPr>
                <w:b/>
                <w:bCs/>
                <w:noProof/>
                <w:color w:val="FFFFFF" w:themeColor="background1"/>
                <w:sz w:val="20"/>
                <w:lang w:val="fr-BE"/>
              </w:rPr>
              <w:t>Promotion de notre mode de vie européen</w:t>
            </w:r>
          </w:p>
        </w:tc>
      </w:tr>
      <w:tr>
        <w:trPr>
          <w:cantSplit/>
        </w:trPr>
        <w:tc>
          <w:tcPr>
            <w:tcW w:w="647" w:type="dxa"/>
            <w:tcBorders>
              <w:bottom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bottom w:val="single" w:sz="4" w:space="0" w:color="auto"/>
            </w:tcBorders>
          </w:tcPr>
          <w:p>
            <w:pPr>
              <w:spacing w:after="0"/>
              <w:jc w:val="left"/>
              <w:rPr>
                <w:rFonts w:eastAsiaTheme="minorEastAsia" w:cstheme="minorBidi"/>
                <w:b/>
                <w:bCs/>
                <w:noProof/>
                <w:sz w:val="20"/>
                <w:lang w:val="fr-BE"/>
              </w:rPr>
            </w:pPr>
            <w:r>
              <w:rPr>
                <w:b/>
                <w:bCs/>
                <w:noProof/>
                <w:sz w:val="20"/>
                <w:lang w:val="fr-BE"/>
              </w:rPr>
              <w:t>Évaluation du règlement (CE) n° 1901/2006 relatif aux médicaments à usage pédiatrique et du règlement (CE) n° 141/2000 concernant les médicaments orphelins</w:t>
            </w:r>
          </w:p>
        </w:tc>
        <w:tc>
          <w:tcPr>
            <w:tcW w:w="9780" w:type="dxa"/>
            <w:tcBorders>
              <w:bottom w:val="single" w:sz="4" w:space="0" w:color="auto"/>
            </w:tcBorders>
          </w:tcPr>
          <w:p>
            <w:pPr>
              <w:spacing w:after="0"/>
              <w:rPr>
                <w:rFonts w:eastAsiaTheme="minorEastAsia" w:cstheme="minorBidi"/>
                <w:noProof/>
                <w:sz w:val="20"/>
                <w:lang w:val="fr-BE"/>
              </w:rPr>
            </w:pPr>
            <w:r>
              <w:rPr>
                <w:noProof/>
                <w:sz w:val="20"/>
                <w:lang w:val="fr-BE"/>
              </w:rPr>
              <w:t>Cette évaluation apportera une contribution significative à la future stratégie de l’UE en matière pharmaceutique. L’évaluation se fondera sur les données disponibles pour examiner, séparément et conjointement, les forces et les faiblesses des règlements relatifs aux médicaments orphelins et aux médicaments à usage pédiatrique. L’évaluation portera notamment sur les produits destinés à répondre à des besoins médicaux non satisfaits et sur la manière dont les incitations prévues dans la législation actuelle ont été utilisées.</w:t>
            </w:r>
          </w:p>
        </w:tc>
      </w:tr>
      <w:tr>
        <w:trPr>
          <w:cantSplit/>
        </w:trPr>
        <w:tc>
          <w:tcPr>
            <w:tcW w:w="14827" w:type="dxa"/>
            <w:gridSpan w:val="3"/>
            <w:tcBorders>
              <w:top w:val="single" w:sz="4" w:space="0" w:color="auto"/>
              <w:left w:val="single" w:sz="4" w:space="0" w:color="auto"/>
              <w:bottom w:val="single" w:sz="4" w:space="0" w:color="auto"/>
              <w:right w:val="single" w:sz="4" w:space="0" w:color="auto"/>
            </w:tcBorders>
            <w:shd w:val="clear" w:color="auto" w:fill="00ADDC" w:themeFill="accent5"/>
          </w:tcPr>
          <w:p>
            <w:pPr>
              <w:keepNext/>
              <w:spacing w:before="60" w:after="60"/>
              <w:rPr>
                <w:b/>
                <w:bCs/>
                <w:noProof/>
                <w:sz w:val="20"/>
                <w:lang w:val="fr-BE"/>
              </w:rPr>
            </w:pPr>
            <w:r>
              <w:rPr>
                <w:b/>
                <w:bCs/>
                <w:noProof/>
                <w:color w:val="FFFFFF" w:themeColor="background1"/>
                <w:sz w:val="20"/>
                <w:lang w:val="fr-BE"/>
              </w:rPr>
              <w:t>Un nouvel élan pour la démocratie européenne</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bCs/>
                <w:noProof/>
                <w:sz w:val="20"/>
                <w:lang w:val="fr-BE"/>
              </w:rPr>
            </w:pPr>
            <w:r>
              <w:rPr>
                <w:b/>
                <w:bCs/>
                <w:noProof/>
                <w:sz w:val="20"/>
                <w:lang w:val="fr-BE"/>
              </w:rPr>
              <w:t>Proposition de la Commission visant à réviser la directive 2008/48/CE concernant les contrats de crédit aux consommateurs</w:t>
            </w: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lang w:val="fr-BE"/>
              </w:rPr>
            </w:pPr>
            <w:r>
              <w:rPr>
                <w:noProof/>
                <w:sz w:val="20"/>
                <w:lang w:val="fr-BE"/>
              </w:rPr>
              <w:t>L’évaluation en cours de la directive se concentrera sur les progrès accomplis, ainsi que sur les coûts et les avantages de cette dernière. Elle mettra également l’accent sur la question de savoir si les objectifs et outils initiaux de la directive correspondent aux besoins actuels, sur le suivi de la manière dont la directive fonctionne avec d’autres actes législatifs et sur la question de savoir si l’intervention de l’Union a été bénéfique. Se fondant sur les résultats de l’évaluation, la révision garantira une meilleure information des consommateurs et une meilleure compréhension des crédits à la consommation, en tenant compte de la numérisation de la fourniture de ces produits. Elle visera à offrir une meilleure protection aux consommateurs contre les pratiques de prêt irresponsables, en particulier celles qui se propagent en ligne. (initiative législative, incluant une analyse d’impact, article 114 du TFUE, T4 2020)</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lang w:val="fr-BE"/>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bCs/>
                <w:noProof/>
                <w:sz w:val="20"/>
                <w:lang w:val="fr-BE"/>
              </w:rPr>
            </w:pPr>
            <w:r>
              <w:rPr>
                <w:b/>
                <w:bCs/>
                <w:noProof/>
                <w:sz w:val="20"/>
                <w:lang w:val="fr-BE"/>
              </w:rPr>
              <w:t>Proposition de la Commission visant à réviser la directive 2002/65/CE concernant la commercialisation à distance de services financiers auprès de consommateurs</w:t>
            </w: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lang w:val="fr-BE"/>
              </w:rPr>
            </w:pPr>
            <w:r>
              <w:rPr>
                <w:noProof/>
                <w:sz w:val="20"/>
                <w:lang w:val="fr-BE"/>
              </w:rPr>
              <w:t>L’évaluation en cours déterminera si les objectifs initiaux ont été atteints, quels sont les effets de la directive en termes de coûts/bénéfices, de réduction de la charge et de simplification, et comment elle fonctionne conjointement avec d’autres actes législatifs dans le domaine des services financiers de détail, de la protection des consommateurs et de la protection des données. L’analyse permettra de déterminer si les outils de la directive correspondent aux besoins initiaux et actuels et d’évaluer la valeur ajoutée européenne de la directive. Se fondant sur les résultats de l’évaluation, la révision garantira une meilleure compréhension des produits financiers de détail, en tenant compte de la numérisation de la fourniture de tels produits. Elle visera à offrir une meilleure protection aux consommateurs contre les pratiques de prêt irresponsables, en particulier celles qui se propagent en ligne. (initiative législative, incluant une analyse d’impact, article 114 du TFUE, T4 2020)</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lang w:val="fr-BE"/>
              </w:rPr>
            </w:pPr>
          </w:p>
        </w:tc>
        <w:tc>
          <w:tcPr>
            <w:tcW w:w="4400" w:type="dxa"/>
            <w:shd w:val="clear" w:color="auto" w:fill="auto"/>
          </w:tcPr>
          <w:p>
            <w:pPr>
              <w:spacing w:after="0"/>
              <w:rPr>
                <w:rFonts w:eastAsiaTheme="minorEastAsia" w:cstheme="minorBidi"/>
                <w:b/>
                <w:bCs/>
                <w:noProof/>
                <w:sz w:val="20"/>
                <w:lang w:val="fr-BE"/>
              </w:rPr>
            </w:pPr>
            <w:r>
              <w:rPr>
                <w:b/>
                <w:bCs/>
                <w:noProof/>
                <w:sz w:val="20"/>
                <w:lang w:val="fr-BE"/>
              </w:rPr>
              <w:t xml:space="preserve">Révision de la directive 2001/95/CE sur la sécurité générale des produits </w:t>
            </w:r>
            <w:r>
              <w:rPr>
                <w:b/>
                <w:bCs/>
                <w:noProof/>
                <w:sz w:val="20"/>
                <w:lang w:val="fr-BE"/>
              </w:rPr>
              <w:br/>
              <w:t>(Règlement, base juridique article 114 TFUE)</w:t>
            </w:r>
          </w:p>
        </w:tc>
        <w:tc>
          <w:tcPr>
            <w:tcW w:w="9780" w:type="dxa"/>
          </w:tcPr>
          <w:p>
            <w:pPr>
              <w:spacing w:after="0"/>
              <w:rPr>
                <w:rFonts w:eastAsiaTheme="minorEastAsia" w:cstheme="minorBidi"/>
                <w:noProof/>
                <w:sz w:val="20"/>
                <w:lang w:val="fr-BE"/>
              </w:rPr>
            </w:pPr>
            <w:r>
              <w:rPr>
                <w:noProof/>
                <w:sz w:val="20"/>
                <w:lang w:val="fr-BE"/>
              </w:rPr>
              <w:t>L’initiative s’attaquera aux questions relatives à la sécurité des produits qui découlent des nouvelles technologies, évaluera la nécessité de mettre en place des actions plus concrètes en matière de vente en ligne, actualisera le cadre juridique général relatif à la sécurité des produits, et, à la lumière du nouveau règlement (UE) 2019/1020 sur la surveillance du marché et la conformité des produits, comblera l’écart existant entre les produits harmonisés et non harmonisés en matière de surveillance du marché. La révision améliorera également l’efficacité des rappels de produits et la couverture des nouveaux risques pour la sécurité des produits. Elle devrait renforcer les pouvoirs d’exécution des États membres, en particulier en ce qui concerne les contrôles à l’importation. (initiative législative, incluant une analyse d’impact, article 114 du TFUE, T4 2020)</w:t>
            </w:r>
          </w:p>
        </w:tc>
      </w:tr>
    </w:tbl>
    <w:p>
      <w:pPr>
        <w:spacing w:after="0"/>
        <w:jc w:val="left"/>
        <w:rPr>
          <w:noProof/>
          <w:sz w:val="20"/>
          <w:lang w:val="fr-BE"/>
        </w:rPr>
      </w:pPr>
      <w:r>
        <w:rPr>
          <w:noProof/>
          <w:lang w:val="fr-BE"/>
        </w:rPr>
        <w:br w:type="page"/>
      </w:r>
    </w:p>
    <w:p>
      <w:pPr>
        <w:spacing w:after="600"/>
        <w:jc w:val="center"/>
        <w:rPr>
          <w:b/>
          <w:noProof/>
          <w:sz w:val="28"/>
          <w:szCs w:val="28"/>
          <w:u w:val="single"/>
          <w:lang w:val="fr-BE"/>
        </w:rPr>
      </w:pPr>
      <w:r>
        <w:rPr>
          <w:b/>
          <w:bCs/>
          <w:noProof/>
          <w:sz w:val="28"/>
          <w:szCs w:val="28"/>
          <w:u w:val="single"/>
          <w:lang w:val="fr-BE"/>
        </w:rPr>
        <w:t>Annexe III: propositions prioritaires en attente</w:t>
      </w:r>
      <w:r>
        <w:rPr>
          <w:rStyle w:val="FootnoteReference"/>
          <w:noProof/>
          <w:sz w:val="28"/>
          <w:szCs w:val="28"/>
          <w:lang w:val="fr-BE"/>
        </w:rPr>
        <w:footnoteReference w:id="4"/>
      </w:r>
    </w:p>
    <w:tbl>
      <w:tblPr>
        <w:tblStyle w:val="TableGrid"/>
        <w:tblW w:w="14850" w:type="dxa"/>
        <w:tblLayout w:type="fixed"/>
        <w:tblLook w:val="04A0" w:firstRow="1" w:lastRow="0" w:firstColumn="1" w:lastColumn="0" w:noHBand="0" w:noVBand="1"/>
      </w:tblPr>
      <w:tblGrid>
        <w:gridCol w:w="652"/>
        <w:gridCol w:w="12072"/>
        <w:gridCol w:w="2126"/>
      </w:tblGrid>
      <w:tr>
        <w:trPr>
          <w:cantSplit/>
          <w:tblHeader/>
        </w:trPr>
        <w:tc>
          <w:tcPr>
            <w:tcW w:w="652" w:type="dxa"/>
            <w:tcBorders>
              <w:bottom w:val="single" w:sz="4" w:space="0" w:color="auto"/>
            </w:tcBorders>
            <w:shd w:val="clear" w:color="auto" w:fill="99CCFF"/>
            <w:tcMar>
              <w:top w:w="85" w:type="dxa"/>
              <w:left w:w="85" w:type="dxa"/>
              <w:bottom w:w="85" w:type="dxa"/>
              <w:right w:w="85" w:type="dxa"/>
            </w:tcMar>
          </w:tcPr>
          <w:p>
            <w:pPr>
              <w:spacing w:before="60" w:after="60"/>
              <w:rPr>
                <w:b/>
                <w:bCs/>
                <w:noProof/>
                <w:sz w:val="20"/>
                <w:lang w:val="fr-BE"/>
              </w:rPr>
            </w:pPr>
            <w:r>
              <w:rPr>
                <w:b/>
                <w:bCs/>
                <w:noProof/>
                <w:sz w:val="20"/>
                <w:lang w:val="fr-BE"/>
              </w:rPr>
              <w:t>N°</w:t>
            </w:r>
          </w:p>
        </w:tc>
        <w:tc>
          <w:tcPr>
            <w:tcW w:w="12072" w:type="dxa"/>
            <w:tcBorders>
              <w:bottom w:val="single" w:sz="4" w:space="0" w:color="auto"/>
            </w:tcBorders>
            <w:shd w:val="clear" w:color="auto" w:fill="99CCFF"/>
            <w:tcMar>
              <w:top w:w="85" w:type="dxa"/>
              <w:left w:w="85" w:type="dxa"/>
              <w:bottom w:w="85" w:type="dxa"/>
              <w:right w:w="85" w:type="dxa"/>
            </w:tcMar>
          </w:tcPr>
          <w:p>
            <w:pPr>
              <w:spacing w:before="60" w:after="60"/>
              <w:jc w:val="center"/>
              <w:rPr>
                <w:b/>
                <w:bCs/>
                <w:noProof/>
                <w:sz w:val="20"/>
                <w:lang w:val="fr-BE"/>
              </w:rPr>
            </w:pPr>
            <w:r>
              <w:rPr>
                <w:b/>
                <w:bCs/>
                <w:noProof/>
                <w:sz w:val="20"/>
                <w:lang w:val="fr-BE"/>
              </w:rPr>
              <w:t>Intitulé complet</w:t>
            </w:r>
          </w:p>
        </w:tc>
        <w:tc>
          <w:tcPr>
            <w:tcW w:w="2126" w:type="dxa"/>
            <w:tcBorders>
              <w:bottom w:val="single" w:sz="4" w:space="0" w:color="auto"/>
            </w:tcBorders>
            <w:shd w:val="clear" w:color="auto" w:fill="99CCFF"/>
            <w:tcMar>
              <w:top w:w="85" w:type="dxa"/>
              <w:left w:w="85" w:type="dxa"/>
              <w:bottom w:w="85" w:type="dxa"/>
              <w:right w:w="85" w:type="dxa"/>
            </w:tcMar>
          </w:tcPr>
          <w:p>
            <w:pPr>
              <w:spacing w:before="60" w:after="60"/>
              <w:jc w:val="center"/>
              <w:rPr>
                <w:b/>
                <w:bCs/>
                <w:noProof/>
                <w:sz w:val="20"/>
                <w:lang w:val="fr-BE"/>
              </w:rPr>
            </w:pPr>
            <w:r>
              <w:rPr>
                <w:b/>
                <w:bCs/>
                <w:noProof/>
                <w:sz w:val="20"/>
                <w:lang w:val="fr-BE"/>
              </w:rPr>
              <w:t>Références</w:t>
            </w:r>
          </w:p>
        </w:tc>
      </w:tr>
      <w:tr>
        <w:trPr>
          <w:cantSplit/>
        </w:trPr>
        <w:tc>
          <w:tcPr>
            <w:tcW w:w="14850" w:type="dxa"/>
            <w:gridSpan w:val="3"/>
            <w:shd w:val="clear" w:color="auto" w:fill="9ACA3C" w:themeFill="accent1"/>
            <w:tcMar>
              <w:top w:w="85" w:type="dxa"/>
              <w:left w:w="85" w:type="dxa"/>
              <w:bottom w:w="85" w:type="dxa"/>
              <w:right w:w="85" w:type="dxa"/>
            </w:tcMar>
          </w:tcPr>
          <w:p>
            <w:pPr>
              <w:keepNext/>
              <w:spacing w:before="60" w:after="60"/>
              <w:rPr>
                <w:b/>
                <w:bCs/>
                <w:noProof/>
                <w:sz w:val="20"/>
                <w:lang w:val="fr-BE"/>
              </w:rPr>
            </w:pPr>
            <w:r>
              <w:rPr>
                <w:b/>
                <w:bCs/>
                <w:noProof/>
                <w:color w:val="FFFFFF" w:themeColor="background1"/>
                <w:sz w:val="20"/>
                <w:lang w:val="fr-BE"/>
              </w:rPr>
              <w:t>Un pacte vert pour l'Europe</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(UE) 2015/757 afin de tenir dûment compte du système mondial de collecte des données relatives à la consommation de fuel-oil des navires</w:t>
            </w:r>
            <w:r>
              <w:rPr>
                <w:b/>
                <w:bCs/>
                <w:noProof/>
                <w:sz w:val="20"/>
                <w:lang w:val="fr-BE"/>
              </w:rPr>
              <w:t xml:space="preserve"> </w:t>
            </w:r>
          </w:p>
        </w:tc>
        <w:tc>
          <w:tcPr>
            <w:tcW w:w="2126" w:type="dxa"/>
            <w:tcMar>
              <w:top w:w="85" w:type="dxa"/>
              <w:left w:w="85" w:type="dxa"/>
              <w:bottom w:w="85" w:type="dxa"/>
            </w:tcMar>
          </w:tcPr>
          <w:p>
            <w:pPr>
              <w:spacing w:after="0"/>
              <w:jc w:val="left"/>
              <w:rPr>
                <w:noProof/>
                <w:sz w:val="20"/>
                <w:lang w:val="fr-BE"/>
              </w:rPr>
            </w:pPr>
            <w:r>
              <w:rPr>
                <w:noProof/>
                <w:sz w:val="20"/>
                <w:lang w:val="fr-BE"/>
              </w:rPr>
              <w:t>COM(2019) 38 final</w:t>
            </w:r>
            <w:r>
              <w:rPr>
                <w:noProof/>
                <w:sz w:val="20"/>
                <w:lang w:val="fr-BE"/>
              </w:rPr>
              <w:br/>
              <w:t>2019/0017 (COD)</w:t>
            </w:r>
            <w:r>
              <w:rPr>
                <w:noProof/>
                <w:sz w:val="20"/>
                <w:lang w:val="fr-BE"/>
              </w:rPr>
              <w:br/>
              <w:t>4.2.2019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(CE) nº 1224/2009 du Conseil et modifiant les règlements (CE) nº 768/2005, (CE) nº 1967/2006, (CE) nº 1005/2008 du Conseil et le règlement (UE) 2016/1139 du Parlement européen et du Conseil en ce qui concerne le contrôle des pêches</w:t>
            </w:r>
          </w:p>
        </w:tc>
        <w:tc>
          <w:tcPr>
            <w:tcW w:w="2126" w:type="dxa"/>
            <w:tcMar>
              <w:top w:w="85" w:type="dxa"/>
              <w:left w:w="85" w:type="dxa"/>
              <w:bottom w:w="85" w:type="dxa"/>
            </w:tcMar>
          </w:tcPr>
          <w:p>
            <w:pPr>
              <w:spacing w:after="0"/>
              <w:jc w:val="left"/>
              <w:rPr>
                <w:noProof/>
                <w:sz w:val="20"/>
                <w:lang w:val="fr-BE"/>
              </w:rPr>
            </w:pPr>
            <w:r>
              <w:rPr>
                <w:noProof/>
                <w:sz w:val="20"/>
                <w:lang w:val="fr-BE"/>
              </w:rPr>
              <w:t>COM(2018) 368 final</w:t>
            </w:r>
            <w:r>
              <w:rPr>
                <w:noProof/>
                <w:sz w:val="20"/>
                <w:lang w:val="fr-BE"/>
              </w:rPr>
              <w:br/>
              <w:t>2018/0193 (COD)</w:t>
            </w:r>
            <w:r>
              <w:rPr>
                <w:noProof/>
                <w:sz w:val="20"/>
                <w:lang w:val="fr-BE"/>
              </w:rPr>
              <w:br/>
              <w:t>30.5.2018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concernant des mesures de rationalisation en vue de progresser dans la réalisation du réseau transeuropéen de transport</w:t>
            </w:r>
          </w:p>
        </w:tc>
        <w:tc>
          <w:tcPr>
            <w:tcW w:w="2126" w:type="dxa"/>
            <w:tcMar>
              <w:top w:w="85" w:type="dxa"/>
              <w:left w:w="85" w:type="dxa"/>
              <w:bottom w:w="85" w:type="dxa"/>
            </w:tcMar>
          </w:tcPr>
          <w:p>
            <w:pPr>
              <w:spacing w:after="0"/>
              <w:jc w:val="left"/>
              <w:rPr>
                <w:noProof/>
                <w:sz w:val="20"/>
                <w:lang w:val="fr-BE"/>
              </w:rPr>
            </w:pPr>
            <w:r>
              <w:rPr>
                <w:noProof/>
                <w:sz w:val="20"/>
                <w:lang w:val="fr-BE"/>
              </w:rPr>
              <w:t>COM(2018) 277 final</w:t>
            </w:r>
            <w:r>
              <w:rPr>
                <w:noProof/>
                <w:sz w:val="20"/>
                <w:lang w:val="fr-BE"/>
              </w:rPr>
              <w:br/>
              <w:t>2018/0138 (COD)</w:t>
            </w:r>
            <w:r>
              <w:rPr>
                <w:noProof/>
                <w:sz w:val="20"/>
                <w:lang w:val="fr-BE"/>
              </w:rPr>
              <w:br/>
              <w:t>17.5.2018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modifiant la directive 1999/62/CE relative à la taxation des poids lourds pour l'utilisation de certaines infrastructures</w:t>
            </w:r>
          </w:p>
        </w:tc>
        <w:tc>
          <w:tcPr>
            <w:tcW w:w="2126" w:type="dxa"/>
            <w:tcMar>
              <w:top w:w="85" w:type="dxa"/>
              <w:left w:w="85" w:type="dxa"/>
              <w:bottom w:w="85" w:type="dxa"/>
            </w:tcMar>
          </w:tcPr>
          <w:p>
            <w:pPr>
              <w:spacing w:after="0"/>
              <w:jc w:val="left"/>
              <w:rPr>
                <w:noProof/>
                <w:sz w:val="20"/>
                <w:lang w:val="fr-BE"/>
              </w:rPr>
            </w:pPr>
            <w:r>
              <w:rPr>
                <w:noProof/>
                <w:sz w:val="20"/>
                <w:lang w:val="fr-BE"/>
              </w:rPr>
              <w:t>COM(2017) 275 final</w:t>
            </w:r>
            <w:r>
              <w:rPr>
                <w:noProof/>
                <w:sz w:val="20"/>
                <w:lang w:val="fr-BE"/>
              </w:rPr>
              <w:br/>
              <w:t>2017/0114 (COD)</w:t>
            </w:r>
            <w:r>
              <w:rPr>
                <w:noProof/>
                <w:sz w:val="20"/>
                <w:lang w:val="fr-BE"/>
              </w:rPr>
              <w:br/>
              <w:t>31.5.2017</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CONSEIL modifiant le règlement (CE) n° 866/2004 concernant un régime en application de l’article 2 du protocole n° 10 de l’acte d’adhésion en ce qui concerne des produits couverts par des systèmes de qualité applicables aux produits agricoles et aux denrées alimentaires</w:t>
            </w:r>
          </w:p>
        </w:tc>
        <w:tc>
          <w:tcPr>
            <w:tcW w:w="2126" w:type="dxa"/>
            <w:tcMar>
              <w:top w:w="85" w:type="dxa"/>
              <w:left w:w="85" w:type="dxa"/>
              <w:bottom w:w="85" w:type="dxa"/>
            </w:tcMar>
          </w:tcPr>
          <w:p>
            <w:pPr>
              <w:spacing w:after="0"/>
              <w:jc w:val="left"/>
              <w:rPr>
                <w:noProof/>
                <w:sz w:val="20"/>
                <w:lang w:val="fr-BE"/>
              </w:rPr>
            </w:pPr>
            <w:r>
              <w:rPr>
                <w:noProof/>
                <w:sz w:val="20"/>
                <w:lang w:val="fr-BE"/>
              </w:rPr>
              <w:t>COM(2015) 380 final</w:t>
            </w:r>
            <w:r>
              <w:rPr>
                <w:noProof/>
                <w:sz w:val="20"/>
                <w:lang w:val="fr-BE"/>
              </w:rPr>
              <w:br/>
              <w:t>2015/0165 (NLE)</w:t>
            </w:r>
            <w:r>
              <w:rPr>
                <w:noProof/>
                <w:sz w:val="20"/>
                <w:lang w:val="fr-BE"/>
              </w:rPr>
              <w:br/>
              <w:t>28.7.2015</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(CE) n° 1829/2003 en ce qui concerne la possibilité pour les États membres de restreindre ou d’interdire sur leur territoire l’utilisation de denrées alimentaires et d’aliments pour animaux génétiquement modifiés</w:t>
            </w:r>
          </w:p>
        </w:tc>
        <w:tc>
          <w:tcPr>
            <w:tcW w:w="2126" w:type="dxa"/>
            <w:tcMar>
              <w:top w:w="85" w:type="dxa"/>
              <w:left w:w="85" w:type="dxa"/>
              <w:bottom w:w="85" w:type="dxa"/>
            </w:tcMar>
          </w:tcPr>
          <w:p>
            <w:pPr>
              <w:spacing w:after="0"/>
              <w:jc w:val="left"/>
              <w:rPr>
                <w:noProof/>
                <w:sz w:val="20"/>
                <w:lang w:val="fr-BE"/>
              </w:rPr>
            </w:pPr>
            <w:r>
              <w:rPr>
                <w:noProof/>
                <w:sz w:val="20"/>
                <w:lang w:val="fr-BE"/>
              </w:rPr>
              <w:t>COM(2015) 177 final</w:t>
            </w:r>
            <w:r>
              <w:rPr>
                <w:noProof/>
                <w:sz w:val="20"/>
                <w:lang w:val="fr-BE"/>
              </w:rPr>
              <w:br/>
              <w:t>2015/0093 (COD)</w:t>
            </w:r>
            <w:r>
              <w:rPr>
                <w:noProof/>
                <w:sz w:val="20"/>
                <w:lang w:val="fr-BE"/>
              </w:rPr>
              <w:br/>
              <w:t>22.4.2015</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InvestEU</w:t>
            </w:r>
          </w:p>
        </w:tc>
        <w:tc>
          <w:tcPr>
            <w:tcW w:w="2126" w:type="dxa"/>
            <w:tcMar>
              <w:top w:w="85" w:type="dxa"/>
              <w:left w:w="85" w:type="dxa"/>
              <w:bottom w:w="85" w:type="dxa"/>
            </w:tcMar>
          </w:tcPr>
          <w:p>
            <w:pPr>
              <w:spacing w:after="0"/>
              <w:jc w:val="left"/>
              <w:rPr>
                <w:noProof/>
                <w:sz w:val="20"/>
                <w:lang w:val="fr-BE"/>
              </w:rPr>
            </w:pPr>
            <w:r>
              <w:rPr>
                <w:noProof/>
                <w:sz w:val="20"/>
                <w:lang w:val="fr-BE"/>
              </w:rPr>
              <w:t>COM(2018) 439 final</w:t>
            </w:r>
            <w:r>
              <w:rPr>
                <w:noProof/>
                <w:sz w:val="20"/>
                <w:lang w:val="fr-BE"/>
              </w:rPr>
              <w:br/>
              <w:t>2018/0229 (COD)</w:t>
            </w:r>
            <w:r>
              <w:rPr>
                <w:noProof/>
                <w:sz w:val="20"/>
                <w:lang w:val="fr-BE"/>
              </w:rPr>
              <w:br/>
              <w:t>8.6.2018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CONSEIL établissant le programme d’assistance au déclassement de la centrale nucléaire d’Ignalina en Lituanie (programme Ignalina), et abrogeant le règlement (UE) nº 1369/2013 du Conseil</w:t>
            </w:r>
          </w:p>
        </w:tc>
        <w:tc>
          <w:tcPr>
            <w:tcW w:w="2126" w:type="dxa"/>
            <w:tcMar>
              <w:top w:w="85" w:type="dxa"/>
              <w:left w:w="85" w:type="dxa"/>
              <w:bottom w:w="85" w:type="dxa"/>
            </w:tcMar>
          </w:tcPr>
          <w:p>
            <w:pPr>
              <w:spacing w:after="0"/>
              <w:jc w:val="left"/>
              <w:rPr>
                <w:noProof/>
                <w:sz w:val="20"/>
                <w:lang w:val="fr-BE"/>
              </w:rPr>
            </w:pPr>
            <w:r>
              <w:rPr>
                <w:noProof/>
                <w:sz w:val="20"/>
                <w:lang w:val="fr-BE"/>
              </w:rPr>
              <w:t>COM(2018) 466 final</w:t>
            </w:r>
            <w:r>
              <w:rPr>
                <w:noProof/>
                <w:sz w:val="20"/>
                <w:lang w:val="fr-BE"/>
              </w:rPr>
              <w:br/>
              <w:t>2018/0251 (NLE)</w:t>
            </w:r>
            <w:r>
              <w:rPr>
                <w:noProof/>
                <w:sz w:val="20"/>
                <w:lang w:val="fr-BE"/>
              </w:rPr>
              <w:br/>
              <w:t>13.6.2018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CONSEIL établissant un programme de financement spécifique pour le déclassement d’installations nucléaires et la gestion des déchets radioactifs, et abrogeant le règlement (Euratom) nº 1368/2013 du Conseil</w:t>
            </w:r>
          </w:p>
        </w:tc>
        <w:tc>
          <w:tcPr>
            <w:tcW w:w="2126" w:type="dxa"/>
            <w:tcMar>
              <w:top w:w="85" w:type="dxa"/>
              <w:left w:w="85" w:type="dxa"/>
              <w:bottom w:w="85" w:type="dxa"/>
            </w:tcMar>
          </w:tcPr>
          <w:p>
            <w:pPr>
              <w:spacing w:after="0"/>
              <w:jc w:val="left"/>
              <w:rPr>
                <w:noProof/>
                <w:sz w:val="20"/>
                <w:lang w:val="fr-BE"/>
              </w:rPr>
            </w:pPr>
            <w:r>
              <w:rPr>
                <w:noProof/>
                <w:sz w:val="20"/>
                <w:lang w:val="fr-BE"/>
              </w:rPr>
              <w:t>COM(2018) 467 final</w:t>
            </w:r>
            <w:r>
              <w:rPr>
                <w:noProof/>
                <w:sz w:val="20"/>
                <w:lang w:val="fr-BE"/>
              </w:rPr>
              <w:br/>
              <w:t>2018/0252 (NLE)</w:t>
            </w:r>
            <w:r>
              <w:rPr>
                <w:noProof/>
                <w:sz w:val="20"/>
                <w:lang w:val="fr-BE"/>
              </w:rPr>
              <w:br/>
              <w:t>13.6.2018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DÉCISION DU CONSEIL modifiant la décision 2007/198/Euratom instituant une entreprise commune pour ITER et le développement de l’énergie de fusion et lui conférant des avantages</w:t>
            </w:r>
          </w:p>
        </w:tc>
        <w:tc>
          <w:tcPr>
            <w:tcW w:w="2126" w:type="dxa"/>
            <w:tcMar>
              <w:top w:w="85" w:type="dxa"/>
              <w:left w:w="85" w:type="dxa"/>
              <w:bottom w:w="85" w:type="dxa"/>
            </w:tcMar>
          </w:tcPr>
          <w:p>
            <w:pPr>
              <w:spacing w:after="0"/>
              <w:jc w:val="left"/>
              <w:rPr>
                <w:noProof/>
                <w:sz w:val="20"/>
                <w:lang w:val="fr-BE"/>
              </w:rPr>
            </w:pPr>
            <w:r>
              <w:rPr>
                <w:noProof/>
                <w:sz w:val="20"/>
                <w:lang w:val="fr-BE"/>
              </w:rPr>
              <w:t>COM(2018) 445 final</w:t>
            </w:r>
            <w:r>
              <w:rPr>
                <w:noProof/>
                <w:sz w:val="20"/>
                <w:lang w:val="fr-BE"/>
              </w:rPr>
              <w:br/>
              <w:t>2018/0235 (NLE)</w:t>
            </w:r>
            <w:r>
              <w:rPr>
                <w:noProof/>
                <w:sz w:val="20"/>
                <w:lang w:val="fr-BE"/>
              </w:rPr>
              <w:br/>
              <w:t>7.6.2018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un programme pour l’environnement et l’action pour le climat (LIFE) et abrogeant le règlement (UE) nº 1293/2013</w:t>
            </w:r>
          </w:p>
        </w:tc>
        <w:tc>
          <w:tcPr>
            <w:tcW w:w="2126" w:type="dxa"/>
            <w:tcMar>
              <w:top w:w="85" w:type="dxa"/>
              <w:left w:w="85" w:type="dxa"/>
              <w:bottom w:w="85" w:type="dxa"/>
            </w:tcMar>
          </w:tcPr>
          <w:p>
            <w:pPr>
              <w:spacing w:after="0"/>
              <w:jc w:val="left"/>
              <w:rPr>
                <w:noProof/>
                <w:sz w:val="20"/>
                <w:lang w:val="fr-BE"/>
              </w:rPr>
            </w:pPr>
            <w:r>
              <w:rPr>
                <w:noProof/>
                <w:sz w:val="20"/>
                <w:lang w:val="fr-BE"/>
              </w:rPr>
              <w:t>COM(2018) 385 final</w:t>
            </w:r>
            <w:r>
              <w:rPr>
                <w:noProof/>
                <w:sz w:val="20"/>
                <w:lang w:val="fr-BE"/>
              </w:rPr>
              <w:br/>
              <w:t>2018/0209 (COD)</w:t>
            </w:r>
            <w:r>
              <w:rPr>
                <w:noProof/>
                <w:sz w:val="20"/>
                <w:lang w:val="fr-BE"/>
              </w:rPr>
              <w:br/>
              <w:t>1.6.2018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relatif au Fonds européen pour les affaires maritimes et la pêche et abrogeant le règlement (UE) nº 508/2014 du Parlement européen et du Conseil</w:t>
            </w:r>
          </w:p>
        </w:tc>
        <w:tc>
          <w:tcPr>
            <w:tcW w:w="2126" w:type="dxa"/>
            <w:tcMar>
              <w:top w:w="85" w:type="dxa"/>
              <w:left w:w="85" w:type="dxa"/>
              <w:bottom w:w="85" w:type="dxa"/>
            </w:tcMar>
          </w:tcPr>
          <w:p>
            <w:pPr>
              <w:spacing w:after="0"/>
              <w:jc w:val="left"/>
              <w:rPr>
                <w:noProof/>
                <w:sz w:val="20"/>
                <w:lang w:val="fr-BE"/>
              </w:rPr>
            </w:pPr>
            <w:r>
              <w:rPr>
                <w:noProof/>
                <w:sz w:val="20"/>
                <w:lang w:val="fr-BE"/>
              </w:rPr>
              <w:t>COM(2018) 390 final</w:t>
            </w:r>
            <w:r>
              <w:rPr>
                <w:noProof/>
                <w:sz w:val="20"/>
                <w:lang w:val="fr-BE"/>
              </w:rPr>
              <w:br/>
              <w:t>2018/0210 (COD) 12.6.2018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relatif au financement, à la gestion et au suivi de la politique agricole commune et abrogeant le règlement (UE) nº 1306/2013</w:t>
            </w:r>
          </w:p>
        </w:tc>
        <w:tc>
          <w:tcPr>
            <w:tcW w:w="2126" w:type="dxa"/>
            <w:tcMar>
              <w:top w:w="85" w:type="dxa"/>
              <w:left w:w="85" w:type="dxa"/>
              <w:bottom w:w="85" w:type="dxa"/>
            </w:tcMar>
          </w:tcPr>
          <w:p>
            <w:pPr>
              <w:spacing w:after="0"/>
              <w:jc w:val="left"/>
              <w:rPr>
                <w:noProof/>
                <w:sz w:val="20"/>
                <w:lang w:val="fr-BE"/>
              </w:rPr>
            </w:pPr>
            <w:r>
              <w:rPr>
                <w:noProof/>
                <w:sz w:val="20"/>
                <w:lang w:val="fr-BE"/>
              </w:rPr>
              <w:t>COM(2018) 393 final</w:t>
            </w:r>
            <w:r>
              <w:rPr>
                <w:noProof/>
                <w:sz w:val="20"/>
                <w:lang w:val="fr-BE"/>
              </w:rPr>
              <w:br/>
              <w:t>2018/0217 (COD)</w:t>
            </w:r>
            <w:r>
              <w:rPr>
                <w:noProof/>
                <w:sz w:val="20"/>
                <w:lang w:val="fr-BE"/>
              </w:rPr>
              <w:br/>
              <w:t>1.6.2018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les règlements (UE) n° 1308/2013 portant organisation commune des marchés dans le secteur des produits agricoles, (UE) n° 1151/2012 relatif aux systèmes de qualité applicables aux produits agricoles et aux denrées alimentaires, (UE) n° 251/2014 concernant la définition, la description, la présentation, l’étiquetage et la protection des indications géographiques des produits vinicoles aromatisés, (UE) n° 228/2013 portant mesures spécifiques dans le domaine de l’agriculture en faveur des régions ultrapériphériques de l’Union et (UE) n° 229/2013 portant mesures spécifiques dans le domaine de l’agriculture en faveur des îles mineures de la mer Égée</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394 final</w:t>
            </w:r>
            <w:r>
              <w:rPr>
                <w:noProof/>
                <w:sz w:val="20"/>
                <w:lang w:val="fr-BE"/>
              </w:rPr>
              <w:br/>
              <w:t>2018/0218 (COD)</w:t>
            </w:r>
            <w:r>
              <w:rPr>
                <w:noProof/>
                <w:sz w:val="20"/>
                <w:lang w:val="fr-BE"/>
              </w:rPr>
              <w:br/>
              <w:t>23.4.2018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 1305/2013 du Parlement européen et du Conseil et le règlement (UE) n° 1307/2013 du Parlement européen et du Conseil</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392 final</w:t>
            </w:r>
            <w:r>
              <w:rPr>
                <w:noProof/>
                <w:sz w:val="20"/>
                <w:lang w:val="fr-BE"/>
              </w:rPr>
              <w:br/>
              <w:t>2018/0216 (COD)</w:t>
            </w:r>
            <w:r>
              <w:rPr>
                <w:noProof/>
                <w:sz w:val="20"/>
                <w:lang w:val="fr-BE"/>
              </w:rPr>
              <w:br/>
              <w:t>1.6.2018</w:t>
            </w:r>
          </w:p>
        </w:tc>
      </w:tr>
      <w:tr>
        <w:trPr>
          <w:cantSplit/>
        </w:trPr>
        <w:tc>
          <w:tcPr>
            <w:tcW w:w="652" w:type="dxa"/>
            <w:tcBorders>
              <w:bottom w:val="single" w:sz="4" w:space="0" w:color="auto"/>
              <w:right w:val="nil"/>
            </w:tcBorders>
            <w:shd w:val="clear" w:color="auto" w:fill="auto"/>
            <w:tcMar>
              <w:top w:w="85" w:type="dxa"/>
              <w:left w:w="85" w:type="dxa"/>
              <w:bottom w:w="85" w:type="dxa"/>
              <w:right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des dispositions transitoires relatives au soutien du Fonds européen agricole pour le développement rural (Feader) et du Fonds européen agricole de garantie (FEAGA) en 2021, et modifiant les règlements (UE) nº 228/2013, (UE) nº 229/2013 et (UE) nº 1308/2013 en ce qui concerne les ressources et leur répartition pour l’exercice 2021 et les règlements (UE) nº 1305/2013, (UE) nº 1306/2013 et (UE) nº 1307/2013 en ce qui concerne leurs ressources et leur application en 2021</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COM(2019) 581 final</w:t>
            </w:r>
            <w:r>
              <w:rPr>
                <w:noProof/>
                <w:sz w:val="20"/>
                <w:lang w:val="fr-BE"/>
              </w:rPr>
              <w:br/>
              <w:t>2019/0254 (COD)</w:t>
            </w:r>
            <w:r>
              <w:rPr>
                <w:noProof/>
                <w:sz w:val="20"/>
                <w:lang w:val="fr-BE"/>
              </w:rPr>
              <w:br/>
              <w:t>31.10.2019</w:t>
            </w:r>
          </w:p>
        </w:tc>
      </w:tr>
      <w:tr>
        <w:trPr>
          <w:cantSplit/>
        </w:trPr>
        <w:tc>
          <w:tcPr>
            <w:tcW w:w="14850" w:type="dxa"/>
            <w:gridSpan w:val="3"/>
            <w:shd w:val="clear" w:color="auto" w:fill="18BAA8" w:themeFill="accent2"/>
            <w:tcMar>
              <w:top w:w="85" w:type="dxa"/>
              <w:left w:w="85" w:type="dxa"/>
              <w:bottom w:w="85" w:type="dxa"/>
              <w:right w:w="85" w:type="dxa"/>
            </w:tcMar>
          </w:tcPr>
          <w:p>
            <w:pPr>
              <w:spacing w:before="60" w:after="60"/>
              <w:rPr>
                <w:noProof/>
                <w:sz w:val="20"/>
                <w:lang w:val="fr-BE"/>
              </w:rPr>
            </w:pPr>
            <w:r>
              <w:rPr>
                <w:b/>
                <w:bCs/>
                <w:noProof/>
                <w:color w:val="FFFFFF" w:themeColor="background1"/>
                <w:sz w:val="20"/>
                <w:lang w:val="fr-BE"/>
              </w:rPr>
              <w:t>Une Europe adaptée à l’ère du numérique</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sur les droits et obligations des voyageurs ferroviaires (refonte)</w:t>
            </w:r>
            <w:r>
              <w:rPr>
                <w:b/>
                <w:bCs/>
                <w:noProof/>
                <w:sz w:val="20"/>
                <w:lang w:val="fr-BE"/>
              </w:rPr>
              <w:t xml:space="preserve"> </w:t>
            </w:r>
          </w:p>
        </w:tc>
        <w:tc>
          <w:tcPr>
            <w:tcW w:w="2126" w:type="dxa"/>
            <w:tcMar>
              <w:top w:w="85" w:type="dxa"/>
              <w:left w:w="85" w:type="dxa"/>
              <w:bottom w:w="85" w:type="dxa"/>
            </w:tcMar>
          </w:tcPr>
          <w:p>
            <w:pPr>
              <w:spacing w:after="0"/>
              <w:jc w:val="left"/>
              <w:rPr>
                <w:noProof/>
                <w:sz w:val="20"/>
                <w:lang w:val="fr-BE"/>
              </w:rPr>
            </w:pPr>
            <w:r>
              <w:rPr>
                <w:noProof/>
                <w:sz w:val="20"/>
                <w:lang w:val="fr-BE"/>
              </w:rPr>
              <w:t>COM(2017) 548 final</w:t>
            </w:r>
            <w:r>
              <w:rPr>
                <w:noProof/>
                <w:sz w:val="20"/>
                <w:lang w:val="fr-BE"/>
              </w:rPr>
              <w:br/>
              <w:t>2017/0237 (COD)</w:t>
            </w:r>
            <w:r>
              <w:rPr>
                <w:noProof/>
                <w:sz w:val="20"/>
                <w:lang w:val="fr-BE"/>
              </w:rPr>
              <w:br/>
              <w:t>27.9.2017</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(CE) n° 261/2004 établissant des règles communes en matière d'indemnisation et d'assistance des passagers en cas de refus d'embarquement et d'annulation ou de retard important d'un vol, ainsi que le règlement (CE) n° 2027/97 relatif à la responsabilité des transporteurs aériens en ce qui concerne le transport aérien de passagers et de leurs bagages</w:t>
            </w:r>
          </w:p>
        </w:tc>
        <w:tc>
          <w:tcPr>
            <w:tcW w:w="2126" w:type="dxa"/>
            <w:tcMar>
              <w:top w:w="85" w:type="dxa"/>
              <w:left w:w="85" w:type="dxa"/>
              <w:bottom w:w="85" w:type="dxa"/>
            </w:tcMar>
          </w:tcPr>
          <w:p>
            <w:pPr>
              <w:spacing w:after="0"/>
              <w:jc w:val="left"/>
              <w:rPr>
                <w:noProof/>
                <w:sz w:val="20"/>
                <w:lang w:val="fr-BE"/>
              </w:rPr>
            </w:pPr>
            <w:r>
              <w:rPr>
                <w:noProof/>
                <w:sz w:val="20"/>
                <w:lang w:val="fr-BE"/>
              </w:rPr>
              <w:t>COM(2013) 130 final</w:t>
            </w:r>
            <w:r>
              <w:rPr>
                <w:noProof/>
                <w:sz w:val="20"/>
                <w:lang w:val="fr-BE"/>
              </w:rPr>
              <w:br/>
              <w:t>2013/0072 (COD)</w:t>
            </w:r>
            <w:r>
              <w:rPr>
                <w:noProof/>
                <w:sz w:val="20"/>
                <w:lang w:val="fr-BE"/>
              </w:rPr>
              <w:br/>
              <w:t>13.3.2013</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relatif à la mise en œuvre du ciel unique européen (refonte)</w:t>
            </w:r>
          </w:p>
        </w:tc>
        <w:tc>
          <w:tcPr>
            <w:tcW w:w="2126" w:type="dxa"/>
            <w:tcMar>
              <w:top w:w="85" w:type="dxa"/>
              <w:left w:w="85" w:type="dxa"/>
              <w:bottom w:w="85" w:type="dxa"/>
            </w:tcMar>
          </w:tcPr>
          <w:p>
            <w:pPr>
              <w:spacing w:after="0"/>
              <w:jc w:val="left"/>
              <w:rPr>
                <w:noProof/>
                <w:sz w:val="20"/>
                <w:lang w:val="fr-BE"/>
              </w:rPr>
            </w:pPr>
            <w:r>
              <w:rPr>
                <w:noProof/>
                <w:sz w:val="20"/>
                <w:lang w:val="fr-BE"/>
              </w:rPr>
              <w:t>COM(2013) 410 final</w:t>
            </w:r>
            <w:r>
              <w:rPr>
                <w:noProof/>
                <w:sz w:val="20"/>
                <w:lang w:val="fr-BE"/>
              </w:rPr>
              <w:br/>
              <w:t>2013/0186 (COD)</w:t>
            </w:r>
            <w:r>
              <w:rPr>
                <w:noProof/>
                <w:sz w:val="20"/>
                <w:lang w:val="fr-BE"/>
              </w:rPr>
              <w:br/>
              <w:t>11.6.2013</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fixant des règles communes en ce qui concerne l'attribution des créneaux horaires dans les aéroports de l'Union européenne</w:t>
            </w:r>
          </w:p>
        </w:tc>
        <w:tc>
          <w:tcPr>
            <w:tcW w:w="2126" w:type="dxa"/>
            <w:tcMar>
              <w:top w:w="85" w:type="dxa"/>
              <w:left w:w="85" w:type="dxa"/>
              <w:bottom w:w="85" w:type="dxa"/>
            </w:tcMar>
          </w:tcPr>
          <w:p>
            <w:pPr>
              <w:spacing w:after="0"/>
              <w:jc w:val="left"/>
              <w:rPr>
                <w:noProof/>
                <w:sz w:val="20"/>
                <w:lang w:val="fr-BE"/>
              </w:rPr>
            </w:pPr>
            <w:r>
              <w:rPr>
                <w:noProof/>
                <w:sz w:val="20"/>
                <w:lang w:val="fr-BE"/>
              </w:rPr>
              <w:t>COM(2011) 827 final</w:t>
            </w:r>
            <w:r>
              <w:rPr>
                <w:noProof/>
                <w:sz w:val="20"/>
                <w:lang w:val="fr-BE"/>
              </w:rPr>
              <w:br/>
              <w:t>2011/0391 (COD)</w:t>
            </w:r>
            <w:r>
              <w:rPr>
                <w:noProof/>
                <w:sz w:val="20"/>
                <w:lang w:val="fr-BE"/>
              </w:rPr>
              <w:br/>
              <w:t>1.12.2011</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modifiant la directive 2006/1/CE relative à l'utilisation de véhicules loués sans chauffeur dans le transport de marchandises par route</w:t>
            </w:r>
          </w:p>
        </w:tc>
        <w:tc>
          <w:tcPr>
            <w:tcW w:w="2126" w:type="dxa"/>
            <w:tcMar>
              <w:top w:w="85" w:type="dxa"/>
              <w:left w:w="85" w:type="dxa"/>
              <w:bottom w:w="85" w:type="dxa"/>
            </w:tcMar>
          </w:tcPr>
          <w:p>
            <w:pPr>
              <w:spacing w:after="0"/>
              <w:jc w:val="left"/>
              <w:rPr>
                <w:noProof/>
                <w:sz w:val="20"/>
                <w:lang w:val="fr-BE"/>
              </w:rPr>
            </w:pPr>
            <w:r>
              <w:rPr>
                <w:noProof/>
                <w:sz w:val="20"/>
                <w:lang w:val="fr-BE"/>
              </w:rPr>
              <w:t>COM(2017) 282 final</w:t>
            </w:r>
            <w:r>
              <w:rPr>
                <w:noProof/>
                <w:sz w:val="20"/>
                <w:lang w:val="fr-BE"/>
              </w:rPr>
              <w:br/>
              <w:t>2017/0113 (COD)</w:t>
            </w:r>
            <w:r>
              <w:rPr>
                <w:noProof/>
                <w:sz w:val="20"/>
                <w:lang w:val="fr-BE"/>
              </w:rPr>
              <w:br/>
              <w:t>31.5.2017</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(CE) n° 1073/2009 établissant des règles communes pour l'accès au marché international des services de transport par autocars et autobus</w:t>
            </w:r>
          </w:p>
        </w:tc>
        <w:tc>
          <w:tcPr>
            <w:tcW w:w="2126" w:type="dxa"/>
            <w:tcMar>
              <w:top w:w="85" w:type="dxa"/>
              <w:left w:w="85" w:type="dxa"/>
              <w:bottom w:w="85" w:type="dxa"/>
            </w:tcMar>
          </w:tcPr>
          <w:p>
            <w:pPr>
              <w:spacing w:after="0"/>
              <w:jc w:val="left"/>
              <w:rPr>
                <w:noProof/>
                <w:sz w:val="20"/>
                <w:lang w:val="fr-BE"/>
              </w:rPr>
            </w:pPr>
            <w:r>
              <w:rPr>
                <w:noProof/>
                <w:sz w:val="20"/>
                <w:lang w:val="fr-BE"/>
              </w:rPr>
              <w:t>COM(2017) 647 final</w:t>
            </w:r>
            <w:r>
              <w:rPr>
                <w:noProof/>
                <w:sz w:val="20"/>
                <w:lang w:val="fr-BE"/>
              </w:rPr>
              <w:br/>
              <w:t>2017/0288 (COD)</w:t>
            </w:r>
            <w:r>
              <w:rPr>
                <w:noProof/>
                <w:sz w:val="20"/>
                <w:lang w:val="fr-BE"/>
              </w:rPr>
              <w:br/>
              <w:t>8.11.2017</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mettant fin aux changements d’heure saisonniers et abrogeant la directive 2000/84/CE</w:t>
            </w:r>
          </w:p>
        </w:tc>
        <w:tc>
          <w:tcPr>
            <w:tcW w:w="2126" w:type="dxa"/>
            <w:tcMar>
              <w:top w:w="85" w:type="dxa"/>
              <w:left w:w="85" w:type="dxa"/>
              <w:bottom w:w="85" w:type="dxa"/>
            </w:tcMar>
          </w:tcPr>
          <w:p>
            <w:pPr>
              <w:spacing w:after="0"/>
              <w:jc w:val="left"/>
              <w:rPr>
                <w:noProof/>
                <w:sz w:val="20"/>
                <w:lang w:val="fr-BE"/>
              </w:rPr>
            </w:pPr>
            <w:r>
              <w:rPr>
                <w:noProof/>
                <w:sz w:val="20"/>
                <w:lang w:val="fr-BE"/>
              </w:rPr>
              <w:t>COM(2018) 639 final</w:t>
            </w:r>
            <w:r>
              <w:rPr>
                <w:noProof/>
                <w:sz w:val="20"/>
                <w:lang w:val="fr-BE"/>
              </w:rPr>
              <w:br/>
              <w:t>2018/0332 (COD)</w:t>
            </w:r>
            <w:r>
              <w:rPr>
                <w:noProof/>
                <w:sz w:val="20"/>
                <w:lang w:val="fr-BE"/>
              </w:rPr>
              <w:br/>
              <w:t>12.9.2018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(CE) nº 715/2007 relatif à la réception des véhicules à moteur au regard des émissions des véhicules particuliers et utilitaires légers (Euro 5 et Euro 6) et aux informations sur la réparation et l’entretien des véhicules</w:t>
            </w:r>
          </w:p>
        </w:tc>
        <w:tc>
          <w:tcPr>
            <w:tcW w:w="2126" w:type="dxa"/>
            <w:tcMar>
              <w:top w:w="85" w:type="dxa"/>
              <w:left w:w="85" w:type="dxa"/>
              <w:bottom w:w="85" w:type="dxa"/>
            </w:tcMar>
          </w:tcPr>
          <w:p>
            <w:pPr>
              <w:spacing w:after="0"/>
              <w:jc w:val="left"/>
              <w:rPr>
                <w:noProof/>
                <w:sz w:val="20"/>
                <w:lang w:val="fr-BE"/>
              </w:rPr>
            </w:pPr>
            <w:r>
              <w:rPr>
                <w:noProof/>
                <w:sz w:val="20"/>
                <w:lang w:val="fr-BE"/>
              </w:rPr>
              <w:t>COM(2019) 208 final</w:t>
            </w:r>
            <w:r>
              <w:rPr>
                <w:noProof/>
                <w:sz w:val="20"/>
                <w:lang w:val="fr-BE"/>
              </w:rPr>
              <w:br/>
              <w:t>2019/0101 (COD)</w:t>
            </w:r>
            <w:r>
              <w:rPr>
                <w:noProof/>
                <w:sz w:val="20"/>
                <w:lang w:val="fr-BE"/>
              </w:rPr>
              <w:br/>
              <w:t>14.6.2019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 xml:space="preserve">Proposition de RÈGLEMENT DU PARLEMENT EUROPÉEN ET DU CONSEIL concernant le respect de la vie privée et la protection des données à caractère personnel dans les communications électroniques et abrogeant la directive 2002/58/CE (règlement «vie privée et communications électroniques») </w:t>
            </w:r>
          </w:p>
        </w:tc>
        <w:tc>
          <w:tcPr>
            <w:tcW w:w="2126" w:type="dxa"/>
            <w:tcMar>
              <w:top w:w="85" w:type="dxa"/>
              <w:left w:w="85" w:type="dxa"/>
              <w:bottom w:w="85" w:type="dxa"/>
            </w:tcMar>
          </w:tcPr>
          <w:p>
            <w:pPr>
              <w:spacing w:after="0"/>
              <w:jc w:val="left"/>
              <w:rPr>
                <w:noProof/>
                <w:sz w:val="20"/>
                <w:lang w:val="fr-BE"/>
              </w:rPr>
            </w:pPr>
            <w:r>
              <w:rPr>
                <w:noProof/>
                <w:sz w:val="20"/>
                <w:lang w:val="fr-BE"/>
              </w:rPr>
              <w:t>COM(2017) 10 final</w:t>
            </w:r>
            <w:r>
              <w:rPr>
                <w:noProof/>
                <w:sz w:val="20"/>
                <w:lang w:val="fr-BE"/>
              </w:rPr>
              <w:br/>
              <w:t>2017/0003 (COD)</w:t>
            </w:r>
            <w:r>
              <w:rPr>
                <w:noProof/>
                <w:sz w:val="20"/>
                <w:lang w:val="fr-BE"/>
              </w:rPr>
              <w:br/>
              <w:t>10.1.2017</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Centre européen de compétences industrielles, technologiques et de recherche en matière de cybersécurité et le Réseau de centres nationaux de coordination Contribution de la Commission européenne à la réunion des dirigeants des 19 et 20 septembre 2018 à Salzbourg</w:t>
            </w:r>
          </w:p>
        </w:tc>
        <w:tc>
          <w:tcPr>
            <w:tcW w:w="2126" w:type="dxa"/>
            <w:tcMar>
              <w:top w:w="85" w:type="dxa"/>
              <w:left w:w="85" w:type="dxa"/>
              <w:bottom w:w="85" w:type="dxa"/>
            </w:tcMar>
          </w:tcPr>
          <w:p>
            <w:pPr>
              <w:spacing w:after="0"/>
              <w:jc w:val="left"/>
              <w:rPr>
                <w:noProof/>
                <w:sz w:val="20"/>
                <w:lang w:val="fr-BE"/>
              </w:rPr>
            </w:pPr>
            <w:r>
              <w:rPr>
                <w:noProof/>
                <w:sz w:val="20"/>
                <w:lang w:val="fr-BE"/>
              </w:rPr>
              <w:t>COM(2018) 630 final</w:t>
            </w:r>
            <w:r>
              <w:rPr>
                <w:noProof/>
                <w:sz w:val="20"/>
                <w:lang w:val="fr-BE"/>
              </w:rPr>
              <w:br/>
              <w:t>2018/0328 (COD)</w:t>
            </w:r>
            <w:r>
              <w:rPr>
                <w:noProof/>
                <w:sz w:val="20"/>
                <w:lang w:val="fr-BE"/>
              </w:rPr>
              <w:br/>
              <w:t>12.9.2019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relative au cadre juridique et opérationnel applicable à la carte électronique européenne de services introduite par le règlement... [règlement CES]...</w:t>
            </w:r>
          </w:p>
        </w:tc>
        <w:tc>
          <w:tcPr>
            <w:tcW w:w="2126" w:type="dxa"/>
            <w:tcMar>
              <w:top w:w="85" w:type="dxa"/>
              <w:left w:w="85" w:type="dxa"/>
              <w:bottom w:w="85" w:type="dxa"/>
            </w:tcMar>
          </w:tcPr>
          <w:p>
            <w:pPr>
              <w:spacing w:after="0"/>
              <w:jc w:val="left"/>
              <w:rPr>
                <w:noProof/>
                <w:sz w:val="20"/>
                <w:lang w:val="fr-BE"/>
              </w:rPr>
            </w:pPr>
            <w:r>
              <w:rPr>
                <w:noProof/>
                <w:sz w:val="20"/>
                <w:lang w:val="fr-BE"/>
              </w:rPr>
              <w:t>COM(2016) 823 final</w:t>
            </w:r>
            <w:r>
              <w:rPr>
                <w:noProof/>
                <w:sz w:val="20"/>
                <w:lang w:val="fr-BE"/>
              </w:rPr>
              <w:br/>
              <w:t>2016/0402 (COD)</w:t>
            </w:r>
            <w:r>
              <w:rPr>
                <w:noProof/>
                <w:sz w:val="20"/>
                <w:lang w:val="fr-BE"/>
              </w:rPr>
              <w:br/>
              <w:t>10.1.2017</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portant introduction d’une carte électronique européenne de services et de facilités administratives connexes</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COM(2016) 824 final</w:t>
            </w:r>
            <w:r>
              <w:rPr>
                <w:noProof/>
                <w:sz w:val="20"/>
                <w:lang w:val="fr-BE"/>
              </w:rPr>
              <w:br/>
              <w:t>2016/0403 (COD)</w:t>
            </w:r>
            <w:r>
              <w:rPr>
                <w:noProof/>
                <w:sz w:val="20"/>
                <w:lang w:val="fr-BE"/>
              </w:rPr>
              <w:br/>
              <w:t>10.1.2017</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mécanisme pour l’interconnexion en Europe et abrogeant les règlements (UE) nº 1316/2013 et (UE) nº 283/2014</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438 final</w:t>
            </w:r>
            <w:r>
              <w:rPr>
                <w:noProof/>
                <w:sz w:val="20"/>
                <w:lang w:val="fr-BE"/>
              </w:rPr>
              <w:br/>
              <w:t>2018/0228 (COD)</w:t>
            </w:r>
            <w:r>
              <w:rPr>
                <w:noProof/>
                <w:sz w:val="20"/>
                <w:lang w:val="fr-BE"/>
              </w:rPr>
              <w:br/>
              <w:t>7.6.2018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en faveur du marché unique, de la compétitivité des entreprises, dont les petites et moyennes entreprises, et des statistiques européennes et abrogeant les règlements (UE) nº 99/2013, (UE) nº 1287/2013, (UE) nº 254/2014, (UE) nº 258/2014, (UE) nº 652/2014 et (UE) 2017/826</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441 final</w:t>
            </w:r>
            <w:r>
              <w:rPr>
                <w:noProof/>
                <w:sz w:val="20"/>
                <w:lang w:val="fr-BE"/>
              </w:rPr>
              <w:br/>
              <w:t>2018/0231 (COD)</w:t>
            </w:r>
            <w:r>
              <w:rPr>
                <w:noProof/>
                <w:sz w:val="20"/>
                <w:lang w:val="fr-BE"/>
              </w:rPr>
              <w:br/>
              <w:t>7.6.2018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DÉCISION DU PARLEMENT EUROPÉEN ET DU CONSEIL établissant le programme spécifique d’exécution du programme-cadre pour la recherche et l’innovation «Horizon Europe»</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436 final</w:t>
            </w:r>
            <w:r>
              <w:rPr>
                <w:noProof/>
                <w:sz w:val="20"/>
                <w:lang w:val="fr-BE"/>
              </w:rPr>
              <w:br/>
              <w:t>2018/0225 (COD)</w:t>
            </w:r>
            <w:r>
              <w:rPr>
                <w:noProof/>
                <w:sz w:val="20"/>
                <w:lang w:val="fr-BE"/>
              </w:rPr>
              <w:br/>
              <w:t>7.6.2018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portant établissement du programme-cadre pour la recherche et l’innovation «Horizon Europe» et définissant ses règles de participation et de diffusion</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435 final</w:t>
            </w:r>
            <w:r>
              <w:rPr>
                <w:noProof/>
                <w:sz w:val="20"/>
                <w:lang w:val="fr-BE"/>
              </w:rPr>
              <w:br/>
              <w:t>2018/0224 (COD)</w:t>
            </w:r>
            <w:r>
              <w:rPr>
                <w:noProof/>
                <w:sz w:val="20"/>
                <w:lang w:val="fr-BE"/>
              </w:rPr>
              <w:br/>
              <w:t>7.6.2018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CONSEIL établissant le programme de recherche et de formation de la Communauté européenne de l’énergie atomique pour la période 2021–2025 complétant le programme-cadre pour la recherche et l’innovation «Horizon Europe»</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437 final</w:t>
            </w:r>
            <w:r>
              <w:rPr>
                <w:noProof/>
                <w:sz w:val="20"/>
                <w:lang w:val="fr-BE"/>
              </w:rPr>
              <w:br/>
              <w:t>2018/0226 (NLE)</w:t>
            </w:r>
            <w:r>
              <w:rPr>
                <w:noProof/>
                <w:sz w:val="20"/>
                <w:lang w:val="fr-BE"/>
              </w:rPr>
              <w:br/>
              <w:t>7.6.2018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pour une Europe numérique pour la période 2021-2027</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434 final</w:t>
            </w:r>
            <w:r>
              <w:rPr>
                <w:noProof/>
                <w:sz w:val="20"/>
                <w:lang w:val="fr-BE"/>
              </w:rPr>
              <w:br/>
              <w:t>2018/0227 (COD)</w:t>
            </w:r>
            <w:r>
              <w:rPr>
                <w:noProof/>
                <w:sz w:val="20"/>
                <w:lang w:val="fr-BE"/>
              </w:rPr>
              <w:br/>
              <w:t>8.6.2018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Fonds européen de la défense</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476 final</w:t>
            </w:r>
            <w:r>
              <w:rPr>
                <w:noProof/>
                <w:sz w:val="20"/>
                <w:lang w:val="fr-BE"/>
              </w:rPr>
              <w:br/>
              <w:t>2018/0254 (COD)</w:t>
            </w:r>
            <w:r>
              <w:rPr>
                <w:noProof/>
                <w:sz w:val="20"/>
                <w:lang w:val="fr-BE"/>
              </w:rPr>
              <w:br/>
              <w:t>13.6.2018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spatial de l’Union et l’Agence de l’Union européenne pour le programme spatial et abrogeant les règlements (UE) nº 912/2010, (UE) nº 1285/2013, (UE) nº 377/2014 et la décision nº 541/2014/UE</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447 final</w:t>
            </w:r>
            <w:r>
              <w:rPr>
                <w:noProof/>
                <w:sz w:val="20"/>
                <w:lang w:val="fr-BE"/>
              </w:rPr>
              <w:br/>
              <w:t>2018/0236 (COD)</w:t>
            </w:r>
            <w:r>
              <w:rPr>
                <w:noProof/>
                <w:sz w:val="20"/>
                <w:lang w:val="fr-BE"/>
              </w:rPr>
              <w:br/>
              <w:t>8.6.2018</w:t>
            </w:r>
          </w:p>
        </w:tc>
      </w:tr>
      <w:tr>
        <w:trPr>
          <w:cantSplit/>
        </w:trPr>
        <w:tc>
          <w:tcPr>
            <w:tcW w:w="14850" w:type="dxa"/>
            <w:gridSpan w:val="3"/>
            <w:shd w:val="clear" w:color="auto" w:fill="F68A42" w:themeFill="accent3"/>
            <w:tcMar>
              <w:top w:w="85" w:type="dxa"/>
              <w:left w:w="85" w:type="dxa"/>
              <w:bottom w:w="85" w:type="dxa"/>
              <w:right w:w="85" w:type="dxa"/>
            </w:tcMar>
          </w:tcPr>
          <w:p>
            <w:pPr>
              <w:spacing w:before="60" w:after="60"/>
              <w:rPr>
                <w:noProof/>
                <w:sz w:val="20"/>
                <w:lang w:val="fr-BE"/>
              </w:rPr>
            </w:pPr>
            <w:r>
              <w:rPr>
                <w:b/>
                <w:bCs/>
                <w:noProof/>
                <w:color w:val="FFFFFF" w:themeColor="background1"/>
                <w:sz w:val="20"/>
                <w:lang w:val="fr-BE"/>
              </w:rPr>
              <w:t>Une économie au service des personnes</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CONSEIL établissant des dispositions en vue du renforcement de la responsabilité budgétaire et de l’orientation budgétaire à moyen terme dans les États membres</w:t>
            </w:r>
            <w:r>
              <w:rPr>
                <w:b/>
                <w:bCs/>
                <w:noProof/>
                <w:sz w:val="20"/>
                <w:lang w:val="fr-BE"/>
              </w:rPr>
              <w:t xml:space="preserve"> </w:t>
            </w:r>
          </w:p>
        </w:tc>
        <w:tc>
          <w:tcPr>
            <w:tcW w:w="2126" w:type="dxa"/>
            <w:tcMar>
              <w:top w:w="85" w:type="dxa"/>
              <w:left w:w="85" w:type="dxa"/>
              <w:bottom w:w="85" w:type="dxa"/>
            </w:tcMar>
          </w:tcPr>
          <w:p>
            <w:pPr>
              <w:spacing w:after="0"/>
              <w:jc w:val="left"/>
              <w:rPr>
                <w:noProof/>
                <w:sz w:val="20"/>
                <w:lang w:val="fr-BE"/>
              </w:rPr>
            </w:pPr>
            <w:r>
              <w:rPr>
                <w:noProof/>
                <w:sz w:val="20"/>
                <w:lang w:val="fr-BE"/>
              </w:rPr>
              <w:t>COM(2017) 824 final</w:t>
            </w:r>
            <w:r>
              <w:rPr>
                <w:noProof/>
                <w:sz w:val="20"/>
                <w:lang w:val="fr-BE"/>
              </w:rPr>
              <w:br/>
              <w:t>2017/0335 (CNS)</w:t>
            </w:r>
            <w:r>
              <w:rPr>
                <w:noProof/>
                <w:sz w:val="20"/>
                <w:lang w:val="fr-BE"/>
              </w:rPr>
              <w:br/>
              <w:t>6.12.2017</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(UE) n° 806/2014 afin d’établir un système européen d'assurance des dépôts</w:t>
            </w:r>
          </w:p>
        </w:tc>
        <w:tc>
          <w:tcPr>
            <w:tcW w:w="2126" w:type="dxa"/>
            <w:tcMar>
              <w:top w:w="85" w:type="dxa"/>
              <w:left w:w="85" w:type="dxa"/>
              <w:bottom w:w="85" w:type="dxa"/>
            </w:tcMar>
          </w:tcPr>
          <w:p>
            <w:pPr>
              <w:spacing w:after="0"/>
              <w:jc w:val="left"/>
              <w:rPr>
                <w:noProof/>
                <w:sz w:val="20"/>
                <w:lang w:val="fr-BE"/>
              </w:rPr>
            </w:pPr>
            <w:r>
              <w:rPr>
                <w:noProof/>
                <w:sz w:val="20"/>
                <w:lang w:val="fr-BE"/>
              </w:rPr>
              <w:t>COM(2015) 586 final</w:t>
            </w:r>
            <w:r>
              <w:rPr>
                <w:noProof/>
                <w:sz w:val="20"/>
                <w:lang w:val="fr-BE"/>
              </w:rPr>
              <w:br/>
              <w:t>2015/0270 (COD)</w:t>
            </w:r>
            <w:r>
              <w:rPr>
                <w:noProof/>
                <w:sz w:val="20"/>
                <w:lang w:val="fr-BE"/>
              </w:rPr>
              <w:br/>
              <w:t>24.11.2015</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concernant les titres adossés à des obligations souveraines</w:t>
            </w:r>
          </w:p>
        </w:tc>
        <w:tc>
          <w:tcPr>
            <w:tcW w:w="2126" w:type="dxa"/>
            <w:tcMar>
              <w:top w:w="85" w:type="dxa"/>
              <w:left w:w="85" w:type="dxa"/>
              <w:bottom w:w="85" w:type="dxa"/>
            </w:tcMar>
          </w:tcPr>
          <w:p>
            <w:pPr>
              <w:spacing w:after="0"/>
              <w:jc w:val="left"/>
              <w:rPr>
                <w:noProof/>
                <w:sz w:val="20"/>
                <w:lang w:val="fr-BE"/>
              </w:rPr>
            </w:pPr>
            <w:r>
              <w:rPr>
                <w:noProof/>
                <w:sz w:val="20"/>
                <w:lang w:val="fr-BE"/>
              </w:rPr>
              <w:t>COM(2018) 339 final</w:t>
            </w:r>
            <w:r>
              <w:rPr>
                <w:noProof/>
                <w:sz w:val="20"/>
                <w:lang w:val="fr-BE"/>
              </w:rPr>
              <w:br/>
              <w:t>2018/0171 (COD)</w:t>
            </w:r>
            <w:r>
              <w:rPr>
                <w:noProof/>
                <w:sz w:val="20"/>
                <w:lang w:val="fr-BE"/>
              </w:rPr>
              <w:br/>
              <w:t>24.5.2018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sur les gestionnaires de crédits, les acheteurs de crédits et le recouvrement de garantie</w:t>
            </w:r>
          </w:p>
        </w:tc>
        <w:tc>
          <w:tcPr>
            <w:tcW w:w="2126" w:type="dxa"/>
            <w:tcMar>
              <w:top w:w="85" w:type="dxa"/>
              <w:left w:w="85" w:type="dxa"/>
              <w:bottom w:w="85" w:type="dxa"/>
            </w:tcMar>
          </w:tcPr>
          <w:p>
            <w:pPr>
              <w:spacing w:after="0"/>
              <w:jc w:val="left"/>
              <w:rPr>
                <w:noProof/>
                <w:sz w:val="20"/>
                <w:lang w:val="fr-BE"/>
              </w:rPr>
            </w:pPr>
            <w:r>
              <w:rPr>
                <w:noProof/>
                <w:sz w:val="20"/>
                <w:lang w:val="fr-BE"/>
              </w:rPr>
              <w:t>COM(2018) 135 final</w:t>
            </w:r>
            <w:r>
              <w:rPr>
                <w:noProof/>
                <w:sz w:val="20"/>
                <w:lang w:val="fr-BE"/>
              </w:rPr>
              <w:br/>
              <w:t>2018/0063 (COD)</w:t>
            </w:r>
            <w:r>
              <w:rPr>
                <w:noProof/>
                <w:sz w:val="20"/>
                <w:lang w:val="fr-BE"/>
              </w:rPr>
              <w:br/>
              <w:t>14.3.2018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modifiant la directive 2013/34/UE en ce qui concerne la communication, par certaines entreprises et succursales, d’informations relatives à l’impôt sur les bénéfices</w:t>
            </w:r>
          </w:p>
        </w:tc>
        <w:tc>
          <w:tcPr>
            <w:tcW w:w="2126" w:type="dxa"/>
            <w:tcMar>
              <w:top w:w="85" w:type="dxa"/>
              <w:left w:w="85" w:type="dxa"/>
              <w:bottom w:w="85" w:type="dxa"/>
            </w:tcMar>
          </w:tcPr>
          <w:p>
            <w:pPr>
              <w:spacing w:after="0"/>
              <w:jc w:val="left"/>
              <w:rPr>
                <w:noProof/>
                <w:sz w:val="20"/>
                <w:lang w:val="fr-BE"/>
              </w:rPr>
            </w:pPr>
            <w:r>
              <w:rPr>
                <w:noProof/>
                <w:sz w:val="20"/>
                <w:lang w:val="fr-BE"/>
              </w:rPr>
              <w:t>COM(2016) 198 final</w:t>
            </w:r>
            <w:r>
              <w:rPr>
                <w:noProof/>
                <w:sz w:val="20"/>
                <w:lang w:val="fr-BE"/>
              </w:rPr>
              <w:br/>
              <w:t>2016/0107 (COD)</w:t>
            </w:r>
            <w:r>
              <w:rPr>
                <w:noProof/>
                <w:sz w:val="20"/>
                <w:lang w:val="fr-BE"/>
              </w:rPr>
              <w:br/>
              <w:t>13.4.2016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relatif à un cadre pour le redressement et la résolution des contreparties centrales et modifiant les règlements (UE) nº 1095/2010, (UE) nº 648/2012 et (UE) 2015/2365</w:t>
            </w:r>
          </w:p>
        </w:tc>
        <w:tc>
          <w:tcPr>
            <w:tcW w:w="2126" w:type="dxa"/>
            <w:tcMar>
              <w:top w:w="85" w:type="dxa"/>
              <w:left w:w="85" w:type="dxa"/>
              <w:bottom w:w="85" w:type="dxa"/>
            </w:tcMar>
          </w:tcPr>
          <w:p>
            <w:pPr>
              <w:spacing w:after="0"/>
              <w:jc w:val="left"/>
              <w:rPr>
                <w:noProof/>
                <w:sz w:val="20"/>
                <w:lang w:val="fr-BE"/>
              </w:rPr>
            </w:pPr>
            <w:r>
              <w:rPr>
                <w:noProof/>
                <w:sz w:val="20"/>
                <w:lang w:val="fr-BE"/>
              </w:rPr>
              <w:t>COM(2016) 856 final</w:t>
            </w:r>
            <w:r>
              <w:rPr>
                <w:noProof/>
                <w:sz w:val="20"/>
                <w:lang w:val="fr-BE"/>
              </w:rPr>
              <w:br/>
              <w:t>2016/0365 (COD)</w:t>
            </w:r>
            <w:r>
              <w:rPr>
                <w:noProof/>
                <w:sz w:val="20"/>
                <w:lang w:val="fr-BE"/>
              </w:rPr>
              <w:br/>
              <w:t>28.11.2016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DÉCISION DU CONSEIL arrêtant des mesures en vue d'établir progressivement une représentation unifiée de la zone euro au sein du Fonds monétaire international</w:t>
            </w:r>
          </w:p>
        </w:tc>
        <w:tc>
          <w:tcPr>
            <w:tcW w:w="2126" w:type="dxa"/>
            <w:tcMar>
              <w:top w:w="85" w:type="dxa"/>
              <w:left w:w="85" w:type="dxa"/>
              <w:bottom w:w="85" w:type="dxa"/>
            </w:tcMar>
          </w:tcPr>
          <w:p>
            <w:pPr>
              <w:spacing w:after="0"/>
              <w:jc w:val="left"/>
              <w:rPr>
                <w:noProof/>
                <w:sz w:val="20"/>
                <w:lang w:val="fr-BE"/>
              </w:rPr>
            </w:pPr>
            <w:r>
              <w:rPr>
                <w:noProof/>
                <w:sz w:val="20"/>
                <w:lang w:val="fr-BE"/>
              </w:rPr>
              <w:t>COM(2015) 603 final</w:t>
            </w:r>
            <w:r>
              <w:rPr>
                <w:noProof/>
                <w:sz w:val="20"/>
                <w:lang w:val="fr-BE"/>
              </w:rPr>
              <w:br/>
              <w:t>2015/0250 (NLE)</w:t>
            </w:r>
            <w:r>
              <w:rPr>
                <w:noProof/>
                <w:sz w:val="20"/>
                <w:lang w:val="fr-BE"/>
              </w:rPr>
              <w:br/>
              <w:t>21.10.2015</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relatif à un cadre de gouvernance pour l’instrument budgétaire de convergence et de compétitivité pour la zone euro</w:t>
            </w:r>
          </w:p>
        </w:tc>
        <w:tc>
          <w:tcPr>
            <w:tcW w:w="2126" w:type="dxa"/>
            <w:tcMar>
              <w:top w:w="85" w:type="dxa"/>
              <w:left w:w="85" w:type="dxa"/>
              <w:bottom w:w="85" w:type="dxa"/>
            </w:tcMar>
          </w:tcPr>
          <w:p>
            <w:pPr>
              <w:spacing w:after="0"/>
              <w:jc w:val="left"/>
              <w:rPr>
                <w:noProof/>
                <w:sz w:val="20"/>
                <w:lang w:val="fr-BE"/>
              </w:rPr>
            </w:pPr>
            <w:r>
              <w:rPr>
                <w:noProof/>
                <w:sz w:val="20"/>
                <w:lang w:val="fr-BE"/>
              </w:rPr>
              <w:t>COM(2019) 354 final</w:t>
            </w:r>
            <w:r>
              <w:rPr>
                <w:noProof/>
                <w:sz w:val="20"/>
                <w:lang w:val="fr-BE"/>
              </w:rPr>
              <w:br/>
              <w:t>2019/0161 (COD)</w:t>
            </w:r>
            <w:r>
              <w:rPr>
                <w:noProof/>
                <w:sz w:val="20"/>
                <w:lang w:val="fr-BE"/>
              </w:rPr>
              <w:br/>
              <w:t>24.7.2019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(CE) nº 883/2004 portant sur la coordination des systèmes de sécurité sociale et le règlement (CE) nº 987/2009 fixant les modalités d’application du règlement (CE) nº 883/2004 (Texte présentant de l’intérêt pour l’EEE et la Suisse)</w:t>
            </w:r>
          </w:p>
        </w:tc>
        <w:tc>
          <w:tcPr>
            <w:tcW w:w="2126" w:type="dxa"/>
            <w:tcMar>
              <w:top w:w="85" w:type="dxa"/>
              <w:left w:w="85" w:type="dxa"/>
              <w:bottom w:w="85" w:type="dxa"/>
            </w:tcMar>
          </w:tcPr>
          <w:p>
            <w:pPr>
              <w:spacing w:after="0"/>
              <w:jc w:val="left"/>
              <w:rPr>
                <w:noProof/>
                <w:sz w:val="20"/>
                <w:lang w:val="fr-BE"/>
              </w:rPr>
            </w:pPr>
            <w:r>
              <w:rPr>
                <w:noProof/>
                <w:sz w:val="20"/>
                <w:lang w:val="fr-BE"/>
              </w:rPr>
              <w:t>COM(2016) 815 final</w:t>
            </w:r>
            <w:r>
              <w:rPr>
                <w:noProof/>
                <w:sz w:val="20"/>
                <w:lang w:val="fr-BE"/>
              </w:rPr>
              <w:br/>
              <w:t>2016/0397 (COD)</w:t>
            </w:r>
            <w:r>
              <w:rPr>
                <w:noProof/>
                <w:sz w:val="20"/>
                <w:lang w:val="fr-BE"/>
              </w:rPr>
              <w:br/>
              <w:t>14.12.2016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DÉCISION DU PARLEMENT EUROPÉEN ET DU CONSEIL modifiant la décision nº 573/2014/UE relative à l’amélioration de la coopération entre les services publics de l’emploi (SPE)</w:t>
            </w:r>
          </w:p>
        </w:tc>
        <w:tc>
          <w:tcPr>
            <w:tcW w:w="2126" w:type="dxa"/>
            <w:tcMar>
              <w:top w:w="85" w:type="dxa"/>
              <w:left w:w="85" w:type="dxa"/>
              <w:bottom w:w="85" w:type="dxa"/>
            </w:tcMar>
          </w:tcPr>
          <w:p>
            <w:pPr>
              <w:spacing w:after="0"/>
              <w:jc w:val="left"/>
              <w:rPr>
                <w:noProof/>
                <w:sz w:val="20"/>
                <w:lang w:val="fr-BE"/>
              </w:rPr>
            </w:pPr>
            <w:r>
              <w:rPr>
                <w:noProof/>
                <w:sz w:val="20"/>
                <w:lang w:val="fr-BE"/>
              </w:rPr>
              <w:t>COM(2019) 620 final</w:t>
            </w:r>
            <w:r>
              <w:rPr>
                <w:noProof/>
                <w:sz w:val="20"/>
                <w:lang w:val="fr-BE"/>
              </w:rPr>
              <w:br/>
              <w:t>2019/0188 (COD)</w:t>
            </w:r>
            <w:r>
              <w:rPr>
                <w:noProof/>
                <w:sz w:val="20"/>
                <w:lang w:val="fr-BE"/>
              </w:rPr>
              <w:br/>
              <w:t>11.9.2019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CONSEIL concernant la création du Fonds monétaire européen</w:t>
            </w:r>
          </w:p>
        </w:tc>
        <w:tc>
          <w:tcPr>
            <w:tcW w:w="2126" w:type="dxa"/>
            <w:tcMar>
              <w:top w:w="85" w:type="dxa"/>
              <w:left w:w="85" w:type="dxa"/>
              <w:bottom w:w="85" w:type="dxa"/>
            </w:tcMar>
          </w:tcPr>
          <w:p>
            <w:pPr>
              <w:spacing w:after="0"/>
              <w:jc w:val="left"/>
              <w:rPr>
                <w:noProof/>
                <w:sz w:val="20"/>
                <w:lang w:val="fr-BE"/>
              </w:rPr>
            </w:pPr>
            <w:r>
              <w:rPr>
                <w:noProof/>
                <w:sz w:val="20"/>
                <w:lang w:val="fr-BE"/>
              </w:rPr>
              <w:t>COM(2017) 827 final</w:t>
            </w:r>
            <w:r>
              <w:rPr>
                <w:noProof/>
                <w:sz w:val="20"/>
                <w:lang w:val="fr-BE"/>
              </w:rPr>
              <w:br/>
              <w:t>2017/0333 (APP)</w:t>
            </w:r>
            <w:r>
              <w:rPr>
                <w:noProof/>
                <w:sz w:val="20"/>
                <w:lang w:val="fr-BE"/>
              </w:rPr>
              <w:br/>
              <w:t>7.12.2017</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CONSEIL établissant un mécanisme d'assistance financière pour les États membres dont la monnaie n'est pas l'euro</w:t>
            </w:r>
          </w:p>
        </w:tc>
        <w:tc>
          <w:tcPr>
            <w:tcW w:w="2126" w:type="dxa"/>
            <w:tcMar>
              <w:top w:w="85" w:type="dxa"/>
              <w:left w:w="85" w:type="dxa"/>
              <w:bottom w:w="85" w:type="dxa"/>
            </w:tcMar>
          </w:tcPr>
          <w:p>
            <w:pPr>
              <w:spacing w:after="0"/>
              <w:jc w:val="left"/>
              <w:rPr>
                <w:noProof/>
                <w:sz w:val="20"/>
                <w:lang w:val="fr-BE"/>
              </w:rPr>
            </w:pPr>
            <w:r>
              <w:rPr>
                <w:noProof/>
                <w:sz w:val="20"/>
                <w:lang w:val="fr-BE"/>
              </w:rPr>
              <w:t>COM(2012) 336 final</w:t>
            </w:r>
            <w:r>
              <w:rPr>
                <w:noProof/>
                <w:sz w:val="20"/>
                <w:lang w:val="fr-BE"/>
              </w:rPr>
              <w:br/>
              <w:t>2012/0164 (APP)</w:t>
            </w:r>
            <w:r>
              <w:rPr>
                <w:noProof/>
                <w:sz w:val="20"/>
                <w:lang w:val="fr-BE"/>
              </w:rPr>
              <w:br/>
              <w:t>22.6.2012</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CONSEIL concernant une assiette commune consolidée pour l’impôt sur les sociétés (ACCIS)</w:t>
            </w:r>
          </w:p>
        </w:tc>
        <w:tc>
          <w:tcPr>
            <w:tcW w:w="2126" w:type="dxa"/>
            <w:tcMar>
              <w:top w:w="85" w:type="dxa"/>
              <w:left w:w="85" w:type="dxa"/>
              <w:bottom w:w="85" w:type="dxa"/>
            </w:tcMar>
          </w:tcPr>
          <w:p>
            <w:pPr>
              <w:spacing w:after="0"/>
              <w:jc w:val="left"/>
              <w:rPr>
                <w:noProof/>
                <w:sz w:val="20"/>
                <w:lang w:val="fr-BE"/>
              </w:rPr>
            </w:pPr>
            <w:r>
              <w:rPr>
                <w:noProof/>
                <w:sz w:val="20"/>
                <w:lang w:val="fr-BE"/>
              </w:rPr>
              <w:t>COM(2016) 683 final</w:t>
            </w:r>
            <w:r>
              <w:rPr>
                <w:noProof/>
                <w:sz w:val="20"/>
                <w:lang w:val="fr-BE"/>
              </w:rPr>
              <w:br/>
              <w:t>2016/0336 (CNS)</w:t>
            </w:r>
            <w:r>
              <w:rPr>
                <w:noProof/>
                <w:sz w:val="20"/>
                <w:lang w:val="fr-BE"/>
              </w:rPr>
              <w:br/>
              <w:t>26.10.2016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CONSEIL concernant une assiette commune pour l'impôt sur les sociétés</w:t>
            </w:r>
          </w:p>
        </w:tc>
        <w:tc>
          <w:tcPr>
            <w:tcW w:w="2126" w:type="dxa"/>
            <w:tcMar>
              <w:top w:w="85" w:type="dxa"/>
              <w:left w:w="85" w:type="dxa"/>
              <w:bottom w:w="85" w:type="dxa"/>
            </w:tcMar>
          </w:tcPr>
          <w:p>
            <w:pPr>
              <w:spacing w:after="0"/>
              <w:jc w:val="left"/>
              <w:rPr>
                <w:noProof/>
                <w:sz w:val="20"/>
                <w:lang w:val="fr-BE"/>
              </w:rPr>
            </w:pPr>
            <w:r>
              <w:rPr>
                <w:noProof/>
                <w:sz w:val="20"/>
                <w:lang w:val="fr-BE"/>
              </w:rPr>
              <w:t>COM(2016) 685 final</w:t>
            </w:r>
            <w:r>
              <w:rPr>
                <w:noProof/>
                <w:sz w:val="20"/>
                <w:lang w:val="fr-BE"/>
              </w:rPr>
              <w:br/>
              <w:t>2016/0337 (CNS)</w:t>
            </w:r>
            <w:r>
              <w:rPr>
                <w:noProof/>
                <w:sz w:val="20"/>
                <w:lang w:val="fr-BE"/>
              </w:rPr>
              <w:br/>
              <w:t>26.10.2016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CONSEIL mettant en œuvre une coopération renforcée dans le domaine de la taxe sur les transactions financières</w:t>
            </w:r>
          </w:p>
        </w:tc>
        <w:tc>
          <w:tcPr>
            <w:tcW w:w="2126" w:type="dxa"/>
            <w:tcMar>
              <w:top w:w="85" w:type="dxa"/>
              <w:left w:w="85" w:type="dxa"/>
              <w:bottom w:w="85" w:type="dxa"/>
            </w:tcMar>
          </w:tcPr>
          <w:p>
            <w:pPr>
              <w:spacing w:after="0"/>
              <w:jc w:val="left"/>
              <w:rPr>
                <w:noProof/>
                <w:sz w:val="20"/>
                <w:lang w:val="fr-BE"/>
              </w:rPr>
            </w:pPr>
            <w:r>
              <w:rPr>
                <w:noProof/>
                <w:sz w:val="20"/>
                <w:lang w:val="fr-BE"/>
              </w:rPr>
              <w:t>COM(2013) 71 final</w:t>
            </w:r>
            <w:r>
              <w:rPr>
                <w:noProof/>
                <w:sz w:val="20"/>
                <w:lang w:val="fr-BE"/>
              </w:rPr>
              <w:br/>
              <w:t>2013/0045 (CNS)</w:t>
            </w:r>
            <w:r>
              <w:rPr>
                <w:noProof/>
                <w:sz w:val="20"/>
                <w:lang w:val="fr-BE"/>
              </w:rPr>
              <w:br/>
              <w:t>14.2.2013</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CONSEIL modifiant la directive 92/83/CEE concernant l’harmonisation des structures des droits d’accises sur l’alcool et les boissons alcooliques</w:t>
            </w:r>
          </w:p>
        </w:tc>
        <w:tc>
          <w:tcPr>
            <w:tcW w:w="2126" w:type="dxa"/>
            <w:tcMar>
              <w:top w:w="85" w:type="dxa"/>
              <w:left w:w="85" w:type="dxa"/>
              <w:bottom w:w="85" w:type="dxa"/>
            </w:tcMar>
          </w:tcPr>
          <w:p>
            <w:pPr>
              <w:spacing w:after="0"/>
              <w:jc w:val="left"/>
              <w:rPr>
                <w:noProof/>
                <w:sz w:val="20"/>
                <w:lang w:val="fr-BE"/>
              </w:rPr>
            </w:pPr>
            <w:r>
              <w:rPr>
                <w:noProof/>
                <w:sz w:val="20"/>
                <w:lang w:val="fr-BE"/>
              </w:rPr>
              <w:t>COM(2018) 334 final</w:t>
            </w:r>
            <w:r>
              <w:rPr>
                <w:noProof/>
                <w:sz w:val="20"/>
                <w:lang w:val="fr-BE"/>
              </w:rPr>
              <w:br/>
              <w:t>2018/0173 (CNS)</w:t>
            </w:r>
            <w:r>
              <w:rPr>
                <w:noProof/>
                <w:sz w:val="20"/>
                <w:lang w:val="fr-BE"/>
              </w:rPr>
              <w:br/>
              <w:t>25.5.2018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CONSEIL modifiant la directive 2006/112/CE en ce qui concerne l’introduction de mesures techniques détaillées pour le fonctionnement du système de TVA définitif pour la taxation des échanges entre les États membres</w:t>
            </w:r>
          </w:p>
        </w:tc>
        <w:tc>
          <w:tcPr>
            <w:tcW w:w="2126" w:type="dxa"/>
            <w:tcMar>
              <w:top w:w="85" w:type="dxa"/>
              <w:left w:w="85" w:type="dxa"/>
              <w:bottom w:w="85" w:type="dxa"/>
            </w:tcMar>
          </w:tcPr>
          <w:p>
            <w:pPr>
              <w:spacing w:after="0"/>
              <w:jc w:val="left"/>
              <w:rPr>
                <w:noProof/>
                <w:sz w:val="20"/>
                <w:lang w:val="fr-BE"/>
              </w:rPr>
            </w:pPr>
            <w:r>
              <w:rPr>
                <w:noProof/>
                <w:sz w:val="20"/>
                <w:lang w:val="fr-BE"/>
              </w:rPr>
              <w:t>COM(2018) 329 final</w:t>
            </w:r>
            <w:r>
              <w:rPr>
                <w:noProof/>
                <w:sz w:val="20"/>
                <w:lang w:val="fr-BE"/>
              </w:rPr>
              <w:br/>
              <w:t>2018/0164 (CNS)</w:t>
            </w:r>
            <w:r>
              <w:rPr>
                <w:noProof/>
                <w:sz w:val="20"/>
                <w:lang w:val="fr-BE"/>
              </w:rPr>
              <w:br/>
              <w:t>25.5.2018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CONSEIL modifiant la directive 2006/112/CE en ce qui concerne les taux de taxe sur la valeur ajoutée</w:t>
            </w:r>
          </w:p>
        </w:tc>
        <w:tc>
          <w:tcPr>
            <w:tcW w:w="2126" w:type="dxa"/>
            <w:tcMar>
              <w:top w:w="85" w:type="dxa"/>
              <w:left w:w="85" w:type="dxa"/>
              <w:bottom w:w="85" w:type="dxa"/>
            </w:tcMar>
          </w:tcPr>
          <w:p>
            <w:pPr>
              <w:spacing w:after="0"/>
              <w:jc w:val="left"/>
              <w:rPr>
                <w:noProof/>
                <w:sz w:val="20"/>
                <w:lang w:val="fr-BE"/>
              </w:rPr>
            </w:pPr>
            <w:r>
              <w:rPr>
                <w:noProof/>
                <w:sz w:val="20"/>
                <w:lang w:val="fr-BE"/>
              </w:rPr>
              <w:t>COM(2018) 20 final</w:t>
            </w:r>
            <w:r>
              <w:rPr>
                <w:noProof/>
                <w:sz w:val="20"/>
                <w:lang w:val="fr-BE"/>
              </w:rPr>
              <w:br/>
              <w:t>2018/0005 (CNS)</w:t>
            </w:r>
            <w:r>
              <w:rPr>
                <w:noProof/>
                <w:sz w:val="20"/>
                <w:lang w:val="fr-BE"/>
              </w:rPr>
              <w:br/>
              <w:t>18.1.2018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CONSEIL modifiant la directive 1999/62/CE relative à la taxation des poids lourds pour l'utilisation de certaines infrastructures, en ce qui concerne certaines dispositions concernant la taxation des véhicules</w:t>
            </w:r>
          </w:p>
        </w:tc>
        <w:tc>
          <w:tcPr>
            <w:tcW w:w="2126" w:type="dxa"/>
            <w:tcMar>
              <w:top w:w="85" w:type="dxa"/>
              <w:left w:w="85" w:type="dxa"/>
              <w:bottom w:w="85" w:type="dxa"/>
            </w:tcMar>
          </w:tcPr>
          <w:p>
            <w:pPr>
              <w:spacing w:after="0"/>
              <w:jc w:val="left"/>
              <w:rPr>
                <w:noProof/>
                <w:sz w:val="20"/>
                <w:lang w:val="fr-BE"/>
              </w:rPr>
            </w:pPr>
            <w:r>
              <w:rPr>
                <w:noProof/>
                <w:sz w:val="20"/>
                <w:lang w:val="fr-BE"/>
              </w:rPr>
              <w:t>COM(2017) 276 final</w:t>
            </w:r>
            <w:r>
              <w:rPr>
                <w:noProof/>
                <w:sz w:val="20"/>
                <w:lang w:val="fr-BE"/>
              </w:rPr>
              <w:br/>
              <w:t>2017/0115 (CNS)</w:t>
            </w:r>
            <w:r>
              <w:rPr>
                <w:noProof/>
                <w:sz w:val="20"/>
                <w:lang w:val="fr-BE"/>
              </w:rPr>
              <w:br/>
              <w:t>31.5.2017</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d’appui aux réformes</w:t>
            </w:r>
          </w:p>
        </w:tc>
        <w:tc>
          <w:tcPr>
            <w:tcW w:w="2126" w:type="dxa"/>
            <w:tcMar>
              <w:top w:w="85" w:type="dxa"/>
              <w:left w:w="85" w:type="dxa"/>
              <w:bottom w:w="85" w:type="dxa"/>
            </w:tcMar>
          </w:tcPr>
          <w:p>
            <w:pPr>
              <w:spacing w:after="0"/>
              <w:jc w:val="left"/>
              <w:rPr>
                <w:noProof/>
                <w:sz w:val="20"/>
                <w:lang w:val="fr-BE"/>
              </w:rPr>
            </w:pPr>
            <w:r>
              <w:rPr>
                <w:noProof/>
                <w:sz w:val="20"/>
                <w:lang w:val="fr-BE"/>
              </w:rPr>
              <w:t>COM(2018) 391 final</w:t>
            </w:r>
            <w:r>
              <w:rPr>
                <w:noProof/>
                <w:sz w:val="20"/>
                <w:lang w:val="fr-BE"/>
              </w:rPr>
              <w:br/>
              <w:t>2018/0213 (COD)</w:t>
            </w:r>
            <w:r>
              <w:rPr>
                <w:noProof/>
                <w:sz w:val="20"/>
                <w:lang w:val="fr-BE"/>
              </w:rPr>
              <w:br/>
              <w:t>31.5.2018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sur la création d'un mécanisme européen de stabilisation des investissements</w:t>
            </w:r>
          </w:p>
        </w:tc>
        <w:tc>
          <w:tcPr>
            <w:tcW w:w="2126" w:type="dxa"/>
            <w:tcMar>
              <w:top w:w="85" w:type="dxa"/>
              <w:left w:w="85" w:type="dxa"/>
              <w:bottom w:w="85" w:type="dxa"/>
            </w:tcMar>
          </w:tcPr>
          <w:p>
            <w:pPr>
              <w:spacing w:after="0"/>
              <w:jc w:val="left"/>
              <w:rPr>
                <w:noProof/>
                <w:sz w:val="20"/>
                <w:lang w:val="fr-BE"/>
              </w:rPr>
            </w:pPr>
            <w:r>
              <w:rPr>
                <w:noProof/>
                <w:sz w:val="20"/>
                <w:lang w:val="fr-BE"/>
              </w:rPr>
              <w:t>COM(2018) 387 final</w:t>
            </w:r>
            <w:r>
              <w:rPr>
                <w:noProof/>
                <w:sz w:val="20"/>
                <w:lang w:val="fr-BE"/>
              </w:rPr>
              <w:br/>
              <w:t>2018/0212 (COD)</w:t>
            </w:r>
            <w:r>
              <w:rPr>
                <w:noProof/>
                <w:sz w:val="20"/>
                <w:lang w:val="fr-BE"/>
              </w:rPr>
              <w:br/>
              <w:t>31.5.2018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DIRECTIVE DU PARLEMENT EUROPÉEN ET DU CONSEIL modifiant la directive 2009/103/CE du Parlement européen et du Conseil du 16 septembre 2009 concernant l'assurance de la responsabilité civile résultant de la circulation de véhicules automoteurs et le contrôle de l'obligation d'assurer cette responsabilité</w:t>
            </w:r>
          </w:p>
        </w:tc>
        <w:tc>
          <w:tcPr>
            <w:tcW w:w="2126" w:type="dxa"/>
            <w:tcMar>
              <w:top w:w="85" w:type="dxa"/>
              <w:left w:w="85" w:type="dxa"/>
              <w:bottom w:w="85" w:type="dxa"/>
            </w:tcMar>
          </w:tcPr>
          <w:p>
            <w:pPr>
              <w:spacing w:after="0"/>
              <w:jc w:val="left"/>
              <w:rPr>
                <w:noProof/>
                <w:sz w:val="20"/>
                <w:lang w:val="fr-BE"/>
              </w:rPr>
            </w:pPr>
            <w:r>
              <w:rPr>
                <w:noProof/>
                <w:sz w:val="22"/>
                <w:szCs w:val="22"/>
                <w:lang w:val="fr-BE"/>
              </w:rPr>
              <w:t>COM(2018) 336 final</w:t>
            </w:r>
            <w:r>
              <w:rPr>
                <w:noProof/>
                <w:sz w:val="22"/>
                <w:szCs w:val="22"/>
                <w:lang w:val="fr-BE"/>
              </w:rPr>
              <w:br/>
              <w:t>2018/0168 (COD)</w:t>
            </w:r>
            <w:r>
              <w:rPr>
                <w:noProof/>
                <w:sz w:val="22"/>
                <w:szCs w:val="22"/>
                <w:lang w:val="fr-BE"/>
              </w:rPr>
              <w:br/>
              <w:t>24.5.2018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CONSEIL fixant le cadre financier pluriannuel pour la période 2021-2027</w:t>
            </w:r>
          </w:p>
        </w:tc>
        <w:tc>
          <w:tcPr>
            <w:tcW w:w="2126" w:type="dxa"/>
            <w:tcMar>
              <w:top w:w="85" w:type="dxa"/>
              <w:left w:w="85" w:type="dxa"/>
              <w:bottom w:w="85" w:type="dxa"/>
            </w:tcMar>
          </w:tcPr>
          <w:p>
            <w:pPr>
              <w:spacing w:after="0"/>
              <w:jc w:val="left"/>
              <w:rPr>
                <w:noProof/>
                <w:sz w:val="20"/>
                <w:lang w:val="fr-BE"/>
              </w:rPr>
            </w:pPr>
            <w:r>
              <w:rPr>
                <w:noProof/>
                <w:sz w:val="20"/>
                <w:lang w:val="fr-BE"/>
              </w:rPr>
              <w:t>COM(2018) 322 final</w:t>
            </w:r>
            <w:r>
              <w:rPr>
                <w:noProof/>
                <w:sz w:val="20"/>
                <w:lang w:val="fr-BE"/>
              </w:rPr>
              <w:br/>
              <w:t>2018/0132 (APP)</w:t>
            </w:r>
            <w:r>
              <w:rPr>
                <w:noProof/>
                <w:sz w:val="20"/>
                <w:lang w:val="fr-BE"/>
              </w:rPr>
              <w:br/>
              <w:t>2.5.2018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CONSEIL portant mesures d'exécution du système des ressources propres de l'Union européenne</w:t>
            </w:r>
          </w:p>
        </w:tc>
        <w:tc>
          <w:tcPr>
            <w:tcW w:w="2126" w:type="dxa"/>
            <w:tcMar>
              <w:top w:w="85" w:type="dxa"/>
              <w:left w:w="85" w:type="dxa"/>
              <w:bottom w:w="85" w:type="dxa"/>
            </w:tcMar>
          </w:tcPr>
          <w:p>
            <w:pPr>
              <w:spacing w:after="0"/>
              <w:jc w:val="left"/>
              <w:rPr>
                <w:noProof/>
                <w:sz w:val="20"/>
                <w:lang w:val="fr-BE"/>
              </w:rPr>
            </w:pPr>
            <w:r>
              <w:rPr>
                <w:noProof/>
                <w:sz w:val="20"/>
                <w:lang w:val="fr-BE"/>
              </w:rPr>
              <w:t>COM(2018) 327 final</w:t>
            </w:r>
            <w:r>
              <w:rPr>
                <w:noProof/>
                <w:sz w:val="20"/>
                <w:lang w:val="fr-BE"/>
              </w:rPr>
              <w:br/>
              <w:t>2018/0132 (APP)</w:t>
            </w:r>
            <w:r>
              <w:rPr>
                <w:noProof/>
                <w:sz w:val="20"/>
                <w:lang w:val="fr-BE"/>
              </w:rPr>
              <w:br/>
              <w:t>2.5.2018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CONSEIL modifiant le règlement (CEE, Euratom) nº 1553/89 concernant le régime uniforme définitif de perception des ressources propres provenant de la taxe sur la valeur ajoutée</w:t>
            </w:r>
          </w:p>
        </w:tc>
        <w:tc>
          <w:tcPr>
            <w:tcW w:w="2126" w:type="dxa"/>
            <w:tcMar>
              <w:top w:w="85" w:type="dxa"/>
              <w:left w:w="85" w:type="dxa"/>
              <w:bottom w:w="85" w:type="dxa"/>
            </w:tcMar>
          </w:tcPr>
          <w:p>
            <w:pPr>
              <w:spacing w:after="0"/>
              <w:jc w:val="left"/>
              <w:rPr>
                <w:noProof/>
                <w:sz w:val="20"/>
                <w:lang w:val="fr-BE"/>
              </w:rPr>
            </w:pPr>
            <w:r>
              <w:rPr>
                <w:noProof/>
                <w:sz w:val="20"/>
                <w:lang w:val="fr-BE"/>
              </w:rPr>
              <w:t>COM(2018) 328 final</w:t>
            </w:r>
            <w:r>
              <w:rPr>
                <w:noProof/>
                <w:sz w:val="20"/>
                <w:lang w:val="fr-BE"/>
              </w:rPr>
              <w:br/>
              <w:t>2018/0133 (NLE)</w:t>
            </w:r>
            <w:r>
              <w:rPr>
                <w:noProof/>
                <w:sz w:val="20"/>
                <w:lang w:val="fr-BE"/>
              </w:rPr>
              <w:br/>
              <w:t>3.5.2018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CONSEIL relatif aux modalités et à la procédure de mise à disposition des ressources propres fondées sur l’assiette commune consolidée pour l’impôt sur les sociétés, sur le système d’échange de quotas d’émission de l’Union européenne et sur les déchets d’emballages en plastique non recyclés ainsi qu’aux mesures visant à faire face aux besoins de trésorerie</w:t>
            </w:r>
          </w:p>
        </w:tc>
        <w:tc>
          <w:tcPr>
            <w:tcW w:w="2126" w:type="dxa"/>
            <w:tcMar>
              <w:top w:w="85" w:type="dxa"/>
              <w:left w:w="85" w:type="dxa"/>
              <w:bottom w:w="85" w:type="dxa"/>
            </w:tcMar>
          </w:tcPr>
          <w:p>
            <w:pPr>
              <w:spacing w:after="0"/>
              <w:jc w:val="left"/>
              <w:rPr>
                <w:noProof/>
                <w:sz w:val="20"/>
                <w:lang w:val="fr-BE"/>
              </w:rPr>
            </w:pPr>
            <w:r>
              <w:rPr>
                <w:noProof/>
                <w:sz w:val="20"/>
                <w:lang w:val="fr-BE"/>
              </w:rPr>
              <w:t>COM(2018) 326 final</w:t>
            </w:r>
            <w:r>
              <w:rPr>
                <w:noProof/>
                <w:sz w:val="20"/>
                <w:lang w:val="fr-BE"/>
              </w:rPr>
              <w:br/>
              <w:t>2018/0131 (NLE)</w:t>
            </w:r>
            <w:r>
              <w:rPr>
                <w:noProof/>
                <w:sz w:val="20"/>
                <w:lang w:val="fr-BE"/>
              </w:rPr>
              <w:br/>
              <w:t>3.5.2018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DÉCISION DU CONSEIL relative au système des ressources propres de l'Union européenne</w:t>
            </w:r>
          </w:p>
        </w:tc>
        <w:tc>
          <w:tcPr>
            <w:tcW w:w="2126" w:type="dxa"/>
            <w:tcMar>
              <w:top w:w="85" w:type="dxa"/>
              <w:left w:w="85" w:type="dxa"/>
              <w:bottom w:w="85" w:type="dxa"/>
            </w:tcMar>
          </w:tcPr>
          <w:p>
            <w:pPr>
              <w:spacing w:after="0"/>
              <w:jc w:val="left"/>
              <w:rPr>
                <w:noProof/>
                <w:sz w:val="20"/>
                <w:lang w:val="fr-BE"/>
              </w:rPr>
            </w:pPr>
            <w:r>
              <w:rPr>
                <w:noProof/>
                <w:sz w:val="20"/>
                <w:lang w:val="fr-BE"/>
              </w:rPr>
              <w:t>COM(2018) 325 final</w:t>
            </w:r>
            <w:r>
              <w:rPr>
                <w:noProof/>
                <w:sz w:val="20"/>
                <w:lang w:val="fr-BE"/>
              </w:rPr>
              <w:br/>
              <w:t>2018/0135 (CNS)</w:t>
            </w:r>
            <w:r>
              <w:rPr>
                <w:noProof/>
                <w:sz w:val="20"/>
                <w:lang w:val="fr-BE"/>
              </w:rPr>
              <w:br/>
              <w:t>3.5.2018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un programme d'action en matière d'échanges, d'assistance et de formation, pour la protection de l'euro contre le faux-monnayage pour la période 2021-2027 (programme Pericles IV)</w:t>
            </w:r>
          </w:p>
        </w:tc>
        <w:tc>
          <w:tcPr>
            <w:tcW w:w="2126" w:type="dxa"/>
            <w:tcMar>
              <w:top w:w="85" w:type="dxa"/>
              <w:left w:w="85" w:type="dxa"/>
              <w:bottom w:w="85" w:type="dxa"/>
            </w:tcMar>
          </w:tcPr>
          <w:p>
            <w:pPr>
              <w:spacing w:after="0"/>
              <w:jc w:val="left"/>
              <w:rPr>
                <w:noProof/>
                <w:sz w:val="20"/>
                <w:lang w:val="fr-BE"/>
              </w:rPr>
            </w:pPr>
            <w:r>
              <w:rPr>
                <w:noProof/>
                <w:sz w:val="20"/>
                <w:lang w:val="fr-BE"/>
              </w:rPr>
              <w:t>COM(2018) 369 final</w:t>
            </w:r>
            <w:r>
              <w:rPr>
                <w:noProof/>
                <w:sz w:val="20"/>
                <w:lang w:val="fr-BE"/>
              </w:rPr>
              <w:br/>
              <w:t>2018/0194 (COD)</w:t>
            </w:r>
            <w:r>
              <w:rPr>
                <w:noProof/>
                <w:sz w:val="20"/>
                <w:lang w:val="fr-BE"/>
              </w:rPr>
              <w:br/>
              <w:t>31.5.2018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CONSEIL étendant aux États membres non participants l’application du règlement (UE) nº .../2018 établissant un programme d'action en matière d'échanges, d'assistance et de formation, pour la protection de l'euro contre le faux monnayage pour la période 2021-2027 (programme Pericles IV)</w:t>
            </w:r>
          </w:p>
        </w:tc>
        <w:tc>
          <w:tcPr>
            <w:tcW w:w="2126" w:type="dxa"/>
            <w:tcMar>
              <w:top w:w="85" w:type="dxa"/>
              <w:left w:w="85" w:type="dxa"/>
              <w:bottom w:w="85" w:type="dxa"/>
            </w:tcMar>
          </w:tcPr>
          <w:p>
            <w:pPr>
              <w:spacing w:after="0"/>
              <w:jc w:val="left"/>
              <w:rPr>
                <w:noProof/>
                <w:sz w:val="20"/>
                <w:lang w:val="fr-BE"/>
              </w:rPr>
            </w:pPr>
            <w:r>
              <w:rPr>
                <w:noProof/>
                <w:sz w:val="20"/>
                <w:lang w:val="fr-BE"/>
              </w:rPr>
              <w:t>COM(2018) 371 final</w:t>
            </w:r>
            <w:r>
              <w:rPr>
                <w:noProof/>
                <w:sz w:val="20"/>
                <w:lang w:val="fr-BE"/>
              </w:rPr>
              <w:br/>
              <w:t>2018/0219 (APP)</w:t>
            </w:r>
            <w:r>
              <w:rPr>
                <w:noProof/>
                <w:sz w:val="20"/>
                <w:lang w:val="fr-BE"/>
              </w:rPr>
              <w:br/>
              <w:t>31.5.2018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relatif au Fonds social européen plus (FSE+)</w:t>
            </w:r>
          </w:p>
        </w:tc>
        <w:tc>
          <w:tcPr>
            <w:tcW w:w="2126" w:type="dxa"/>
            <w:tcMar>
              <w:top w:w="85" w:type="dxa"/>
              <w:left w:w="85" w:type="dxa"/>
              <w:bottom w:w="85" w:type="dxa"/>
            </w:tcMar>
          </w:tcPr>
          <w:p>
            <w:pPr>
              <w:spacing w:after="0"/>
              <w:jc w:val="left"/>
              <w:rPr>
                <w:noProof/>
                <w:sz w:val="20"/>
                <w:lang w:val="fr-BE"/>
              </w:rPr>
            </w:pPr>
            <w:r>
              <w:rPr>
                <w:noProof/>
                <w:sz w:val="20"/>
                <w:lang w:val="fr-BE"/>
              </w:rPr>
              <w:t>COM(2018) 382 final</w:t>
            </w:r>
            <w:r>
              <w:rPr>
                <w:noProof/>
                <w:sz w:val="20"/>
                <w:lang w:val="fr-BE"/>
              </w:rPr>
              <w:br/>
              <w:t>2018/0206 (COD)</w:t>
            </w:r>
            <w:r>
              <w:rPr>
                <w:noProof/>
                <w:sz w:val="20"/>
                <w:lang w:val="fr-BE"/>
              </w:rPr>
              <w:br/>
              <w:t>30.5.2018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relatif au Fonds européen d’ajustement à la mondialisation (FEM)</w:t>
            </w:r>
          </w:p>
        </w:tc>
        <w:tc>
          <w:tcPr>
            <w:tcW w:w="2126" w:type="dxa"/>
            <w:tcMar>
              <w:top w:w="85" w:type="dxa"/>
              <w:left w:w="85" w:type="dxa"/>
              <w:bottom w:w="85" w:type="dxa"/>
            </w:tcMar>
          </w:tcPr>
          <w:p>
            <w:pPr>
              <w:spacing w:after="0"/>
              <w:jc w:val="left"/>
              <w:rPr>
                <w:noProof/>
                <w:sz w:val="20"/>
                <w:lang w:val="fr-BE"/>
              </w:rPr>
            </w:pPr>
            <w:r>
              <w:rPr>
                <w:noProof/>
                <w:sz w:val="20"/>
                <w:lang w:val="fr-BE"/>
              </w:rPr>
              <w:t>COM(2018) 380 final</w:t>
            </w:r>
            <w:r>
              <w:rPr>
                <w:noProof/>
                <w:sz w:val="20"/>
                <w:lang w:val="fr-BE"/>
              </w:rPr>
              <w:br/>
              <w:t>2018/0202 (COD)</w:t>
            </w:r>
            <w:r>
              <w:rPr>
                <w:noProof/>
                <w:sz w:val="20"/>
                <w:lang w:val="fr-BE"/>
              </w:rPr>
              <w:br/>
              <w:t>30.5.2018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«Douane» aux fins de la coopération dans le domaine douanier</w:t>
            </w:r>
          </w:p>
        </w:tc>
        <w:tc>
          <w:tcPr>
            <w:tcW w:w="2126" w:type="dxa"/>
            <w:tcMar>
              <w:top w:w="85" w:type="dxa"/>
              <w:left w:w="85" w:type="dxa"/>
              <w:bottom w:w="85" w:type="dxa"/>
            </w:tcMar>
          </w:tcPr>
          <w:p>
            <w:pPr>
              <w:spacing w:after="0"/>
              <w:jc w:val="left"/>
              <w:rPr>
                <w:noProof/>
                <w:sz w:val="20"/>
                <w:lang w:val="fr-BE"/>
              </w:rPr>
            </w:pPr>
            <w:r>
              <w:rPr>
                <w:noProof/>
                <w:sz w:val="20"/>
                <w:lang w:val="fr-BE"/>
              </w:rPr>
              <w:t>COM(2018) 442 final</w:t>
            </w:r>
            <w:r>
              <w:rPr>
                <w:noProof/>
                <w:sz w:val="20"/>
                <w:lang w:val="fr-BE"/>
              </w:rPr>
              <w:br/>
              <w:t>2018/0232 (COD)</w:t>
            </w:r>
            <w:r>
              <w:rPr>
                <w:noProof/>
                <w:sz w:val="20"/>
                <w:lang w:val="fr-BE"/>
              </w:rPr>
              <w:br/>
              <w:t>8.6.2018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«Fiscalis» aux fins de la coopération dans le domaine fiscal</w:t>
            </w:r>
          </w:p>
        </w:tc>
        <w:tc>
          <w:tcPr>
            <w:tcW w:w="2126" w:type="dxa"/>
            <w:tcMar>
              <w:top w:w="85" w:type="dxa"/>
              <w:left w:w="85" w:type="dxa"/>
              <w:bottom w:w="85" w:type="dxa"/>
            </w:tcMar>
          </w:tcPr>
          <w:p>
            <w:pPr>
              <w:spacing w:after="0"/>
              <w:jc w:val="left"/>
              <w:rPr>
                <w:noProof/>
                <w:sz w:val="20"/>
                <w:lang w:val="fr-BE"/>
              </w:rPr>
            </w:pPr>
            <w:r>
              <w:rPr>
                <w:noProof/>
                <w:sz w:val="20"/>
                <w:lang w:val="fr-BE"/>
              </w:rPr>
              <w:t>COM(2018) 443 final</w:t>
            </w:r>
            <w:r>
              <w:rPr>
                <w:noProof/>
                <w:sz w:val="20"/>
                <w:lang w:val="fr-BE"/>
              </w:rPr>
              <w:br/>
              <w:t>2018/0233 (COD)</w:t>
            </w:r>
            <w:r>
              <w:rPr>
                <w:noProof/>
                <w:sz w:val="20"/>
                <w:lang w:val="fr-BE"/>
              </w:rPr>
              <w:br/>
              <w:t>8.6.2018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portant création, dans le cadre du Fonds pour la gestion intégrée des frontières, de l’instrument de soutien financier relatif aux équipements de contrôle douanier</w:t>
            </w:r>
          </w:p>
        </w:tc>
        <w:tc>
          <w:tcPr>
            <w:tcW w:w="2126" w:type="dxa"/>
            <w:tcMar>
              <w:top w:w="85" w:type="dxa"/>
              <w:left w:w="85" w:type="dxa"/>
              <w:bottom w:w="85" w:type="dxa"/>
            </w:tcMar>
          </w:tcPr>
          <w:p>
            <w:pPr>
              <w:spacing w:after="0"/>
              <w:jc w:val="left"/>
              <w:rPr>
                <w:noProof/>
                <w:sz w:val="20"/>
                <w:lang w:val="fr-BE"/>
              </w:rPr>
            </w:pPr>
            <w:r>
              <w:rPr>
                <w:noProof/>
                <w:sz w:val="20"/>
                <w:lang w:val="fr-BE"/>
              </w:rPr>
              <w:t>COM(2018) 474 final</w:t>
            </w:r>
            <w:r>
              <w:rPr>
                <w:noProof/>
                <w:sz w:val="20"/>
                <w:lang w:val="fr-BE"/>
              </w:rPr>
              <w:br/>
              <w:t>2018/0258 (COD)</w:t>
            </w:r>
            <w:r>
              <w:rPr>
                <w:noProof/>
                <w:sz w:val="20"/>
                <w:lang w:val="fr-BE"/>
              </w:rPr>
              <w:br/>
              <w:t>13.6.2018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 xml:space="preserve"> Proposition de RÈGLEMENT DU PARLEMENT EUROPÉEN ET DU CONSEIL 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l’instrument relatif à la gestion des frontières et aux visas</w:t>
            </w:r>
          </w:p>
        </w:tc>
        <w:tc>
          <w:tcPr>
            <w:tcW w:w="2126" w:type="dxa"/>
            <w:tcMar>
              <w:top w:w="85" w:type="dxa"/>
              <w:left w:w="85" w:type="dxa"/>
              <w:bottom w:w="85" w:type="dxa"/>
            </w:tcMar>
          </w:tcPr>
          <w:p>
            <w:pPr>
              <w:spacing w:after="0"/>
              <w:jc w:val="left"/>
              <w:rPr>
                <w:noProof/>
                <w:sz w:val="20"/>
                <w:lang w:val="fr-BE"/>
              </w:rPr>
            </w:pPr>
            <w:r>
              <w:rPr>
                <w:noProof/>
                <w:sz w:val="20"/>
                <w:lang w:val="fr-BE"/>
              </w:rPr>
              <w:t>COM(2018) 375 final</w:t>
            </w:r>
            <w:r>
              <w:rPr>
                <w:noProof/>
                <w:sz w:val="20"/>
                <w:lang w:val="fr-BE"/>
              </w:rPr>
              <w:br/>
              <w:t>2018/0196 (COD)</w:t>
            </w:r>
            <w:r>
              <w:rPr>
                <w:noProof/>
                <w:sz w:val="20"/>
                <w:lang w:val="fr-BE"/>
              </w:rPr>
              <w:br/>
              <w:t>29.5.2018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relatif au Fonds européen de développement régional et au Fonds de cohésion</w:t>
            </w:r>
          </w:p>
        </w:tc>
        <w:tc>
          <w:tcPr>
            <w:tcW w:w="2126" w:type="dxa"/>
            <w:tcMar>
              <w:top w:w="85" w:type="dxa"/>
              <w:left w:w="85" w:type="dxa"/>
              <w:bottom w:w="85" w:type="dxa"/>
            </w:tcMar>
          </w:tcPr>
          <w:p>
            <w:pPr>
              <w:spacing w:after="0"/>
              <w:jc w:val="left"/>
              <w:rPr>
                <w:noProof/>
                <w:sz w:val="20"/>
                <w:lang w:val="fr-BE"/>
              </w:rPr>
            </w:pPr>
            <w:r>
              <w:rPr>
                <w:noProof/>
                <w:sz w:val="20"/>
                <w:lang w:val="fr-BE"/>
              </w:rPr>
              <w:t>COM(2018) 372 final</w:t>
            </w:r>
            <w:r>
              <w:rPr>
                <w:noProof/>
                <w:sz w:val="20"/>
                <w:lang w:val="fr-BE"/>
              </w:rPr>
              <w:br/>
              <w:t>2018/0197 (COD)</w:t>
            </w:r>
            <w:r>
              <w:rPr>
                <w:noProof/>
                <w:sz w:val="20"/>
                <w:lang w:val="fr-BE"/>
              </w:rPr>
              <w:br/>
              <w:t>29.5.2018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relatif à la création d'un mécanisme visant à lever les obstacles juridiques et administratifs dans un contexte transfrontalier</w:t>
            </w:r>
          </w:p>
        </w:tc>
        <w:tc>
          <w:tcPr>
            <w:tcW w:w="2126" w:type="dxa"/>
            <w:tcMar>
              <w:top w:w="85" w:type="dxa"/>
              <w:left w:w="85" w:type="dxa"/>
              <w:bottom w:w="85" w:type="dxa"/>
            </w:tcMar>
          </w:tcPr>
          <w:p>
            <w:pPr>
              <w:spacing w:after="0"/>
              <w:jc w:val="left"/>
              <w:rPr>
                <w:noProof/>
                <w:sz w:val="20"/>
                <w:lang w:val="fr-BE"/>
              </w:rPr>
            </w:pPr>
            <w:r>
              <w:rPr>
                <w:noProof/>
                <w:sz w:val="20"/>
                <w:lang w:val="fr-BE"/>
              </w:rPr>
              <w:t>COM(2018) 373 final</w:t>
            </w:r>
            <w:r>
              <w:rPr>
                <w:noProof/>
                <w:sz w:val="20"/>
                <w:lang w:val="fr-BE"/>
              </w:rPr>
              <w:br/>
              <w:t>2018/0198 (COD)</w:t>
            </w:r>
            <w:r>
              <w:rPr>
                <w:noProof/>
                <w:sz w:val="20"/>
                <w:lang w:val="fr-BE"/>
              </w:rPr>
              <w:br/>
              <w:t>29.5.2018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portant dispositions particulières relatives à l’objectif «Coopération territoriale européenne» (Interreg) soutenu par le Fonds européen de développement régional et les instruments de financement extérieur</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374 final</w:t>
            </w:r>
            <w:r>
              <w:rPr>
                <w:noProof/>
                <w:sz w:val="20"/>
                <w:lang w:val="fr-BE"/>
              </w:rPr>
              <w:br/>
              <w:t>2018/0199 (COD)</w:t>
            </w:r>
            <w:r>
              <w:rPr>
                <w:noProof/>
                <w:sz w:val="20"/>
                <w:lang w:val="fr-BE"/>
              </w:rPr>
              <w:br/>
              <w:t>29.5.2018</w:t>
            </w:r>
          </w:p>
        </w:tc>
      </w:tr>
      <w:tr>
        <w:trPr>
          <w:cantSplit/>
        </w:trPr>
        <w:tc>
          <w:tcPr>
            <w:tcW w:w="652" w:type="dxa"/>
            <w:tcBorders>
              <w:bottom w:val="single" w:sz="4" w:space="0" w:color="auto"/>
              <w:right w:val="nil"/>
            </w:tcBorders>
            <w:shd w:val="clear" w:color="auto" w:fill="auto"/>
            <w:tcMar>
              <w:top w:w="85" w:type="dxa"/>
              <w:left w:w="85" w:type="dxa"/>
              <w:bottom w:w="85" w:type="dxa"/>
              <w:right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(UE) nº 1303/2013 en ce qui concerne l’ajustement du préfinancement annuel pour les années 2021 à 2023</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614 final</w:t>
            </w:r>
            <w:r>
              <w:rPr>
                <w:noProof/>
                <w:sz w:val="20"/>
                <w:lang w:val="fr-BE"/>
              </w:rPr>
              <w:br/>
              <w:t>2018/0322 (COD)</w:t>
            </w:r>
            <w:r>
              <w:rPr>
                <w:noProof/>
                <w:sz w:val="20"/>
                <w:lang w:val="fr-BE"/>
              </w:rPr>
              <w:br/>
              <w:t>7.9.2018</w:t>
            </w:r>
          </w:p>
        </w:tc>
      </w:tr>
      <w:tr>
        <w:trPr>
          <w:cantSplit/>
        </w:trPr>
        <w:tc>
          <w:tcPr>
            <w:tcW w:w="14850" w:type="dxa"/>
            <w:gridSpan w:val="3"/>
            <w:shd w:val="clear" w:color="auto" w:fill="585EAA" w:themeFill="accent4"/>
            <w:tcMar>
              <w:top w:w="85" w:type="dxa"/>
              <w:left w:w="85" w:type="dxa"/>
              <w:bottom w:w="85" w:type="dxa"/>
              <w:right w:w="85" w:type="dxa"/>
            </w:tcMar>
          </w:tcPr>
          <w:p>
            <w:pPr>
              <w:keepNext/>
              <w:spacing w:before="60" w:after="60"/>
              <w:rPr>
                <w:noProof/>
                <w:sz w:val="20"/>
                <w:lang w:val="fr-BE"/>
              </w:rPr>
            </w:pPr>
            <w:r>
              <w:rPr>
                <w:b/>
                <w:bCs/>
                <w:noProof/>
                <w:color w:val="FFFFFF" w:themeColor="background1"/>
                <w:sz w:val="20"/>
                <w:lang w:val="fr-BE"/>
              </w:rPr>
              <w:t>Une Europe plus forte sur la scène internationale</w:t>
            </w:r>
          </w:p>
        </w:tc>
      </w:tr>
      <w:tr>
        <w:trPr>
          <w:cantSplit/>
        </w:trPr>
        <w:tc>
          <w:tcPr>
            <w:tcW w:w="652" w:type="dxa"/>
            <w:tcBorders>
              <w:right w:val="nil"/>
            </w:tcBorders>
            <w:shd w:val="clear" w:color="auto" w:fill="auto"/>
            <w:tcMar>
              <w:top w:w="85" w:type="dxa"/>
              <w:left w:w="85" w:type="dxa"/>
              <w:bottom w:w="85" w:type="dxa"/>
            </w:tcMar>
          </w:tcPr>
          <w:p>
            <w:pPr>
              <w:spacing w:after="0"/>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p>
        </w:tc>
        <w:tc>
          <w:tcPr>
            <w:tcW w:w="2126" w:type="dxa"/>
            <w:tcMar>
              <w:top w:w="85" w:type="dxa"/>
              <w:left w:w="85" w:type="dxa"/>
              <w:bottom w:w="85" w:type="dxa"/>
            </w:tcMar>
          </w:tcPr>
          <w:p>
            <w:pPr>
              <w:spacing w:after="0"/>
              <w:jc w:val="left"/>
              <w:rPr>
                <w:noProof/>
                <w:sz w:val="20"/>
                <w:lang w:val="fr-BE"/>
              </w:rPr>
            </w:pP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 xml:space="preserve">Proposition de RÈGLEMENT DU PARLEMENT EUROPÉEN ET DU CONSEIL instituant un régime de l’Union de contrôle des exportations, des transferts, du courtage, de l’assistance technique et du transit en ce qui concerne les biens à double usage (refonte) </w:t>
            </w:r>
          </w:p>
        </w:tc>
        <w:tc>
          <w:tcPr>
            <w:tcW w:w="2126" w:type="dxa"/>
            <w:tcMar>
              <w:top w:w="85" w:type="dxa"/>
              <w:left w:w="85" w:type="dxa"/>
              <w:bottom w:w="85" w:type="dxa"/>
            </w:tcMar>
          </w:tcPr>
          <w:p>
            <w:pPr>
              <w:spacing w:after="0"/>
              <w:jc w:val="left"/>
              <w:rPr>
                <w:noProof/>
                <w:sz w:val="20"/>
                <w:lang w:val="fr-BE"/>
              </w:rPr>
            </w:pPr>
            <w:r>
              <w:rPr>
                <w:noProof/>
                <w:sz w:val="20"/>
                <w:lang w:val="fr-BE"/>
              </w:rPr>
              <w:t>COM(2016) 616 final</w:t>
            </w:r>
            <w:r>
              <w:rPr>
                <w:noProof/>
                <w:sz w:val="20"/>
                <w:lang w:val="fr-BE"/>
              </w:rPr>
              <w:br/>
              <w:t>2016/0295 (COD)</w:t>
            </w:r>
            <w:r>
              <w:rPr>
                <w:noProof/>
                <w:sz w:val="20"/>
                <w:lang w:val="fr-BE"/>
              </w:rPr>
              <w:br/>
              <w:t>28.9.2016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 xml:space="preserve">Proposition de RÈGLEMENT DU PARLEMENT EUROPÉEN ET DU CONSEIL concernant l’accès des produits et services des pays tiers au marché intérieur des marchés publics de l’Union et établissant des procédures visant à faciliter les négociations relatives à l’accès des produits et services originaires de l’Union aux marchés publics des pays tiers </w:t>
            </w:r>
          </w:p>
        </w:tc>
        <w:tc>
          <w:tcPr>
            <w:tcW w:w="2126" w:type="dxa"/>
            <w:tcMar>
              <w:top w:w="85" w:type="dxa"/>
              <w:left w:w="85" w:type="dxa"/>
              <w:bottom w:w="85" w:type="dxa"/>
            </w:tcMar>
          </w:tcPr>
          <w:p>
            <w:pPr>
              <w:spacing w:after="0"/>
              <w:jc w:val="left"/>
              <w:rPr>
                <w:noProof/>
                <w:sz w:val="20"/>
                <w:lang w:val="fr-BE"/>
              </w:rPr>
            </w:pPr>
            <w:r>
              <w:rPr>
                <w:noProof/>
                <w:sz w:val="20"/>
                <w:lang w:val="fr-BE"/>
              </w:rPr>
              <w:t>COM(2012) 124 final</w:t>
            </w:r>
            <w:r>
              <w:rPr>
                <w:noProof/>
                <w:sz w:val="20"/>
                <w:lang w:val="fr-BE"/>
              </w:rPr>
              <w:br/>
              <w:t>2012/0060 (COD)</w:t>
            </w:r>
            <w:r>
              <w:rPr>
                <w:noProof/>
                <w:sz w:val="20"/>
                <w:lang w:val="fr-BE"/>
              </w:rPr>
              <w:br/>
              <w:t>21.3.2012</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(UE) nº 654/2014 du Parlement européen et du Conseil concernant l’exercice des droits d l’Union pour l’application et le respect des règles du commerce international</w:t>
            </w:r>
          </w:p>
        </w:tc>
        <w:tc>
          <w:tcPr>
            <w:tcW w:w="2126" w:type="dxa"/>
            <w:tcMar>
              <w:top w:w="85" w:type="dxa"/>
              <w:left w:w="85" w:type="dxa"/>
              <w:bottom w:w="85" w:type="dxa"/>
            </w:tcMar>
          </w:tcPr>
          <w:p>
            <w:pPr>
              <w:spacing w:after="0"/>
              <w:jc w:val="left"/>
              <w:rPr>
                <w:noProof/>
                <w:sz w:val="20"/>
                <w:lang w:val="fr-BE"/>
              </w:rPr>
            </w:pPr>
            <w:r>
              <w:rPr>
                <w:noProof/>
                <w:sz w:val="20"/>
                <w:lang w:val="fr-BE"/>
              </w:rPr>
              <w:t>COM(2019) 623 final</w:t>
            </w:r>
            <w:r>
              <w:rPr>
                <w:noProof/>
                <w:sz w:val="20"/>
                <w:lang w:val="fr-BE"/>
              </w:rPr>
              <w:br/>
              <w:t>2019/0273 (COD)</w:t>
            </w:r>
            <w:r>
              <w:rPr>
                <w:noProof/>
                <w:sz w:val="20"/>
                <w:lang w:val="fr-BE"/>
              </w:rPr>
              <w:br/>
              <w:t>12.12.2019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présentée au Conseil par le haut représentant de l’Union pour les affaires étrangères et la politique de sécurité, avec le soutien de la Commission, en vue d’une décision du Conseil établissant une facilité européenne pour la paix</w:t>
            </w:r>
          </w:p>
        </w:tc>
        <w:tc>
          <w:tcPr>
            <w:tcW w:w="2126" w:type="dxa"/>
            <w:tcMar>
              <w:top w:w="85" w:type="dxa"/>
              <w:left w:w="85" w:type="dxa"/>
              <w:bottom w:w="85" w:type="dxa"/>
            </w:tcMar>
          </w:tcPr>
          <w:p>
            <w:pPr>
              <w:spacing w:after="0"/>
              <w:jc w:val="left"/>
              <w:rPr>
                <w:noProof/>
                <w:sz w:val="20"/>
                <w:lang w:val="fr-BE"/>
              </w:rPr>
            </w:pPr>
            <w:r>
              <w:rPr>
                <w:noProof/>
                <w:sz w:val="20"/>
                <w:lang w:val="fr-BE"/>
              </w:rPr>
              <w:t>9736/18</w:t>
            </w:r>
            <w:r>
              <w:rPr>
                <w:noProof/>
                <w:sz w:val="20"/>
                <w:lang w:val="fr-BE"/>
              </w:rPr>
              <w:br/>
              <w:t>13.6.2018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l’instrument d’aide de préadhésion (IAP III)</w:t>
            </w:r>
          </w:p>
        </w:tc>
        <w:tc>
          <w:tcPr>
            <w:tcW w:w="2126" w:type="dxa"/>
            <w:tcMar>
              <w:top w:w="85" w:type="dxa"/>
              <w:left w:w="85" w:type="dxa"/>
              <w:bottom w:w="85" w:type="dxa"/>
            </w:tcMar>
          </w:tcPr>
          <w:p>
            <w:pPr>
              <w:spacing w:after="0"/>
              <w:jc w:val="left"/>
              <w:rPr>
                <w:noProof/>
                <w:sz w:val="20"/>
                <w:lang w:val="fr-BE"/>
              </w:rPr>
            </w:pPr>
            <w:r>
              <w:rPr>
                <w:noProof/>
                <w:sz w:val="20"/>
                <w:lang w:val="fr-BE"/>
              </w:rPr>
              <w:t>COM(2018) 465 final</w:t>
            </w:r>
            <w:r>
              <w:rPr>
                <w:noProof/>
                <w:sz w:val="20"/>
                <w:lang w:val="fr-BE"/>
              </w:rPr>
              <w:br/>
              <w:t>2018/0247 (COD)</w:t>
            </w:r>
            <w:r>
              <w:rPr>
                <w:noProof/>
                <w:sz w:val="20"/>
                <w:lang w:val="fr-BE"/>
              </w:rPr>
              <w:br/>
              <w:t>14.6.2018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l’instrument de voisinage, de coopération au développement et de coopération internationale</w:t>
            </w:r>
          </w:p>
        </w:tc>
        <w:tc>
          <w:tcPr>
            <w:tcW w:w="2126" w:type="dxa"/>
            <w:tcMar>
              <w:top w:w="85" w:type="dxa"/>
              <w:left w:w="85" w:type="dxa"/>
              <w:bottom w:w="85" w:type="dxa"/>
            </w:tcMar>
          </w:tcPr>
          <w:p>
            <w:pPr>
              <w:spacing w:after="0"/>
              <w:jc w:val="left"/>
              <w:rPr>
                <w:noProof/>
                <w:sz w:val="20"/>
                <w:lang w:val="fr-BE"/>
              </w:rPr>
            </w:pPr>
            <w:r>
              <w:rPr>
                <w:noProof/>
                <w:sz w:val="20"/>
                <w:lang w:val="fr-BE"/>
              </w:rPr>
              <w:t>COM(2018) 460 final</w:t>
            </w:r>
            <w:r>
              <w:rPr>
                <w:noProof/>
                <w:sz w:val="20"/>
                <w:lang w:val="fr-BE"/>
              </w:rPr>
              <w:br/>
              <w:t>2018/0243 (COD)</w:t>
            </w:r>
            <w:r>
              <w:rPr>
                <w:noProof/>
                <w:sz w:val="20"/>
                <w:lang w:val="fr-BE"/>
              </w:rPr>
              <w:br/>
              <w:t>14.6.2018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DÉCISION DU CONSEIL relative à l’association des pays et territoires d’outre-mer à l’Union européenne, y compris les relations entre l’Union européenne, d’une part, et le Groenland et le Royaume de Danemark, d’autre part («décision d’association outre-mer»)</w:t>
            </w:r>
          </w:p>
        </w:tc>
        <w:tc>
          <w:tcPr>
            <w:tcW w:w="2126" w:type="dxa"/>
            <w:tcMar>
              <w:top w:w="85" w:type="dxa"/>
              <w:left w:w="85" w:type="dxa"/>
              <w:bottom w:w="85" w:type="dxa"/>
            </w:tcMar>
          </w:tcPr>
          <w:p>
            <w:pPr>
              <w:spacing w:after="0"/>
              <w:jc w:val="left"/>
              <w:rPr>
                <w:noProof/>
                <w:sz w:val="20"/>
                <w:lang w:val="fr-BE"/>
              </w:rPr>
            </w:pPr>
            <w:r>
              <w:rPr>
                <w:noProof/>
                <w:sz w:val="20"/>
                <w:lang w:val="fr-BE"/>
              </w:rPr>
              <w:t>COM(2018) 461 final</w:t>
            </w:r>
            <w:r>
              <w:rPr>
                <w:noProof/>
                <w:sz w:val="20"/>
                <w:lang w:val="fr-BE"/>
              </w:rPr>
              <w:br/>
              <w:t>2018/0244 (CNS)</w:t>
            </w:r>
            <w:r>
              <w:rPr>
                <w:noProof/>
                <w:sz w:val="20"/>
                <w:lang w:val="fr-BE"/>
              </w:rPr>
              <w:br/>
              <w:t>14.6.2018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CONSEIL instituant un instrument européen en matière de sûreté nucléaire complétant l’instrument de voisinage, de coopération au développement et de coopération internationale sur la base du traité Euratom</w:t>
            </w:r>
          </w:p>
        </w:tc>
        <w:tc>
          <w:tcPr>
            <w:tcW w:w="2126" w:type="dxa"/>
            <w:tcMar>
              <w:top w:w="85" w:type="dxa"/>
              <w:left w:w="85" w:type="dxa"/>
              <w:bottom w:w="85" w:type="dxa"/>
            </w:tcMar>
          </w:tcPr>
          <w:p>
            <w:pPr>
              <w:spacing w:after="0"/>
              <w:jc w:val="left"/>
              <w:rPr>
                <w:noProof/>
                <w:sz w:val="20"/>
                <w:lang w:val="fr-BE"/>
              </w:rPr>
            </w:pPr>
            <w:r>
              <w:rPr>
                <w:noProof/>
                <w:sz w:val="20"/>
                <w:lang w:val="fr-BE"/>
              </w:rPr>
              <w:t>COM(2018) 462 final</w:t>
            </w:r>
            <w:r>
              <w:rPr>
                <w:noProof/>
                <w:sz w:val="20"/>
                <w:lang w:val="fr-BE"/>
              </w:rPr>
              <w:br/>
              <w:t>2018/0245 (NLE)</w:t>
            </w:r>
            <w:r>
              <w:rPr>
                <w:noProof/>
                <w:sz w:val="20"/>
                <w:lang w:val="fr-BE"/>
              </w:rPr>
              <w:br/>
              <w:t>14.6.2018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color w:val="FFFFFF" w:themeColor="background1"/>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DÉCISION DU PARLEMENT EUROPÉEN ET DU CONSEIL modifiant la décision nº 1313/2013/UE du Parlement européen et du Conseil relative au mécanisme de protection civile de l’Union</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COM(2019) 125 final</w:t>
            </w:r>
            <w:r>
              <w:rPr>
                <w:noProof/>
                <w:sz w:val="20"/>
                <w:lang w:val="fr-BE"/>
              </w:rPr>
              <w:br/>
              <w:t>2019/0070 (COD)</w:t>
            </w:r>
            <w:r>
              <w:rPr>
                <w:noProof/>
                <w:sz w:val="20"/>
                <w:lang w:val="fr-BE"/>
              </w:rPr>
              <w:br/>
              <w:t>7.3.2019</w:t>
            </w:r>
          </w:p>
        </w:tc>
      </w:tr>
      <w:tr>
        <w:trPr>
          <w:cantSplit/>
        </w:trPr>
        <w:tc>
          <w:tcPr>
            <w:tcW w:w="14850" w:type="dxa"/>
            <w:gridSpan w:val="3"/>
            <w:shd w:val="clear" w:color="auto" w:fill="DA5C57" w:themeFill="accent6"/>
            <w:tcMar>
              <w:top w:w="85" w:type="dxa"/>
              <w:left w:w="85" w:type="dxa"/>
              <w:bottom w:w="85" w:type="dxa"/>
              <w:right w:w="85" w:type="dxa"/>
            </w:tcMar>
          </w:tcPr>
          <w:p>
            <w:pPr>
              <w:spacing w:before="60" w:after="60"/>
              <w:rPr>
                <w:noProof/>
                <w:color w:val="FFFFFF" w:themeColor="background1"/>
                <w:sz w:val="20"/>
                <w:lang w:val="fr-BE"/>
              </w:rPr>
            </w:pPr>
            <w:r>
              <w:rPr>
                <w:b/>
                <w:bCs/>
                <w:noProof/>
                <w:color w:val="FFFFFF" w:themeColor="background1"/>
                <w:sz w:val="20"/>
                <w:lang w:val="fr-BE"/>
              </w:rPr>
              <w:t>Promouvoir le mode de vie européen</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(UE, Euratom) nº 883/2013 relatif aux enquêtes effectuées par l’Office européen de lutte antifraude (OLAF) en ce qui concerne la coopération avec le Parquet européen et l’efficacité des enquêtes de l’OLAF</w:t>
            </w:r>
            <w:r>
              <w:rPr>
                <w:b/>
                <w:bCs/>
                <w:noProof/>
                <w:sz w:val="20"/>
                <w:lang w:val="fr-BE"/>
              </w:rPr>
              <w:t xml:space="preserve"> </w:t>
            </w:r>
          </w:p>
        </w:tc>
        <w:tc>
          <w:tcPr>
            <w:tcW w:w="2126" w:type="dxa"/>
            <w:tcMar>
              <w:top w:w="85" w:type="dxa"/>
              <w:left w:w="85" w:type="dxa"/>
              <w:bottom w:w="85" w:type="dxa"/>
            </w:tcMar>
          </w:tcPr>
          <w:p>
            <w:pPr>
              <w:spacing w:after="0"/>
              <w:jc w:val="left"/>
              <w:rPr>
                <w:noProof/>
                <w:sz w:val="20"/>
                <w:lang w:val="fr-BE"/>
              </w:rPr>
            </w:pPr>
            <w:r>
              <w:rPr>
                <w:noProof/>
                <w:sz w:val="20"/>
                <w:lang w:val="fr-BE"/>
              </w:rPr>
              <w:t>COM(2018) 338 final</w:t>
            </w:r>
            <w:r>
              <w:rPr>
                <w:noProof/>
                <w:sz w:val="20"/>
                <w:lang w:val="fr-BE"/>
              </w:rPr>
              <w:br/>
              <w:t>2018/0170 (COD)</w:t>
            </w:r>
            <w:r>
              <w:rPr>
                <w:noProof/>
                <w:sz w:val="20"/>
                <w:lang w:val="fr-BE"/>
              </w:rPr>
              <w:br/>
              <w:t>24.5.2018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(UE, Euratom) nº 883/2013 en ce qui concerne la mise en place d’un contrôleur des garanties de procédure</w:t>
            </w:r>
          </w:p>
        </w:tc>
        <w:tc>
          <w:tcPr>
            <w:tcW w:w="2126" w:type="dxa"/>
            <w:tcMar>
              <w:top w:w="85" w:type="dxa"/>
              <w:left w:w="85" w:type="dxa"/>
              <w:bottom w:w="85" w:type="dxa"/>
            </w:tcMar>
          </w:tcPr>
          <w:p>
            <w:pPr>
              <w:spacing w:after="0"/>
              <w:jc w:val="left"/>
              <w:rPr>
                <w:noProof/>
                <w:sz w:val="20"/>
                <w:lang w:val="fr-BE"/>
              </w:rPr>
            </w:pPr>
            <w:r>
              <w:rPr>
                <w:noProof/>
                <w:sz w:val="20"/>
                <w:lang w:val="fr-BE"/>
              </w:rPr>
              <w:t>COM(2014) 340 final</w:t>
            </w:r>
            <w:r>
              <w:rPr>
                <w:noProof/>
                <w:sz w:val="20"/>
                <w:lang w:val="fr-BE"/>
              </w:rPr>
              <w:br/>
              <w:t>2014/0173 (COD)</w:t>
            </w:r>
            <w:r>
              <w:rPr>
                <w:noProof/>
                <w:sz w:val="20"/>
                <w:lang w:val="fr-BE"/>
              </w:rPr>
              <w:br/>
              <w:t>11.6.2014</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concernant l’évaluation des technologies de la santé et modifiant la directive 2011/24/UE</w:t>
            </w:r>
          </w:p>
        </w:tc>
        <w:tc>
          <w:tcPr>
            <w:tcW w:w="2126" w:type="dxa"/>
            <w:tcMar>
              <w:top w:w="85" w:type="dxa"/>
              <w:left w:w="85" w:type="dxa"/>
              <w:bottom w:w="85" w:type="dxa"/>
            </w:tcMar>
          </w:tcPr>
          <w:p>
            <w:pPr>
              <w:spacing w:after="0"/>
              <w:jc w:val="left"/>
              <w:rPr>
                <w:noProof/>
                <w:sz w:val="20"/>
                <w:lang w:val="fr-BE"/>
              </w:rPr>
            </w:pPr>
            <w:r>
              <w:rPr>
                <w:noProof/>
                <w:sz w:val="20"/>
                <w:lang w:val="fr-BE"/>
              </w:rPr>
              <w:t>COM(2018) 51 final</w:t>
            </w:r>
            <w:r>
              <w:rPr>
                <w:noProof/>
                <w:sz w:val="20"/>
                <w:lang w:val="fr-BE"/>
              </w:rPr>
              <w:br/>
              <w:t>2018/0018 (COD)</w:t>
            </w:r>
            <w:r>
              <w:rPr>
                <w:noProof/>
                <w:sz w:val="20"/>
                <w:lang w:val="fr-BE"/>
              </w:rPr>
              <w:br/>
              <w:t>1.2.2018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relative aux normes et procédures communes applicables dans les États membres au retour des ressortissants de pays tiers en séjour irrégulier (refonte) Contribution de la Commission européenne à la réunion des dirigeants des 19 et 20 septembre 2018 à Salzbourg</w:t>
            </w:r>
          </w:p>
        </w:tc>
        <w:tc>
          <w:tcPr>
            <w:tcW w:w="2126" w:type="dxa"/>
            <w:tcMar>
              <w:top w:w="85" w:type="dxa"/>
              <w:left w:w="85" w:type="dxa"/>
              <w:bottom w:w="85" w:type="dxa"/>
            </w:tcMar>
          </w:tcPr>
          <w:p>
            <w:pPr>
              <w:spacing w:after="0"/>
              <w:jc w:val="left"/>
              <w:rPr>
                <w:noProof/>
                <w:sz w:val="20"/>
                <w:lang w:val="fr-BE"/>
              </w:rPr>
            </w:pPr>
            <w:r>
              <w:rPr>
                <w:noProof/>
                <w:sz w:val="20"/>
                <w:lang w:val="fr-BE"/>
              </w:rPr>
              <w:t>COM(2018) 634 final</w:t>
            </w:r>
            <w:r>
              <w:rPr>
                <w:noProof/>
                <w:sz w:val="20"/>
                <w:lang w:val="fr-BE"/>
              </w:rPr>
              <w:br/>
              <w:t>2018/0329 (COD)</w:t>
            </w:r>
            <w:r>
              <w:rPr>
                <w:noProof/>
                <w:sz w:val="20"/>
                <w:lang w:val="fr-BE"/>
              </w:rPr>
              <w:br/>
              <w:t>12.9.2018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relatif à la prévention de la diffusion de contenus à caractère terroriste en ligne Une contribution de la Commission européenne à la réunion des dirigeants à Salzbourg les 19 et 20 septembre 2018</w:t>
            </w:r>
          </w:p>
        </w:tc>
        <w:tc>
          <w:tcPr>
            <w:tcW w:w="2126" w:type="dxa"/>
            <w:tcMar>
              <w:top w:w="85" w:type="dxa"/>
              <w:left w:w="85" w:type="dxa"/>
              <w:bottom w:w="85" w:type="dxa"/>
            </w:tcMar>
          </w:tcPr>
          <w:p>
            <w:pPr>
              <w:spacing w:after="0"/>
              <w:jc w:val="left"/>
              <w:rPr>
                <w:noProof/>
                <w:sz w:val="20"/>
                <w:lang w:val="fr-BE"/>
              </w:rPr>
            </w:pPr>
            <w:r>
              <w:rPr>
                <w:noProof/>
                <w:sz w:val="20"/>
                <w:lang w:val="fr-BE"/>
              </w:rPr>
              <w:t>COM(2018) 640 final</w:t>
            </w:r>
            <w:r>
              <w:rPr>
                <w:noProof/>
                <w:sz w:val="20"/>
                <w:lang w:val="fr-BE"/>
              </w:rPr>
              <w:br/>
              <w:t>2018/0331 (COD)</w:t>
            </w:r>
            <w:r>
              <w:rPr>
                <w:noProof/>
                <w:sz w:val="20"/>
                <w:lang w:val="fr-BE"/>
              </w:rPr>
              <w:br/>
              <w:t>12.9.2018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 xml:space="preserve">Proposition de RÈGLEMENT DU PARLEMENT EUROPÉEN ET DU CONSEIL modifiant le règlement (CE) nº 767/2008, le règlement (CE) nº 810/2009, le règlement (UE) 2017/2226, le règlement (UE) 2016/399, le règlement (UE) nº XX/2018 [règlement sur l’interopérabilité] et la décision 2004/512/CE et abrogeant la décision 2008/633/JAI du Conseil </w:t>
            </w:r>
          </w:p>
        </w:tc>
        <w:tc>
          <w:tcPr>
            <w:tcW w:w="2126" w:type="dxa"/>
            <w:tcMar>
              <w:top w:w="85" w:type="dxa"/>
              <w:left w:w="85" w:type="dxa"/>
              <w:bottom w:w="85" w:type="dxa"/>
            </w:tcMar>
          </w:tcPr>
          <w:p>
            <w:pPr>
              <w:spacing w:after="0"/>
              <w:jc w:val="left"/>
              <w:rPr>
                <w:noProof/>
                <w:sz w:val="20"/>
                <w:lang w:val="fr-BE"/>
              </w:rPr>
            </w:pPr>
            <w:r>
              <w:rPr>
                <w:noProof/>
                <w:sz w:val="20"/>
                <w:lang w:val="fr-BE"/>
              </w:rPr>
              <w:t>COM(2018) 302 final</w:t>
            </w:r>
            <w:r>
              <w:rPr>
                <w:noProof/>
                <w:sz w:val="20"/>
                <w:lang w:val="fr-BE"/>
              </w:rPr>
              <w:br/>
              <w:t>2018/0152 (COD)</w:t>
            </w:r>
            <w:r>
              <w:rPr>
                <w:noProof/>
                <w:sz w:val="20"/>
                <w:lang w:val="fr-BE"/>
              </w:rPr>
              <w:br/>
              <w:t>17.5.2018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les conditions d’accès aux autres systèmes d’information de l’UE aux fins d’ETIAS et modifiant le règlement (UE) 2018/1240, le règlement (CE) nº 767/2008, le règlement (UE) 2017/2226 et le règlement (UE) 2018/1861</w:t>
            </w:r>
          </w:p>
        </w:tc>
        <w:tc>
          <w:tcPr>
            <w:tcW w:w="2126" w:type="dxa"/>
            <w:tcMar>
              <w:top w:w="85" w:type="dxa"/>
              <w:left w:w="85" w:type="dxa"/>
              <w:bottom w:w="85" w:type="dxa"/>
            </w:tcMar>
          </w:tcPr>
          <w:p>
            <w:pPr>
              <w:spacing w:after="0"/>
              <w:jc w:val="left"/>
              <w:rPr>
                <w:noProof/>
                <w:sz w:val="20"/>
                <w:lang w:val="fr-BE"/>
              </w:rPr>
            </w:pPr>
            <w:r>
              <w:rPr>
                <w:noProof/>
                <w:sz w:val="20"/>
                <w:lang w:val="fr-BE"/>
              </w:rPr>
              <w:t>COM(2019) 4 final</w:t>
            </w:r>
            <w:r>
              <w:rPr>
                <w:noProof/>
                <w:sz w:val="20"/>
                <w:lang w:val="fr-BE"/>
              </w:rPr>
              <w:br/>
              <w:t>2019/0002 (COD)</w:t>
            </w:r>
            <w:r>
              <w:rPr>
                <w:noProof/>
                <w:sz w:val="20"/>
                <w:lang w:val="fr-BE"/>
              </w:rPr>
              <w:br/>
              <w:t>7.1.2019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(CE) nº 539/2001 fixant la liste des pays tiers dont les ressortissants sont soumis à l’obligation de visa pour franchir les frontières extérieures des États membres et la liste de ceux dont les ressortissants sont exemptés de cette obligation (Turquie)</w:t>
            </w:r>
          </w:p>
        </w:tc>
        <w:tc>
          <w:tcPr>
            <w:tcW w:w="2126" w:type="dxa"/>
            <w:tcMar>
              <w:top w:w="85" w:type="dxa"/>
              <w:left w:w="85" w:type="dxa"/>
              <w:bottom w:w="85" w:type="dxa"/>
            </w:tcMar>
          </w:tcPr>
          <w:p>
            <w:pPr>
              <w:spacing w:after="0"/>
              <w:jc w:val="left"/>
              <w:rPr>
                <w:noProof/>
                <w:sz w:val="20"/>
                <w:lang w:val="fr-BE"/>
              </w:rPr>
            </w:pPr>
            <w:r>
              <w:rPr>
                <w:noProof/>
                <w:sz w:val="20"/>
                <w:lang w:val="fr-BE"/>
              </w:rPr>
              <w:t>COM(2016) 279 final</w:t>
            </w:r>
            <w:r>
              <w:rPr>
                <w:noProof/>
                <w:sz w:val="20"/>
                <w:lang w:val="fr-BE"/>
              </w:rPr>
              <w:br/>
              <w:t>2016/0141 (COD) 4.5.2016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(CE) nº 539/2001 fixant la liste des pays tiers dont les ressortissants sont soumis à l’obligation de visa pour franchir les frontières extérieures des États membres et la liste de ceux dont les ressortissants sont exemptés de cette obligation (Kosovo*)</w:t>
            </w:r>
          </w:p>
        </w:tc>
        <w:tc>
          <w:tcPr>
            <w:tcW w:w="2126" w:type="dxa"/>
            <w:tcMar>
              <w:top w:w="85" w:type="dxa"/>
              <w:left w:w="85" w:type="dxa"/>
              <w:bottom w:w="85" w:type="dxa"/>
            </w:tcMar>
          </w:tcPr>
          <w:p>
            <w:pPr>
              <w:spacing w:after="0"/>
              <w:jc w:val="left"/>
              <w:rPr>
                <w:noProof/>
                <w:sz w:val="20"/>
                <w:lang w:val="fr-BE"/>
              </w:rPr>
            </w:pPr>
            <w:r>
              <w:rPr>
                <w:noProof/>
                <w:sz w:val="20"/>
                <w:lang w:val="fr-BE"/>
              </w:rPr>
              <w:t>COM(2016) 277 final</w:t>
            </w:r>
            <w:r>
              <w:rPr>
                <w:noProof/>
                <w:sz w:val="20"/>
                <w:lang w:val="fr-BE"/>
              </w:rPr>
              <w:br/>
              <w:t>2016/0139 (COD)</w:t>
            </w:r>
            <w:r>
              <w:rPr>
                <w:noProof/>
                <w:sz w:val="20"/>
                <w:lang w:val="fr-BE"/>
              </w:rPr>
              <w:br/>
              <w:t>4.5.2016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(UE) 2016/399 en ce qui concerne les règles applicables à la réintroduction temporaire du contrôle aux frontières intérieures</w:t>
            </w:r>
          </w:p>
        </w:tc>
        <w:tc>
          <w:tcPr>
            <w:tcW w:w="2126" w:type="dxa"/>
            <w:tcMar>
              <w:top w:w="85" w:type="dxa"/>
              <w:left w:w="85" w:type="dxa"/>
              <w:bottom w:w="85" w:type="dxa"/>
            </w:tcMar>
          </w:tcPr>
          <w:p>
            <w:pPr>
              <w:spacing w:after="0"/>
              <w:jc w:val="left"/>
              <w:rPr>
                <w:noProof/>
                <w:sz w:val="20"/>
                <w:lang w:val="fr-BE"/>
              </w:rPr>
            </w:pPr>
            <w:r>
              <w:rPr>
                <w:noProof/>
                <w:sz w:val="20"/>
                <w:lang w:val="fr-BE"/>
              </w:rPr>
              <w:t>COM(2017) 571 final</w:t>
            </w:r>
            <w:r>
              <w:rPr>
                <w:noProof/>
                <w:sz w:val="20"/>
                <w:lang w:val="fr-BE"/>
              </w:rPr>
              <w:br/>
              <w:t>2017/0245 (COD)</w:t>
            </w:r>
            <w:r>
              <w:rPr>
                <w:noProof/>
                <w:sz w:val="20"/>
                <w:lang w:val="fr-BE"/>
              </w:rPr>
              <w:br/>
              <w:t>28.9.2017</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relatif à l’Agence de l’Union européenne pour l’asile et abrogeant le règlement (UE) nº 439/2010</w:t>
            </w:r>
          </w:p>
        </w:tc>
        <w:tc>
          <w:tcPr>
            <w:tcW w:w="2126" w:type="dxa"/>
            <w:tcMar>
              <w:top w:w="85" w:type="dxa"/>
              <w:left w:w="85" w:type="dxa"/>
              <w:bottom w:w="85" w:type="dxa"/>
            </w:tcMar>
          </w:tcPr>
          <w:p>
            <w:pPr>
              <w:spacing w:after="0"/>
              <w:jc w:val="left"/>
              <w:rPr>
                <w:noProof/>
                <w:sz w:val="20"/>
              </w:rPr>
            </w:pPr>
            <w:r>
              <w:rPr>
                <w:noProof/>
                <w:sz w:val="20"/>
              </w:rPr>
              <w:t>COM(2016) 271 final</w:t>
            </w:r>
            <w:r>
              <w:rPr>
                <w:noProof/>
                <w:sz w:val="20"/>
              </w:rPr>
              <w:br/>
              <w:t>2016/0131 (COD)</w:t>
            </w:r>
            <w:r>
              <w:rPr>
                <w:noProof/>
                <w:sz w:val="20"/>
              </w:rPr>
              <w:br/>
              <w:t>4.5.2016</w:t>
            </w:r>
            <w:r>
              <w:rPr>
                <w:noProof/>
                <w:sz w:val="20"/>
              </w:rPr>
              <w:br/>
            </w:r>
            <w:r>
              <w:rPr>
                <w:noProof/>
                <w:sz w:val="20"/>
              </w:rPr>
              <w:br/>
              <w:t>COM(2018) 633 final</w:t>
            </w:r>
            <w:r>
              <w:rPr>
                <w:noProof/>
                <w:sz w:val="20"/>
              </w:rPr>
              <w:br/>
              <w:t>12.09.2018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w:t>
            </w:r>
          </w:p>
        </w:tc>
        <w:tc>
          <w:tcPr>
            <w:tcW w:w="2126" w:type="dxa"/>
            <w:tcMar>
              <w:top w:w="85" w:type="dxa"/>
              <w:left w:w="85" w:type="dxa"/>
              <w:bottom w:w="85" w:type="dxa"/>
            </w:tcMar>
          </w:tcPr>
          <w:p>
            <w:pPr>
              <w:spacing w:after="0"/>
              <w:jc w:val="left"/>
              <w:rPr>
                <w:noProof/>
                <w:sz w:val="20"/>
                <w:lang w:val="fr-BE"/>
              </w:rPr>
            </w:pPr>
            <w:r>
              <w:rPr>
                <w:noProof/>
                <w:sz w:val="20"/>
                <w:lang w:val="fr-BE"/>
              </w:rPr>
              <w:t>COM(2016) 272 final</w:t>
            </w:r>
            <w:r>
              <w:rPr>
                <w:noProof/>
                <w:sz w:val="20"/>
                <w:lang w:val="fr-BE"/>
              </w:rPr>
              <w:br/>
              <w:t>2016/0132 (COD)</w:t>
            </w:r>
            <w:r>
              <w:rPr>
                <w:noProof/>
                <w:sz w:val="20"/>
                <w:lang w:val="fr-BE"/>
              </w:rPr>
              <w:br/>
              <w:t xml:space="preserve">4.5.2016 </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les critères et mécanismes de détermination de l’État membre responsable de l’examen d’une demande de protection internationale introduite dans l’un des États membres par un ressortissant de pays tiers ou un apatride (refonte)</w:t>
            </w:r>
          </w:p>
        </w:tc>
        <w:tc>
          <w:tcPr>
            <w:tcW w:w="2126" w:type="dxa"/>
            <w:tcMar>
              <w:top w:w="85" w:type="dxa"/>
              <w:left w:w="85" w:type="dxa"/>
              <w:bottom w:w="85" w:type="dxa"/>
            </w:tcMar>
          </w:tcPr>
          <w:p>
            <w:pPr>
              <w:spacing w:after="0"/>
              <w:jc w:val="left"/>
              <w:rPr>
                <w:noProof/>
                <w:sz w:val="20"/>
                <w:lang w:val="fr-BE"/>
              </w:rPr>
            </w:pPr>
            <w:r>
              <w:rPr>
                <w:noProof/>
                <w:sz w:val="20"/>
                <w:lang w:val="fr-BE"/>
              </w:rPr>
              <w:t>COM(2016) 270 final</w:t>
            </w:r>
            <w:r>
              <w:rPr>
                <w:noProof/>
                <w:sz w:val="20"/>
                <w:lang w:val="fr-BE"/>
              </w:rPr>
              <w:br/>
              <w:t>2016/0133 (COD)</w:t>
            </w:r>
            <w:r>
              <w:rPr>
                <w:noProof/>
                <w:sz w:val="20"/>
                <w:lang w:val="fr-BE"/>
              </w:rPr>
              <w:br/>
              <w:t>4.5.2016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établissant des normes pour l’accueil des personnes demandant la protection internationale (refonte)</w:t>
            </w:r>
          </w:p>
        </w:tc>
        <w:tc>
          <w:tcPr>
            <w:tcW w:w="2126" w:type="dxa"/>
            <w:tcMar>
              <w:top w:w="85" w:type="dxa"/>
              <w:left w:w="85" w:type="dxa"/>
              <w:bottom w:w="85" w:type="dxa"/>
            </w:tcMar>
          </w:tcPr>
          <w:p>
            <w:pPr>
              <w:spacing w:after="0"/>
              <w:jc w:val="left"/>
              <w:rPr>
                <w:noProof/>
                <w:sz w:val="20"/>
                <w:lang w:val="fr-BE"/>
              </w:rPr>
            </w:pPr>
            <w:r>
              <w:rPr>
                <w:noProof/>
                <w:sz w:val="20"/>
                <w:lang w:val="fr-BE"/>
              </w:rPr>
              <w:t>COM(2016) 465 final</w:t>
            </w:r>
            <w:r>
              <w:rPr>
                <w:noProof/>
                <w:sz w:val="20"/>
                <w:lang w:val="fr-BE"/>
              </w:rPr>
              <w:br/>
              <w:t>2016/0222 (COD)</w:t>
            </w:r>
            <w:r>
              <w:rPr>
                <w:noProof/>
                <w:sz w:val="20"/>
                <w:lang w:val="fr-BE"/>
              </w:rPr>
              <w:br/>
              <w:t>13.7.2016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 xml:space="preserve">Proposition de RÈGLEMENT DU PARLEMENT EUROPÉEN ET DU CONSEIL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cette protection, et modifiant la directive 2011/109/CE du Conseil du 25 novembre 2003 relative au statut des ressortissants de pays tiers résidents de longue durée  </w:t>
            </w:r>
          </w:p>
        </w:tc>
        <w:tc>
          <w:tcPr>
            <w:tcW w:w="2126" w:type="dxa"/>
            <w:tcMar>
              <w:top w:w="85" w:type="dxa"/>
              <w:left w:w="85" w:type="dxa"/>
              <w:bottom w:w="85" w:type="dxa"/>
            </w:tcMar>
          </w:tcPr>
          <w:p>
            <w:pPr>
              <w:spacing w:after="0"/>
              <w:jc w:val="left"/>
              <w:rPr>
                <w:noProof/>
                <w:sz w:val="20"/>
                <w:lang w:val="fr-BE"/>
              </w:rPr>
            </w:pPr>
            <w:r>
              <w:rPr>
                <w:noProof/>
                <w:sz w:val="20"/>
                <w:lang w:val="fr-BE"/>
              </w:rPr>
              <w:t>COM(2016) 466 final</w:t>
            </w:r>
            <w:r>
              <w:rPr>
                <w:noProof/>
                <w:sz w:val="20"/>
                <w:lang w:val="fr-BE"/>
              </w:rPr>
              <w:br/>
              <w:t>2016/0223 (COD)</w:t>
            </w:r>
            <w:r>
              <w:rPr>
                <w:noProof/>
                <w:sz w:val="20"/>
                <w:lang w:val="fr-BE"/>
              </w:rPr>
              <w:br/>
              <w:t>13.7.2016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instituant une procédure commune en matière de protection internationale dans l’Union et abrogeant la directive 2013/32/UE</w:t>
            </w:r>
          </w:p>
        </w:tc>
        <w:tc>
          <w:tcPr>
            <w:tcW w:w="2126" w:type="dxa"/>
            <w:tcMar>
              <w:top w:w="85" w:type="dxa"/>
              <w:left w:w="85" w:type="dxa"/>
              <w:bottom w:w="85" w:type="dxa"/>
            </w:tcMar>
          </w:tcPr>
          <w:p>
            <w:pPr>
              <w:spacing w:after="0"/>
              <w:jc w:val="left"/>
              <w:rPr>
                <w:noProof/>
                <w:sz w:val="20"/>
                <w:lang w:val="fr-BE"/>
              </w:rPr>
            </w:pPr>
            <w:r>
              <w:rPr>
                <w:noProof/>
                <w:sz w:val="20"/>
                <w:lang w:val="fr-BE"/>
              </w:rPr>
              <w:t>COM(2016) 467 final</w:t>
            </w:r>
            <w:r>
              <w:rPr>
                <w:noProof/>
                <w:sz w:val="20"/>
                <w:lang w:val="fr-BE"/>
              </w:rPr>
              <w:br/>
              <w:t>2016/0224 (COD)</w:t>
            </w:r>
            <w:r>
              <w:rPr>
                <w:noProof/>
                <w:sz w:val="20"/>
                <w:lang w:val="fr-BE"/>
              </w:rPr>
              <w:br/>
              <w:t>13.7.2016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 xml:space="preserve">Proposition de RÈGLEMENT DU PARLEMENT EUROPÉEN ET DU CONSEIL établissant un cadre de l’Union pour la réinstallation et modifiant le règlement (UE) nº 516/2014 du Parlement européen et du Conseil </w:t>
            </w:r>
          </w:p>
        </w:tc>
        <w:tc>
          <w:tcPr>
            <w:tcW w:w="2126" w:type="dxa"/>
            <w:tcMar>
              <w:top w:w="85" w:type="dxa"/>
              <w:left w:w="85" w:type="dxa"/>
              <w:bottom w:w="85" w:type="dxa"/>
            </w:tcMar>
          </w:tcPr>
          <w:p>
            <w:pPr>
              <w:spacing w:after="0"/>
              <w:jc w:val="left"/>
              <w:rPr>
                <w:noProof/>
                <w:sz w:val="20"/>
                <w:lang w:val="fr-BE"/>
              </w:rPr>
            </w:pPr>
            <w:r>
              <w:rPr>
                <w:noProof/>
                <w:sz w:val="20"/>
                <w:lang w:val="fr-BE"/>
              </w:rPr>
              <w:t>COM(2016) 468 final</w:t>
            </w:r>
            <w:r>
              <w:rPr>
                <w:noProof/>
                <w:sz w:val="20"/>
                <w:lang w:val="fr-BE"/>
              </w:rPr>
              <w:br/>
              <w:t>2016/0225 (COD)</w:t>
            </w:r>
            <w:r>
              <w:rPr>
                <w:noProof/>
                <w:sz w:val="20"/>
                <w:lang w:val="fr-BE"/>
              </w:rPr>
              <w:br/>
              <w:t>13.7.2016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établissant les conditions d’entrée et de séjour des ressortissants de pays tiers aux fins d’un emploi nécessitant des compétences élevées</w:t>
            </w:r>
          </w:p>
        </w:tc>
        <w:tc>
          <w:tcPr>
            <w:tcW w:w="2126" w:type="dxa"/>
            <w:tcMar>
              <w:top w:w="85" w:type="dxa"/>
              <w:left w:w="85" w:type="dxa"/>
              <w:bottom w:w="85" w:type="dxa"/>
            </w:tcMar>
          </w:tcPr>
          <w:p>
            <w:pPr>
              <w:spacing w:after="0"/>
              <w:jc w:val="left"/>
              <w:rPr>
                <w:noProof/>
                <w:sz w:val="20"/>
                <w:lang w:val="fr-BE"/>
              </w:rPr>
            </w:pPr>
            <w:r>
              <w:rPr>
                <w:noProof/>
                <w:sz w:val="20"/>
                <w:lang w:val="fr-BE"/>
              </w:rPr>
              <w:t>COM(2016) 378 final 2016/0176 (COD) 7.6.2016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«Erasmus», le programme de l’Union pour l’éducation, la formation, la jeunesse et le sport, et abrogeant le règlement (UE) nº 1288/2013</w:t>
            </w:r>
          </w:p>
        </w:tc>
        <w:tc>
          <w:tcPr>
            <w:tcW w:w="2126" w:type="dxa"/>
            <w:tcMar>
              <w:top w:w="85" w:type="dxa"/>
              <w:left w:w="85" w:type="dxa"/>
              <w:bottom w:w="85" w:type="dxa"/>
            </w:tcMar>
          </w:tcPr>
          <w:p>
            <w:pPr>
              <w:spacing w:after="0"/>
              <w:jc w:val="left"/>
              <w:rPr>
                <w:noProof/>
                <w:sz w:val="20"/>
                <w:lang w:val="fr-BE"/>
              </w:rPr>
            </w:pPr>
            <w:r>
              <w:rPr>
                <w:noProof/>
                <w:sz w:val="20"/>
                <w:lang w:val="fr-BE"/>
              </w:rPr>
              <w:t>COM(2018) 367 final</w:t>
            </w:r>
            <w:r>
              <w:rPr>
                <w:noProof/>
                <w:sz w:val="20"/>
                <w:lang w:val="fr-BE"/>
              </w:rPr>
              <w:br/>
              <w:t>2018/0191 (COD)</w:t>
            </w:r>
            <w:r>
              <w:rPr>
                <w:noProof/>
                <w:sz w:val="20"/>
                <w:lang w:val="fr-BE"/>
              </w:rPr>
              <w:br/>
              <w:t>30.5.2018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relatif à l’Institut européen d’innovation et de technologie (refonte)</w:t>
            </w:r>
          </w:p>
        </w:tc>
        <w:tc>
          <w:tcPr>
            <w:tcW w:w="2126" w:type="dxa"/>
            <w:tcMar>
              <w:top w:w="85" w:type="dxa"/>
              <w:left w:w="85" w:type="dxa"/>
              <w:bottom w:w="85" w:type="dxa"/>
            </w:tcMar>
          </w:tcPr>
          <w:p>
            <w:pPr>
              <w:spacing w:after="0"/>
              <w:jc w:val="left"/>
              <w:rPr>
                <w:noProof/>
                <w:sz w:val="20"/>
                <w:lang w:val="fr-BE"/>
              </w:rPr>
            </w:pPr>
            <w:r>
              <w:rPr>
                <w:noProof/>
                <w:sz w:val="20"/>
                <w:lang w:val="fr-BE"/>
              </w:rPr>
              <w:t>COM(2019) 331 final</w:t>
            </w:r>
            <w:r>
              <w:rPr>
                <w:noProof/>
                <w:sz w:val="20"/>
                <w:lang w:val="fr-BE"/>
              </w:rPr>
              <w:br/>
              <w:t>2019/0151 (COD)</w:t>
            </w:r>
            <w:r>
              <w:rPr>
                <w:noProof/>
                <w:sz w:val="20"/>
                <w:lang w:val="fr-BE"/>
              </w:rPr>
              <w:br/>
              <w:t>11.7.2019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DÉCISION DU PARLEMENT EUROPÉEN ET DU CONSEIL relative au programme stratégique d’innovation de l’Institut européen d’innovation et de technologie (EIT) pour la période 2021-2027: stimuler les talents et les capacités de l’Europe en matière d’innovation</w:t>
            </w:r>
          </w:p>
        </w:tc>
        <w:tc>
          <w:tcPr>
            <w:tcW w:w="2126" w:type="dxa"/>
            <w:tcMar>
              <w:top w:w="85" w:type="dxa"/>
              <w:left w:w="85" w:type="dxa"/>
              <w:bottom w:w="85" w:type="dxa"/>
            </w:tcMar>
          </w:tcPr>
          <w:p>
            <w:pPr>
              <w:spacing w:after="0"/>
              <w:jc w:val="left"/>
              <w:rPr>
                <w:noProof/>
                <w:sz w:val="20"/>
                <w:lang w:val="fr-BE"/>
              </w:rPr>
            </w:pPr>
            <w:r>
              <w:rPr>
                <w:noProof/>
                <w:sz w:val="20"/>
                <w:lang w:val="fr-BE"/>
              </w:rPr>
              <w:t>COM(2019) 330 final</w:t>
            </w:r>
            <w:r>
              <w:rPr>
                <w:noProof/>
                <w:sz w:val="20"/>
                <w:lang w:val="fr-BE"/>
              </w:rPr>
              <w:br/>
              <w:t>2019/0152 (COD)</w:t>
            </w:r>
            <w:r>
              <w:rPr>
                <w:noProof/>
                <w:sz w:val="20"/>
                <w:lang w:val="fr-BE"/>
              </w:rPr>
              <w:br/>
              <w:t>11.7.2019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de l’Union en matière de lutte contre la fraude</w:t>
            </w:r>
          </w:p>
        </w:tc>
        <w:tc>
          <w:tcPr>
            <w:tcW w:w="2126" w:type="dxa"/>
            <w:tcMar>
              <w:top w:w="85" w:type="dxa"/>
              <w:left w:w="85" w:type="dxa"/>
              <w:bottom w:w="85" w:type="dxa"/>
            </w:tcMar>
          </w:tcPr>
          <w:p>
            <w:pPr>
              <w:spacing w:after="0"/>
              <w:jc w:val="left"/>
              <w:rPr>
                <w:noProof/>
                <w:sz w:val="20"/>
                <w:lang w:val="fr-BE"/>
              </w:rPr>
            </w:pPr>
            <w:r>
              <w:rPr>
                <w:noProof/>
                <w:sz w:val="20"/>
                <w:lang w:val="fr-BE"/>
              </w:rPr>
              <w:t>COM(2018) 386 final</w:t>
            </w:r>
            <w:r>
              <w:rPr>
                <w:noProof/>
                <w:sz w:val="20"/>
                <w:lang w:val="fr-BE"/>
              </w:rPr>
              <w:br/>
              <w:t>2018/0211 (COD)</w:t>
            </w:r>
            <w:r>
              <w:rPr>
                <w:noProof/>
                <w:sz w:val="20"/>
                <w:lang w:val="fr-BE"/>
              </w:rPr>
              <w:br/>
              <w:t>30.5.2018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Fonds pour la sécurité intérieure</w:t>
            </w:r>
          </w:p>
        </w:tc>
        <w:tc>
          <w:tcPr>
            <w:tcW w:w="2126" w:type="dxa"/>
            <w:tcMar>
              <w:top w:w="85" w:type="dxa"/>
              <w:left w:w="85" w:type="dxa"/>
              <w:bottom w:w="85" w:type="dxa"/>
            </w:tcMar>
          </w:tcPr>
          <w:p>
            <w:pPr>
              <w:spacing w:after="0"/>
              <w:jc w:val="left"/>
              <w:rPr>
                <w:noProof/>
                <w:sz w:val="20"/>
                <w:lang w:val="fr-BE"/>
              </w:rPr>
            </w:pPr>
            <w:r>
              <w:rPr>
                <w:noProof/>
                <w:sz w:val="20"/>
                <w:lang w:val="fr-BE"/>
              </w:rPr>
              <w:t>COM(2018) 472 final</w:t>
            </w:r>
            <w:r>
              <w:rPr>
                <w:noProof/>
                <w:sz w:val="20"/>
                <w:lang w:val="fr-BE"/>
              </w:rPr>
              <w:br/>
              <w:t>2018/0250 (COD)</w:t>
            </w:r>
            <w:r>
              <w:rPr>
                <w:noProof/>
                <w:sz w:val="20"/>
                <w:lang w:val="fr-BE"/>
              </w:rPr>
              <w:br/>
              <w:t>13.6.2018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Fonds «Asile et migration»</w:t>
            </w:r>
          </w:p>
        </w:tc>
        <w:tc>
          <w:tcPr>
            <w:tcW w:w="2126" w:type="dxa"/>
            <w:tcMar>
              <w:top w:w="85" w:type="dxa"/>
              <w:left w:w="85" w:type="dxa"/>
              <w:bottom w:w="85" w:type="dxa"/>
            </w:tcMar>
          </w:tcPr>
          <w:p>
            <w:pPr>
              <w:spacing w:after="0"/>
              <w:jc w:val="left"/>
              <w:rPr>
                <w:noProof/>
                <w:sz w:val="20"/>
                <w:lang w:val="fr-BE"/>
              </w:rPr>
            </w:pPr>
            <w:r>
              <w:rPr>
                <w:noProof/>
                <w:sz w:val="20"/>
                <w:lang w:val="fr-BE"/>
              </w:rPr>
              <w:t>COM(2018) 471 final</w:t>
            </w:r>
            <w:r>
              <w:rPr>
                <w:noProof/>
                <w:sz w:val="20"/>
                <w:lang w:val="fr-BE"/>
              </w:rPr>
              <w:br/>
              <w:t>2018/0248 (COD)</w:t>
            </w:r>
            <w:r>
              <w:rPr>
                <w:noProof/>
                <w:sz w:val="20"/>
                <w:lang w:val="fr-BE"/>
              </w:rPr>
              <w:br/>
              <w:t>13.6.2018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dans le cadre du Fonds pour la gestion intégrée des frontières, l’instrument de soutien financier dans le domaine de la gestion des frontières et des visas</w:t>
            </w:r>
          </w:p>
        </w:tc>
        <w:tc>
          <w:tcPr>
            <w:tcW w:w="2126" w:type="dxa"/>
            <w:tcMar>
              <w:top w:w="85" w:type="dxa"/>
              <w:left w:w="85" w:type="dxa"/>
              <w:bottom w:w="85" w:type="dxa"/>
            </w:tcMar>
          </w:tcPr>
          <w:p>
            <w:pPr>
              <w:spacing w:after="0"/>
              <w:jc w:val="left"/>
              <w:rPr>
                <w:noProof/>
                <w:sz w:val="20"/>
                <w:lang w:val="fr-BE"/>
              </w:rPr>
            </w:pPr>
            <w:r>
              <w:rPr>
                <w:noProof/>
                <w:sz w:val="20"/>
                <w:lang w:val="fr-BE"/>
              </w:rPr>
              <w:t>COM(2018) 473 final</w:t>
            </w:r>
            <w:r>
              <w:rPr>
                <w:noProof/>
                <w:sz w:val="20"/>
                <w:lang w:val="fr-BE"/>
              </w:rPr>
              <w:br/>
              <w:t>2018/0249 (COD) 13.6.2018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«Corps européen de solidarité» et abrogeant le [règlement relatif au corps européen de solidarité] et le règlement (UE) nº 375/2014</w:t>
            </w:r>
          </w:p>
        </w:tc>
        <w:tc>
          <w:tcPr>
            <w:tcW w:w="2126" w:type="dxa"/>
            <w:tcMar>
              <w:top w:w="85" w:type="dxa"/>
              <w:left w:w="85" w:type="dxa"/>
              <w:bottom w:w="85" w:type="dxa"/>
            </w:tcMar>
          </w:tcPr>
          <w:p>
            <w:pPr>
              <w:spacing w:after="0"/>
              <w:jc w:val="left"/>
              <w:rPr>
                <w:noProof/>
                <w:sz w:val="20"/>
                <w:lang w:val="fr-BE"/>
              </w:rPr>
            </w:pPr>
            <w:r>
              <w:rPr>
                <w:noProof/>
                <w:sz w:val="20"/>
                <w:lang w:val="fr-BE"/>
              </w:rPr>
              <w:t>COM(2018) 440 final</w:t>
            </w:r>
            <w:r>
              <w:rPr>
                <w:noProof/>
                <w:sz w:val="20"/>
                <w:lang w:val="fr-BE"/>
              </w:rPr>
              <w:br/>
              <w:t>2018/0230 (COD)</w:t>
            </w:r>
            <w:r>
              <w:rPr>
                <w:noProof/>
                <w:sz w:val="20"/>
                <w:lang w:val="fr-BE"/>
              </w:rPr>
              <w:br/>
              <w:t>11.6.2018</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«Europe créative» (2021 à 2027) et abrogeant le règlement (UE) nº 1295/2013</w:t>
            </w:r>
          </w:p>
        </w:tc>
        <w:tc>
          <w:tcPr>
            <w:tcW w:w="2126" w:type="dxa"/>
            <w:tcBorders>
              <w:bottom w:val="single" w:sz="4" w:space="0" w:color="auto"/>
            </w:tcBorders>
            <w:tcMar>
              <w:top w:w="85" w:type="dxa"/>
              <w:left w:w="85" w:type="dxa"/>
              <w:bottom w:w="85" w:type="dxa"/>
            </w:tcMar>
          </w:tcPr>
          <w:p>
            <w:pPr>
              <w:spacing w:after="0"/>
              <w:jc w:val="left"/>
              <w:rPr>
                <w:noProof/>
                <w:sz w:val="20"/>
                <w:lang w:val="fr-BE"/>
              </w:rPr>
            </w:pPr>
            <w:r>
              <w:rPr>
                <w:noProof/>
                <w:sz w:val="20"/>
                <w:lang w:val="fr-BE"/>
              </w:rPr>
              <w:t>COM(2018) 366 final</w:t>
            </w:r>
            <w:r>
              <w:rPr>
                <w:noProof/>
                <w:sz w:val="20"/>
                <w:lang w:val="fr-BE"/>
              </w:rPr>
              <w:br/>
              <w:t>2018/0190 (COD)</w:t>
            </w:r>
            <w:r>
              <w:rPr>
                <w:noProof/>
                <w:sz w:val="20"/>
                <w:lang w:val="fr-BE"/>
              </w:rPr>
              <w:br/>
              <w:t>30.5.2018</w:t>
            </w:r>
          </w:p>
        </w:tc>
      </w:tr>
      <w:tr>
        <w:trPr>
          <w:cantSplit/>
        </w:trPr>
        <w:tc>
          <w:tcPr>
            <w:tcW w:w="14850" w:type="dxa"/>
            <w:gridSpan w:val="3"/>
            <w:shd w:val="clear" w:color="auto" w:fill="00ADDC" w:themeFill="accent5"/>
            <w:tcMar>
              <w:top w:w="85" w:type="dxa"/>
              <w:left w:w="85" w:type="dxa"/>
              <w:bottom w:w="85" w:type="dxa"/>
              <w:right w:w="85" w:type="dxa"/>
            </w:tcMar>
          </w:tcPr>
          <w:p>
            <w:pPr>
              <w:spacing w:before="60" w:after="60"/>
              <w:rPr>
                <w:noProof/>
                <w:sz w:val="20"/>
                <w:lang w:val="fr-BE"/>
              </w:rPr>
            </w:pPr>
            <w:r>
              <w:rPr>
                <w:b/>
                <w:bCs/>
                <w:noProof/>
                <w:color w:val="FFFFFF" w:themeColor="background1"/>
                <w:sz w:val="20"/>
                <w:lang w:val="fr-BE"/>
              </w:rPr>
              <w:t>Un nouvel élan pour la démocratie européenne</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adaptant à l’article 290 du traité sur le fonctionnement de l’Union européenne une série d’actes juridiques dans le domaine de la justice prévoyant le recours à la procédure de réglementation avec contrôle</w:t>
            </w:r>
            <w:r>
              <w:rPr>
                <w:b/>
                <w:bCs/>
                <w:noProof/>
                <w:sz w:val="20"/>
                <w:lang w:val="fr-BE"/>
              </w:rPr>
              <w:t xml:space="preserve"> </w:t>
            </w:r>
          </w:p>
        </w:tc>
        <w:tc>
          <w:tcPr>
            <w:tcW w:w="2126" w:type="dxa"/>
            <w:tcMar>
              <w:top w:w="85" w:type="dxa"/>
              <w:left w:w="85" w:type="dxa"/>
              <w:bottom w:w="85" w:type="dxa"/>
            </w:tcMar>
          </w:tcPr>
          <w:p>
            <w:pPr>
              <w:spacing w:after="0"/>
              <w:jc w:val="left"/>
              <w:rPr>
                <w:noProof/>
                <w:sz w:val="20"/>
                <w:lang w:val="fr-BE"/>
              </w:rPr>
            </w:pPr>
            <w:r>
              <w:rPr>
                <w:noProof/>
                <w:sz w:val="20"/>
                <w:lang w:val="fr-BE"/>
              </w:rPr>
              <w:t>COM(2016) 798 final</w:t>
            </w:r>
            <w:r>
              <w:rPr>
                <w:noProof/>
                <w:sz w:val="20"/>
                <w:lang w:val="fr-BE"/>
              </w:rPr>
              <w:br/>
              <w:t>2016/0399 (COD)</w:t>
            </w:r>
            <w:r>
              <w:rPr>
                <w:noProof/>
                <w:sz w:val="20"/>
                <w:lang w:val="fr-BE"/>
              </w:rPr>
              <w:br/>
              <w:t>14.12.2016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relative à un meilleur équilibre hommes-femmes parmi les administrateurs non exécutifs des sociétés cotées en bourse et à des mesures connexes</w:t>
            </w:r>
          </w:p>
        </w:tc>
        <w:tc>
          <w:tcPr>
            <w:tcW w:w="2126" w:type="dxa"/>
            <w:tcMar>
              <w:top w:w="85" w:type="dxa"/>
              <w:left w:w="85" w:type="dxa"/>
              <w:bottom w:w="85" w:type="dxa"/>
            </w:tcMar>
          </w:tcPr>
          <w:p>
            <w:pPr>
              <w:spacing w:after="0"/>
              <w:jc w:val="left"/>
              <w:rPr>
                <w:noProof/>
                <w:sz w:val="20"/>
                <w:lang w:val="fr-BE"/>
              </w:rPr>
            </w:pPr>
            <w:r>
              <w:rPr>
                <w:noProof/>
                <w:sz w:val="20"/>
                <w:lang w:val="fr-BE"/>
              </w:rPr>
              <w:t>COM(2012) 614 final</w:t>
            </w:r>
            <w:r>
              <w:rPr>
                <w:noProof/>
                <w:sz w:val="20"/>
                <w:lang w:val="fr-BE"/>
              </w:rPr>
              <w:br/>
              <w:t>2012/0299 (COD)</w:t>
            </w:r>
            <w:r>
              <w:rPr>
                <w:noProof/>
                <w:sz w:val="20"/>
                <w:lang w:val="fr-BE"/>
              </w:rPr>
              <w:br/>
              <w:t>14.11.2012</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adaptant aux articles 290 et 291 du traité sur le fonctionnement de l’Union européenne une série d’actes juridiques prévoyant le recours à la procédure de réglementation avec contrôle</w:t>
            </w:r>
          </w:p>
        </w:tc>
        <w:tc>
          <w:tcPr>
            <w:tcW w:w="2126" w:type="dxa"/>
            <w:tcMar>
              <w:top w:w="85" w:type="dxa"/>
              <w:left w:w="85" w:type="dxa"/>
              <w:bottom w:w="85" w:type="dxa"/>
            </w:tcMar>
          </w:tcPr>
          <w:p>
            <w:pPr>
              <w:spacing w:after="0"/>
              <w:jc w:val="left"/>
              <w:rPr>
                <w:noProof/>
                <w:sz w:val="20"/>
                <w:lang w:val="fr-BE"/>
              </w:rPr>
            </w:pPr>
            <w:r>
              <w:rPr>
                <w:noProof/>
                <w:sz w:val="20"/>
                <w:lang w:val="fr-BE"/>
              </w:rPr>
              <w:t>COM(2016) 799 final</w:t>
            </w:r>
            <w:r>
              <w:rPr>
                <w:noProof/>
                <w:sz w:val="20"/>
                <w:lang w:val="fr-BE"/>
              </w:rPr>
              <w:br/>
              <w:t>2016/0400 B(COD)</w:t>
            </w:r>
            <w:r>
              <w:rPr>
                <w:noProof/>
                <w:sz w:val="20"/>
                <w:lang w:val="fr-BE"/>
              </w:rPr>
              <w:br/>
              <w:t xml:space="preserve">14.12.2016 </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relative aux actions représentatives dans le domaine de la protection des intérêts collectifs des consommateurs, et abrogeant la directive 2009/22/CE</w:t>
            </w:r>
          </w:p>
        </w:tc>
        <w:tc>
          <w:tcPr>
            <w:tcW w:w="2126" w:type="dxa"/>
            <w:tcMar>
              <w:top w:w="85" w:type="dxa"/>
              <w:left w:w="85" w:type="dxa"/>
              <w:bottom w:w="85" w:type="dxa"/>
            </w:tcMar>
          </w:tcPr>
          <w:p>
            <w:pPr>
              <w:spacing w:after="0"/>
              <w:jc w:val="left"/>
              <w:rPr>
                <w:noProof/>
                <w:sz w:val="20"/>
                <w:lang w:val="fr-BE"/>
              </w:rPr>
            </w:pPr>
            <w:r>
              <w:rPr>
                <w:noProof/>
                <w:sz w:val="20"/>
                <w:lang w:val="fr-BE"/>
              </w:rPr>
              <w:t>COM(2018) 184 final</w:t>
            </w:r>
            <w:r>
              <w:rPr>
                <w:noProof/>
                <w:sz w:val="20"/>
                <w:lang w:val="fr-BE"/>
              </w:rPr>
              <w:br/>
              <w:t>2018/0089 (COD)</w:t>
            </w:r>
            <w:r>
              <w:rPr>
                <w:noProof/>
                <w:sz w:val="20"/>
                <w:lang w:val="fr-BE"/>
              </w:rPr>
              <w:br/>
              <w:t>12.4.2018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Proposition de directive du Conseil relative à la mise en œuvre du principe de l’égalité de traitement entre les personnes sans distinction de religion ou de convictions, de handicap, d’âge ou d’orientation sexuelle</w:t>
            </w:r>
          </w:p>
        </w:tc>
        <w:tc>
          <w:tcPr>
            <w:tcW w:w="2126" w:type="dxa"/>
            <w:tcMar>
              <w:top w:w="85" w:type="dxa"/>
              <w:left w:w="85" w:type="dxa"/>
              <w:bottom w:w="85" w:type="dxa"/>
            </w:tcMar>
          </w:tcPr>
          <w:p>
            <w:pPr>
              <w:spacing w:after="0"/>
              <w:jc w:val="left"/>
              <w:rPr>
                <w:noProof/>
                <w:sz w:val="20"/>
                <w:lang w:val="fr-BE"/>
              </w:rPr>
            </w:pPr>
            <w:r>
              <w:rPr>
                <w:noProof/>
                <w:sz w:val="20"/>
                <w:lang w:val="fr-BE"/>
              </w:rPr>
              <w:t>COM(2008) 426 final</w:t>
            </w:r>
            <w:r>
              <w:rPr>
                <w:noProof/>
                <w:sz w:val="20"/>
                <w:lang w:val="fr-BE"/>
              </w:rPr>
              <w:br/>
              <w:t>2008/0140 (CNS)</w:t>
            </w:r>
            <w:r>
              <w:rPr>
                <w:noProof/>
                <w:sz w:val="20"/>
                <w:lang w:val="fr-BE"/>
              </w:rPr>
              <w:br/>
              <w:t>2.7.2008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portant modification du règlement (UE) nº 182/2011 établissant les règles et principes généraux relatifs aux modalités de contrôle par les États membres de l’exercice des compétences d’exécution par la Commission</w:t>
            </w:r>
          </w:p>
        </w:tc>
        <w:tc>
          <w:tcPr>
            <w:tcW w:w="2126" w:type="dxa"/>
            <w:tcMar>
              <w:top w:w="85" w:type="dxa"/>
              <w:left w:w="85" w:type="dxa"/>
              <w:bottom w:w="85" w:type="dxa"/>
            </w:tcMar>
          </w:tcPr>
          <w:p>
            <w:pPr>
              <w:spacing w:after="0"/>
              <w:jc w:val="left"/>
              <w:rPr>
                <w:noProof/>
                <w:sz w:val="20"/>
                <w:lang w:val="fr-BE"/>
              </w:rPr>
            </w:pPr>
            <w:r>
              <w:rPr>
                <w:noProof/>
                <w:sz w:val="20"/>
                <w:lang w:val="fr-BE"/>
              </w:rPr>
              <w:t>COM(2017) 85 final</w:t>
            </w:r>
            <w:r>
              <w:rPr>
                <w:noProof/>
                <w:sz w:val="20"/>
                <w:lang w:val="fr-BE"/>
              </w:rPr>
              <w:br/>
              <w:t>2017/0035 (COD)</w:t>
            </w:r>
          </w:p>
          <w:p>
            <w:pPr>
              <w:spacing w:after="0"/>
              <w:jc w:val="left"/>
              <w:rPr>
                <w:noProof/>
                <w:sz w:val="20"/>
                <w:lang w:val="fr-BE"/>
              </w:rPr>
            </w:pPr>
            <w:r>
              <w:rPr>
                <w:noProof/>
                <w:sz w:val="20"/>
                <w:lang w:val="fr-BE"/>
              </w:rPr>
              <w:t>14.2.2017</w:t>
            </w:r>
          </w:p>
          <w:p>
            <w:pPr>
              <w:spacing w:after="0"/>
              <w:jc w:val="left"/>
              <w:rPr>
                <w:noProof/>
                <w:sz w:val="20"/>
                <w:lang w:val="fr-BE"/>
              </w:rPr>
            </w:pP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 xml:space="preserve">Proposition de RÈGLEMENT DU PARLEMENT EUROPÉEN ET DU CONSEIL établissant les conditions d’accès aux autres systèmes d’information de l’UE et modifiant le règlement (UE) 2018/1862 et le règlement (UE) yyyy/xxx [ECRIS-TCN] </w:t>
            </w:r>
          </w:p>
        </w:tc>
        <w:tc>
          <w:tcPr>
            <w:tcW w:w="2126" w:type="dxa"/>
            <w:tcMar>
              <w:top w:w="85" w:type="dxa"/>
              <w:left w:w="85" w:type="dxa"/>
              <w:bottom w:w="85" w:type="dxa"/>
            </w:tcMar>
          </w:tcPr>
          <w:p>
            <w:pPr>
              <w:spacing w:after="0"/>
              <w:jc w:val="left"/>
              <w:rPr>
                <w:noProof/>
                <w:sz w:val="20"/>
                <w:lang w:val="fr-BE"/>
              </w:rPr>
            </w:pPr>
            <w:r>
              <w:rPr>
                <w:noProof/>
                <w:sz w:val="20"/>
                <w:lang w:val="fr-BE"/>
              </w:rPr>
              <w:t>COM(2019) 3 final</w:t>
            </w:r>
            <w:r>
              <w:rPr>
                <w:noProof/>
                <w:sz w:val="20"/>
                <w:lang w:val="fr-BE"/>
              </w:rPr>
              <w:br/>
              <w:t>2019/0001 (COD)</w:t>
            </w:r>
            <w:r>
              <w:rPr>
                <w:noProof/>
                <w:sz w:val="20"/>
                <w:lang w:val="fr-BE"/>
              </w:rPr>
              <w:br/>
              <w:t>7.1.2019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sur la loi applicable à l’opposabilité des cessions de créances</w:t>
            </w:r>
          </w:p>
        </w:tc>
        <w:tc>
          <w:tcPr>
            <w:tcW w:w="2126" w:type="dxa"/>
            <w:tcMar>
              <w:top w:w="85" w:type="dxa"/>
              <w:left w:w="85" w:type="dxa"/>
              <w:bottom w:w="85" w:type="dxa"/>
            </w:tcMar>
          </w:tcPr>
          <w:p>
            <w:pPr>
              <w:spacing w:after="0"/>
              <w:jc w:val="left"/>
              <w:rPr>
                <w:noProof/>
                <w:sz w:val="20"/>
                <w:lang w:val="fr-BE"/>
              </w:rPr>
            </w:pPr>
            <w:r>
              <w:rPr>
                <w:noProof/>
                <w:sz w:val="20"/>
                <w:lang w:val="fr-BE"/>
              </w:rPr>
              <w:t>COM(2018) 96 final</w:t>
            </w:r>
            <w:r>
              <w:rPr>
                <w:noProof/>
                <w:sz w:val="20"/>
                <w:lang w:val="fr-BE"/>
              </w:rPr>
              <w:br/>
              <w:t>2018/0044 (COD)</w:t>
            </w:r>
            <w:r>
              <w:rPr>
                <w:noProof/>
                <w:sz w:val="20"/>
                <w:lang w:val="fr-BE"/>
              </w:rPr>
              <w:br/>
              <w:t>12.3.2016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Proposition de DIRECTIVE DU PARLEMENT EUROPÉEN ET DU CONSEIL établissant des règles harmonisées concernant la désignation de représentants légaux aux fins de la collecte de preuves en matière pénale</w:t>
            </w:r>
          </w:p>
        </w:tc>
        <w:tc>
          <w:tcPr>
            <w:tcW w:w="2126" w:type="dxa"/>
            <w:tcMar>
              <w:top w:w="85" w:type="dxa"/>
              <w:left w:w="85" w:type="dxa"/>
              <w:bottom w:w="85" w:type="dxa"/>
            </w:tcMar>
          </w:tcPr>
          <w:p>
            <w:pPr>
              <w:spacing w:after="0"/>
              <w:jc w:val="left"/>
              <w:rPr>
                <w:noProof/>
                <w:sz w:val="20"/>
                <w:lang w:val="fr-BE"/>
              </w:rPr>
            </w:pPr>
            <w:r>
              <w:rPr>
                <w:noProof/>
                <w:sz w:val="20"/>
                <w:lang w:val="fr-BE"/>
              </w:rPr>
              <w:t>COM(2018) 226 final</w:t>
            </w:r>
            <w:r>
              <w:rPr>
                <w:noProof/>
                <w:sz w:val="20"/>
                <w:lang w:val="fr-BE"/>
              </w:rPr>
              <w:br/>
              <w:t>2018/0107 (COD) 18.4.2018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relatif aux injonctions européennes de production et de conservation de preuves électroniques en matière pénale</w:t>
            </w:r>
          </w:p>
        </w:tc>
        <w:tc>
          <w:tcPr>
            <w:tcW w:w="2126" w:type="dxa"/>
            <w:tcMar>
              <w:top w:w="85" w:type="dxa"/>
              <w:left w:w="85" w:type="dxa"/>
              <w:bottom w:w="85" w:type="dxa"/>
            </w:tcMar>
          </w:tcPr>
          <w:p>
            <w:pPr>
              <w:spacing w:after="0"/>
              <w:jc w:val="left"/>
              <w:rPr>
                <w:noProof/>
                <w:sz w:val="20"/>
                <w:lang w:val="fr-BE"/>
              </w:rPr>
            </w:pPr>
            <w:r>
              <w:rPr>
                <w:noProof/>
                <w:sz w:val="20"/>
                <w:lang w:val="fr-BE"/>
              </w:rPr>
              <w:t>COM(2018) 225 final</w:t>
            </w:r>
            <w:r>
              <w:rPr>
                <w:noProof/>
                <w:sz w:val="20"/>
                <w:lang w:val="fr-BE"/>
              </w:rPr>
              <w:br/>
              <w:t>2018/0108 (COD) 18.4.2018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(CE) nº 1393/2007 du Parlement européen et du Conseil relatif à la signification et à la notification dans les États membres des actes judiciaires et extrajudiciaires en matière civile ou commerciale («signification ou notification des actes»)</w:t>
            </w:r>
          </w:p>
        </w:tc>
        <w:tc>
          <w:tcPr>
            <w:tcW w:w="2126" w:type="dxa"/>
            <w:tcMar>
              <w:top w:w="85" w:type="dxa"/>
              <w:left w:w="85" w:type="dxa"/>
              <w:bottom w:w="85" w:type="dxa"/>
            </w:tcMar>
          </w:tcPr>
          <w:p>
            <w:pPr>
              <w:spacing w:after="0"/>
              <w:jc w:val="left"/>
              <w:rPr>
                <w:noProof/>
                <w:sz w:val="20"/>
                <w:lang w:val="fr-BE"/>
              </w:rPr>
            </w:pPr>
            <w:r>
              <w:rPr>
                <w:noProof/>
                <w:sz w:val="20"/>
                <w:lang w:val="fr-BE"/>
              </w:rPr>
              <w:t>COM(2018) 379 final</w:t>
            </w:r>
            <w:r>
              <w:rPr>
                <w:noProof/>
                <w:sz w:val="20"/>
                <w:lang w:val="fr-BE"/>
              </w:rPr>
              <w:br/>
              <w:t>2018/0204 (COD)</w:t>
            </w:r>
            <w:r>
              <w:rPr>
                <w:noProof/>
                <w:sz w:val="20"/>
                <w:lang w:val="fr-BE"/>
              </w:rPr>
              <w:br/>
              <w:t>31.5.2018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BE"/>
              </w:rPr>
            </w:pPr>
            <w:r>
              <w:rPr>
                <w:noProof/>
                <w:sz w:val="20"/>
                <w:lang w:val="fr-BE"/>
              </w:rPr>
              <w:t>Proposition de RÈGLEMENT DU PARLEMENT EUROPÉEN ET DU CONSEIL modifiant le règlement (CE) nº 1206/2001 du Conseil du 28 mai 2001 relatif à la coopération entre les juridictions des États membres dans le domaine de l’obtention des preuves en matière civile ou commerciale</w:t>
            </w:r>
          </w:p>
        </w:tc>
        <w:tc>
          <w:tcPr>
            <w:tcW w:w="2126" w:type="dxa"/>
            <w:tcMar>
              <w:top w:w="85" w:type="dxa"/>
              <w:left w:w="85" w:type="dxa"/>
              <w:bottom w:w="85" w:type="dxa"/>
            </w:tcMar>
          </w:tcPr>
          <w:p>
            <w:pPr>
              <w:spacing w:after="0"/>
              <w:jc w:val="left"/>
              <w:rPr>
                <w:noProof/>
                <w:sz w:val="20"/>
                <w:lang w:val="fr-BE"/>
              </w:rPr>
            </w:pPr>
            <w:r>
              <w:rPr>
                <w:noProof/>
                <w:sz w:val="20"/>
                <w:lang w:val="fr-BE"/>
              </w:rPr>
              <w:t>COM(2018) 378 final</w:t>
            </w:r>
            <w:r>
              <w:rPr>
                <w:noProof/>
                <w:sz w:val="20"/>
                <w:lang w:val="fr-BE"/>
              </w:rPr>
              <w:br/>
              <w:t>2018/0203 (COD) 31.5.2018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relatif à la protection du budget de l’Union en cas de défaillance généralisée de l’état de droit dans un État membre</w:t>
            </w:r>
          </w:p>
        </w:tc>
        <w:tc>
          <w:tcPr>
            <w:tcW w:w="2126" w:type="dxa"/>
            <w:tcMar>
              <w:top w:w="85" w:type="dxa"/>
              <w:left w:w="85" w:type="dxa"/>
              <w:bottom w:w="85" w:type="dxa"/>
            </w:tcMar>
          </w:tcPr>
          <w:p>
            <w:pPr>
              <w:spacing w:after="0"/>
              <w:jc w:val="left"/>
              <w:rPr>
                <w:noProof/>
                <w:sz w:val="20"/>
                <w:lang w:val="fr-BE"/>
              </w:rPr>
            </w:pPr>
            <w:r>
              <w:rPr>
                <w:noProof/>
                <w:sz w:val="20"/>
                <w:lang w:val="fr-BE"/>
              </w:rPr>
              <w:t>COM(2018) 324 final</w:t>
            </w:r>
            <w:r>
              <w:rPr>
                <w:noProof/>
                <w:sz w:val="20"/>
                <w:lang w:val="fr-BE"/>
              </w:rPr>
              <w:br/>
              <w:t>2018/0136 (COD)</w:t>
            </w:r>
            <w:r>
              <w:rPr>
                <w:noProof/>
                <w:sz w:val="20"/>
                <w:lang w:val="fr-BE"/>
              </w:rPr>
              <w:br/>
              <w:t>3.5.2018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«Droits et valeurs»</w:t>
            </w:r>
          </w:p>
        </w:tc>
        <w:tc>
          <w:tcPr>
            <w:tcW w:w="2126" w:type="dxa"/>
            <w:tcMar>
              <w:top w:w="85" w:type="dxa"/>
              <w:left w:w="85" w:type="dxa"/>
              <w:bottom w:w="85" w:type="dxa"/>
            </w:tcMar>
          </w:tcPr>
          <w:p>
            <w:pPr>
              <w:spacing w:after="0"/>
              <w:jc w:val="left"/>
              <w:rPr>
                <w:noProof/>
                <w:sz w:val="20"/>
                <w:lang w:val="fr-BE"/>
              </w:rPr>
            </w:pPr>
            <w:r>
              <w:rPr>
                <w:noProof/>
                <w:sz w:val="20"/>
                <w:lang w:val="fr-BE"/>
              </w:rPr>
              <w:t>COM(2018) 383 final</w:t>
            </w:r>
            <w:r>
              <w:rPr>
                <w:noProof/>
                <w:sz w:val="20"/>
                <w:lang w:val="fr-BE"/>
              </w:rPr>
              <w:br/>
              <w:t>2018/0207 (COD)</w:t>
            </w:r>
            <w:r>
              <w:rPr>
                <w:noProof/>
                <w:sz w:val="20"/>
                <w:lang w:val="fr-BE"/>
              </w:rPr>
              <w:br/>
              <w:t>30.5.2018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lang w:val="fr-BE"/>
              </w:rPr>
            </w:pPr>
          </w:p>
        </w:tc>
        <w:tc>
          <w:tcPr>
            <w:tcW w:w="12072" w:type="dxa"/>
            <w:shd w:val="clear" w:color="auto" w:fill="EEECE1" w:themeFill="background2"/>
            <w:tcMar>
              <w:top w:w="85" w:type="dxa"/>
              <w:left w:w="85" w:type="dxa"/>
              <w:bottom w:w="85" w:type="dxa"/>
            </w:tcMar>
          </w:tcPr>
          <w:p>
            <w:pPr>
              <w:spacing w:after="0"/>
              <w:rPr>
                <w:noProof/>
                <w:sz w:val="20"/>
                <w:lang w:val="fr-BE"/>
              </w:rPr>
            </w:pPr>
            <w:r>
              <w:rPr>
                <w:noProof/>
                <w:sz w:val="20"/>
                <w:lang w:val="fr-BE"/>
              </w:rPr>
              <w:t>Proposition de RÈGLEMENT DU PARLEMENT EUROPÉEN ET DU CONSEIL établissant le programme «Justice»</w:t>
            </w:r>
          </w:p>
        </w:tc>
        <w:tc>
          <w:tcPr>
            <w:tcW w:w="2126" w:type="dxa"/>
            <w:tcMar>
              <w:top w:w="85" w:type="dxa"/>
              <w:left w:w="85" w:type="dxa"/>
              <w:bottom w:w="85" w:type="dxa"/>
            </w:tcMar>
          </w:tcPr>
          <w:p>
            <w:pPr>
              <w:spacing w:after="0"/>
              <w:jc w:val="left"/>
              <w:rPr>
                <w:noProof/>
                <w:sz w:val="20"/>
                <w:lang w:val="fr-BE"/>
              </w:rPr>
            </w:pPr>
            <w:r>
              <w:rPr>
                <w:noProof/>
                <w:sz w:val="20"/>
                <w:lang w:val="fr-BE"/>
              </w:rPr>
              <w:t>COM(2018) 384 final</w:t>
            </w:r>
            <w:r>
              <w:rPr>
                <w:noProof/>
                <w:sz w:val="20"/>
                <w:lang w:val="fr-BE"/>
              </w:rPr>
              <w:br/>
              <w:t>2018/0208 (COD)</w:t>
            </w:r>
            <w:r>
              <w:rPr>
                <w:noProof/>
                <w:sz w:val="20"/>
                <w:lang w:val="fr-BE"/>
              </w:rPr>
              <w:br/>
              <w:t>30.5.2018</w:t>
            </w:r>
          </w:p>
        </w:tc>
      </w:tr>
    </w:tbl>
    <w:p>
      <w:pPr>
        <w:spacing w:after="0"/>
        <w:rPr>
          <w:noProof/>
          <w:sz w:val="20"/>
          <w:lang w:val="fr-BE"/>
        </w:rPr>
      </w:pPr>
      <w:r>
        <w:rPr>
          <w:noProof/>
          <w:lang w:val="fr-BE"/>
        </w:rPr>
        <w:br w:type="textWrapping" w:clear="all"/>
      </w:r>
      <w:r>
        <w:rPr>
          <w:noProof/>
          <w:lang w:val="fr-BE"/>
        </w:rPr>
        <w:br w:type="page"/>
      </w:r>
    </w:p>
    <w:p>
      <w:pPr>
        <w:spacing w:after="600"/>
        <w:jc w:val="center"/>
        <w:rPr>
          <w:b/>
          <w:noProof/>
          <w:sz w:val="28"/>
          <w:szCs w:val="28"/>
          <w:u w:val="single"/>
          <w:lang w:val="fr-BE"/>
        </w:rPr>
      </w:pPr>
      <w:r>
        <w:rPr>
          <w:b/>
          <w:bCs/>
          <w:noProof/>
          <w:sz w:val="28"/>
          <w:szCs w:val="28"/>
          <w:u w:val="single"/>
          <w:lang w:val="fr-BE"/>
        </w:rPr>
        <w:t>Annexe IV: retraits</w:t>
      </w:r>
      <w:r>
        <w:rPr>
          <w:rStyle w:val="FootnoteReference"/>
          <w:b/>
          <w:bCs/>
          <w:noProof/>
          <w:sz w:val="28"/>
          <w:szCs w:val="28"/>
          <w:u w:val="single"/>
          <w:lang w:val="fr-BE"/>
        </w:rPr>
        <w:footnoteReference w:id="5"/>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2067"/>
        <w:gridCol w:w="7836"/>
        <w:gridCol w:w="4413"/>
      </w:tblGrid>
      <w:tr>
        <w:trPr>
          <w:cantSplit/>
          <w:tblHeader/>
        </w:trPr>
        <w:tc>
          <w:tcPr>
            <w:tcW w:w="511"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pPr>
              <w:spacing w:before="60" w:after="60"/>
              <w:rPr>
                <w:b/>
                <w:bCs/>
                <w:noProof/>
                <w:sz w:val="20"/>
                <w:lang w:val="fr-BE"/>
              </w:rPr>
            </w:pPr>
            <w:r>
              <w:rPr>
                <w:b/>
                <w:bCs/>
                <w:noProof/>
                <w:sz w:val="20"/>
                <w:lang w:val="fr-BE"/>
              </w:rPr>
              <w:t>N° </w:t>
            </w:r>
          </w:p>
        </w:tc>
        <w:tc>
          <w:tcPr>
            <w:tcW w:w="206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lang w:val="fr-BE"/>
              </w:rPr>
            </w:pPr>
            <w:r>
              <w:rPr>
                <w:b/>
                <w:bCs/>
                <w:noProof/>
                <w:sz w:val="20"/>
                <w:lang w:val="fr-BE"/>
              </w:rPr>
              <w:t>Références</w:t>
            </w:r>
          </w:p>
        </w:tc>
        <w:tc>
          <w:tcPr>
            <w:tcW w:w="7836"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lang w:val="fr-BE"/>
              </w:rPr>
            </w:pPr>
            <w:r>
              <w:rPr>
                <w:b/>
                <w:bCs/>
                <w:noProof/>
                <w:sz w:val="20"/>
                <w:lang w:val="fr-BE"/>
              </w:rPr>
              <w:t>Intitulé</w:t>
            </w:r>
          </w:p>
        </w:tc>
        <w:tc>
          <w:tcPr>
            <w:tcW w:w="4413"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lang w:val="fr-BE"/>
              </w:rPr>
            </w:pPr>
            <w:r>
              <w:rPr>
                <w:b/>
                <w:bCs/>
                <w:noProof/>
                <w:sz w:val="20"/>
                <w:lang w:val="fr-BE"/>
              </w:rPr>
              <w:t>Motifs du retrait</w:t>
            </w:r>
          </w:p>
        </w:tc>
      </w:tr>
      <w:tr>
        <w:trPr>
          <w:cantSplit/>
        </w:trPr>
        <w:tc>
          <w:tcPr>
            <w:tcW w:w="14827" w:type="dxa"/>
            <w:gridSpan w:val="4"/>
            <w:tcBorders>
              <w:top w:val="single" w:sz="4" w:space="0" w:color="auto"/>
              <w:left w:val="single" w:sz="4" w:space="0" w:color="auto"/>
              <w:bottom w:val="single" w:sz="4" w:space="0" w:color="auto"/>
            </w:tcBorders>
            <w:shd w:val="clear" w:color="auto" w:fill="9ACA3C" w:themeFill="accent1"/>
            <w:tcMar>
              <w:top w:w="85" w:type="dxa"/>
              <w:bottom w:w="85" w:type="dxa"/>
              <w:right w:w="85" w:type="dxa"/>
            </w:tcMar>
          </w:tcPr>
          <w:p>
            <w:pPr>
              <w:keepNext/>
              <w:spacing w:before="60" w:after="60"/>
              <w:rPr>
                <w:noProof/>
                <w:sz w:val="20"/>
                <w:lang w:val="fr-BE"/>
              </w:rPr>
            </w:pPr>
            <w:r>
              <w:rPr>
                <w:b/>
                <w:bCs/>
                <w:noProof/>
                <w:color w:val="FFFFFF" w:themeColor="background1"/>
                <w:sz w:val="20"/>
                <w:lang w:val="fr-BE"/>
              </w:rPr>
              <w:t>Un pacte vert pour l’Europe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COM(2017) 826 final</w:t>
            </w:r>
          </w:p>
          <w:p>
            <w:pPr>
              <w:spacing w:after="0"/>
              <w:rPr>
                <w:noProof/>
                <w:sz w:val="20"/>
                <w:lang w:val="fr-BE"/>
              </w:rPr>
            </w:pPr>
            <w:r>
              <w:rPr>
                <w:noProof/>
                <w:sz w:val="20"/>
                <w:lang w:val="fr-BE"/>
              </w:rPr>
              <w:t>2017/0336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modifiant le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w:t>
            </w:r>
          </w:p>
        </w:tc>
        <w:tc>
          <w:tcPr>
            <w:tcW w:w="4413" w:type="dxa"/>
            <w:tcMar>
              <w:top w:w="85" w:type="dxa"/>
              <w:bottom w:w="85" w:type="dxa"/>
              <w:right w:w="108" w:type="dxa"/>
            </w:tcMar>
          </w:tcPr>
          <w:p>
            <w:pPr>
              <w:spacing w:after="0"/>
              <w:jc w:val="left"/>
              <w:rPr>
                <w:noProof/>
                <w:sz w:val="20"/>
                <w:lang w:val="fr-BE"/>
              </w:rPr>
            </w:pPr>
            <w:r>
              <w:rPr>
                <w:noProof/>
                <w:sz w:val="20"/>
                <w:lang w:val="fr-BE"/>
              </w:rPr>
              <w:t>Obsolète: la proposition se rapporte à la période budgétaire 2014-2020 et n’est plus nécessaire.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COM(2017) 97 final</w:t>
            </w:r>
            <w:r>
              <w:rPr>
                <w:noProof/>
                <w:sz w:val="20"/>
                <w:lang w:val="fr-BE"/>
              </w:rPr>
              <w:br/>
              <w:t>2017/0043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établissant un plan pluriannuel applicable aux stocks de petits pélagiques de la mer Adriatique et aux pêcheries exploitant ces stocks</w:t>
            </w:r>
          </w:p>
        </w:tc>
        <w:tc>
          <w:tcPr>
            <w:tcW w:w="4413" w:type="dxa"/>
            <w:tcMar>
              <w:top w:w="85" w:type="dxa"/>
              <w:bottom w:w="85" w:type="dxa"/>
              <w:right w:w="108" w:type="dxa"/>
            </w:tcMar>
          </w:tcPr>
          <w:p>
            <w:pPr>
              <w:spacing w:after="0"/>
              <w:jc w:val="left"/>
              <w:rPr>
                <w:noProof/>
                <w:sz w:val="20"/>
                <w:lang w:val="fr-BE"/>
              </w:rPr>
            </w:pPr>
            <w:r>
              <w:rPr>
                <w:noProof/>
                <w:sz w:val="20"/>
                <w:lang w:val="fr-BE"/>
              </w:rPr>
              <w:t>Aucune perspective d’accord: le champ d’application de la proposition a été partiellement intégré dans des accords internationaux et plusieurs propositions de modification en dénaturent le contenu d’une manière entravant la réalisation des objectifs.</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COM(2014) 265 final</w:t>
            </w:r>
            <w:r>
              <w:rPr>
                <w:noProof/>
                <w:sz w:val="20"/>
                <w:lang w:val="fr-BE"/>
              </w:rPr>
              <w:br/>
              <w:t>2014/0138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prévoyant une interdiction de la pêche au filet dérivant, modifiant les règlements (CE) n° 850/98, (CE) n° 812/2004, (CE) n° 2187/2005 et (CE) n° 1967/2006 du Conseil et abrogeant le règlement (CE) n° 894/97 du Conseil</w:t>
            </w:r>
          </w:p>
        </w:tc>
        <w:tc>
          <w:tcPr>
            <w:tcW w:w="4413" w:type="dxa"/>
            <w:tcMar>
              <w:top w:w="85" w:type="dxa"/>
              <w:bottom w:w="85" w:type="dxa"/>
              <w:right w:w="108" w:type="dxa"/>
            </w:tcMar>
          </w:tcPr>
          <w:p>
            <w:pPr>
              <w:spacing w:after="0"/>
              <w:jc w:val="left"/>
              <w:rPr>
                <w:noProof/>
                <w:sz w:val="20"/>
                <w:lang w:val="fr-BE"/>
              </w:rPr>
            </w:pPr>
            <w:r>
              <w:rPr>
                <w:noProof/>
                <w:sz w:val="20"/>
                <w:lang w:val="fr-BE"/>
              </w:rPr>
              <w:t xml:space="preserve">Obsolète: plusieurs éléments ont été intégrés dans le nouveau règlement sur les mesures techniques [règlement (UE) 2019/1241 relatif à la conservation des ressources halieutiques et à la protection des écosystèmes marins par des mesures techniques]. En outre, cela fait plusieurs années que les colégislateurs n’ont pas du tout progressé en la matière. </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COM(2012) 332 final</w:t>
            </w:r>
            <w:r>
              <w:rPr>
                <w:noProof/>
                <w:sz w:val="20"/>
                <w:lang w:val="fr-BE"/>
              </w:rPr>
              <w:br/>
              <w:t>2012/0162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modifiant le règlement (CE) nº 1005/2008 du Conseil établissant un système communautaire destiné à prévenir, à décourager et à éradiquer la pêche illicite, non déclarée et non réglementée</w:t>
            </w:r>
          </w:p>
        </w:tc>
        <w:tc>
          <w:tcPr>
            <w:tcW w:w="4413" w:type="dxa"/>
            <w:tcMar>
              <w:top w:w="85" w:type="dxa"/>
              <w:bottom w:w="85" w:type="dxa"/>
              <w:right w:w="108" w:type="dxa"/>
            </w:tcMar>
          </w:tcPr>
          <w:p>
            <w:pPr>
              <w:spacing w:after="0"/>
              <w:jc w:val="left"/>
              <w:rPr>
                <w:noProof/>
                <w:sz w:val="20"/>
                <w:lang w:val="fr-BE"/>
              </w:rPr>
            </w:pPr>
            <w:r>
              <w:rPr>
                <w:noProof/>
                <w:sz w:val="20"/>
                <w:lang w:val="fr-BE"/>
              </w:rPr>
              <w:t>Obsolète: d’autres propositions [telles que, par exemple, la proposition de la Commission relative à un nouveau règlement en ce qui concerne le contrôle des pêches -  COM(2018) 368], qui sont soit déjà adoptées soit en cours de négociation ont entretemps intégré les principaux éléments de cette proposition.</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COM(2012) 413 final</w:t>
            </w:r>
            <w:r>
              <w:rPr>
                <w:noProof/>
                <w:sz w:val="20"/>
                <w:lang w:val="fr-BE"/>
              </w:rPr>
              <w:br/>
              <w:t>2012/0201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modifiant le règlement (CE) n° 1100/2007 du Conseil instituant des mesures de reconstitution du stock d'anguilles européennes</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Obsolète: le stock d’anguilles a évolué depuis 2012; d’autres règlements, tels que les règlements établissant les possibilités de pêche sous la forme de totaux admissibles de captures (TAC) et de quotas annuels, ont depuis lors intégré les principaux éléments de cette proposition.</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jc w:val="left"/>
              <w:rPr>
                <w:noProof/>
                <w:sz w:val="20"/>
                <w:lang w:val="fr-BE"/>
              </w:rPr>
            </w:pPr>
            <w:r>
              <w:rPr>
                <w:noProof/>
                <w:sz w:val="20"/>
                <w:lang w:val="fr-BE"/>
              </w:rPr>
              <w:t>COM(2012) 432 final</w:t>
            </w:r>
            <w:r>
              <w:rPr>
                <w:noProof/>
                <w:sz w:val="20"/>
                <w:lang w:val="fr-BE"/>
              </w:rPr>
              <w:br/>
              <w:t>2012/0208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modifiant le règlement (CE) n° 850/98 du Conseil visant à la conservation des ressources de pêche par le biais de mesures techniques de protection des juvéniles d'organismes marins</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 xml:space="preserve">Obsolète: plusieurs éléments ont été repris par le nouveau règlement sur les mesures techniques [règlement (UE) 2019/1241 relatif à la conservation des ressources halieutiques et à la protection des écosystèmes marins par des mesures techniques].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rPr>
                <w:noProof/>
                <w:sz w:val="20"/>
                <w:lang w:val="fr-BE"/>
              </w:rPr>
            </w:pPr>
            <w:r>
              <w:rPr>
                <w:noProof/>
                <w:sz w:val="20"/>
                <w:lang w:val="fr-BE"/>
              </w:rPr>
              <w:t>COM(2011) 470 final</w:t>
            </w:r>
            <w:r>
              <w:rPr>
                <w:noProof/>
                <w:sz w:val="20"/>
                <w:lang w:val="fr-BE"/>
              </w:rPr>
              <w:br/>
              <w:t>2011/0206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établissant un plan pluriannuel pour le stock de saumon de la Baltique et les pêcheries qui exploitent ce stock</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Obsolète: dans l’intervalle, un plan pluriannuel global pour la mer Baltique a été adopté [règlement (UE) 2016/1139 établissant un plan pluriannuel pour les stocks de cabillaud, de hareng et de sprat de la mer Baltique et les pêcheries exploitant ces stocks].</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jc w:val="left"/>
              <w:rPr>
                <w:noProof/>
                <w:sz w:val="20"/>
                <w:lang w:val="fr-BE"/>
              </w:rPr>
            </w:pPr>
            <w:r>
              <w:rPr>
                <w:noProof/>
                <w:sz w:val="20"/>
                <w:lang w:val="fr-BE"/>
              </w:rPr>
              <w:t>COM(2011) 479 final</w:t>
            </w:r>
            <w:r>
              <w:rPr>
                <w:noProof/>
                <w:sz w:val="20"/>
                <w:lang w:val="fr-BE"/>
              </w:rPr>
              <w:br/>
              <w:t>2011/0218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modifiant le règlement (CE) n° 1967/2006 du Conseil concernant des mesures de gestion pour l’exploitation durable des ressources halieutiques en Méditerranée</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 xml:space="preserve">Obsolète: </w:t>
            </w:r>
            <w:r>
              <w:rPr>
                <w:noProof/>
                <w:lang w:val="fr-BE"/>
              </w:rPr>
              <w:t>d’autres règlements ont depuis intégré les principaux éléments de cette proposition, tels que le règlement (UE) 2019/1022 du Conseil établissant un plan pluriannuel pour les pêcheries exploitant des stocks démersaux en Méditerranée occidentale et modifiant le règlement (UE) n° 508/2014.</w:t>
            </w:r>
            <w:r>
              <w:rPr>
                <w:noProof/>
                <w:sz w:val="20"/>
                <w:lang w:val="fr-BE"/>
              </w:rPr>
              <w:t xml:space="preserve">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jc w:val="left"/>
              <w:rPr>
                <w:noProof/>
                <w:sz w:val="20"/>
                <w:lang w:val="fr-BE"/>
              </w:rPr>
            </w:pPr>
            <w:r>
              <w:rPr>
                <w:noProof/>
                <w:sz w:val="20"/>
                <w:lang w:val="fr-BE"/>
              </w:rPr>
              <w:t>COM(2013) 892 final</w:t>
            </w:r>
            <w:r>
              <w:rPr>
                <w:noProof/>
                <w:sz w:val="20"/>
                <w:lang w:val="fr-BE"/>
              </w:rPr>
              <w:br/>
              <w:t>2013/0433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BE"/>
              </w:rPr>
            </w:pPr>
            <w:r>
              <w:rPr>
                <w:noProof/>
                <w:sz w:val="20"/>
                <w:lang w:val="fr-BE"/>
              </w:rPr>
              <w:t>Proposition de DIRECTIVE DU PARLEMENT EUROPÉEN ET DU CONSEIL relative au clonage des animaux des espèces bovine, porcine, ovine, caprine et équine élevés et reproduits à des fins agricoles</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Aucune perspective d’accord: les colégislateurs n’ont pas du tout avancé sur ce point depuis 2015 et il est peu probable que de nouveaux progrès soient réalisés à l’avenir.</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jc w:val="left"/>
              <w:rPr>
                <w:noProof/>
                <w:sz w:val="20"/>
                <w:lang w:val="fr-BE"/>
              </w:rPr>
            </w:pPr>
            <w:r>
              <w:rPr>
                <w:noProof/>
                <w:sz w:val="20"/>
                <w:lang w:val="fr-BE"/>
              </w:rPr>
              <w:t>COM(2013) 893 final</w:t>
            </w:r>
            <w:r>
              <w:rPr>
                <w:noProof/>
                <w:sz w:val="20"/>
                <w:lang w:val="fr-BE"/>
              </w:rPr>
              <w:br/>
              <w:t>2013/0434 (APP)</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BE"/>
              </w:rPr>
            </w:pPr>
            <w:r>
              <w:rPr>
                <w:noProof/>
                <w:sz w:val="20"/>
                <w:lang w:val="fr-BE"/>
              </w:rPr>
              <w:t>Proposition de DIRECTIVE DU CONSEIL relative à la mise sur le marché des denrées alimentaires obtenues à partir d'animaux clonés</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Aucune perspective d’accord: les colégislateurs n’ont pas du tout avancé sur ce point depuis 2015 et il est peu probable que de nouveaux progrès soient réalisés à l’avenir.</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jc w:val="left"/>
              <w:rPr>
                <w:noProof/>
                <w:sz w:val="20"/>
                <w:lang w:val="fr-BE"/>
              </w:rPr>
            </w:pPr>
            <w:r>
              <w:rPr>
                <w:noProof/>
                <w:sz w:val="20"/>
                <w:lang w:val="fr-BE"/>
              </w:rPr>
              <w:t>COM(2017) 648 final</w:t>
            </w:r>
            <w:r>
              <w:rPr>
                <w:noProof/>
                <w:sz w:val="20"/>
                <w:lang w:val="fr-BE"/>
              </w:rPr>
              <w:br/>
              <w:t>2017/0290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BE"/>
              </w:rPr>
            </w:pPr>
            <w:r>
              <w:rPr>
                <w:noProof/>
                <w:sz w:val="20"/>
                <w:lang w:val="fr-BE"/>
              </w:rPr>
              <w:t>Proposition de DIRECTIVE DU PARLEMENT EUROPÉEN ET DU CONSEIL modifiant la directive 92/106/CEE relative à l'établissement de règles communes pour certains transports combinés de marchandises entre États membres</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Aucune perspective d’accord: plusieurs propositions de modification dénaturent le contenu de la proposition d’une manière entravant la réalisation des objectifs poursuivis. Par ailleurs, la nécessité d’accroître la part des modes de transport durables dans le transport total dans le cadre du pacte vert pour l’Europe exige un soutien accru en faveur des solutions multimodales, et la proposition actuelle est donc insuffisante.</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COM(2013) 20 final</w:t>
            </w:r>
            <w:r>
              <w:rPr>
                <w:noProof/>
                <w:sz w:val="20"/>
                <w:lang w:val="fr-BE"/>
              </w:rPr>
              <w:br/>
              <w:t>2013/0011 (NLE)</w:t>
            </w:r>
            <w:r>
              <w:rPr>
                <w:noProof/>
                <w:sz w:val="20"/>
                <w:lang w:val="fr-BE"/>
              </w:rPr>
              <w:br/>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BE"/>
              </w:rPr>
            </w:pPr>
            <w:r>
              <w:rPr>
                <w:noProof/>
                <w:sz w:val="20"/>
                <w:lang w:val="fr-BE"/>
              </w:rPr>
              <w:t>Proposition de DÉCISION DU CONSEIL relative à la présentation, au nom de l'Union européenne, de demandes concernant l’ajout de nouvelles rubriques à l'annexe VIII ou IX de la convention de Bâle sur le contrôle des mouvements transfrontières de déchets dangereux et de leur élimination</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Obsolète: la proposition n’a pas été adoptée avant la réunion à laquelle elle était destinée.</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COM(2018) 731 final</w:t>
            </w:r>
            <w:r>
              <w:rPr>
                <w:noProof/>
                <w:sz w:val="20"/>
                <w:lang w:val="fr-BE"/>
              </w:rPr>
              <w:br/>
              <w:t>2018/0379 (NLE)</w:t>
            </w:r>
            <w:r>
              <w:rPr>
                <w:noProof/>
                <w:sz w:val="20"/>
                <w:lang w:val="fr-BE"/>
              </w:rPr>
              <w:br/>
            </w:r>
          </w:p>
        </w:tc>
        <w:tc>
          <w:tcPr>
            <w:tcW w:w="7836" w:type="dxa"/>
            <w:tcBorders>
              <w:bottom w:val="single" w:sz="4" w:space="0" w:color="auto"/>
            </w:tcBorders>
            <w:shd w:val="clear" w:color="auto" w:fill="auto"/>
            <w:tcMar>
              <w:top w:w="85" w:type="dxa"/>
              <w:bottom w:w="85" w:type="dxa"/>
              <w:right w:w="108" w:type="dxa"/>
            </w:tcMar>
          </w:tcPr>
          <w:p>
            <w:pPr>
              <w:spacing w:after="0"/>
              <w:jc w:val="left"/>
              <w:rPr>
                <w:noProof/>
                <w:sz w:val="20"/>
                <w:lang w:val="fr-BE"/>
              </w:rPr>
            </w:pPr>
            <w:r>
              <w:rPr>
                <w:noProof/>
                <w:sz w:val="20"/>
                <w:lang w:val="fr-BE"/>
              </w:rPr>
              <w:t>Proposition de DÉCISION DU CONSEIL établissant la position à prendre, au nom de l’Union européenne, lors de la trente-huitième réunion du comité permanent de la convention relative à la conservation de la vie sauvage et du milieu naturel de l’Europe en ce qui concerne des amendements aux annexes II et III de ladite convention</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 xml:space="preserve">Obsolète: la proposition n’a pas été adoptée avant la réunion à laquelle elle était destinée.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COM(2019) 494 final</w:t>
            </w:r>
            <w:r>
              <w:rPr>
                <w:noProof/>
                <w:sz w:val="20"/>
                <w:lang w:val="fr-BE"/>
              </w:rPr>
              <w:br/>
              <w:t>2019/0241 (NLE)</w:t>
            </w:r>
          </w:p>
        </w:tc>
        <w:tc>
          <w:tcPr>
            <w:tcW w:w="7836" w:type="dxa"/>
            <w:tcBorders>
              <w:bottom w:val="single" w:sz="4" w:space="0" w:color="auto"/>
            </w:tcBorders>
            <w:shd w:val="clear" w:color="auto" w:fill="auto"/>
            <w:tcMar>
              <w:top w:w="85" w:type="dxa"/>
              <w:bottom w:w="85" w:type="dxa"/>
              <w:right w:w="108" w:type="dxa"/>
            </w:tcMar>
          </w:tcPr>
          <w:p>
            <w:pPr>
              <w:spacing w:after="0"/>
              <w:jc w:val="left"/>
              <w:rPr>
                <w:noProof/>
                <w:sz w:val="20"/>
                <w:lang w:val="fr-BE"/>
              </w:rPr>
            </w:pPr>
            <w:r>
              <w:rPr>
                <w:noProof/>
                <w:sz w:val="20"/>
                <w:lang w:val="fr-BE"/>
              </w:rPr>
              <w:t>Proposition de DÉCISION DU CONSEIL établissant la position à prendre, au nom de l’Union européenne, lors de la trente-neuvième réunion du comité permanent de la convention relative à la conservation de la vie sauvage et du milieu naturel de l’Europe en ce qui concerne des amendements aux annexes II et III de ladite convention</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Obsolète: la proposition n’a pas été adoptée avant la réunion à laquelle elle était destinée.</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COM(2009) 585 final</w:t>
            </w:r>
            <w:r>
              <w:rPr>
                <w:noProof/>
                <w:sz w:val="20"/>
                <w:lang w:val="fr-BE"/>
              </w:rPr>
              <w:br/>
              <w:t>26.10.2009</w:t>
            </w:r>
          </w:p>
        </w:tc>
        <w:tc>
          <w:tcPr>
            <w:tcW w:w="7836" w:type="dxa"/>
            <w:tcBorders>
              <w:bottom w:val="single" w:sz="4" w:space="0" w:color="auto"/>
            </w:tcBorders>
            <w:shd w:val="clear" w:color="auto" w:fill="auto"/>
            <w:tcMar>
              <w:top w:w="85" w:type="dxa"/>
              <w:bottom w:w="85" w:type="dxa"/>
              <w:right w:w="108" w:type="dxa"/>
            </w:tcMar>
          </w:tcPr>
          <w:p>
            <w:pPr>
              <w:spacing w:after="0"/>
              <w:jc w:val="left"/>
              <w:rPr>
                <w:noProof/>
                <w:sz w:val="20"/>
                <w:lang w:val="fr-BE"/>
              </w:rPr>
            </w:pPr>
            <w:r>
              <w:rPr>
                <w:noProof/>
                <w:sz w:val="20"/>
                <w:lang w:val="fr-BE"/>
              </w:rPr>
              <w:t>Proposition de décision du Conseil définissant la position à adopter au nom de la Communauté européenne à l'égard des propositions visant à amender les annexes II et III du protocole relatif aux aires spécialement protégées et à la diversité biologique en Méditerranée (protocole ASP/DB) de la convention sur la protection du milieu marin et du littoral de la Méditerranée (convention de Barcelone) lors de la seizième réunion des parties contractantes</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Obsolète: la proposition n’a pas été adoptée avant la réunion à laquelle elle était destinée.</w:t>
            </w:r>
          </w:p>
        </w:tc>
      </w:tr>
      <w:tr>
        <w:trPr>
          <w:cantSplit/>
        </w:trPr>
        <w:tc>
          <w:tcPr>
            <w:tcW w:w="14827" w:type="dxa"/>
            <w:gridSpan w:val="4"/>
            <w:shd w:val="clear" w:color="auto" w:fill="18BAA8" w:themeFill="accent2"/>
            <w:tcMar>
              <w:top w:w="85" w:type="dxa"/>
              <w:bottom w:w="85" w:type="dxa"/>
              <w:right w:w="85" w:type="dxa"/>
            </w:tcMar>
          </w:tcPr>
          <w:p>
            <w:pPr>
              <w:keepNext/>
              <w:spacing w:before="60" w:after="60"/>
              <w:rPr>
                <w:noProof/>
                <w:sz w:val="20"/>
                <w:lang w:val="fr-BE"/>
              </w:rPr>
            </w:pPr>
            <w:r>
              <w:rPr>
                <w:b/>
                <w:bCs/>
                <w:noProof/>
                <w:color w:val="FFFFFF" w:themeColor="background1"/>
                <w:sz w:val="20"/>
                <w:lang w:val="fr-BE"/>
              </w:rPr>
              <w:t>Une Europe adaptée à l’ère du numérique</w:t>
            </w:r>
          </w:p>
        </w:tc>
      </w:tr>
      <w:tr>
        <w:trPr>
          <w:cantSplit/>
        </w:trPr>
        <w:tc>
          <w:tcPr>
            <w:tcW w:w="511" w:type="dxa"/>
            <w:tcBorders>
              <w:right w:val="nil"/>
            </w:tcBorders>
            <w:shd w:val="clear" w:color="auto" w:fill="auto"/>
            <w:tcMar>
              <w:top w:w="85" w:type="dxa"/>
              <w:bottom w:w="85" w:type="dxa"/>
              <w:right w:w="108" w:type="dxa"/>
            </w:tcMar>
          </w:tcPr>
          <w:p>
            <w:pPr>
              <w:spacing w:after="0"/>
              <w:ind w:left="360"/>
              <w:rPr>
                <w:noProof/>
                <w:sz w:val="20"/>
                <w:lang w:val="fr-BE"/>
              </w:rPr>
            </w:pPr>
          </w:p>
        </w:tc>
        <w:tc>
          <w:tcPr>
            <w:tcW w:w="2067" w:type="dxa"/>
            <w:tcMar>
              <w:top w:w="85" w:type="dxa"/>
              <w:bottom w:w="85" w:type="dxa"/>
              <w:right w:w="108" w:type="dxa"/>
            </w:tcMar>
          </w:tcPr>
          <w:p>
            <w:pPr>
              <w:jc w:val="left"/>
              <w:rPr>
                <w:noProof/>
                <w:sz w:val="20"/>
                <w:lang w:val="fr-BE"/>
              </w:rPr>
            </w:pPr>
          </w:p>
        </w:tc>
        <w:tc>
          <w:tcPr>
            <w:tcW w:w="7836" w:type="dxa"/>
            <w:shd w:val="clear" w:color="auto" w:fill="auto"/>
            <w:tcMar>
              <w:top w:w="85" w:type="dxa"/>
              <w:bottom w:w="85" w:type="dxa"/>
              <w:right w:w="108" w:type="dxa"/>
            </w:tcMar>
          </w:tcPr>
          <w:p>
            <w:pPr>
              <w:spacing w:after="0"/>
              <w:rPr>
                <w:noProof/>
                <w:sz w:val="20"/>
                <w:lang w:val="fr-BE"/>
              </w:rPr>
            </w:pPr>
          </w:p>
        </w:tc>
        <w:tc>
          <w:tcPr>
            <w:tcW w:w="4413" w:type="dxa"/>
            <w:tcMar>
              <w:top w:w="85" w:type="dxa"/>
              <w:bottom w:w="85" w:type="dxa"/>
              <w:right w:w="108" w:type="dxa"/>
            </w:tcMar>
          </w:tcPr>
          <w:p>
            <w:pPr>
              <w:spacing w:after="0"/>
              <w:jc w:val="left"/>
              <w:rPr>
                <w:noProof/>
                <w:sz w:val="20"/>
                <w:highlight w:val="yellow"/>
                <w:lang w:val="fr-BE"/>
              </w:rPr>
            </w:pP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jc w:val="left"/>
              <w:rPr>
                <w:noProof/>
                <w:sz w:val="20"/>
                <w:lang w:val="fr-BE"/>
              </w:rPr>
            </w:pPr>
            <w:r>
              <w:rPr>
                <w:noProof/>
                <w:sz w:val="20"/>
                <w:lang w:val="fr-BE"/>
              </w:rPr>
              <w:t>COM(2017) 257 final</w:t>
            </w:r>
            <w:r>
              <w:rPr>
                <w:noProof/>
                <w:sz w:val="20"/>
                <w:lang w:val="fr-BE"/>
              </w:rPr>
              <w:br/>
              <w:t>2017/0087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fixant les conditions et la procédure qui permettent à la Commission de demander aux entreprises et associations d’entreprises de fournir des renseignements en rapport avec le marché intérieur et des domaines connexes</w:t>
            </w:r>
          </w:p>
        </w:tc>
        <w:tc>
          <w:tcPr>
            <w:tcW w:w="4413" w:type="dxa"/>
            <w:tcMar>
              <w:top w:w="85" w:type="dxa"/>
              <w:bottom w:w="85" w:type="dxa"/>
              <w:right w:w="108" w:type="dxa"/>
            </w:tcMar>
          </w:tcPr>
          <w:p>
            <w:pPr>
              <w:spacing w:after="0"/>
              <w:jc w:val="left"/>
              <w:rPr>
                <w:noProof/>
                <w:sz w:val="20"/>
                <w:highlight w:val="yellow"/>
                <w:lang w:val="fr-BE"/>
              </w:rPr>
            </w:pPr>
            <w:r>
              <w:rPr>
                <w:noProof/>
                <w:sz w:val="20"/>
                <w:lang w:val="fr-BE"/>
              </w:rPr>
              <w:t xml:space="preserve">Aucune perspective d’accord: les discussions au Conseil sont suspendues depuis mars 2018. </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jc w:val="left"/>
              <w:rPr>
                <w:noProof/>
                <w:sz w:val="20"/>
                <w:lang w:val="fr-BE"/>
              </w:rPr>
            </w:pPr>
            <w:r>
              <w:rPr>
                <w:noProof/>
                <w:sz w:val="20"/>
                <w:lang w:val="fr-BE"/>
              </w:rPr>
              <w:t>COM(2014) 28 final</w:t>
            </w:r>
            <w:r>
              <w:rPr>
                <w:noProof/>
                <w:sz w:val="20"/>
                <w:lang w:val="fr-BE"/>
              </w:rPr>
              <w:br/>
              <w:t>2014/0012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modifiant les règlements (CE) n° 715/2007 et (CE) n° 595/2009 en ce qui concerne la réduction des émissions polluantes des véhicules routiers</w:t>
            </w:r>
          </w:p>
        </w:tc>
        <w:tc>
          <w:tcPr>
            <w:tcW w:w="4413" w:type="dxa"/>
            <w:tcMar>
              <w:top w:w="85" w:type="dxa"/>
              <w:bottom w:w="85" w:type="dxa"/>
              <w:right w:w="108" w:type="dxa"/>
            </w:tcMar>
          </w:tcPr>
          <w:p>
            <w:pPr>
              <w:spacing w:after="0"/>
              <w:jc w:val="left"/>
              <w:rPr>
                <w:noProof/>
                <w:sz w:val="20"/>
                <w:lang w:val="fr-BE"/>
              </w:rPr>
            </w:pPr>
            <w:r>
              <w:rPr>
                <w:noProof/>
                <w:sz w:val="20"/>
                <w:lang w:val="fr-BE"/>
              </w:rPr>
              <w:t>Obsolète: le contenu de la proposition est en très grande partie traité dans le cadre d’autres dossiers déjà adoptés entretemps [par exemple, les dispositions relatives aux informations sur la réparation et l'entretien des véhicules adaptées par le règlement (UE) 2018/858] ou en cours d’examen [dossier pendant COM(2019) 208]. D’autres aspects devraient être couverts de manière plus globale dans une nouvelle proposition relative aux normes d’émission EURO 7.</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jc w:val="left"/>
              <w:rPr>
                <w:noProof/>
                <w:sz w:val="20"/>
                <w:lang w:val="fr-BE"/>
              </w:rPr>
            </w:pPr>
            <w:r>
              <w:rPr>
                <w:noProof/>
                <w:sz w:val="20"/>
                <w:lang w:val="fr-BE"/>
              </w:rPr>
              <w:t>COM(2013) 75 final</w:t>
            </w:r>
            <w:r>
              <w:rPr>
                <w:noProof/>
                <w:sz w:val="20"/>
                <w:lang w:val="fr-BE"/>
              </w:rPr>
              <w:br/>
              <w:t>2013/0048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concernant la surveillance du marché des produits et modifiant les directives du Conseil 89/686/CEE et 93/15/CEE, les directives du Parlement européen et du Conseil 94/9/CE, 94/25/CE, 95/16/CE, 97/23/CE, 1999/5/CE, 2000/9/CE, 2000/14/CE, 2001/95/CE, 2004/108/CE, 2006/42/CE, 2006/95/CE, 2007/23/CE, 2008/57/CE, 2009/48/CE, 2009/105/CE, 2009/142/CE et 2011/65/UE, ainsi que les règlements du Parlement européen et du Conseil (UE) n° 305/2011, (CE) n° 764/2008 et (CE) n° 765/2008</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Obsolète: l’adoption du règlement sur la surveillance du marché et la conformité des produits [règlement (UE) 2019/1020] rend cette proposition obsolète et redondante.</w:t>
            </w:r>
          </w:p>
        </w:tc>
      </w:tr>
      <w:tr>
        <w:trPr>
          <w:cantSplit/>
        </w:trPr>
        <w:tc>
          <w:tcPr>
            <w:tcW w:w="14827" w:type="dxa"/>
            <w:gridSpan w:val="4"/>
            <w:shd w:val="clear" w:color="auto" w:fill="F68A42" w:themeFill="accent3"/>
            <w:tcMar>
              <w:top w:w="85" w:type="dxa"/>
              <w:bottom w:w="85" w:type="dxa"/>
              <w:right w:w="85" w:type="dxa"/>
            </w:tcMar>
          </w:tcPr>
          <w:p>
            <w:pPr>
              <w:keepNext/>
              <w:spacing w:before="60" w:after="60"/>
              <w:jc w:val="left"/>
              <w:rPr>
                <w:noProof/>
                <w:sz w:val="20"/>
                <w:lang w:val="fr-BE"/>
              </w:rPr>
            </w:pPr>
            <w:r>
              <w:rPr>
                <w:b/>
                <w:bCs/>
                <w:noProof/>
                <w:color w:val="FFFFFF" w:themeColor="background1"/>
                <w:sz w:val="20"/>
                <w:lang w:val="fr-BE"/>
              </w:rPr>
              <w:t>Une économie au service des personnes</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jc w:val="left"/>
              <w:rPr>
                <w:noProof/>
                <w:sz w:val="20"/>
                <w:lang w:val="fr-BE"/>
              </w:rPr>
            </w:pPr>
            <w:r>
              <w:rPr>
                <w:noProof/>
                <w:sz w:val="20"/>
                <w:lang w:val="fr-BE"/>
              </w:rPr>
              <w:t>COM(2013) 342 final</w:t>
            </w:r>
            <w:r>
              <w:rPr>
                <w:noProof/>
                <w:sz w:val="20"/>
                <w:lang w:val="fr-BE"/>
              </w:rPr>
              <w:br/>
              <w:t>2013/0181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relatif à la fourniture et à la qualité des statistiques destinées à la procédure concernant les déséquilibres macroéconomiques</w:t>
            </w:r>
          </w:p>
        </w:tc>
        <w:tc>
          <w:tcPr>
            <w:tcW w:w="4413" w:type="dxa"/>
            <w:tcMar>
              <w:top w:w="85" w:type="dxa"/>
              <w:bottom w:w="85" w:type="dxa"/>
              <w:right w:w="108" w:type="dxa"/>
            </w:tcMar>
          </w:tcPr>
          <w:p>
            <w:pPr>
              <w:spacing w:after="0"/>
              <w:jc w:val="left"/>
              <w:rPr>
                <w:noProof/>
                <w:sz w:val="20"/>
                <w:lang w:val="fr-BE"/>
              </w:rPr>
            </w:pPr>
            <w:r>
              <w:rPr>
                <w:noProof/>
                <w:sz w:val="20"/>
                <w:lang w:val="fr-BE"/>
              </w:rPr>
              <w:t>Obsolète: les objectifs concernant l’assurance de la qualité des statistiques ont été largement atteints dans le cadre du protocole d’accord entre Eurostat et la direction générale «Statistiques» de la Banque centrale européenne visant à garantir la qualité des statistiques utilisées pour la procédure concernant les déséquilibres macroéconomiques (2016). L’assurance de la qualité des statistiques utilisées pour la procédure concernant les déséquilibres macroéconomiques (PDM) s’inscrit dans le cadre de l’examen en cours de la gouvernance économique.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jc w:val="left"/>
              <w:rPr>
                <w:noProof/>
                <w:sz w:val="20"/>
                <w:lang w:val="fr-BE"/>
              </w:rPr>
            </w:pPr>
            <w:r>
              <w:rPr>
                <w:noProof/>
                <w:sz w:val="20"/>
                <w:lang w:val="fr-BE"/>
              </w:rPr>
              <w:t>COM(2013) 884 final</w:t>
            </w:r>
            <w:r>
              <w:rPr>
                <w:noProof/>
                <w:sz w:val="20"/>
                <w:lang w:val="fr-BE"/>
              </w:rPr>
              <w:br/>
              <w:t>2013/0432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DIRECTIVE DU PARLEMENT EUROPÉEN ET DU CONSEIL sur le cadre juridique de l'Union régissant les infractions douanières et les sanctions qui y sont applicables</w:t>
            </w:r>
          </w:p>
        </w:tc>
        <w:tc>
          <w:tcPr>
            <w:tcW w:w="4413" w:type="dxa"/>
            <w:tcMar>
              <w:top w:w="85" w:type="dxa"/>
              <w:bottom w:w="85" w:type="dxa"/>
              <w:right w:w="108" w:type="dxa"/>
            </w:tcMar>
          </w:tcPr>
          <w:p>
            <w:pPr>
              <w:spacing w:after="0"/>
              <w:jc w:val="left"/>
              <w:rPr>
                <w:noProof/>
                <w:sz w:val="20"/>
                <w:lang w:val="fr-BE"/>
              </w:rPr>
            </w:pPr>
            <w:r>
              <w:rPr>
                <w:noProof/>
                <w:sz w:val="20"/>
                <w:lang w:val="fr-BE"/>
              </w:rPr>
              <w:t>Aucune perspective d’accord: elle sera remplacée par une nouvelle initiative visant à renforcer l’application des règles douanières, dans le cadre du plan d’action pour l’union douanière visé à l’annexe 1 du présent programme de travail de la Commission.</w:t>
            </w:r>
          </w:p>
        </w:tc>
      </w:tr>
      <w:tr>
        <w:trPr>
          <w:cantSplit/>
        </w:trPr>
        <w:tc>
          <w:tcPr>
            <w:tcW w:w="14827" w:type="dxa"/>
            <w:gridSpan w:val="4"/>
            <w:shd w:val="clear" w:color="auto" w:fill="585EAA" w:themeFill="accent4"/>
            <w:tcMar>
              <w:top w:w="85" w:type="dxa"/>
              <w:bottom w:w="85" w:type="dxa"/>
              <w:right w:w="85" w:type="dxa"/>
            </w:tcMar>
          </w:tcPr>
          <w:p>
            <w:pPr>
              <w:keepNext/>
              <w:spacing w:before="60" w:after="60"/>
              <w:rPr>
                <w:noProof/>
                <w:sz w:val="20"/>
                <w:lang w:val="fr-BE"/>
              </w:rPr>
            </w:pPr>
            <w:r>
              <w:rPr>
                <w:b/>
                <w:bCs/>
                <w:noProof/>
                <w:color w:val="FFFFFF" w:themeColor="background1"/>
                <w:sz w:val="20"/>
                <w:lang w:val="fr-BE"/>
              </w:rPr>
              <w:t>Une Europe plus forte sur la scène internationale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COM(2009) 65-2 final</w:t>
            </w:r>
            <w:r>
              <w:rPr>
                <w:noProof/>
                <w:sz w:val="20"/>
                <w:lang w:val="fr-BE"/>
              </w:rPr>
              <w:br/>
              <w:t>2009/0019 (APP)</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décision du Conseil relative à la conclusion de l’accord entre la Communauté européenne et la République de Corée sur certains aspects des services aériens</w:t>
            </w:r>
          </w:p>
        </w:tc>
        <w:tc>
          <w:tcPr>
            <w:tcW w:w="4413" w:type="dxa"/>
            <w:tcMar>
              <w:top w:w="85" w:type="dxa"/>
              <w:bottom w:w="85" w:type="dxa"/>
              <w:right w:w="108" w:type="dxa"/>
            </w:tcMar>
          </w:tcPr>
          <w:p>
            <w:pPr>
              <w:spacing w:after="0"/>
              <w:jc w:val="left"/>
              <w:rPr>
                <w:noProof/>
                <w:sz w:val="20"/>
                <w:lang w:val="fr-BE"/>
              </w:rPr>
            </w:pPr>
            <w:r>
              <w:rPr>
                <w:noProof/>
                <w:sz w:val="20"/>
                <w:lang w:val="fr-BE"/>
              </w:rPr>
              <w:t>Obsolète: cette proposition a été remplacée par une nouvelle proposition de décision du Conseil présentée par la Commission [COM(2019) 92].</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COM(2013) 243 final</w:t>
            </w:r>
            <w:r>
              <w:rPr>
                <w:noProof/>
                <w:sz w:val="20"/>
                <w:lang w:val="fr-BE"/>
              </w:rPr>
              <w:br/>
              <w:t>2013/0129 (NLE)</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DÉCISION DU CONSEIL établissant la position à adopter au nom de l'Union européenne en ce qui concerne certaines résolutions devant être votées dans le cadre de l’Organisation internationale de la vigne et du vin (OIV)</w:t>
            </w:r>
          </w:p>
        </w:tc>
        <w:tc>
          <w:tcPr>
            <w:tcW w:w="4413" w:type="dxa"/>
            <w:tcMar>
              <w:top w:w="85" w:type="dxa"/>
              <w:bottom w:w="85" w:type="dxa"/>
              <w:right w:w="108" w:type="dxa"/>
            </w:tcMar>
          </w:tcPr>
          <w:p>
            <w:pPr>
              <w:spacing w:after="0"/>
              <w:jc w:val="left"/>
              <w:rPr>
                <w:noProof/>
                <w:sz w:val="20"/>
                <w:lang w:val="fr-BE"/>
              </w:rPr>
            </w:pPr>
            <w:r>
              <w:rPr>
                <w:noProof/>
                <w:sz w:val="20"/>
                <w:lang w:val="fr-BE"/>
              </w:rPr>
              <w:t>Obsolète: cette proposition n’a pas été adoptée avant la réunion à laquelle elle était destinée.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COM(2015) 18 final</w:t>
            </w:r>
            <w:r>
              <w:rPr>
                <w:noProof/>
                <w:sz w:val="20"/>
                <w:lang w:val="fr-BE"/>
              </w:rPr>
              <w:br/>
              <w:t>2015/0011 (NLE)</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DÉCISION DU CONSEIL relative à la position à adopter au nom de l'Union européenne au sein du Comité mixte de l'EEE, concernant une modification du règlement intérieur du Comité mixte de l'EEE (élargissement à la Croatie)</w:t>
            </w:r>
          </w:p>
        </w:tc>
        <w:tc>
          <w:tcPr>
            <w:tcW w:w="4413" w:type="dxa"/>
            <w:tcMar>
              <w:top w:w="85" w:type="dxa"/>
              <w:bottom w:w="85" w:type="dxa"/>
              <w:right w:w="108" w:type="dxa"/>
            </w:tcMar>
          </w:tcPr>
          <w:p>
            <w:pPr>
              <w:spacing w:after="0"/>
              <w:jc w:val="left"/>
              <w:rPr>
                <w:noProof/>
                <w:sz w:val="20"/>
                <w:lang w:val="fr-BE"/>
              </w:rPr>
            </w:pPr>
            <w:r>
              <w:rPr>
                <w:noProof/>
                <w:sz w:val="20"/>
                <w:lang w:val="fr-BE"/>
              </w:rPr>
              <w:t xml:space="preserve">Obsolète: le fond de cette proposition a été repris par la décision (UE) 2018/4 du Conseil du 18 décembre 2017 relative à la position à prendre au nom de l'Union européenne au sein du Comité mixte de l'EEE concernant une modification du règlement intérieur du Comité mixte de l'EEE. </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COM(2015) 48 final</w:t>
            </w:r>
            <w:r>
              <w:rPr>
                <w:noProof/>
                <w:sz w:val="20"/>
                <w:lang w:val="fr-BE"/>
              </w:rPr>
              <w:br/>
              <w:t>2015/0027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portant protection contre les effets de l'application extraterritoriale d'une législation adoptée par un pays tiers, ainsi que des actions fondées sur elle ou en découlant (refonte)</w:t>
            </w:r>
          </w:p>
        </w:tc>
        <w:tc>
          <w:tcPr>
            <w:tcW w:w="4413" w:type="dxa"/>
            <w:tcMar>
              <w:top w:w="85" w:type="dxa"/>
              <w:bottom w:w="85" w:type="dxa"/>
              <w:right w:w="108" w:type="dxa"/>
            </w:tcMar>
          </w:tcPr>
          <w:p>
            <w:pPr>
              <w:spacing w:after="0"/>
              <w:jc w:val="left"/>
              <w:rPr>
                <w:noProof/>
                <w:sz w:val="20"/>
                <w:lang w:val="fr-BE"/>
              </w:rPr>
            </w:pPr>
            <w:r>
              <w:rPr>
                <w:noProof/>
                <w:sz w:val="20"/>
                <w:lang w:val="fr-BE"/>
              </w:rPr>
              <w:t>Aucune perspective d’accord: la proposition sera remplacée par une nouvelle initiative en faveur d’un mécanisme de sanctions renforcé, mentionné à l’annexe 1 du présent programme de travail de la Commission.</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JOIN(2016) 37 final</w:t>
            </w:r>
            <w:r>
              <w:rPr>
                <w:noProof/>
                <w:sz w:val="20"/>
                <w:lang w:val="fr-BE"/>
              </w:rPr>
              <w:br/>
              <w:t>2016/0241 (NLE)</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conjointe de DÉCISION DU CONSEIL relative à la signature, au nom de l'Union européenne, de l'accord-cadre de partenariat et de coopération entre l'Union européenne et le gouvernement de la Malaisie</w:t>
            </w:r>
          </w:p>
        </w:tc>
        <w:tc>
          <w:tcPr>
            <w:tcW w:w="4413" w:type="dxa"/>
            <w:tcMar>
              <w:top w:w="85" w:type="dxa"/>
              <w:bottom w:w="85" w:type="dxa"/>
              <w:right w:w="108" w:type="dxa"/>
            </w:tcMar>
          </w:tcPr>
          <w:p>
            <w:pPr>
              <w:spacing w:after="0"/>
              <w:jc w:val="left"/>
              <w:rPr>
                <w:noProof/>
                <w:sz w:val="20"/>
                <w:lang w:val="fr-BE"/>
              </w:rPr>
            </w:pPr>
            <w:r>
              <w:rPr>
                <w:noProof/>
                <w:sz w:val="20"/>
                <w:lang w:val="fr-BE"/>
              </w:rPr>
              <w:t>Obsolète: la Commission a préparé, en 2018, une proposition révisée de décision du Conseil relative à la signature et à l’application provisoire de l’accord-cadre de partenariat et de coopération en tant qu’accord mixte (ne relevant pas de l’UE uniquement) [JOIN(2018) 20], rendant cette proposition de 2016 obsolète.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JOIN(2016) 38</w:t>
            </w:r>
            <w:r>
              <w:rPr>
                <w:noProof/>
                <w:sz w:val="20"/>
                <w:lang w:val="fr-BE"/>
              </w:rPr>
              <w:br/>
              <w:t>2016/0243 (NLE)</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conjointe de DÉCISION DU CONSEIL relative à la conclusion, au nom de l'Union européenne, de l'accord-cadre de partenariat et de coopération entre l'Union européenne et le gouvernement de la Malaisie</w:t>
            </w:r>
          </w:p>
        </w:tc>
        <w:tc>
          <w:tcPr>
            <w:tcW w:w="4413" w:type="dxa"/>
            <w:tcMar>
              <w:top w:w="85" w:type="dxa"/>
              <w:bottom w:w="85" w:type="dxa"/>
              <w:right w:w="108" w:type="dxa"/>
            </w:tcMar>
          </w:tcPr>
          <w:p>
            <w:pPr>
              <w:spacing w:after="0"/>
              <w:jc w:val="left"/>
              <w:rPr>
                <w:noProof/>
                <w:sz w:val="20"/>
                <w:lang w:val="fr-BE"/>
              </w:rPr>
            </w:pPr>
            <w:r>
              <w:rPr>
                <w:noProof/>
                <w:sz w:val="20"/>
                <w:lang w:val="fr-BE"/>
              </w:rPr>
              <w:t>Obsolète: à la lumière de la proposition révisée de la Commission relative à la signature de l’accord de partenariat et de coopération [JOIN(2018) 20]</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COM(2017) 668 final</w:t>
            </w:r>
            <w:r>
              <w:rPr>
                <w:noProof/>
                <w:sz w:val="20"/>
                <w:lang w:val="fr-BE"/>
              </w:rPr>
              <w:br/>
              <w:t>2017/0301(NLE)</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DÉCISION DU CONSEIL relative à la position à prendre, au nom de l’Union européenne, au sein de la conférence ministérielle de l’Organisation mondiale du commerce en ce qui concerne la détention de stocks publics à des fins de sécurité alimentaire, le soutien interne ayant des effets de distorsion des échanges, notamment pour le coton, les restrictions à l’exportation dans l’agriculture, les subventions au secteur de la pêche, la réglementation intérieure dans le secteur des services, ainsi que les PME/la transparence des mesures réglementaires concernant le commerce des marchandises</w:t>
            </w:r>
          </w:p>
        </w:tc>
        <w:tc>
          <w:tcPr>
            <w:tcW w:w="4413" w:type="dxa"/>
            <w:tcMar>
              <w:top w:w="85" w:type="dxa"/>
              <w:bottom w:w="85" w:type="dxa"/>
              <w:right w:w="108" w:type="dxa"/>
            </w:tcMar>
          </w:tcPr>
          <w:p>
            <w:pPr>
              <w:spacing w:after="0"/>
              <w:jc w:val="left"/>
              <w:rPr>
                <w:noProof/>
                <w:sz w:val="20"/>
                <w:lang w:val="fr-BE"/>
              </w:rPr>
            </w:pPr>
            <w:r>
              <w:rPr>
                <w:noProof/>
                <w:sz w:val="20"/>
                <w:lang w:val="fr-BE"/>
              </w:rPr>
              <w:t>Obsolète: cette proposition a été dépassée par les événements, c’est-à-dire qu’elle est devenue inutile, aucun consensus n’ayant été dégagé lors de la 11</w:t>
            </w:r>
            <w:r>
              <w:rPr>
                <w:noProof/>
                <w:sz w:val="20"/>
                <w:vertAlign w:val="superscript"/>
                <w:lang w:val="fr-BE"/>
              </w:rPr>
              <w:t xml:space="preserve">e </w:t>
            </w:r>
            <w:r>
              <w:rPr>
                <w:noProof/>
                <w:sz w:val="20"/>
                <w:lang w:val="fr-BE"/>
              </w:rPr>
              <w:t> conférence ministérielle de l’OMC sur les décisions envisagées dans le cadre du programme de Doha pour le développement.</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JOIN(2018) 20 final</w:t>
            </w:r>
            <w:r>
              <w:rPr>
                <w:noProof/>
                <w:sz w:val="20"/>
                <w:lang w:val="fr-BE"/>
              </w:rPr>
              <w:br/>
              <w:t>2018/0269 (NLE)</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conjointe de DÉCISION DU CONSEIL relative à la signature, au nom de l’Union européenne, et à l’application provisoire de l’accord-cadre de partenariat et de coopération entre l’Union européenne et ses États membres, d’une part, et le gouvernement de la Malaisie, d’autre part</w:t>
            </w:r>
          </w:p>
        </w:tc>
        <w:tc>
          <w:tcPr>
            <w:tcW w:w="4413" w:type="dxa"/>
            <w:tcMar>
              <w:top w:w="85" w:type="dxa"/>
              <w:bottom w:w="85" w:type="dxa"/>
              <w:right w:w="108" w:type="dxa"/>
            </w:tcMar>
          </w:tcPr>
          <w:p>
            <w:pPr>
              <w:spacing w:after="0"/>
              <w:jc w:val="left"/>
              <w:rPr>
                <w:noProof/>
                <w:sz w:val="20"/>
                <w:lang w:val="fr-BE"/>
              </w:rPr>
            </w:pPr>
            <w:r>
              <w:rPr>
                <w:noProof/>
                <w:sz w:val="20"/>
                <w:lang w:val="fr-BE"/>
              </w:rPr>
              <w:t xml:space="preserve">Obsolète: la proposition prévoit une application provisoire, qui n’est plus pertinente.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COM(2019) 56 final</w:t>
            </w:r>
            <w:r>
              <w:rPr>
                <w:noProof/>
                <w:sz w:val="20"/>
                <w:lang w:val="fr-BE"/>
              </w:rPr>
              <w:br/>
              <w:t>2019/0028 (NLE)</w:t>
            </w:r>
          </w:p>
        </w:tc>
        <w:tc>
          <w:tcPr>
            <w:tcW w:w="7836" w:type="dxa"/>
            <w:tcBorders>
              <w:bottom w:val="single" w:sz="4" w:space="0" w:color="auto"/>
            </w:tcBorders>
            <w:shd w:val="clear" w:color="auto" w:fill="auto"/>
            <w:tcMar>
              <w:top w:w="85" w:type="dxa"/>
              <w:bottom w:w="85" w:type="dxa"/>
              <w:right w:w="108" w:type="dxa"/>
            </w:tcMar>
          </w:tcPr>
          <w:p>
            <w:pPr>
              <w:tabs>
                <w:tab w:val="left" w:pos="1224"/>
              </w:tabs>
              <w:spacing w:after="0"/>
              <w:rPr>
                <w:noProof/>
                <w:sz w:val="20"/>
                <w:lang w:val="fr-BE"/>
              </w:rPr>
            </w:pPr>
            <w:r>
              <w:rPr>
                <w:noProof/>
                <w:sz w:val="20"/>
                <w:lang w:val="fr-BE"/>
              </w:rPr>
              <w:t>Proposition de DÉCISION DU CONSEIL relative à la position à prendre au nom de l’Union européenne lors de la 14</w:t>
            </w:r>
            <w:r>
              <w:rPr>
                <w:noProof/>
                <w:sz w:val="20"/>
                <w:vertAlign w:val="superscript"/>
                <w:lang w:val="fr-BE"/>
              </w:rPr>
              <w:t>e</w:t>
            </w:r>
            <w:r>
              <w:rPr>
                <w:noProof/>
                <w:sz w:val="20"/>
                <w:lang w:val="fr-BE"/>
              </w:rPr>
              <w:t> session de l’Assemblée générale de l’Organisation intergouvernementale pour les transports internationaux ferroviaires (OTIF) en ce qui concerne l’élection du Secrétaire général de l’OTIF pour la période du 8 avril 2019 au 31 décembre 2021</w:t>
            </w:r>
          </w:p>
        </w:tc>
        <w:tc>
          <w:tcPr>
            <w:tcW w:w="4413" w:type="dxa"/>
            <w:tcBorders>
              <w:bottom w:val="single" w:sz="4" w:space="0" w:color="auto"/>
            </w:tcBorders>
            <w:tcMar>
              <w:top w:w="85" w:type="dxa"/>
              <w:bottom w:w="85" w:type="dxa"/>
              <w:right w:w="108" w:type="dxa"/>
            </w:tcMar>
          </w:tcPr>
          <w:p>
            <w:pPr>
              <w:spacing w:after="0"/>
              <w:jc w:val="left"/>
              <w:rPr>
                <w:noProof/>
                <w:sz w:val="20"/>
                <w:lang w:val="fr-BE"/>
              </w:rPr>
            </w:pPr>
            <w:r>
              <w:rPr>
                <w:noProof/>
                <w:sz w:val="20"/>
                <w:lang w:val="fr-BE"/>
              </w:rPr>
              <w:t>Obsolète: cette proposition n’a pas été adoptée avant la réunion à laquelle elle était destinée.</w:t>
            </w:r>
          </w:p>
        </w:tc>
      </w:tr>
      <w:tr>
        <w:trPr>
          <w:cantSplit/>
        </w:trPr>
        <w:tc>
          <w:tcPr>
            <w:tcW w:w="14827" w:type="dxa"/>
            <w:gridSpan w:val="4"/>
            <w:shd w:val="clear" w:color="auto" w:fill="00ADDC" w:themeFill="accent5"/>
            <w:tcMar>
              <w:top w:w="85" w:type="dxa"/>
              <w:bottom w:w="85" w:type="dxa"/>
              <w:right w:w="85" w:type="dxa"/>
            </w:tcMar>
          </w:tcPr>
          <w:p>
            <w:pPr>
              <w:keepNext/>
              <w:spacing w:before="60" w:after="60"/>
              <w:rPr>
                <w:noProof/>
                <w:color w:val="FFFFFF" w:themeColor="background1"/>
                <w:sz w:val="20"/>
                <w:lang w:val="fr-BE"/>
              </w:rPr>
            </w:pPr>
            <w:r>
              <w:rPr>
                <w:b/>
                <w:bCs/>
                <w:noProof/>
                <w:color w:val="FFFFFF" w:themeColor="background1"/>
                <w:sz w:val="20"/>
                <w:lang w:val="fr-BE"/>
              </w:rPr>
              <w:t>Un nouvel élan pour la démocratie européenne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COM(2011) 635 final</w:t>
            </w:r>
            <w:r>
              <w:rPr>
                <w:noProof/>
                <w:sz w:val="20"/>
                <w:lang w:val="fr-BE"/>
              </w:rPr>
              <w:br/>
              <w:t>2011/0284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relatif à un droit commun européen de la vente</w:t>
            </w:r>
          </w:p>
        </w:tc>
        <w:tc>
          <w:tcPr>
            <w:tcW w:w="4413" w:type="dxa"/>
            <w:tcMar>
              <w:top w:w="85" w:type="dxa"/>
              <w:bottom w:w="85" w:type="dxa"/>
              <w:right w:w="108" w:type="dxa"/>
            </w:tcMar>
          </w:tcPr>
          <w:p>
            <w:pPr>
              <w:spacing w:after="0"/>
              <w:jc w:val="left"/>
              <w:rPr>
                <w:noProof/>
                <w:sz w:val="20"/>
                <w:lang w:val="fr-BE"/>
              </w:rPr>
            </w:pPr>
            <w:r>
              <w:rPr>
                <w:noProof/>
                <w:sz w:val="20"/>
                <w:lang w:val="fr-BE"/>
              </w:rPr>
              <w:t>Obsolète: cette proposition a été remplacée par deux autres propositions concernant les contrats i) pour la fourniture de contenus numériques et ii) pour les ventes en ligne de biens et autres ventes à distance de biens, qui ont été adoptées depuis [directive (UE) 2019/771 et directive (UE) 2019/770].</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rPr>
            </w:pPr>
            <w:r>
              <w:rPr>
                <w:noProof/>
                <w:sz w:val="20"/>
              </w:rPr>
              <w:t>COM(2008) 229 final</w:t>
            </w:r>
            <w:r>
              <w:rPr>
                <w:noProof/>
                <w:sz w:val="20"/>
              </w:rPr>
              <w:br/>
              <w:t>2008/0090 (COD)</w:t>
            </w:r>
            <w:r>
              <w:rPr>
                <w:noProof/>
                <w:sz w:val="20"/>
              </w:rPr>
              <w:br/>
            </w:r>
            <w:r>
              <w:rPr>
                <w:noProof/>
                <w:sz w:val="20"/>
              </w:rPr>
              <w:br/>
              <w:t>COM(2011) 137 final</w:t>
            </w:r>
            <w:r>
              <w:rPr>
                <w:noProof/>
                <w:sz w:val="20"/>
              </w:rPr>
              <w:br/>
              <w:t>2011/0073(COD)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modifiant le règlement (CE) n° 1049/2001 relatif à l'accès du public aux documents du Parlement européen, du Conseil et de la Commission / Proposition de règlement du Parlement européen et du Conseil relatif à l’accès du public aux documents du Parlement européen, du Conseil et de la Commission</w:t>
            </w:r>
          </w:p>
        </w:tc>
        <w:tc>
          <w:tcPr>
            <w:tcW w:w="4413" w:type="dxa"/>
            <w:tcMar>
              <w:top w:w="85" w:type="dxa"/>
              <w:bottom w:w="85" w:type="dxa"/>
              <w:right w:w="108" w:type="dxa"/>
            </w:tcMar>
          </w:tcPr>
          <w:p>
            <w:pPr>
              <w:spacing w:after="0"/>
              <w:jc w:val="left"/>
              <w:rPr>
                <w:noProof/>
                <w:sz w:val="20"/>
                <w:lang w:val="fr-BE"/>
              </w:rPr>
            </w:pPr>
            <w:r>
              <w:rPr>
                <w:noProof/>
                <w:sz w:val="20"/>
                <w:lang w:val="fr-BE"/>
              </w:rPr>
              <w:t>Aucune perspective d’accord: depuis 2011, les colégislateurs n’ont progressé sur aucune de ces deux propositions. Dans l’intervalle, celles-ci sont devenues en grande partie obsolètes.</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BE"/>
              </w:rPr>
            </w:pPr>
          </w:p>
        </w:tc>
        <w:tc>
          <w:tcPr>
            <w:tcW w:w="2067" w:type="dxa"/>
            <w:tcMar>
              <w:top w:w="85" w:type="dxa"/>
              <w:bottom w:w="85" w:type="dxa"/>
              <w:right w:w="108" w:type="dxa"/>
            </w:tcMar>
          </w:tcPr>
          <w:p>
            <w:pPr>
              <w:spacing w:after="0"/>
              <w:jc w:val="left"/>
              <w:rPr>
                <w:noProof/>
                <w:sz w:val="20"/>
                <w:lang w:val="fr-BE"/>
              </w:rPr>
            </w:pPr>
            <w:r>
              <w:rPr>
                <w:noProof/>
                <w:sz w:val="20"/>
                <w:lang w:val="fr-BE"/>
              </w:rPr>
              <w:t>COM(2013) 78 final</w:t>
            </w:r>
            <w:r>
              <w:rPr>
                <w:noProof/>
                <w:sz w:val="20"/>
                <w:lang w:val="fr-BE"/>
              </w:rPr>
              <w:br/>
              <w:t>2013/0049 (COD)</w:t>
            </w:r>
          </w:p>
        </w:tc>
        <w:tc>
          <w:tcPr>
            <w:tcW w:w="7836" w:type="dxa"/>
            <w:shd w:val="clear" w:color="auto" w:fill="auto"/>
            <w:tcMar>
              <w:top w:w="85" w:type="dxa"/>
              <w:bottom w:w="85" w:type="dxa"/>
              <w:right w:w="108" w:type="dxa"/>
            </w:tcMar>
          </w:tcPr>
          <w:p>
            <w:pPr>
              <w:spacing w:after="0"/>
              <w:rPr>
                <w:noProof/>
                <w:sz w:val="20"/>
                <w:lang w:val="fr-BE"/>
              </w:rPr>
            </w:pPr>
            <w:r>
              <w:rPr>
                <w:noProof/>
                <w:sz w:val="20"/>
                <w:lang w:val="fr-BE"/>
              </w:rPr>
              <w:t>Proposition de RÈGLEMENT DU PARLEMENT EUROPÉEN ET DU CONSEIL concernant la sécurité des produits de consommation et abrogeant la directive 87/357/CEE du Conseil et la directive 2001/95/CE</w:t>
            </w:r>
          </w:p>
        </w:tc>
        <w:tc>
          <w:tcPr>
            <w:tcW w:w="4413" w:type="dxa"/>
            <w:tcMar>
              <w:top w:w="85" w:type="dxa"/>
              <w:bottom w:w="85" w:type="dxa"/>
              <w:right w:w="108" w:type="dxa"/>
            </w:tcMar>
          </w:tcPr>
          <w:p>
            <w:pPr>
              <w:spacing w:after="0"/>
              <w:jc w:val="left"/>
              <w:rPr>
                <w:noProof/>
                <w:sz w:val="20"/>
                <w:lang w:val="fr-BE"/>
              </w:rPr>
            </w:pPr>
            <w:r>
              <w:rPr>
                <w:noProof/>
                <w:sz w:val="20"/>
                <w:lang w:val="fr-BE"/>
              </w:rPr>
              <w:t>Aucune perspective d’accord et caractère obsolète: cette proposition a été partiellement remplacée par le «paquet législatif sur les produits», qui a conduit à l’adoption du règlement (UE) 2019/1020 sur la surveillance du marché et la conformité des produits. La Commission présentera une nouvelle proposition, comme annoncé dans l’annexe II du programme REFIT.</w:t>
            </w:r>
          </w:p>
        </w:tc>
      </w:tr>
    </w:tbl>
    <w:p>
      <w:pPr>
        <w:spacing w:after="600"/>
        <w:jc w:val="center"/>
        <w:rPr>
          <w:b/>
          <w:noProof/>
          <w:sz w:val="28"/>
          <w:szCs w:val="28"/>
          <w:u w:val="single"/>
          <w:lang w:val="fr-BE"/>
        </w:rPr>
      </w:pPr>
      <w:r>
        <w:rPr>
          <w:noProof/>
          <w:lang w:val="fr-BE"/>
        </w:rPr>
        <w:br w:type="page"/>
      </w:r>
      <w:r>
        <w:rPr>
          <w:b/>
          <w:noProof/>
          <w:sz w:val="28"/>
          <w:szCs w:val="28"/>
          <w:u w:val="single"/>
          <w:lang w:val="fr-BE"/>
        </w:rPr>
        <w:t>Annexe V: liste des abrogations envisagées</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7"/>
        <w:gridCol w:w="1657"/>
        <w:gridCol w:w="3101"/>
        <w:gridCol w:w="9389"/>
      </w:tblGrid>
      <w:tr>
        <w:trPr>
          <w:cantSplit/>
          <w:tblHeader/>
        </w:trPr>
        <w:tc>
          <w:tcPr>
            <w:tcW w:w="150" w:type="pct"/>
            <w:tcBorders>
              <w:bottom w:val="single" w:sz="4" w:space="0" w:color="auto"/>
            </w:tcBorders>
            <w:shd w:val="clear" w:color="auto" w:fill="99CCFF"/>
            <w:tcMar>
              <w:right w:w="85" w:type="dxa"/>
            </w:tcMar>
            <w:vAlign w:val="center"/>
          </w:tcPr>
          <w:p>
            <w:pPr>
              <w:tabs>
                <w:tab w:val="left" w:pos="176"/>
              </w:tabs>
              <w:spacing w:before="60" w:after="60"/>
              <w:ind w:hanging="108"/>
              <w:jc w:val="center"/>
              <w:rPr>
                <w:b/>
                <w:noProof/>
                <w:sz w:val="20"/>
                <w:lang w:val="fr-BE"/>
              </w:rPr>
            </w:pPr>
            <w:r>
              <w:rPr>
                <w:b/>
                <w:bCs/>
                <w:noProof/>
                <w:sz w:val="20"/>
                <w:lang w:val="fr-BE"/>
              </w:rPr>
              <w:t>Nº</w:t>
            </w:r>
          </w:p>
        </w:tc>
        <w:tc>
          <w:tcPr>
            <w:tcW w:w="568" w:type="pct"/>
            <w:tcBorders>
              <w:bottom w:val="single" w:sz="4" w:space="0" w:color="auto"/>
            </w:tcBorders>
            <w:shd w:val="clear" w:color="auto" w:fill="99CCFF"/>
            <w:tcMar>
              <w:right w:w="85" w:type="dxa"/>
            </w:tcMar>
          </w:tcPr>
          <w:p>
            <w:pPr>
              <w:spacing w:before="60" w:after="60"/>
              <w:jc w:val="center"/>
              <w:rPr>
                <w:b/>
                <w:bCs/>
                <w:noProof/>
                <w:sz w:val="20"/>
                <w:lang w:val="fr-BE"/>
              </w:rPr>
            </w:pPr>
            <w:r>
              <w:rPr>
                <w:b/>
                <w:bCs/>
                <w:noProof/>
                <w:sz w:val="20"/>
                <w:lang w:val="fr-BE"/>
              </w:rPr>
              <w:t>Domaine</w:t>
            </w:r>
          </w:p>
        </w:tc>
        <w:tc>
          <w:tcPr>
            <w:tcW w:w="1063" w:type="pct"/>
            <w:tcBorders>
              <w:bottom w:val="single" w:sz="4" w:space="0" w:color="auto"/>
            </w:tcBorders>
            <w:shd w:val="clear" w:color="auto" w:fill="99CCFF"/>
            <w:tcMar>
              <w:right w:w="85" w:type="dxa"/>
            </w:tcMar>
            <w:vAlign w:val="center"/>
          </w:tcPr>
          <w:p>
            <w:pPr>
              <w:spacing w:before="60" w:after="60"/>
              <w:jc w:val="center"/>
              <w:rPr>
                <w:b/>
                <w:bCs/>
                <w:noProof/>
                <w:sz w:val="20"/>
                <w:lang w:val="fr-BE"/>
              </w:rPr>
            </w:pPr>
            <w:r>
              <w:rPr>
                <w:b/>
                <w:bCs/>
                <w:noProof/>
                <w:sz w:val="20"/>
                <w:lang w:val="fr-BE"/>
              </w:rPr>
              <w:t>Intitulé</w:t>
            </w:r>
          </w:p>
        </w:tc>
        <w:tc>
          <w:tcPr>
            <w:tcW w:w="3219" w:type="pct"/>
            <w:tcBorders>
              <w:bottom w:val="single" w:sz="4" w:space="0" w:color="auto"/>
            </w:tcBorders>
            <w:shd w:val="clear" w:color="auto" w:fill="99CCFF"/>
            <w:tcMar>
              <w:right w:w="85" w:type="dxa"/>
            </w:tcMar>
            <w:vAlign w:val="center"/>
          </w:tcPr>
          <w:p>
            <w:pPr>
              <w:spacing w:before="60" w:after="60"/>
              <w:jc w:val="center"/>
              <w:rPr>
                <w:b/>
                <w:bCs/>
                <w:noProof/>
                <w:sz w:val="20"/>
                <w:lang w:val="fr-BE"/>
              </w:rPr>
            </w:pPr>
            <w:r>
              <w:rPr>
                <w:b/>
                <w:bCs/>
                <w:noProof/>
                <w:sz w:val="20"/>
                <w:lang w:val="fr-BE"/>
              </w:rPr>
              <w:t>Motifs de l’abrogation</w:t>
            </w:r>
          </w:p>
        </w:tc>
      </w:tr>
      <w:tr>
        <w:trPr>
          <w:cantSplit/>
        </w:trPr>
        <w:tc>
          <w:tcPr>
            <w:tcW w:w="150" w:type="pct"/>
            <w:tcBorders>
              <w:top w:val="single" w:sz="4" w:space="0" w:color="auto"/>
              <w:left w:val="single" w:sz="4" w:space="0" w:color="auto"/>
              <w:bottom w:val="single" w:sz="4" w:space="0" w:color="auto"/>
              <w:right w:val="single" w:sz="4" w:space="0" w:color="auto"/>
            </w:tcBorders>
            <w:tcMar>
              <w:right w:w="108" w:type="dxa"/>
            </w:tcMar>
          </w:tcPr>
          <w:p>
            <w:pPr>
              <w:numPr>
                <w:ilvl w:val="0"/>
                <w:numId w:val="22"/>
              </w:numPr>
              <w:spacing w:after="0"/>
              <w:ind w:left="357" w:hanging="357"/>
              <w:jc w:val="left"/>
              <w:rPr>
                <w:noProof/>
                <w:sz w:val="20"/>
                <w:lang w:val="fr-BE"/>
              </w:rPr>
            </w:pPr>
          </w:p>
        </w:tc>
        <w:tc>
          <w:tcPr>
            <w:tcW w:w="568" w:type="pct"/>
            <w:tcBorders>
              <w:top w:val="single" w:sz="4" w:space="0" w:color="auto"/>
              <w:left w:val="single" w:sz="4" w:space="0" w:color="auto"/>
              <w:bottom w:val="single" w:sz="4" w:space="0" w:color="auto"/>
              <w:right w:val="single" w:sz="4" w:space="0" w:color="auto"/>
            </w:tcBorders>
            <w:tcMar>
              <w:right w:w="108" w:type="dxa"/>
            </w:tcMar>
          </w:tcPr>
          <w:p>
            <w:pPr>
              <w:rPr>
                <w:noProof/>
                <w:sz w:val="20"/>
                <w:lang w:val="fr-BE"/>
              </w:rPr>
            </w:pPr>
            <w:r>
              <w:rPr>
                <w:b/>
                <w:bCs/>
                <w:noProof/>
                <w:sz w:val="20"/>
                <w:lang w:val="fr-BE"/>
              </w:rPr>
              <w:t>Transports</w:t>
            </w:r>
          </w:p>
        </w:tc>
        <w:tc>
          <w:tcPr>
            <w:tcW w:w="1063"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pPr>
              <w:rPr>
                <w:noProof/>
                <w:sz w:val="20"/>
                <w:lang w:val="fr-BE"/>
              </w:rPr>
            </w:pPr>
            <w:r>
              <w:rPr>
                <w:noProof/>
                <w:sz w:val="20"/>
                <w:lang w:val="fr-BE"/>
              </w:rPr>
              <w:t xml:space="preserve">Règlement (CEE) n° 1108/70 du Conseil, du 4 juin 1970, instaurant une comptabilité des dépenses afférentes aux infrastructures de transports par chemin de fer, par route et par voie navigable </w:t>
            </w:r>
          </w:p>
        </w:tc>
        <w:tc>
          <w:tcPr>
            <w:tcW w:w="3219"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pPr>
              <w:spacing w:after="120"/>
              <w:rPr>
                <w:noProof/>
                <w:sz w:val="20"/>
                <w:lang w:val="fr-BE"/>
              </w:rPr>
            </w:pPr>
            <w:r>
              <w:rPr>
                <w:noProof/>
                <w:sz w:val="20"/>
                <w:lang w:val="fr-BE"/>
              </w:rPr>
              <w:t>Le règlement (CEE) n° 1108/70 prévoit la collecte de données relatives aux dépenses afférentes aux infrastructures de transports par chemin de fer, par route et par voie navigable, ainsi que la collecte de statistiques sur l’utilisation des infrastructures correspondantes.  Conformément au règlement, les États membres doivent régulièrement communiquer à la Commission les données relatives aux investissements dans les infrastructures. Près de cinquante ans plus tard, seuls quatre États membres communiquent encore ces informations à la Commission. Entretemps, les définitions et le texte sont devenus obsolètes, tandis que d’autres sources de données sont apparues: les unes étant de nature horizontale, telles que les données sur les dépenses du Forum international des transports et TEN-Tec, les autres de nature plus sectorielle, comme l’enquête sur le marché ferroviaire.</w:t>
            </w:r>
          </w:p>
        </w:tc>
      </w:tr>
      <w:tr>
        <w:trPr>
          <w:cantSplit/>
        </w:trPr>
        <w:tc>
          <w:tcPr>
            <w:tcW w:w="150" w:type="pct"/>
            <w:tcBorders>
              <w:top w:val="single" w:sz="4" w:space="0" w:color="auto"/>
              <w:left w:val="single" w:sz="4" w:space="0" w:color="auto"/>
              <w:bottom w:val="single" w:sz="4" w:space="0" w:color="auto"/>
              <w:right w:val="single" w:sz="4" w:space="0" w:color="auto"/>
            </w:tcBorders>
            <w:tcMar>
              <w:right w:w="108" w:type="dxa"/>
            </w:tcMar>
          </w:tcPr>
          <w:p>
            <w:pPr>
              <w:numPr>
                <w:ilvl w:val="0"/>
                <w:numId w:val="22"/>
              </w:numPr>
              <w:spacing w:after="0"/>
              <w:ind w:left="357" w:hanging="357"/>
              <w:jc w:val="left"/>
              <w:rPr>
                <w:noProof/>
                <w:sz w:val="20"/>
                <w:lang w:val="fr-BE"/>
              </w:rPr>
            </w:pPr>
          </w:p>
        </w:tc>
        <w:tc>
          <w:tcPr>
            <w:tcW w:w="568" w:type="pct"/>
            <w:tcBorders>
              <w:top w:val="single" w:sz="4" w:space="0" w:color="auto"/>
              <w:left w:val="single" w:sz="4" w:space="0" w:color="auto"/>
              <w:bottom w:val="single" w:sz="4" w:space="0" w:color="auto"/>
              <w:right w:val="single" w:sz="4" w:space="0" w:color="auto"/>
            </w:tcBorders>
            <w:tcMar>
              <w:right w:w="108" w:type="dxa"/>
            </w:tcMar>
          </w:tcPr>
          <w:p>
            <w:pPr>
              <w:rPr>
                <w:noProof/>
                <w:sz w:val="20"/>
                <w:lang w:val="fr-BE"/>
              </w:rPr>
            </w:pPr>
            <w:r>
              <w:rPr>
                <w:b/>
                <w:bCs/>
                <w:noProof/>
                <w:sz w:val="20"/>
                <w:lang w:val="fr-BE"/>
              </w:rPr>
              <w:t>Fiscalité</w:t>
            </w:r>
          </w:p>
        </w:tc>
        <w:tc>
          <w:tcPr>
            <w:tcW w:w="1063"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pPr>
              <w:rPr>
                <w:noProof/>
                <w:sz w:val="20"/>
                <w:lang w:val="fr-BE"/>
              </w:rPr>
            </w:pPr>
            <w:r>
              <w:rPr>
                <w:noProof/>
                <w:sz w:val="20"/>
                <w:lang w:val="fr-BE"/>
              </w:rPr>
              <w:t>Règlement (CEE) n° 1797/86 du Conseil du 9 juin 1986 relatif à la suppression de certaines redevances postales de présentation à la douane</w:t>
            </w:r>
          </w:p>
        </w:tc>
        <w:tc>
          <w:tcPr>
            <w:tcW w:w="3219"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pPr>
              <w:spacing w:after="120"/>
              <w:rPr>
                <w:noProof/>
                <w:sz w:val="20"/>
                <w:lang w:val="fr-BE"/>
              </w:rPr>
            </w:pPr>
            <w:r>
              <w:rPr>
                <w:noProof/>
                <w:sz w:val="20"/>
                <w:lang w:val="fr-BE"/>
              </w:rPr>
              <w:t xml:space="preserve">Ce règlement précise comment l’interdiction des droits de douane et des taxes d’effet équivalent s’applique au secteur postal pour les livraisons intra-UE. Si, sur le fond, ce texte reste valable, il n’est plus nécessaire, puisque l’interdiction en question est directement prévue par le traité. </w:t>
            </w:r>
          </w:p>
        </w:tc>
      </w:tr>
    </w:tbl>
    <w:p>
      <w:pPr>
        <w:spacing w:after="0"/>
        <w:rPr>
          <w:noProof/>
          <w:sz w:val="20"/>
          <w:lang w:val="fr-BE"/>
        </w:rPr>
      </w:pPr>
    </w:p>
    <w:sectPr>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851"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spacing w:before="0"/>
      <w:jc w:val="right"/>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22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fr-BE"/>
        </w:rPr>
      </w:pPr>
      <w:r>
        <w:rPr>
          <w:rStyle w:val="FootnoteReference"/>
        </w:rPr>
        <w:footnoteRef/>
      </w:r>
      <w:r>
        <w:rPr>
          <w:lang w:val="fr-BE"/>
        </w:rPr>
        <w:tab/>
        <w:t>Dans la présente annexe, la Commission fournit de plus amples informations, pour autant qu’elles soient disponibles, sur les initiatives prévues dans son programme de travail, conformément à l’accord interinstitutionnel «Mieux légiférer». Les informations figurant entre parenthèses à côté de chaque initiative sont fournies à titre indicatif uniquement et sont susceptibles de changer au cours du processus préparatoire, compte tenu notamment du résultat de l’analyse d’impact éventuelle.</w:t>
      </w:r>
    </w:p>
  </w:footnote>
  <w:footnote w:id="3">
    <w:p>
      <w:pPr>
        <w:pStyle w:val="FootnoteText"/>
        <w:rPr>
          <w:lang w:val="fr-BE"/>
        </w:rPr>
      </w:pPr>
      <w:r>
        <w:rPr>
          <w:rStyle w:val="FootnoteReference"/>
        </w:rPr>
        <w:footnoteRef/>
      </w:r>
      <w:r>
        <w:rPr>
          <w:lang w:val="fr-BE"/>
        </w:rPr>
        <w:tab/>
        <w:t>La présente annexe décrit les révisions, les évaluations et les bilans de qualité les plus significatifs que la Commission va réaliser, y compris les évaluations visant à donner suite aux avis de la plateforme REFIT. Ce travail sera achevé d’ici la fin de 2020.</w:t>
      </w:r>
    </w:p>
  </w:footnote>
  <w:footnote w:id="4">
    <w:p>
      <w:pPr>
        <w:pStyle w:val="FootnoteText"/>
        <w:tabs>
          <w:tab w:val="left" w:pos="567"/>
        </w:tabs>
        <w:rPr>
          <w:lang w:val="fr-BE"/>
        </w:rPr>
      </w:pPr>
      <w:r>
        <w:rPr>
          <w:rStyle w:val="FootnoteReference"/>
        </w:rPr>
        <w:footnoteRef/>
      </w:r>
      <w:r>
        <w:rPr>
          <w:lang w:val="fr-BE"/>
        </w:rPr>
        <w:tab/>
        <w:t>Les propositions relatives au cadre financier pluriannuel (CFP) sont surlignées en gris.</w:t>
      </w:r>
    </w:p>
  </w:footnote>
  <w:footnote w:id="5">
    <w:p>
      <w:pPr>
        <w:pStyle w:val="FootnoteText"/>
        <w:rPr>
          <w:lang w:val="fr-BE"/>
        </w:rPr>
      </w:pPr>
      <w:r>
        <w:rPr>
          <w:rStyle w:val="FootnoteReference"/>
        </w:rPr>
        <w:footnoteRef/>
      </w:r>
      <w:r>
        <w:rPr>
          <w:lang w:val="fr-BE"/>
        </w:rPr>
        <w:tab/>
        <w:t>La présente liste énumère les propositions législatives pendantes que la Commission a l’intention de retirer dans un délai de six mois (d’ici juillet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728"/>
      </w:tabs>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F9D369E"/>
    <w:multiLevelType w:val="hybridMultilevel"/>
    <w:tmpl w:val="87AE922E"/>
    <w:lvl w:ilvl="0" w:tplc="47A27E52">
      <w:start w:val="1"/>
      <w:numFmt w:val="decimal"/>
      <w:suff w:val="nothing"/>
      <w:lvlText w:val="%1."/>
      <w:lvlJc w:val="left"/>
      <w:pPr>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57B7E92"/>
    <w:multiLevelType w:val="hybridMultilevel"/>
    <w:tmpl w:val="F1002934"/>
    <w:lvl w:ilvl="0" w:tplc="A25416E6">
      <w:start w:val="1"/>
      <w:numFmt w:val="decimal"/>
      <w:suff w:val="nothing"/>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6C143F"/>
    <w:multiLevelType w:val="hybridMultilevel"/>
    <w:tmpl w:val="17546D64"/>
    <w:lvl w:ilvl="0" w:tplc="AB487E34">
      <w:start w:val="1"/>
      <w:numFmt w:val="decimal"/>
      <w:suff w:val="nothing"/>
      <w:lvlText w:val="%1."/>
      <w:lvlJc w:val="left"/>
      <w:pPr>
        <w:ind w:left="0" w:firstLine="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540751D6"/>
    <w:multiLevelType w:val="hybridMultilevel"/>
    <w:tmpl w:val="4828BA3E"/>
    <w:lvl w:ilvl="0" w:tplc="F63AB8D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F35214B"/>
    <w:multiLevelType w:val="hybridMultilevel"/>
    <w:tmpl w:val="68E46B96"/>
    <w:lvl w:ilvl="0" w:tplc="E7B8FBE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BE7DC6"/>
    <w:multiLevelType w:val="hybridMultilevel"/>
    <w:tmpl w:val="E0A84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14"/>
  </w:num>
  <w:num w:numId="3">
    <w:abstractNumId w:val="13"/>
  </w:num>
  <w:num w:numId="4">
    <w:abstractNumId w:val="8"/>
  </w:num>
  <w:num w:numId="5">
    <w:abstractNumId w:val="5"/>
  </w:num>
  <w:num w:numId="6">
    <w:abstractNumId w:val="4"/>
  </w:num>
  <w:num w:numId="7">
    <w:abstractNumId w:val="17"/>
  </w:num>
  <w:num w:numId="8">
    <w:abstractNumId w:val="12"/>
  </w:num>
  <w:num w:numId="9">
    <w:abstractNumId w:val="7"/>
  </w:num>
  <w:num w:numId="10">
    <w:abstractNumId w:val="11"/>
  </w:num>
  <w:num w:numId="11">
    <w:abstractNumId w:val="0"/>
  </w:num>
  <w:num w:numId="12">
    <w:abstractNumId w:val="3"/>
  </w:num>
  <w:num w:numId="13">
    <w:abstractNumId w:val="15"/>
  </w:num>
  <w:num w:numId="14">
    <w:abstractNumId w:val="6"/>
  </w:num>
  <w:num w:numId="15">
    <w:abstractNumId w:val="1"/>
  </w:num>
  <w:num w:numId="16">
    <w:abstractNumId w:val="19"/>
  </w:num>
  <w:num w:numId="17">
    <w:abstractNumId w:val="9"/>
  </w:num>
  <w:num w:numId="18">
    <w:abstractNumId w:val="20"/>
  </w:num>
  <w:num w:numId="19">
    <w:abstractNumId w:val="21"/>
  </w:num>
  <w:num w:numId="20">
    <w:abstractNumId w:val="10"/>
  </w:num>
  <w:num w:numId="21">
    <w:abstractNumId w:val="18"/>
  </w:num>
  <w:num w:numId="22">
    <w:abstractNumId w:val="16"/>
  </w:num>
  <w:num w:numId="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à la"/>
    <w:docVar w:name="LW_ANNEX_NBR_FIRST" w:val="1"/>
    <w:docVar w:name="LW_ANNEX_NBR_LAST" w:val="5"/>
    <w:docVar w:name="LW_ANNEX_UNIQUE" w:val="0"/>
    <w:docVar w:name="LW_CORRIGENDUM" w:val="&lt;UNUSED&gt;"/>
    <w:docVar w:name="LW_COVERPAGE_EXISTS" w:val="True"/>
    <w:docVar w:name="LW_COVERPAGE_GUID" w:val="8C9F5D2A-549D-45EA-9785-6D608B6EF54C"/>
    <w:docVar w:name="LW_COVERPAGE_TYPE" w:val="1"/>
    <w:docVar w:name="LW_CROSSREFERENCE" w:val="&lt;UNUSED&gt;"/>
    <w:docVar w:name="LW_DocType" w:val="EUROLOOK"/>
    <w:docVar w:name="LW_EMISSION" w:val="29.1.2020"/>
    <w:docVar w:name="LW_EMISSION_ISODATE" w:val="2020-01-29"/>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Programme de travail de la Commission pour  2020_x000d__x000d__x000d__x000d__x000d__x000d__x000d__x000b__x000d__x000d__x000d__x000d__x000d__x000d__x000d__x000b__x000d__x000d__x000d__x000d__x000d__x000d__x000d__x000b_Une Union plus ambitieuse"/>
    <w:docVar w:name="LW_PART_NBR" w:val="&lt;UNUSED&gt;"/>
    <w:docVar w:name="LW_PART_NBR_TOTAL" w:val="&lt;UNUSED&gt;"/>
    <w:docVar w:name="LW_REF.INST.NEW" w:val="COM"/>
    <w:docVar w:name="LW_REF.INST.NEW_ADOPTED" w:val="final"/>
    <w:docVar w:name="LW_REF.INST.NEW_TEXT" w:val="(2020)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FootnoteTextChar">
    <w:name w:val="Footnote Text Char"/>
    <w:basedOn w:val="DefaultParagraphFont"/>
    <w:link w:val="FootnoteText"/>
    <w:semiHidden/>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FootnoteTextChar">
    <w:name w:val="Footnote Text Char"/>
    <w:basedOn w:val="DefaultParagraphFont"/>
    <w:link w:val="FootnoteText"/>
    <w:semiHidden/>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28437">
      <w:bodyDiv w:val="1"/>
      <w:marLeft w:val="0"/>
      <w:marRight w:val="0"/>
      <w:marTop w:val="0"/>
      <w:marBottom w:val="0"/>
      <w:divBdr>
        <w:top w:val="none" w:sz="0" w:space="0" w:color="auto"/>
        <w:left w:val="none" w:sz="0" w:space="0" w:color="auto"/>
        <w:bottom w:val="none" w:sz="0" w:space="0" w:color="auto"/>
        <w:right w:val="none" w:sz="0" w:space="0" w:color="auto"/>
      </w:divBdr>
    </w:div>
    <w:div w:id="1190140997">
      <w:bodyDiv w:val="1"/>
      <w:marLeft w:val="0"/>
      <w:marRight w:val="0"/>
      <w:marTop w:val="0"/>
      <w:marBottom w:val="0"/>
      <w:divBdr>
        <w:top w:val="none" w:sz="0" w:space="0" w:color="auto"/>
        <w:left w:val="none" w:sz="0" w:space="0" w:color="auto"/>
        <w:bottom w:val="none" w:sz="0" w:space="0" w:color="auto"/>
        <w:right w:val="none" w:sz="0" w:space="0" w:color="auto"/>
      </w:divBdr>
    </w:div>
    <w:div w:id="1463765545">
      <w:bodyDiv w:val="1"/>
      <w:marLeft w:val="0"/>
      <w:marRight w:val="0"/>
      <w:marTop w:val="0"/>
      <w:marBottom w:val="0"/>
      <w:divBdr>
        <w:top w:val="none" w:sz="0" w:space="0" w:color="auto"/>
        <w:left w:val="none" w:sz="0" w:space="0" w:color="auto"/>
        <w:bottom w:val="none" w:sz="0" w:space="0" w:color="auto"/>
        <w:right w:val="none" w:sz="0" w:space="0" w:color="auto"/>
      </w:divBdr>
    </w:div>
    <w:div w:id="201807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ec.europa.eu/info/sites/info/files/opinion_health_food_1a.pdf"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ec.europa.eu/info/sites/info/files/xi6ab_thmpd_0.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sites/info/files/recommendation-xi-11a-b-claims-regulation_0.pdf"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ec.europa.eu/info/sites/info/files/xi.22.a_registration_of_plant_protection.pdf" TargetMode="External"/><Relationship Id="rId28"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files/refit-platform-recommendations-health-and-food-safety-xi10a-multiple-use-multiple-source-substances-chlorate_en"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VDL Priorities">
      <a:dk1>
        <a:sysClr val="windowText" lastClr="000000"/>
      </a:dk1>
      <a:lt1>
        <a:sysClr val="window" lastClr="FFFFFF"/>
      </a:lt1>
      <a:dk2>
        <a:srgbClr val="0E4194"/>
      </a:dk2>
      <a:lt2>
        <a:srgbClr val="EEECE1"/>
      </a:lt2>
      <a:accent1>
        <a:srgbClr val="9ACA3C"/>
      </a:accent1>
      <a:accent2>
        <a:srgbClr val="18BAA8"/>
      </a:accent2>
      <a:accent3>
        <a:srgbClr val="F68A42"/>
      </a:accent3>
      <a:accent4>
        <a:srgbClr val="585EAA"/>
      </a:accent4>
      <a:accent5>
        <a:srgbClr val="00ADDC"/>
      </a:accent5>
      <a:accent6>
        <a:srgbClr val="DA5C5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fae640a3-2752-44bc-9773-26f5d41ba0dd">EN</EC_Collab_DocumentLanguage>
    <_Status xmlns="http://schemas.microsoft.com/sharepoint/v3/fields">Not Started</_Status>
    <EC_Collab_Reference xmlns="fae640a3-2752-44bc-9773-26f5d41ba0dd" xsi:nil="true"/>
    <EC_Collab_Status xmlns="fae640a3-2752-44bc-9773-26f5d41ba0dd">Published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2C3A5D77007E39498C0FBBE1139AD9BC" ma:contentTypeVersion="0" ma:contentTypeDescription="Create a new document in this library." ma:contentTypeScope="" ma:versionID="1c388df75112444336eab93ec6d1fbcb">
  <xsd:schema xmlns:xsd="http://www.w3.org/2001/XMLSchema" xmlns:xs="http://www.w3.org/2001/XMLSchema" xmlns:p="http://schemas.microsoft.com/office/2006/metadata/properties" xmlns:ns2="http://schemas.microsoft.com/sharepoint/v3/fields" xmlns:ns3="fae640a3-2752-44bc-9773-26f5d41ba0dd" targetNamespace="http://schemas.microsoft.com/office/2006/metadata/properties" ma:root="true" ma:fieldsID="4735b83fa646b64efc7f5c450d630223" ns2:_="" ns3:_="">
    <xsd:import namespace="http://schemas.microsoft.com/sharepoint/v3/fields"/>
    <xsd:import namespace="fae640a3-2752-44bc-9773-26f5d41ba0d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ae640a3-2752-44bc-9773-26f5d41ba0d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6.xml><?xml version="1.0" encoding="utf-8"?>
<EurolookProperties>
  <ProductCustomizationId/>
  <Created>
    <Version>10.0.37611.0</Version>
    <Date>2018-10-23T14:12:56</Date>
    <Language>EN</Language>
  </Created>
  <Edited>
    <Version>10.0.40183.0</Version>
    <Date>2020-01-29T10:20:31</Date>
  </Edited>
  <DocumentModel>
    <Id>6cbda13a-4db2-46c6-876a-ef72275827ef</Id>
    <Name>Report</Name>
  </DocumentModel>
  <DocumentDate>2018-10-23T14:12:56</DocumentDate>
  <DocumentVersion>0.1</DocumentVersion>
  <CompatibilityMode>Eurolook10</CompatibilityMode>
  <Address/>
</EurolookProperti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F2D397-A922-43DB-B264-B983795768C6}">
  <ds:schemaRefs>
    <ds:schemaRef ds:uri="http://schemas.microsoft.com/office/2006/metadata/properties"/>
    <ds:schemaRef ds:uri="http://schemas.microsoft.com/office/infopath/2007/PartnerControls"/>
    <ds:schemaRef ds:uri="fae640a3-2752-44bc-9773-26f5d41ba0dd"/>
    <ds:schemaRef ds:uri="http://schemas.microsoft.com/sharepoint/v3/fields"/>
  </ds:schemaRefs>
</ds:datastoreItem>
</file>

<file path=customXml/itemProps2.xml><?xml version="1.0" encoding="utf-8"?>
<ds:datastoreItem xmlns:ds="http://schemas.openxmlformats.org/officeDocument/2006/customXml" ds:itemID="{D7DD7B5D-2A29-4049-B6B0-CF03EF7473F2}">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E254431-4F99-45A3-A63C-553A2CB73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ae640a3-2752-44bc-9773-26f5d41ba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044946-5330-43F7-8D16-AA78684F293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70B5B07D-0A81-4557-855C-6A3F8282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14350</Words>
  <Characters>84525</Characters>
  <Application>Microsoft Office Word</Application>
  <DocSecurity>0</DocSecurity>
  <PresentationFormat>Microsoft Word 14.0</PresentationFormat>
  <Lines>1965</Lines>
  <Paragraphs>998</Paragraphs>
  <ScaleCrop>true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THERACE Christine (SG)</dc:creator>
  <cp:keywords/>
  <dc:description/>
  <cp:lastModifiedBy>WES PDFC Administrator</cp:lastModifiedBy>
  <cp:revision>9</cp:revision>
  <cp:lastPrinted>2020-01-27T15:24:00Z</cp:lastPrinted>
  <dcterms:created xsi:type="dcterms:W3CDTF">2020-01-29T09:20:00Z</dcterms:created>
  <dcterms:modified xsi:type="dcterms:W3CDTF">2020-01-29T09:38:00Z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5</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CP-039</vt:lpwstr>
  </property>
  <property fmtid="{D5CDD505-2E9C-101B-9397-08002B2CF9AE}" pid="12" name="_LW_INVALIDATED__LW_INVALIDATED__LW_INVALIDATED__LW_INVALIDATED__LW_INVALIDATED__LW_INVALIDATED__LW_INVALIDATED__LW_INVALIDATED__LW_INVALIDATED_EurolookVersion">
    <vt:lpwstr>10.0</vt:lpwstr>
  </property>
  <property fmtid="{D5CDD505-2E9C-101B-9397-08002B2CF9AE}" pid="13" name="_LW_INVALIDATED__LW_INVALIDATED__LW_INVALIDATED__LW_INVALIDATED__LW_INVALIDATED__LW_INVALIDATED__LW_INVALIDATED__LW_INVALIDATED__LW_INVALIDATED_ELDocType">
    <vt:lpwstr>rep.dot</vt:lpwstr>
  </property>
  <property fmtid="{D5CDD505-2E9C-101B-9397-08002B2CF9AE}" pid="14" name="_LW_INVALIDATED__LW_INVALIDATED__LW_INVALIDATED__LW_INVALIDATED__LW_INVALIDATED__LW_INVALIDATED__LW_INVALIDATED_ContentTypeId">
    <vt:lpwstr>0x010100258AA79CEB83498886A3A08681123250002C3A5D77007E39498C0FBBE1139AD9BC</vt:lpwstr>
  </property>
  <property fmtid="{D5CDD505-2E9C-101B-9397-08002B2CF9AE}" pid="15" name="_LW_INVALIDATED__LW_INVALIDATED__LW_INVALIDATED__LW_INVALIDATED_ContentTypeId">
    <vt:lpwstr>0x010100258AA79CEB83498886A3A08681123250002C3A5D77007E39498C0FBBE1139AD9BC</vt:lpwstr>
  </property>
</Properties>
</file>