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DF84DA2A-1B76-4BB4-AE8F-773E6FBBC08D" style="width:450.75pt;height:36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Prliminairetype"/>
        <w:rPr>
          <w:noProof/>
        </w:rPr>
      </w:pPr>
      <w:bookmarkStart w:id="1" w:name="_GoBack"/>
      <w:bookmarkEnd w:id="1"/>
      <w:r>
        <w:rPr>
          <w:noProof/>
        </w:rPr>
        <w:lastRenderedPageBreak/>
        <w:t>ДОКЛАД НА КОМИСИЯТА ДО СЪВЕТА, ЕВРОПЕЙСКИЯ ПАРЛАМЕНТ, ЕВРОПЕЙСКИЯ ИКОНОМИЧЕСКИ И СОЦИАЛЕН КОМИТЕТ И КОМИТЕТА НА РЕГИОНИТЕ</w:t>
      </w:r>
    </w:p>
    <w:p>
      <w:pPr>
        <w:pStyle w:val="Prliminairetitre"/>
        <w:spacing w:before="0" w:after="240"/>
        <w:rPr>
          <w:noProof/>
        </w:rPr>
      </w:pPr>
      <w:r>
        <w:rPr>
          <w:noProof/>
        </w:rPr>
        <w:t xml:space="preserve">ОТНОСНО ПРИЛАГАНЕТО НА ДИРЕКТИВА 2000/53/EО  </w:t>
      </w:r>
      <w:r>
        <w:rPr>
          <w:noProof/>
        </w:rPr>
        <w:br/>
        <w:t>ОТНОСНО ИЗЛЕЗЛИТЕ ОТ УПОТРЕБА ПРЕВОЗНИ СРЕДСТВА</w:t>
      </w:r>
      <w:r>
        <w:rPr>
          <w:noProof/>
        </w:rPr>
        <w:br/>
      </w:r>
      <w:r>
        <w:rPr>
          <w:noProof/>
        </w:rPr>
        <w:br/>
        <w:t>ЗА ПЕРИОДА 2014—2017 г.</w:t>
      </w:r>
    </w:p>
    <w:p>
      <w:pPr>
        <w:pStyle w:val="ManualHeading1"/>
        <w:numPr>
          <w:ilvl w:val="0"/>
          <w:numId w:val="6"/>
        </w:numPr>
        <w:spacing w:before="0" w:after="240"/>
        <w:rPr>
          <w:noProof/>
        </w:rPr>
      </w:pPr>
      <w:r>
        <w:rPr>
          <w:noProof/>
        </w:rPr>
        <w:t>Въведение</w:t>
      </w:r>
      <w:r>
        <w:rPr>
          <w:noProof/>
        </w:rPr>
        <w:tab/>
      </w:r>
    </w:p>
    <w:p>
      <w:pPr>
        <w:spacing w:after="240"/>
        <w:rPr>
          <w:rFonts w:ascii="Times New Roman" w:hAnsi="Times New Roman" w:cs="Times New Roman"/>
          <w:noProof/>
          <w:sz w:val="24"/>
          <w:szCs w:val="24"/>
        </w:rPr>
      </w:pPr>
      <w:r>
        <w:rPr>
          <w:rFonts w:ascii="Times New Roman" w:hAnsi="Times New Roman"/>
          <w:noProof/>
        </w:rPr>
        <w:t>Основната цел на Директива 2000/53/ЕО относно излезлите от употреба превозни средства</w:t>
      </w:r>
      <w:r>
        <w:rPr>
          <w:rStyle w:val="FootnoteReference"/>
          <w:rFonts w:ascii="Times New Roman" w:hAnsi="Times New Roman"/>
          <w:noProof/>
        </w:rPr>
        <w:footnoteReference w:id="2"/>
      </w:r>
      <w:r>
        <w:rPr>
          <w:rFonts w:ascii="Times New Roman" w:hAnsi="Times New Roman"/>
          <w:noProof/>
        </w:rPr>
        <w:t xml:space="preserve"> е да се предотврати генерирането на отпадъци от превозни средства и техните компоненти, така че да бъде намалено окончателното депониране на отпадъци и цялостното им въздействие върху околната среда. Наред с това мерките, заложени в директивата, са насочени към подобряване на екологичните характеристики на всички икономически оператори, участващи в жизнения цикъл на превозните средства, и по-специално на операторите, които са непосредствено ангажирани с третирането на излезлите от употреба автомобили. Като цяло Директивата относно излезлите от употреба превозни средства следва подход на кръгова икономика чрез насърчаване на екопроектирането, въвеждане на разпоредби за премахване на опасните вещества в превозните средства и определяне на високи цели за повторна употреба, рециклиране и оползотворяване, с което се цели повторно използване на ценните материали от излезлите от употреба автомобили и запазване на ценните ресурси в икономиката.</w:t>
      </w:r>
    </w:p>
    <w:p>
      <w:pPr>
        <w:spacing w:after="240"/>
        <w:rPr>
          <w:rFonts w:ascii="Times New Roman" w:hAnsi="Times New Roman" w:cs="Times New Roman"/>
          <w:noProof/>
          <w:sz w:val="24"/>
          <w:szCs w:val="24"/>
        </w:rPr>
      </w:pPr>
      <w:r>
        <w:rPr>
          <w:rFonts w:ascii="Times New Roman" w:hAnsi="Times New Roman"/>
          <w:noProof/>
        </w:rPr>
        <w:t>Съгласно член 9 от Директивата относно излезлите от употреба превозни средства държавите членки се задължават да изпращат на всеки три години доклади до Комисията относно прилагането на директивата въз основа на въпросник, установен с Решение 2001/753/ЕО на Комисията</w:t>
      </w:r>
      <w:r>
        <w:rPr>
          <w:rStyle w:val="FootnoteReference"/>
          <w:rFonts w:ascii="Times New Roman" w:hAnsi="Times New Roman"/>
          <w:noProof/>
        </w:rPr>
        <w:footnoteReference w:id="3"/>
      </w:r>
      <w:r>
        <w:rPr>
          <w:rFonts w:ascii="Times New Roman" w:hAnsi="Times New Roman"/>
          <w:noProof/>
        </w:rPr>
        <w:t>. Въпросникът се състои от две части: първата част се отнася до подробностите относно транспонирането на директивата в националното законодателство, а във втората част се съдържа информация относно действителното прилагане на директивата. Въз основа на информацията, предоставена от държавите членки за периода на докладване, Комисията трябва да изготви доклад относно прилагането.</w:t>
      </w:r>
    </w:p>
    <w:p>
      <w:pPr>
        <w:spacing w:after="240"/>
        <w:rPr>
          <w:rFonts w:ascii="Times New Roman" w:hAnsi="Times New Roman" w:cs="Times New Roman"/>
          <w:noProof/>
          <w:sz w:val="24"/>
          <w:szCs w:val="24"/>
        </w:rPr>
      </w:pPr>
      <w:r>
        <w:rPr>
          <w:rFonts w:ascii="Times New Roman" w:hAnsi="Times New Roman"/>
          <w:noProof/>
        </w:rPr>
        <w:t>Настоящият четвърти доклад относно прилагането на Директивата относно излезлите от употреба превозни средства обхваща периода от 22 април 2014 г. до 21 април 2017 г. Всички предишни доклади са публикувани на уебсайта на Комисията</w:t>
      </w:r>
      <w:r>
        <w:rPr>
          <w:rFonts w:ascii="Times New Roman" w:hAnsi="Times New Roman" w:cs="Times New Roman"/>
          <w:noProof/>
          <w:vertAlign w:val="superscript"/>
        </w:rPr>
        <w:footnoteReference w:id="4"/>
      </w:r>
      <w:r>
        <w:rPr>
          <w:rFonts w:ascii="Times New Roman" w:hAnsi="Times New Roman"/>
          <w:noProof/>
        </w:rPr>
        <w:t>.</w:t>
      </w:r>
    </w:p>
    <w:p>
      <w:pPr>
        <w:spacing w:after="240"/>
        <w:rPr>
          <w:rFonts w:ascii="Times New Roman" w:hAnsi="Times New Roman" w:cs="Times New Roman"/>
          <w:noProof/>
          <w:sz w:val="24"/>
          <w:szCs w:val="24"/>
        </w:rPr>
      </w:pPr>
      <w:r>
        <w:rPr>
          <w:rFonts w:ascii="Times New Roman" w:hAnsi="Times New Roman"/>
          <w:noProof/>
        </w:rPr>
        <w:t xml:space="preserve">Данни относно периода на докладване 2014—2017 г. представиха 25 държави членки. Три държави (Латвия, Малта и Унгария) все още не са представили информация. Тези показатели показват известно намаление в броя на докладващите държави в сравнение с по-ранните периоди: за 2008—2011 г. Комисията получи доклади относно прилагането от всички държави членки, като за 2011—2014 г. доклади не представиха две държави (Нидерландия и Испания).  </w:t>
      </w:r>
    </w:p>
    <w:p>
      <w:pPr>
        <w:spacing w:after="240"/>
        <w:rPr>
          <w:rFonts w:ascii="Times New Roman" w:hAnsi="Times New Roman" w:cs="Times New Roman"/>
          <w:noProof/>
          <w:sz w:val="24"/>
          <w:szCs w:val="24"/>
        </w:rPr>
      </w:pPr>
      <w:r>
        <w:rPr>
          <w:rFonts w:ascii="Times New Roman" w:hAnsi="Times New Roman"/>
          <w:noProof/>
        </w:rPr>
        <w:t>Представената информация беше като цяло изчерпателна и със задоволително качество. Към нея бяха добавени данни от допълнителни източници — по-специално националното законодателство, което беше подложено на пряка проверка за съответствие с Директивата относно излезлите от употреба превозни средства, както и информация от други доклади на Комисията</w:t>
      </w:r>
      <w:r>
        <w:rPr>
          <w:rStyle w:val="FootnoteReference"/>
          <w:rFonts w:ascii="Times New Roman" w:hAnsi="Times New Roman"/>
          <w:noProof/>
        </w:rPr>
        <w:footnoteReference w:id="5"/>
      </w:r>
      <w:r>
        <w:rPr>
          <w:rFonts w:ascii="Times New Roman" w:hAnsi="Times New Roman"/>
          <w:noProof/>
        </w:rPr>
        <w:t>. Бяха взети под внимание и данните относно целите на директивата по отношение на повторната употреба и рециклирането, както и по отношение на повторната употреба и оползотворяването, докладвани съгласно Решение 2005/293/ЕО на Комисията</w:t>
      </w:r>
      <w:r>
        <w:rPr>
          <w:rStyle w:val="FootnoteReference"/>
          <w:rFonts w:ascii="Times New Roman" w:hAnsi="Times New Roman"/>
          <w:noProof/>
        </w:rPr>
        <w:footnoteReference w:id="6"/>
      </w:r>
      <w:r>
        <w:rPr>
          <w:rFonts w:ascii="Times New Roman" w:hAnsi="Times New Roman"/>
          <w:noProof/>
        </w:rPr>
        <w:t>.</w:t>
      </w:r>
    </w:p>
    <w:p>
      <w:pPr>
        <w:keepNext/>
        <w:tabs>
          <w:tab w:val="left" w:pos="850"/>
        </w:tabs>
        <w:spacing w:after="240" w:line="240" w:lineRule="auto"/>
        <w:ind w:left="850" w:hanging="850"/>
        <w:jc w:val="both"/>
        <w:outlineLvl w:val="0"/>
        <w:rPr>
          <w:rFonts w:ascii="Times New Roman" w:eastAsia="Times New Roman" w:hAnsi="Times New Roman" w:cs="Times New Roman"/>
          <w:b/>
          <w:smallCaps/>
          <w:noProof/>
          <w:sz w:val="24"/>
          <w:szCs w:val="24"/>
        </w:rPr>
      </w:pPr>
      <w:r>
        <w:rPr>
          <w:rFonts w:ascii="Times New Roman" w:hAnsi="Times New Roman"/>
          <w:b/>
          <w:smallCaps/>
          <w:noProof/>
        </w:rPr>
        <w:t>2.</w:t>
      </w:r>
      <w:r>
        <w:rPr>
          <w:rFonts w:ascii="Times New Roman" w:hAnsi="Times New Roman"/>
          <w:b/>
          <w:smallCaps/>
          <w:noProof/>
        </w:rPr>
        <w:tab/>
        <w:t>Информация относно транспонирането на Директивата относно излезлите от употреба превозни средства</w:t>
      </w:r>
    </w:p>
    <w:p>
      <w:pPr>
        <w:spacing w:after="240"/>
        <w:rPr>
          <w:rFonts w:ascii="Times New Roman" w:hAnsi="Times New Roman" w:cs="Times New Roman"/>
          <w:noProof/>
          <w:sz w:val="24"/>
          <w:szCs w:val="24"/>
        </w:rPr>
      </w:pPr>
      <w:r>
        <w:rPr>
          <w:rFonts w:ascii="Times New Roman" w:hAnsi="Times New Roman"/>
          <w:noProof/>
        </w:rPr>
        <w:t>Счита се, че директивата е транспонирана по задоволителен начин във всички държави членки, като няма открити производства за установяване на нарушение.</w:t>
      </w:r>
    </w:p>
    <w:p>
      <w:pPr>
        <w:spacing w:after="240"/>
        <w:rPr>
          <w:rFonts w:ascii="Times New Roman" w:hAnsi="Times New Roman" w:cs="Times New Roman"/>
          <w:noProof/>
          <w:sz w:val="24"/>
          <w:szCs w:val="24"/>
        </w:rPr>
      </w:pPr>
      <w:r>
        <w:rPr>
          <w:rFonts w:ascii="Times New Roman" w:hAnsi="Times New Roman"/>
          <w:noProof/>
        </w:rPr>
        <w:t>Съгласно Директивата относно излезлите от употреба превозни средства производителите на автомобили и оборудване трябва да ограничат употребата на олово, живак, кадмий и шествалентен хром в материали и компоненти, пуснати на пазара след 1 юли 2003 г., като се вземат предвид изключенията, изброени в приложение II. Тези опасни вещества бяха драстично намалени чрез няколко изменения на посоченото приложение</w:t>
      </w:r>
      <w:r>
        <w:rPr>
          <w:rStyle w:val="FootnoteReference"/>
          <w:rFonts w:ascii="Times New Roman" w:hAnsi="Times New Roman"/>
          <w:noProof/>
        </w:rPr>
        <w:footnoteReference w:id="7"/>
      </w:r>
      <w:r>
        <w:rPr>
          <w:rFonts w:ascii="Times New Roman" w:hAnsi="Times New Roman"/>
          <w:noProof/>
        </w:rPr>
        <w:t xml:space="preserve">. Докато ограничението за използването на опасни вещества в превозните средства обикновено се транспонираше в законодателството, отнасящо се конкретно до излезлите от употреба превозни средства, разпоредбите за проектирането на автомобили с цел улесняване на повторната употреба и оползотворяването или интегрирането на рециклирани материали в нови превозни средства често се транспонираха в по-общо законодателство за отпадъците, включващо общи изисквания относно тези разпоредби за всички пазари. Добра практика в това отношение се прилага например в Австрия, където дружествата за събиране и оползотворяване на отпадъци са длъжни да влагат 0,5 % от оборота си в проекти за предотвратяване на отпадъци. В директивата също така се предвижда проектиране на превозните средства по начин, позволяващ тяхната повторна употреба и оползотворяване, както и поощряване на включването на  по-големи количества рециклирани материали в превозните средства. </w:t>
      </w:r>
    </w:p>
    <w:p>
      <w:pPr>
        <w:spacing w:after="240"/>
        <w:rPr>
          <w:rFonts w:ascii="Times New Roman" w:hAnsi="Times New Roman" w:cs="Times New Roman"/>
          <w:noProof/>
          <w:sz w:val="24"/>
          <w:szCs w:val="24"/>
        </w:rPr>
      </w:pPr>
      <w:r>
        <w:rPr>
          <w:rFonts w:ascii="Times New Roman" w:hAnsi="Times New Roman"/>
          <w:noProof/>
        </w:rPr>
        <w:t>Производителите, вносителите и дистрибуторите трябва да осигурят системи за събиране на излезлите от употреба превозни средства и, когато това е технически осъществимо, за събиране и на използваните части от ремонтирани леки автомобили. От производителите се изисква да покрият значителна част от разходите — а в определени случаи и всички разходи — по доставката на излезли от употреба превозни средства до центровете за третиране на отпадъци. Държавите членки обикновено транспонират тези изисквания по начин, който осигурява гъвкавост за икономическите оператори и възможност за прилагането на индивидуални или колективни схеми. В повечето държави членки обратното приемане е безплатно в съответствие с изискванията на директивата, с изключение на случаите, когато липсват основни компоненти или ако са добавени допълнителни отпадъци. Тъй като стойността на металния скрап и/или на другите компоненти, отстранени за рециклиране или повторна употреба, покрива почти изцяло разходите за събиране на превозните средства от крайните собственици, не се срещат съществени затруднение при изпълнението на това задължение.</w:t>
      </w:r>
    </w:p>
    <w:p>
      <w:pPr>
        <w:spacing w:after="240"/>
        <w:rPr>
          <w:rFonts w:ascii="Times New Roman" w:hAnsi="Times New Roman" w:cs="Times New Roman"/>
          <w:noProof/>
          <w:sz w:val="24"/>
          <w:szCs w:val="24"/>
        </w:rPr>
      </w:pPr>
      <w:r>
        <w:rPr>
          <w:rFonts w:ascii="Times New Roman" w:hAnsi="Times New Roman"/>
          <w:noProof/>
        </w:rPr>
        <w:t>Собствениците на излезли от употреба автомобили трябва да получат сертификат за унищожаване, за да прекратят регистрацията на  своето превозно средство. Всички държави членки докладваха, че са въвели национални системи за прекратяване на регистрацията, при които издаването на посочения сертификат е условие за прекратяване на регистрацията. Процедурите за прекратяване на регистрацията са от ключово значение, за да се гарантира, че излезлите от употреба превозни средства се прехвърлят в разрешени съоръжения за третиране и се ограничава техният незаконен износ като отпадъци. Малко под половината от държавите членки са въвели разпоредба, която позволява издаването на сертификати за унищожаване не само от разрешените съоръжения за третиране, но и от  производителите, търговците или дружествата, събиращи отпадъци. Въпреки че се приема, че всички държави членки разполагат със системи за прекратяване на регистрацията, през последните години е нараснал броят на излезлите от употреба превозни средства с неизвестно местонахождение (т.е. автомобили, които са с прекратена регистрация, но за които не е бил издаден сертификат за унищожаване, или по отношение на които органите не разполагат с такъв сертификат). Това показва недостатъчна ефективност при функционирането на националните системи за прекратяване на регистрацията.</w:t>
      </w:r>
    </w:p>
    <w:p>
      <w:pPr>
        <w:spacing w:after="240"/>
        <w:rPr>
          <w:rFonts w:ascii="Times New Roman" w:hAnsi="Times New Roman" w:cs="Times New Roman"/>
          <w:iCs/>
          <w:noProof/>
        </w:rPr>
      </w:pPr>
      <w:r>
        <w:rPr>
          <w:rFonts w:ascii="Times New Roman" w:hAnsi="Times New Roman"/>
          <w:noProof/>
        </w:rPr>
        <w:t xml:space="preserve">В Директивата относно излезлите от употреба превозни средства се съдържат разпоредби за гарантиране на правилното и своевременно третиране на излезлите от употреба превозни средства в съоръжения за третиране, които са получили разрешение от компетентните органи и които подлежат на проверки. Тези условия са въведени с цел намаляване на отрицателното въздействие върху околната среда и насърчаване на повторната употреба и рециклирането на компонентите на превозните средства. </w:t>
      </w:r>
      <w:r>
        <w:rPr>
          <w:rFonts w:ascii="Times New Roman" w:hAnsi="Times New Roman"/>
          <w:iCs/>
          <w:noProof/>
        </w:rPr>
        <w:t>Всички държави членки докладваха, че са транспонирали мерки в съответствие с изискванията на директивата в това отношение. Румъния и Финландия бяха единствените държави членки, които докладваха за въвеждането на несъществени промени в законодателството след последния период на докладване: в Румъния са били актуализирани разрешителните, необходими за обработване и разкомплектоване на излезлите от употреба автомобили, а във Финландия е бил приет държавен указ за излезлите от употреба автомобили (123/2015), с който се актуализират ограниченията на употребата на опасни вещества в превозните средства. По-голямата част от държавите не допускат дерогации от изискванията за разрешително за операции за оползотворяване на отпадъци от излезлите от употреба превозни средства, след като те са били третирани по подходящ начин в съответствие с директивата и подложени на годишна инспекция</w:t>
      </w:r>
      <w:r>
        <w:rPr>
          <w:rStyle w:val="FootnoteReference"/>
          <w:rFonts w:ascii="Times New Roman" w:hAnsi="Times New Roman"/>
          <w:iCs/>
          <w:noProof/>
        </w:rPr>
        <w:footnoteReference w:id="8"/>
      </w:r>
      <w:r>
        <w:rPr>
          <w:rFonts w:ascii="Times New Roman" w:hAnsi="Times New Roman"/>
          <w:iCs/>
          <w:noProof/>
        </w:rPr>
        <w:t xml:space="preserve">, като само в отговорите на Дания, Италия, Румъния и Обединеното кралство се посочва възможност за такива дерогации (това представлява промяна и по отношение на Румъния спрямо предишния период на докладване). </w:t>
      </w:r>
    </w:p>
    <w:p>
      <w:pPr>
        <w:spacing w:after="240"/>
        <w:rPr>
          <w:rFonts w:ascii="Times New Roman" w:hAnsi="Times New Roman" w:cs="Times New Roman"/>
          <w:noProof/>
        </w:rPr>
      </w:pPr>
      <w:r>
        <w:rPr>
          <w:rFonts w:ascii="Times New Roman" w:hAnsi="Times New Roman"/>
          <w:noProof/>
        </w:rPr>
        <w:t>От държавите членки се изисква да насърчават дейностите за повторна употреба и рециклиране, като в Директивата относно излезлите от употреба превозни средства се определят цели за повторна употреба, рециклиране и оползотворяване. До 1 януари 2015 г. държавите членки трябваше да постигнат следните цели (с крайни срокове съответно 2006 г. и 2015 г.):</w:t>
      </w:r>
    </w:p>
    <w:p>
      <w:pPr>
        <w:pStyle w:val="ListBullet"/>
        <w:numPr>
          <w:ilvl w:val="0"/>
          <w:numId w:val="5"/>
        </w:numPr>
        <w:tabs>
          <w:tab w:val="left" w:pos="357"/>
          <w:tab w:val="left" w:pos="720"/>
        </w:tabs>
        <w:spacing w:before="0" w:after="240"/>
        <w:rPr>
          <w:rFonts w:ascii="Times New Roman" w:hAnsi="Times New Roman" w:cs="Times New Roman"/>
          <w:noProof/>
          <w:sz w:val="22"/>
          <w:szCs w:val="22"/>
        </w:rPr>
      </w:pPr>
      <w:r>
        <w:rPr>
          <w:rFonts w:ascii="Times New Roman" w:hAnsi="Times New Roman"/>
          <w:noProof/>
          <w:sz w:val="22"/>
          <w:szCs w:val="22"/>
        </w:rPr>
        <w:t>95 % повторна употреба и оползотворяване (средно на превозно средство за година според теглото) и</w:t>
      </w:r>
    </w:p>
    <w:p>
      <w:pPr>
        <w:pStyle w:val="ListBullet"/>
        <w:numPr>
          <w:ilvl w:val="0"/>
          <w:numId w:val="5"/>
        </w:numPr>
        <w:tabs>
          <w:tab w:val="left" w:pos="357"/>
          <w:tab w:val="left" w:pos="720"/>
        </w:tabs>
        <w:spacing w:before="0" w:after="240"/>
        <w:rPr>
          <w:rFonts w:ascii="Times New Roman" w:hAnsi="Times New Roman" w:cs="Times New Roman"/>
          <w:noProof/>
          <w:sz w:val="22"/>
          <w:szCs w:val="22"/>
        </w:rPr>
      </w:pPr>
      <w:r>
        <w:rPr>
          <w:rFonts w:ascii="Times New Roman" w:hAnsi="Times New Roman"/>
          <w:noProof/>
          <w:sz w:val="22"/>
          <w:szCs w:val="22"/>
        </w:rPr>
        <w:t>85 % повторна употреба и рециклиране (средно на превозно средство за година според теглото).</w:t>
      </w:r>
    </w:p>
    <w:p>
      <w:pPr>
        <w:pStyle w:val="ListBullet"/>
        <w:numPr>
          <w:ilvl w:val="0"/>
          <w:numId w:val="0"/>
        </w:numPr>
        <w:tabs>
          <w:tab w:val="left" w:pos="357"/>
          <w:tab w:val="left" w:pos="720"/>
        </w:tabs>
        <w:spacing w:before="0" w:after="240"/>
        <w:ind w:left="720"/>
        <w:rPr>
          <w:rFonts w:ascii="Times New Roman" w:hAnsi="Times New Roman" w:cs="Times New Roman"/>
          <w:noProof/>
          <w:sz w:val="22"/>
          <w:szCs w:val="22"/>
        </w:rPr>
      </w:pPr>
    </w:p>
    <w:p>
      <w:pPr>
        <w:pStyle w:val="ListBullet"/>
        <w:numPr>
          <w:ilvl w:val="0"/>
          <w:numId w:val="0"/>
        </w:numPr>
        <w:tabs>
          <w:tab w:val="left" w:pos="357"/>
          <w:tab w:val="left" w:pos="720"/>
        </w:tabs>
        <w:spacing w:before="0" w:after="240"/>
        <w:rPr>
          <w:rFonts w:ascii="Times New Roman" w:hAnsi="Times New Roman" w:cs="Times New Roman"/>
          <w:iCs/>
          <w:noProof/>
          <w:sz w:val="22"/>
          <w:szCs w:val="22"/>
        </w:rPr>
      </w:pPr>
      <w:r>
        <w:rPr>
          <w:rFonts w:ascii="Times New Roman" w:hAnsi="Times New Roman"/>
          <w:noProof/>
          <w:sz w:val="22"/>
          <w:szCs w:val="22"/>
        </w:rPr>
        <w:t xml:space="preserve">През 2017 г. двете цели от 85 % и 95 % за рециклиране и оползотворяване бяха изпълнени от 14 държави членки. </w:t>
      </w:r>
      <w:r>
        <w:rPr>
          <w:rFonts w:ascii="Times New Roman" w:hAnsi="Times New Roman"/>
          <w:iCs/>
          <w:noProof/>
          <w:sz w:val="22"/>
          <w:szCs w:val="22"/>
        </w:rPr>
        <w:t>Постигането на целите е разгледано по-подробно в раздел 3.</w:t>
      </w:r>
    </w:p>
    <w:p>
      <w:pPr>
        <w:spacing w:after="240"/>
        <w:rPr>
          <w:rFonts w:ascii="Times New Roman" w:hAnsi="Times New Roman" w:cs="Times New Roman"/>
          <w:iCs/>
          <w:noProof/>
          <w:sz w:val="24"/>
          <w:szCs w:val="24"/>
        </w:rPr>
      </w:pPr>
      <w:r>
        <w:rPr>
          <w:rFonts w:ascii="Times New Roman" w:hAnsi="Times New Roman"/>
          <w:noProof/>
        </w:rPr>
        <w:t xml:space="preserve">Няколко държави членки съобщиха за иновативни мерки за насърчаване на повторната употреба и рециклирането. Така например регионалните органи в Италия са длъжни да приемат мерки, гарантиращи че поне 30 % от стоките и продуктите, които публичните органи (и дружествата, които са предимно публична собственост) потребяват всяка година, са произведени от рециклирани материали. Италианското законодателство изисква също така 20 % от резервните гуми, набавяни за автопарка на обществения транспорт, да бъдат от рециклирани материали. Във Франция са въведени изисквания за проследимост на разкомплектованите части за целите на повторната им употреба. </w:t>
      </w:r>
      <w:r>
        <w:rPr>
          <w:rFonts w:ascii="Times New Roman" w:hAnsi="Times New Roman"/>
          <w:iCs/>
          <w:noProof/>
        </w:rPr>
        <w:t>Управителите на съоръжения за разкомплектоване в Словения са длъжни преди раздробяването на разглобените превозни средства да отделят 10 % от общото тегло на годишно приетите излезли от употреба автомобили под формата на техни компоненти, материали и течности и да ги предоставят за повторна употреба или рециклиране.</w:t>
      </w:r>
    </w:p>
    <w:p>
      <w:pPr>
        <w:autoSpaceDE w:val="0"/>
        <w:autoSpaceDN w:val="0"/>
        <w:adjustRightInd w:val="0"/>
        <w:spacing w:after="240"/>
        <w:rPr>
          <w:rFonts w:ascii="Times New Roman" w:hAnsi="Times New Roman" w:cs="Times New Roman"/>
          <w:noProof/>
          <w:sz w:val="24"/>
          <w:szCs w:val="24"/>
        </w:rPr>
      </w:pPr>
      <w:r>
        <w:rPr>
          <w:rFonts w:ascii="Times New Roman" w:hAnsi="Times New Roman"/>
          <w:noProof/>
        </w:rPr>
        <w:t xml:space="preserve">Съгласно Директивата относно излезлите от употреба превозни средства производителите трябва да маркират (или кодират) компонентите и материалите в съответствие с определени стандарти, за да се улесни идентифицирането на компонентите и материалите, които са подходящи за повторна употреба и оползотворяване. </w:t>
      </w:r>
    </w:p>
    <w:p>
      <w:pPr>
        <w:spacing w:after="240"/>
        <w:rPr>
          <w:rFonts w:ascii="Times New Roman" w:hAnsi="Times New Roman" w:cs="Times New Roman"/>
          <w:noProof/>
          <w:sz w:val="24"/>
          <w:szCs w:val="24"/>
        </w:rPr>
      </w:pPr>
      <w:r>
        <w:rPr>
          <w:rFonts w:ascii="Times New Roman" w:hAnsi="Times New Roman"/>
          <w:noProof/>
        </w:rPr>
        <w:t xml:space="preserve">Почти всички държави членки докладват, че са транспонирали изцяло законодателството, в което се изисква производителите да използват стандарти за кодиране. Изключения са Дания, в чието законодателство не се посочват изрично стандарти за кодиране, и Гърция, в чийто доклад се посочва, че в страната няма автомобилопроизводство; в доклада на Чешката република беше посочено законодателство, което не беше достъпно за проверка от Комисията. </w:t>
      </w:r>
    </w:p>
    <w:p>
      <w:pPr>
        <w:spacing w:after="240"/>
        <w:rPr>
          <w:rFonts w:ascii="Times New Roman" w:hAnsi="Times New Roman" w:cs="Times New Roman"/>
          <w:noProof/>
          <w:sz w:val="24"/>
          <w:szCs w:val="24"/>
        </w:rPr>
      </w:pPr>
      <w:r>
        <w:rPr>
          <w:rFonts w:ascii="Times New Roman" w:hAnsi="Times New Roman"/>
          <w:noProof/>
        </w:rPr>
        <w:t>Производителите трябва също така да предоставят информация за разкомплектоването за всеки тип превозно средство в рамките на шест месеца от пускането му на пазара — например чрез наръчници или бази данни. Най-широкоразпространеният начин,  по който производителите могат да бъдат задължени да предоставят необходимата информация относно разкомплектоването, съхранението и изпитването, е чрез Международната информационна система за демонтаж (IDIS)</w:t>
      </w:r>
      <w:r>
        <w:rPr>
          <w:rStyle w:val="FootnoteReference"/>
          <w:rFonts w:ascii="Times New Roman" w:hAnsi="Times New Roman"/>
          <w:noProof/>
        </w:rPr>
        <w:footnoteReference w:id="9"/>
      </w:r>
      <w:r>
        <w:rPr>
          <w:rFonts w:ascii="Times New Roman" w:hAnsi="Times New Roman"/>
          <w:noProof/>
        </w:rPr>
        <w:t xml:space="preserve">. За използването на тази система докладваха 20 държави членки, като няколко държави посочиха, че използват и други национални мерки. </w:t>
      </w:r>
    </w:p>
    <w:p>
      <w:pPr>
        <w:spacing w:after="240"/>
        <w:rPr>
          <w:rFonts w:ascii="Times New Roman" w:hAnsi="Times New Roman" w:cs="Times New Roman"/>
          <w:noProof/>
          <w:sz w:val="24"/>
          <w:szCs w:val="24"/>
        </w:rPr>
      </w:pPr>
      <w:r>
        <w:rPr>
          <w:rFonts w:ascii="Times New Roman" w:hAnsi="Times New Roman"/>
          <w:noProof/>
        </w:rPr>
        <w:t>Всички държави членки са транспонирали законодателството, гарантиращо, че производителите предоставят информация за разкомплектоването за всеки тип ново превозно средство в рамките на шест месеца след пускането му на пазара.</w:t>
      </w:r>
    </w:p>
    <w:p>
      <w:pPr>
        <w:keepNext/>
        <w:tabs>
          <w:tab w:val="left" w:pos="850"/>
        </w:tabs>
        <w:spacing w:after="240" w:line="240" w:lineRule="auto"/>
        <w:ind w:left="850" w:hanging="850"/>
        <w:jc w:val="both"/>
        <w:outlineLvl w:val="0"/>
        <w:rPr>
          <w:rFonts w:ascii="Times New Roman" w:eastAsia="Times New Roman" w:hAnsi="Times New Roman" w:cs="Times New Roman"/>
          <w:b/>
          <w:smallCaps/>
          <w:noProof/>
          <w:sz w:val="24"/>
          <w:szCs w:val="24"/>
        </w:rPr>
      </w:pPr>
      <w:r>
        <w:rPr>
          <w:rFonts w:ascii="Times New Roman" w:hAnsi="Times New Roman"/>
          <w:b/>
          <w:smallCaps/>
          <w:noProof/>
        </w:rPr>
        <w:t>3.</w:t>
      </w:r>
      <w:r>
        <w:rPr>
          <w:rFonts w:ascii="Times New Roman" w:hAnsi="Times New Roman"/>
          <w:b/>
          <w:smallCaps/>
          <w:noProof/>
        </w:rPr>
        <w:tab/>
        <w:t>Информация относно прилагането на Директивата относно излезлите от употреба превозни средства</w:t>
      </w:r>
    </w:p>
    <w:p>
      <w:pPr>
        <w:spacing w:after="240"/>
        <w:rPr>
          <w:rFonts w:ascii="Times New Roman" w:hAnsi="Times New Roman" w:cs="Times New Roman"/>
          <w:noProof/>
          <w:sz w:val="24"/>
          <w:szCs w:val="24"/>
        </w:rPr>
      </w:pPr>
      <w:r>
        <w:rPr>
          <w:rFonts w:ascii="Times New Roman" w:hAnsi="Times New Roman"/>
          <w:noProof/>
        </w:rPr>
        <w:t>В националните доклади се представя информация и за начина на прилагане на редица разпоредби на Директивата относно излезлите от употреба превозни средства.</w:t>
      </w:r>
    </w:p>
    <w:p>
      <w:pPr>
        <w:spacing w:after="240"/>
        <w:rPr>
          <w:rFonts w:ascii="Times New Roman" w:hAnsi="Times New Roman" w:cs="Times New Roman"/>
          <w:noProof/>
          <w:sz w:val="24"/>
          <w:szCs w:val="24"/>
        </w:rPr>
      </w:pPr>
      <w:r>
        <w:rPr>
          <w:rFonts w:ascii="Times New Roman" w:hAnsi="Times New Roman"/>
          <w:noProof/>
        </w:rPr>
        <w:t xml:space="preserve">Сред значимите примери за въвеждането на мерки за предотвратяване на отпадъците е Ирландия — производителите в тази държава са длъжни да насърчават предотвратяването на отпадъци чрез набор от мерки, приложими към определени превозни средства. Тези мерки включват: ограничаване на използването на опасни вещества, като при проектирането на нови превозни средства се вземат предвид разкомплектоването, повторната употреба, оползотворяването и рециклирането в края на жизнения им цикъл, както и увеличаване на дела на рециклираните материали, използвани при производството на определени превозни средства.  </w:t>
      </w:r>
    </w:p>
    <w:p>
      <w:pPr>
        <w:spacing w:after="240"/>
        <w:rPr>
          <w:rFonts w:ascii="Times New Roman" w:hAnsi="Times New Roman" w:cs="Times New Roman"/>
          <w:noProof/>
          <w:sz w:val="24"/>
          <w:szCs w:val="24"/>
        </w:rPr>
      </w:pPr>
      <w:r>
        <w:rPr>
          <w:rFonts w:ascii="Times New Roman" w:hAnsi="Times New Roman"/>
          <w:noProof/>
        </w:rPr>
        <w:t>В Румъния се извършват предварителни оценки, за да се гарантира, че превозните средства отговарят на определени цели, а производителите на превозни средства са разработили нов стандарт за активиране посредством стандартизиран интерфейс за бордова диагностика.</w:t>
      </w:r>
    </w:p>
    <w:p>
      <w:pPr>
        <w:spacing w:after="240"/>
        <w:rPr>
          <w:rFonts w:ascii="Times New Roman" w:hAnsi="Times New Roman" w:cs="Times New Roman"/>
          <w:noProof/>
          <w:sz w:val="24"/>
          <w:szCs w:val="24"/>
        </w:rPr>
      </w:pPr>
      <w:r>
        <w:rPr>
          <w:rFonts w:ascii="Times New Roman" w:hAnsi="Times New Roman"/>
          <w:noProof/>
        </w:rPr>
        <w:t>Броят на държавите членки, които могат да представят подробни данни за количеството рециклирани материали, използвани при производството на превозни средства, е ограничен. Интерес представлява информацията, изпратена от полските компетентни органи, според която въпреки използването на рециклирани пластмаси оползотворените пластмаси трябва да бъдат подлагани на специфичен процес на почистване, преди да могат да бъдат използвани в производството на превозни средства. В допълнение към това в доклада на Румъния се отбелязва, че най-често използваният рециклиран пластмасов материал за части на превозни средства е пропиленът и че рециклираната пластмаса представлява над 10 % от общата маса на пластмасата, използвана в превозните средства, произведени на територията на страната.</w:t>
      </w:r>
    </w:p>
    <w:p>
      <w:pPr>
        <w:spacing w:after="240"/>
        <w:rPr>
          <w:rFonts w:ascii="Times New Roman" w:hAnsi="Times New Roman" w:cs="Times New Roman"/>
          <w:noProof/>
          <w:sz w:val="24"/>
          <w:szCs w:val="24"/>
        </w:rPr>
      </w:pPr>
      <w:r>
        <w:rPr>
          <w:rFonts w:ascii="Times New Roman" w:hAnsi="Times New Roman"/>
          <w:noProof/>
        </w:rPr>
        <w:t xml:space="preserve">При повечето държави членки се наблюдава увеличение на броя на разрешените съоръжения за третиране, функциониращи на техните територии. Въпреки че три държави (Белгия, Унгария и Латвия) не предоставиха данни за броя на разрешените съоръжения за третиране за периода 2015—2017 г., ако се приеме, че броят в тези държави е останал същият като докладвания за предишния период, тогава общият брой на тези съоръжения в ЕС-28 се е увеличил от 12 589 през периода 2012—2014 г. до 14 173 през периода 2015—2017 г. </w:t>
      </w:r>
    </w:p>
    <w:p>
      <w:pPr>
        <w:autoSpaceDE w:val="0"/>
        <w:autoSpaceDN w:val="0"/>
        <w:adjustRightInd w:val="0"/>
        <w:spacing w:after="240"/>
        <w:rPr>
          <w:rFonts w:ascii="Times New Roman" w:hAnsi="Times New Roman" w:cs="Times New Roman"/>
          <w:noProof/>
          <w:sz w:val="24"/>
          <w:szCs w:val="24"/>
        </w:rPr>
      </w:pPr>
      <w:r>
        <w:rPr>
          <w:rFonts w:ascii="Times New Roman" w:hAnsi="Times New Roman"/>
          <w:noProof/>
        </w:rPr>
        <w:t>Осемнадесет държави членки съобщиха, че на тяхна територия има съоръжения за третиране със сертифицирана система за управление по околна среда. В рамките на ЕС-28 делът на съоръженията за третиране с такава система се е увеличил от 1,9 % през периода 2012—2014 г. до 3,73 % през периода 2015—2017 г. Белгия е пример за добра практика, тъй като всички разположени във Фландрия и Валония центрове за премахване на замърсяването, разкомплектоване и унищожаване на излезли от употреба превозни средства разполагат със система за грижа за околната среда в съответствие със законодателство, в което се предвижда, че тези центрове трябва да представят годишен доклад на компетентните органи, съдържащ резултатите от прегледа на дейността на дружеството от независима институция за проверка, като евентуална отрицателна оценка може да доведе до оттегляне на одобрението.</w:t>
      </w:r>
    </w:p>
    <w:p>
      <w:pPr>
        <w:autoSpaceDE w:val="0"/>
        <w:autoSpaceDN w:val="0"/>
        <w:adjustRightInd w:val="0"/>
        <w:rPr>
          <w:rFonts w:ascii="Times New Roman" w:hAnsi="Times New Roman" w:cs="Times New Roman"/>
          <w:noProof/>
          <w:sz w:val="24"/>
          <w:szCs w:val="24"/>
        </w:rPr>
      </w:pPr>
      <w:r>
        <w:rPr>
          <w:rFonts w:ascii="Times New Roman" w:hAnsi="Times New Roman"/>
          <w:noProof/>
        </w:rPr>
        <w:t>Само 10 държави членки успяха да предоставят конкретна информация за броя на излезлите от употреба превозни средства с нулева или с отрицателна пазарна стойност, предадени в разрешени съоръжения за третиране, като отговорите на пет държави са частични. Третирането на излезлите от употреба превозни средства с отрицателна стойност е важно за намаляване на депонирането на отпадъци. Тринадесет държави членки обаче не бяха в състояние да представят отговор поради липса на регистрирани данни във връзка с този въпрос. Сред държавите членки, които изпратиха окончателна информация, в седем случая (Естония, Ирландия, Испания, Италия, Кипър, Португалия и Финландия) това се дължи на факта, че не е имало превозни средства с нулева или с отрицателна пазарна стойност; с други думи, във всички случаи в тези държави излезлите от употреба превозни средства все още са имали положителна пазарна стойност. В доклада на Гърция се посочва, че всички излезли от употреба превозни средства, доставени на разрешени съоръжения за третиране, са с нулева пазарна стойност. Не е ясно обаче как се отчита положителната стойност на металния скрап дори ако излезлите от употреба превозни средства нямат стойност на пазара на автомобили втора употреба. Количествени стойности бяха докладвани единствено от Литва и Малта.</w:t>
      </w:r>
    </w:p>
    <w:p>
      <w:pPr>
        <w:autoSpaceDE w:val="0"/>
        <w:autoSpaceDN w:val="0"/>
        <w:adjustRightInd w:val="0"/>
        <w:rPr>
          <w:rFonts w:ascii="Times New Roman" w:hAnsi="Times New Roman" w:cs="Times New Roman"/>
          <w:noProof/>
          <w:sz w:val="24"/>
          <w:szCs w:val="24"/>
        </w:rPr>
      </w:pPr>
      <w:r>
        <w:rPr>
          <w:rFonts w:ascii="Times New Roman" w:hAnsi="Times New Roman"/>
          <w:noProof/>
        </w:rPr>
        <w:t>Данните за постигнатата степен на повторна употреба и рециклиране и на повторна употреба и оползотворяване са показани на</w:t>
      </w:r>
      <w:r>
        <w:rPr>
          <w:noProof/>
        </w:rPr>
        <w:t xml:space="preserve"> </w:t>
      </w:r>
      <w:r>
        <w:rPr>
          <w:rFonts w:ascii="Times New Roman" w:hAnsi="Times New Roman" w:cs="Times New Roman"/>
          <w:noProof/>
        </w:rPr>
        <w:fldChar w:fldCharType="begin"/>
      </w:r>
      <w:r>
        <w:rPr>
          <w:rFonts w:ascii="Times New Roman" w:hAnsi="Times New Roman" w:cs="Times New Roman"/>
          <w:noProof/>
        </w:rPr>
        <w:instrText xml:space="preserve"> REF _Ref12279265 \h  \* MERGEFORMAT </w:instrText>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rPr>
        <w:t>фигура 1</w:t>
      </w:r>
      <w:r>
        <w:rPr>
          <w:rFonts w:ascii="Times New Roman" w:hAnsi="Times New Roman" w:cs="Times New Roman"/>
          <w:noProof/>
        </w:rPr>
        <w:fldChar w:fldCharType="end"/>
      </w:r>
      <w:r>
        <w:rPr>
          <w:noProof/>
        </w:rPr>
        <w:t xml:space="preserve"> </w:t>
      </w:r>
      <w:r>
        <w:rPr>
          <w:rFonts w:ascii="Times New Roman" w:hAnsi="Times New Roman"/>
          <w:noProof/>
        </w:rPr>
        <w:t>и фигура 2. Те са събрани от Евростат въз основа на годишните доклади, които държавите членки са длъжни да представят във връзка с целите, свързани с излезлите от употреба превозни средства, в контекста на изискването за докладване съгласно решението на Комисията относно подробните правила за мониторинг на спазването на директивата</w:t>
      </w:r>
      <w:r>
        <w:rPr>
          <w:rStyle w:val="FootnoteReference"/>
          <w:rFonts w:ascii="Times New Roman" w:hAnsi="Times New Roman"/>
          <w:noProof/>
        </w:rPr>
        <w:footnoteReference w:id="10"/>
      </w:r>
      <w:r>
        <w:rPr>
          <w:rFonts w:ascii="Times New Roman" w:hAnsi="Times New Roman"/>
          <w:noProof/>
        </w:rPr>
        <w:t>.</w:t>
      </w:r>
    </w:p>
    <w:p>
      <w:pPr>
        <w:autoSpaceDE w:val="0"/>
        <w:autoSpaceDN w:val="0"/>
        <w:adjustRightInd w:val="0"/>
        <w:spacing w:after="240"/>
        <w:rPr>
          <w:rFonts w:ascii="Times New Roman" w:hAnsi="Times New Roman" w:cs="Times New Roman"/>
          <w:noProof/>
          <w:sz w:val="24"/>
          <w:szCs w:val="24"/>
        </w:rPr>
      </w:pPr>
      <w:r>
        <w:rPr>
          <w:rFonts w:ascii="Times New Roman" w:hAnsi="Times New Roman"/>
          <w:noProof/>
        </w:rPr>
        <w:t>Към 2017 г. 20 държави членки бяха изпълнили целта за минимална повторна употреба и рециклиране на 85 % от средното тегло на превозно средство и за година, две държави членки не бяха постигнали целите, въпреки че са близо до постигането им, а за шест държави членки не бяха налични данни. Средната степен на повторна употреба и рециклиране за ЕС-28 като цяло беше 89 % или четири процентни пункта над целта.</w:t>
      </w:r>
    </w:p>
    <w:p>
      <w:pPr>
        <w:autoSpaceDE w:val="0"/>
        <w:autoSpaceDN w:val="0"/>
        <w:adjustRightInd w:val="0"/>
        <w:spacing w:after="240"/>
        <w:rPr>
          <w:rFonts w:ascii="Times New Roman" w:hAnsi="Times New Roman" w:cs="Times New Roman"/>
          <w:noProof/>
          <w:sz w:val="24"/>
          <w:szCs w:val="24"/>
        </w:rPr>
      </w:pPr>
      <w:r>
        <w:rPr>
          <w:rFonts w:ascii="Times New Roman" w:hAnsi="Times New Roman"/>
          <w:noProof/>
        </w:rPr>
        <w:t>Фигура</w:t>
      </w:r>
      <w:r>
        <w:rPr>
          <w:noProof/>
        </w:rPr>
        <w:t> </w:t>
      </w:r>
      <w:r>
        <w:rPr>
          <w:rFonts w:ascii="Times New Roman" w:hAnsi="Times New Roman" w:cs="Times New Roman"/>
          <w:noProof/>
        </w:rPr>
        <w:fldChar w:fldCharType="begin"/>
      </w:r>
      <w:r>
        <w:rPr>
          <w:rFonts w:ascii="Times New Roman" w:hAnsi="Times New Roman" w:cs="Times New Roman"/>
          <w:noProof/>
        </w:rPr>
        <w:instrText xml:space="preserve"> SEQ Figure \* ARABIC </w:instrText>
      </w:r>
      <w:r>
        <w:rPr>
          <w:rFonts w:ascii="Times New Roman" w:hAnsi="Times New Roman" w:cs="Times New Roman"/>
          <w:noProof/>
        </w:rPr>
        <w:fldChar w:fldCharType="separate"/>
      </w:r>
      <w:r>
        <w:rPr>
          <w:rFonts w:ascii="Times New Roman" w:hAnsi="Times New Roman" w:cs="Times New Roman"/>
          <w:noProof/>
        </w:rPr>
        <w:t>1</w:t>
      </w:r>
      <w:r>
        <w:rPr>
          <w:rFonts w:ascii="Times New Roman" w:hAnsi="Times New Roman" w:cs="Times New Roman"/>
          <w:noProof/>
        </w:rPr>
        <w:fldChar w:fldCharType="end"/>
      </w:r>
      <w:r>
        <w:rPr>
          <w:noProof/>
        </w:rPr>
        <w:t>:</w:t>
      </w:r>
      <w:r>
        <w:rPr>
          <w:rFonts w:ascii="Times New Roman" w:hAnsi="Times New Roman"/>
          <w:noProof/>
        </w:rPr>
        <w:t xml:space="preserve"> Степен на повторна употреба и рециклиране на излезли от употреба превозни средства (в %)</w:t>
      </w:r>
      <w:r>
        <w:rPr>
          <w:rStyle w:val="FootnoteReference"/>
          <w:rFonts w:ascii="Times New Roman" w:hAnsi="Times New Roman"/>
          <w:noProof/>
        </w:rPr>
        <w:footnoteReference w:id="11"/>
      </w:r>
    </w:p>
    <w:tbl>
      <w:tblPr>
        <w:tblW w:w="8318" w:type="dxa"/>
        <w:tblInd w:w="113" w:type="dxa"/>
        <w:tblLook w:val="04A0" w:firstRow="1" w:lastRow="0" w:firstColumn="1" w:lastColumn="0" w:noHBand="0" w:noVBand="1"/>
      </w:tblPr>
      <w:tblGrid>
        <w:gridCol w:w="1838"/>
        <w:gridCol w:w="1080"/>
        <w:gridCol w:w="1080"/>
        <w:gridCol w:w="1080"/>
        <w:gridCol w:w="1080"/>
        <w:gridCol w:w="1080"/>
        <w:gridCol w:w="1080"/>
      </w:tblGrid>
      <w:tr>
        <w:trPr>
          <w:trHeight w:val="285"/>
        </w:trPr>
        <w:tc>
          <w:tcPr>
            <w:tcW w:w="1838" w:type="dxa"/>
            <w:tcBorders>
              <w:top w:val="single" w:sz="4" w:space="0" w:color="000000"/>
              <w:left w:val="single" w:sz="4" w:space="0" w:color="000000"/>
              <w:bottom w:val="single" w:sz="4" w:space="0" w:color="000000"/>
              <w:right w:val="single" w:sz="4" w:space="0" w:color="000000"/>
            </w:tcBorders>
            <w:shd w:val="clear" w:color="000000" w:fill="99CCFF"/>
            <w:noWrap/>
            <w:vAlign w:val="bottom"/>
            <w:hideMark/>
          </w:tcPr>
          <w:p>
            <w:pPr>
              <w:spacing w:after="240" w:line="240" w:lineRule="auto"/>
              <w:rPr>
                <w:rFonts w:ascii="Arial" w:eastAsia="Times New Roman" w:hAnsi="Arial" w:cs="Arial"/>
                <w:noProof/>
                <w:sz w:val="20"/>
                <w:szCs w:val="20"/>
              </w:rPr>
            </w:pPr>
            <w:r>
              <w:rPr>
                <w:noProof/>
              </w:rPr>
              <w:tab/>
            </w:r>
          </w:p>
        </w:tc>
        <w:tc>
          <w:tcPr>
            <w:tcW w:w="1080" w:type="dxa"/>
            <w:tcBorders>
              <w:top w:val="single" w:sz="4" w:space="0" w:color="000000"/>
              <w:left w:val="nil"/>
              <w:bottom w:val="single" w:sz="4" w:space="0" w:color="000000"/>
              <w:right w:val="single" w:sz="4" w:space="0" w:color="000000"/>
            </w:tcBorders>
            <w:shd w:val="clear" w:color="000000" w:fill="99CCFF"/>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2012 г.</w:t>
            </w:r>
          </w:p>
        </w:tc>
        <w:tc>
          <w:tcPr>
            <w:tcW w:w="1080" w:type="dxa"/>
            <w:tcBorders>
              <w:top w:val="single" w:sz="4" w:space="0" w:color="000000"/>
              <w:left w:val="nil"/>
              <w:bottom w:val="single" w:sz="4" w:space="0" w:color="000000"/>
              <w:right w:val="single" w:sz="4" w:space="0" w:color="000000"/>
            </w:tcBorders>
            <w:shd w:val="clear" w:color="000000" w:fill="99CCFF"/>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2013 г.</w:t>
            </w:r>
          </w:p>
        </w:tc>
        <w:tc>
          <w:tcPr>
            <w:tcW w:w="1080" w:type="dxa"/>
            <w:tcBorders>
              <w:top w:val="single" w:sz="4" w:space="0" w:color="000000"/>
              <w:left w:val="nil"/>
              <w:bottom w:val="single" w:sz="4" w:space="0" w:color="000000"/>
              <w:right w:val="single" w:sz="4" w:space="0" w:color="000000"/>
            </w:tcBorders>
            <w:shd w:val="clear" w:color="000000" w:fill="99CCFF"/>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2014 г.</w:t>
            </w:r>
          </w:p>
        </w:tc>
        <w:tc>
          <w:tcPr>
            <w:tcW w:w="1080" w:type="dxa"/>
            <w:tcBorders>
              <w:top w:val="single" w:sz="4" w:space="0" w:color="000000"/>
              <w:left w:val="nil"/>
              <w:bottom w:val="single" w:sz="4" w:space="0" w:color="000000"/>
              <w:right w:val="single" w:sz="4" w:space="0" w:color="000000"/>
            </w:tcBorders>
            <w:shd w:val="clear" w:color="000000" w:fill="99CCFF"/>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2015 г.</w:t>
            </w:r>
          </w:p>
        </w:tc>
        <w:tc>
          <w:tcPr>
            <w:tcW w:w="1080" w:type="dxa"/>
            <w:tcBorders>
              <w:top w:val="single" w:sz="4" w:space="0" w:color="000000"/>
              <w:left w:val="nil"/>
              <w:bottom w:val="single" w:sz="4" w:space="0" w:color="000000"/>
              <w:right w:val="single" w:sz="4" w:space="0" w:color="000000"/>
            </w:tcBorders>
            <w:shd w:val="clear" w:color="000000" w:fill="99CCFF"/>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2016 г.</w:t>
            </w:r>
          </w:p>
        </w:tc>
        <w:tc>
          <w:tcPr>
            <w:tcW w:w="1080" w:type="dxa"/>
            <w:tcBorders>
              <w:top w:val="single" w:sz="4" w:space="0" w:color="000000"/>
              <w:left w:val="nil"/>
              <w:bottom w:val="single" w:sz="4" w:space="0" w:color="000000"/>
              <w:right w:val="single" w:sz="4" w:space="0" w:color="000000"/>
            </w:tcBorders>
            <w:shd w:val="clear" w:color="000000" w:fill="99CCFF"/>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2017 г.</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Белгия</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88,7</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88,2</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89,2</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91,3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92,1</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93,2</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България</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89,5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93,2</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94,1</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94,4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94,6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97,6</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Чехия</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80,3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80,3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80,3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90,2</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90,3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91,9</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tcPr>
          <w:p>
            <w:pPr>
              <w:spacing w:after="0" w:line="240" w:lineRule="auto"/>
              <w:rPr>
                <w:rFonts w:ascii="Arial" w:eastAsia="Times New Roman" w:hAnsi="Arial" w:cs="Arial"/>
                <w:noProof/>
                <w:sz w:val="20"/>
                <w:szCs w:val="20"/>
              </w:rPr>
            </w:pPr>
            <w:r>
              <w:rPr>
                <w:rFonts w:ascii="Arial" w:hAnsi="Arial"/>
                <w:noProof/>
                <w:sz w:val="20"/>
                <w:szCs w:val="20"/>
              </w:rPr>
              <w:t>Хърватия</w:t>
            </w:r>
          </w:p>
        </w:tc>
        <w:tc>
          <w:tcPr>
            <w:tcW w:w="1080" w:type="dxa"/>
            <w:tcBorders>
              <w:top w:val="nil"/>
              <w:left w:val="nil"/>
              <w:bottom w:val="single" w:sz="4" w:space="0" w:color="000000"/>
              <w:right w:val="single" w:sz="4" w:space="0" w:color="000000"/>
            </w:tcBorders>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97,2</w:t>
            </w:r>
          </w:p>
        </w:tc>
        <w:tc>
          <w:tcPr>
            <w:tcW w:w="1080" w:type="dxa"/>
            <w:tcBorders>
              <w:top w:val="nil"/>
              <w:left w:val="nil"/>
              <w:bottom w:val="single" w:sz="4" w:space="0" w:color="000000"/>
              <w:right w:val="single" w:sz="4" w:space="0" w:color="000000"/>
            </w:tcBorders>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100</w:t>
            </w:r>
          </w:p>
        </w:tc>
        <w:tc>
          <w:tcPr>
            <w:tcW w:w="1080" w:type="dxa"/>
            <w:tcBorders>
              <w:top w:val="nil"/>
              <w:left w:val="nil"/>
              <w:bottom w:val="single" w:sz="4" w:space="0" w:color="000000"/>
              <w:right w:val="single" w:sz="4" w:space="0" w:color="000000"/>
            </w:tcBorders>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89,5</w:t>
            </w:r>
          </w:p>
        </w:tc>
        <w:tc>
          <w:tcPr>
            <w:tcW w:w="1080" w:type="dxa"/>
            <w:tcBorders>
              <w:top w:val="nil"/>
              <w:left w:val="nil"/>
              <w:bottom w:val="single" w:sz="4" w:space="0" w:color="000000"/>
              <w:right w:val="single" w:sz="4" w:space="0" w:color="000000"/>
            </w:tcBorders>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92,8</w:t>
            </w:r>
          </w:p>
        </w:tc>
        <w:tc>
          <w:tcPr>
            <w:tcW w:w="1080" w:type="dxa"/>
            <w:tcBorders>
              <w:top w:val="nil"/>
              <w:left w:val="nil"/>
              <w:bottom w:val="single" w:sz="4" w:space="0" w:color="000000"/>
              <w:right w:val="single" w:sz="4" w:space="0" w:color="000000"/>
            </w:tcBorders>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93,9</w:t>
            </w:r>
          </w:p>
        </w:tc>
        <w:tc>
          <w:tcPr>
            <w:tcW w:w="1080" w:type="dxa"/>
            <w:tcBorders>
              <w:top w:val="nil"/>
              <w:left w:val="nil"/>
              <w:bottom w:val="single" w:sz="4" w:space="0" w:color="000000"/>
              <w:right w:val="single" w:sz="4" w:space="0" w:color="000000"/>
            </w:tcBorders>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99,3</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Дания</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92,4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86,6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91,2</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88,8</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91,5</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 xml:space="preserve">Германия </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92,3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89,8</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89,5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87,7</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89,3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89,5</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Естония</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80,9</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77,7</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87</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85,8</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85,9</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Ирландия</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81,8</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80,4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82,1</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83,3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85,9</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Гърция</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82,8</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88,8</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80,4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64,5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100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91,9</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Испания</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83,6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84,3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85,4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85,8</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Франция</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82,4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85,3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85,9</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87,5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86,9</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87,4</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Италия</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80,8</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82,2</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83,4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84,6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82,5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Кипър</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84,7</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84,3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87,7</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89,1</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90,3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Латвия</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97,6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92,4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92,2</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86,6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94,3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84</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Литва</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89,2</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92,1</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93,5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94,6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94,9</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94,8</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Люксембург</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87</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87</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94,3</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tcPr>
          <w:p>
            <w:pPr>
              <w:spacing w:after="0" w:line="240" w:lineRule="auto"/>
              <w:rPr>
                <w:rFonts w:ascii="Arial" w:eastAsia="Times New Roman" w:hAnsi="Arial" w:cs="Arial"/>
                <w:noProof/>
                <w:sz w:val="20"/>
                <w:szCs w:val="20"/>
              </w:rPr>
            </w:pPr>
            <w:r>
              <w:rPr>
                <w:rFonts w:ascii="Arial" w:hAnsi="Arial"/>
                <w:noProof/>
                <w:sz w:val="20"/>
                <w:szCs w:val="20"/>
              </w:rPr>
              <w:t>Малта</w:t>
            </w:r>
          </w:p>
        </w:tc>
        <w:tc>
          <w:tcPr>
            <w:tcW w:w="1080" w:type="dxa"/>
            <w:tcBorders>
              <w:top w:val="nil"/>
              <w:left w:val="nil"/>
              <w:bottom w:val="single" w:sz="4" w:space="0" w:color="000000"/>
              <w:right w:val="single" w:sz="4" w:space="0" w:color="000000"/>
            </w:tcBorders>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95,8</w:t>
            </w:r>
          </w:p>
        </w:tc>
        <w:tc>
          <w:tcPr>
            <w:tcW w:w="1080" w:type="dxa"/>
            <w:tcBorders>
              <w:top w:val="nil"/>
              <w:left w:val="nil"/>
              <w:bottom w:val="single" w:sz="4" w:space="0" w:color="000000"/>
              <w:right w:val="single" w:sz="4" w:space="0" w:color="000000"/>
            </w:tcBorders>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91,9</w:t>
            </w:r>
          </w:p>
        </w:tc>
        <w:tc>
          <w:tcPr>
            <w:tcW w:w="1080" w:type="dxa"/>
            <w:tcBorders>
              <w:top w:val="nil"/>
              <w:left w:val="nil"/>
              <w:bottom w:val="single" w:sz="4" w:space="0" w:color="000000"/>
              <w:right w:val="single" w:sz="4" w:space="0" w:color="000000"/>
            </w:tcBorders>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45</w:t>
            </w:r>
          </w:p>
        </w:tc>
        <w:tc>
          <w:tcPr>
            <w:tcW w:w="1080" w:type="dxa"/>
            <w:tcBorders>
              <w:top w:val="nil"/>
              <w:left w:val="nil"/>
              <w:bottom w:val="single" w:sz="4" w:space="0" w:color="000000"/>
              <w:right w:val="single" w:sz="4" w:space="0" w:color="000000"/>
            </w:tcBorders>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77,7</w:t>
            </w:r>
          </w:p>
        </w:tc>
        <w:tc>
          <w:tcPr>
            <w:tcW w:w="1080" w:type="dxa"/>
            <w:tcBorders>
              <w:top w:val="nil"/>
              <w:left w:val="nil"/>
              <w:bottom w:val="single" w:sz="4" w:space="0" w:color="000000"/>
              <w:right w:val="single" w:sz="4" w:space="0" w:color="000000"/>
            </w:tcBorders>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54,4</w:t>
            </w:r>
          </w:p>
        </w:tc>
        <w:tc>
          <w:tcPr>
            <w:tcW w:w="1080" w:type="dxa"/>
            <w:tcBorders>
              <w:top w:val="nil"/>
              <w:left w:val="nil"/>
              <w:bottom w:val="single" w:sz="4" w:space="0" w:color="000000"/>
              <w:right w:val="single" w:sz="4" w:space="0" w:color="000000"/>
            </w:tcBorders>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Унгария</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84,4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90,7</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90,3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94,6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95,4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95,5</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Нидерландия</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83,7</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86,1</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87,7</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88,9</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Австрия</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83,4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85,8</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86,9</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87,2</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86,6</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Полша</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90,4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88,6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85,5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94,7</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94,3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95,7</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Португалия</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82,7</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82,9</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83,8</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83,5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85,2</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Румъния</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83,8</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84,1</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85,1</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Словения</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100</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85,9</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Словакия</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89,9</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92,5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94,8</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88,4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96,1</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95,7</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Финландия</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82,5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82,5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82,8</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82,8</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82,8</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82,8</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Швеция</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84,6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84,4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84,6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86,7</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88,2</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Обединено кралство</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84,1</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85,5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86,9</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87,3</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86,4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86,5</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tcPr>
          <w:p>
            <w:pPr>
              <w:spacing w:after="0" w:line="240" w:lineRule="auto"/>
              <w:rPr>
                <w:rFonts w:ascii="Arial" w:eastAsia="Times New Roman" w:hAnsi="Arial" w:cs="Arial"/>
                <w:noProof/>
                <w:sz w:val="20"/>
                <w:szCs w:val="20"/>
              </w:rPr>
            </w:pPr>
            <w:r>
              <w:rPr>
                <w:rFonts w:ascii="Arial" w:hAnsi="Arial"/>
                <w:noProof/>
                <w:sz w:val="20"/>
                <w:szCs w:val="20"/>
              </w:rPr>
              <w:t>Исландия</w:t>
            </w:r>
          </w:p>
        </w:tc>
        <w:tc>
          <w:tcPr>
            <w:tcW w:w="1080" w:type="dxa"/>
            <w:tcBorders>
              <w:top w:val="nil"/>
              <w:left w:val="nil"/>
              <w:bottom w:val="single" w:sz="4" w:space="0" w:color="000000"/>
              <w:right w:val="single" w:sz="4" w:space="0" w:color="000000"/>
            </w:tcBorders>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100</w:t>
            </w:r>
          </w:p>
        </w:tc>
        <w:tc>
          <w:tcPr>
            <w:tcW w:w="1080" w:type="dxa"/>
            <w:tcBorders>
              <w:top w:val="nil"/>
              <w:left w:val="nil"/>
              <w:bottom w:val="single" w:sz="4" w:space="0" w:color="000000"/>
              <w:right w:val="single" w:sz="4" w:space="0" w:color="000000"/>
            </w:tcBorders>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99,6</w:t>
            </w:r>
          </w:p>
        </w:tc>
        <w:tc>
          <w:tcPr>
            <w:tcW w:w="1080" w:type="dxa"/>
            <w:tcBorders>
              <w:top w:val="nil"/>
              <w:left w:val="nil"/>
              <w:bottom w:val="single" w:sz="4" w:space="0" w:color="000000"/>
              <w:right w:val="single" w:sz="4" w:space="0" w:color="000000"/>
            </w:tcBorders>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97,7</w:t>
            </w:r>
          </w:p>
        </w:tc>
        <w:tc>
          <w:tcPr>
            <w:tcW w:w="1080" w:type="dxa"/>
            <w:tcBorders>
              <w:top w:val="nil"/>
              <w:left w:val="nil"/>
              <w:bottom w:val="single" w:sz="4" w:space="0" w:color="000000"/>
              <w:right w:val="single" w:sz="4" w:space="0" w:color="000000"/>
            </w:tcBorders>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98,5</w:t>
            </w:r>
          </w:p>
        </w:tc>
        <w:tc>
          <w:tcPr>
            <w:tcW w:w="1080" w:type="dxa"/>
            <w:tcBorders>
              <w:top w:val="nil"/>
              <w:left w:val="nil"/>
              <w:bottom w:val="single" w:sz="4" w:space="0" w:color="000000"/>
              <w:right w:val="single" w:sz="4" w:space="0" w:color="000000"/>
            </w:tcBorders>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96,8</w:t>
            </w:r>
          </w:p>
        </w:tc>
        <w:tc>
          <w:tcPr>
            <w:tcW w:w="1080" w:type="dxa"/>
            <w:tcBorders>
              <w:top w:val="nil"/>
              <w:left w:val="nil"/>
              <w:bottom w:val="single" w:sz="4" w:space="0" w:color="000000"/>
              <w:right w:val="single" w:sz="4" w:space="0" w:color="000000"/>
            </w:tcBorders>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Лихтенщайн</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77,2</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78,2</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78,7</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80,5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75,6</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75,1</w:t>
            </w:r>
          </w:p>
        </w:tc>
      </w:tr>
      <w:tr>
        <w:trPr>
          <w:trHeight w:val="285"/>
        </w:trPr>
        <w:tc>
          <w:tcPr>
            <w:tcW w:w="1838" w:type="dxa"/>
            <w:tcBorders>
              <w:top w:val="nil"/>
              <w:left w:val="single" w:sz="4" w:space="0" w:color="000000"/>
              <w:bottom w:val="single" w:sz="4" w:space="0" w:color="000000"/>
              <w:right w:val="single" w:sz="4" w:space="0" w:color="000000"/>
            </w:tcBorders>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Норвегия</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75,5</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75,4</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82,9</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85,2</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85,2</w:t>
            </w:r>
          </w:p>
        </w:tc>
        <w:tc>
          <w:tcPr>
            <w:tcW w:w="1080" w:type="dxa"/>
            <w:tcBorders>
              <w:top w:val="nil"/>
              <w:left w:val="nil"/>
              <w:bottom w:val="single" w:sz="4" w:space="0" w:color="000000"/>
              <w:right w:val="single" w:sz="4" w:space="0" w:color="000000"/>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w:t>
            </w:r>
          </w:p>
        </w:tc>
      </w:tr>
    </w:tbl>
    <w:p>
      <w:pPr>
        <w:pStyle w:val="Caption"/>
        <w:spacing w:before="240" w:after="240"/>
        <w:jc w:val="left"/>
        <w:rPr>
          <w:noProof/>
        </w:rPr>
      </w:pPr>
      <w:r>
        <w:rPr>
          <w:noProof/>
        </w:rPr>
        <w:t>Фигура </w:t>
      </w:r>
      <w:r>
        <w:rPr>
          <w:noProof/>
        </w:rPr>
        <w:fldChar w:fldCharType="begin"/>
      </w:r>
      <w:r>
        <w:rPr>
          <w:noProof/>
        </w:rPr>
        <w:instrText xml:space="preserve"> SEQ Figure \* ARABIC </w:instrText>
      </w:r>
      <w:r>
        <w:rPr>
          <w:noProof/>
        </w:rPr>
        <w:fldChar w:fldCharType="separate"/>
      </w:r>
      <w:r>
        <w:rPr>
          <w:noProof/>
        </w:rPr>
        <w:t>2</w:t>
      </w:r>
      <w:r>
        <w:rPr>
          <w:noProof/>
        </w:rPr>
        <w:fldChar w:fldCharType="end"/>
      </w:r>
      <w:r>
        <w:rPr>
          <w:noProof/>
        </w:rPr>
        <w:t>: Степен на повторна употреба и оползотворяване на излезли от употреба превозни средства за 2016 г. (в %)</w:t>
      </w:r>
      <w:r>
        <w:rPr>
          <w:rStyle w:val="FootnoteReference"/>
          <w:noProof/>
        </w:rPr>
        <w:footnoteReference w:id="12"/>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992"/>
        <w:gridCol w:w="1134"/>
        <w:gridCol w:w="1134"/>
        <w:gridCol w:w="993"/>
        <w:gridCol w:w="1134"/>
        <w:gridCol w:w="1134"/>
      </w:tblGrid>
      <w:tr>
        <w:trPr>
          <w:trHeight w:val="261"/>
        </w:trPr>
        <w:tc>
          <w:tcPr>
            <w:tcW w:w="1951" w:type="dxa"/>
            <w:shd w:val="clear" w:color="000000" w:fill="99CCFF"/>
            <w:noWrap/>
            <w:vAlign w:val="bottom"/>
            <w:hideMark/>
          </w:tcPr>
          <w:p>
            <w:pPr>
              <w:spacing w:after="0" w:line="240" w:lineRule="auto"/>
              <w:jc w:val="center"/>
              <w:rPr>
                <w:rFonts w:ascii="Arial" w:eastAsia="Times New Roman" w:hAnsi="Arial" w:cs="Arial"/>
                <w:noProof/>
                <w:sz w:val="20"/>
                <w:szCs w:val="20"/>
              </w:rPr>
            </w:pPr>
          </w:p>
        </w:tc>
        <w:tc>
          <w:tcPr>
            <w:tcW w:w="992" w:type="dxa"/>
            <w:shd w:val="clear" w:color="000000" w:fill="99CCFF"/>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2012 г.</w:t>
            </w:r>
          </w:p>
        </w:tc>
        <w:tc>
          <w:tcPr>
            <w:tcW w:w="1134" w:type="dxa"/>
            <w:shd w:val="clear" w:color="000000" w:fill="99CCFF"/>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2013 г.</w:t>
            </w:r>
          </w:p>
        </w:tc>
        <w:tc>
          <w:tcPr>
            <w:tcW w:w="1134" w:type="dxa"/>
            <w:shd w:val="clear" w:color="000000" w:fill="99CCFF"/>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2014 г.</w:t>
            </w:r>
          </w:p>
        </w:tc>
        <w:tc>
          <w:tcPr>
            <w:tcW w:w="993" w:type="dxa"/>
            <w:shd w:val="clear" w:color="000000" w:fill="99CCFF"/>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2015 г.</w:t>
            </w:r>
          </w:p>
        </w:tc>
        <w:tc>
          <w:tcPr>
            <w:tcW w:w="1134" w:type="dxa"/>
            <w:shd w:val="clear" w:color="000000" w:fill="99CCFF"/>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2016 г.</w:t>
            </w:r>
          </w:p>
        </w:tc>
        <w:tc>
          <w:tcPr>
            <w:tcW w:w="1134" w:type="dxa"/>
            <w:shd w:val="clear" w:color="000000" w:fill="99CCFF"/>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2017 г.</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Белгия</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93</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93</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94,2</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96,7</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96,4</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97</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България</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91,3</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94,1</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95</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95,1</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95,6</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98,8</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Чехия</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86,3</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86,3</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86,3</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95,7</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95,4</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95,6</w:t>
            </w:r>
          </w:p>
        </w:tc>
      </w:tr>
      <w:tr>
        <w:trPr>
          <w:trHeight w:val="261"/>
        </w:trPr>
        <w:tc>
          <w:tcPr>
            <w:tcW w:w="1951" w:type="dxa"/>
            <w:shd w:val="clear" w:color="000000" w:fill="99CCFF"/>
            <w:noWrap/>
            <w:vAlign w:val="bottom"/>
          </w:tcPr>
          <w:p>
            <w:pPr>
              <w:spacing w:after="0" w:line="240" w:lineRule="auto"/>
              <w:rPr>
                <w:rFonts w:ascii="Arial" w:eastAsia="Times New Roman" w:hAnsi="Arial" w:cs="Arial"/>
                <w:noProof/>
                <w:sz w:val="20"/>
                <w:szCs w:val="20"/>
              </w:rPr>
            </w:pPr>
            <w:r>
              <w:rPr>
                <w:rFonts w:ascii="Arial" w:hAnsi="Arial"/>
                <w:noProof/>
                <w:sz w:val="20"/>
                <w:szCs w:val="20"/>
              </w:rPr>
              <w:t>Хърватия</w:t>
            </w:r>
          </w:p>
        </w:tc>
        <w:tc>
          <w:tcPr>
            <w:tcW w:w="992" w:type="dxa"/>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99,9</w:t>
            </w:r>
          </w:p>
        </w:tc>
        <w:tc>
          <w:tcPr>
            <w:tcW w:w="1134" w:type="dxa"/>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100</w:t>
            </w:r>
          </w:p>
        </w:tc>
        <w:tc>
          <w:tcPr>
            <w:tcW w:w="1134" w:type="dxa"/>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96,2</w:t>
            </w:r>
          </w:p>
        </w:tc>
        <w:tc>
          <w:tcPr>
            <w:tcW w:w="993" w:type="dxa"/>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99,5</w:t>
            </w:r>
          </w:p>
        </w:tc>
        <w:tc>
          <w:tcPr>
            <w:tcW w:w="1134" w:type="dxa"/>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99,5</w:t>
            </w:r>
          </w:p>
        </w:tc>
        <w:tc>
          <w:tcPr>
            <w:tcW w:w="1134" w:type="dxa"/>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99,7</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Дания</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92,6</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86,7</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86,1</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97,6</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97,1</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99,6</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Германия</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106,3</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103,8</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101,4</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95,8</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98</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98,4</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Естония</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85,1</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86,4</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88,4</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87</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89,8</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89,9</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Ирландия</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87,8</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91,6</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90,7</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91,8</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92,8</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94,6</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Гърция</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90,3</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91,5</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85,5</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68,9</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108</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99,5</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Испания</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88,2</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91,5</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93,5</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95</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93,4</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94</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Франция</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87</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89,3</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91,3</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94,3</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94,8</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94,6</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Италия</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82,3</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82,8</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85,1</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84,7</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82,6</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Кипър</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86,9</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86,6</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90,2</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90,7</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93,2</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Латвия</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97,9</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92,6</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92,4</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87</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94,5</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84,1</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Литва</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90,1</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92,4</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94,4</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95</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95,4</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95,1</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Люксембург</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95</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95</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95</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97</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96</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96,2</w:t>
            </w:r>
          </w:p>
        </w:tc>
      </w:tr>
      <w:tr>
        <w:trPr>
          <w:trHeight w:val="261"/>
        </w:trPr>
        <w:tc>
          <w:tcPr>
            <w:tcW w:w="1951" w:type="dxa"/>
            <w:shd w:val="clear" w:color="000000" w:fill="99CCFF"/>
            <w:noWrap/>
            <w:vAlign w:val="bottom"/>
          </w:tcPr>
          <w:p>
            <w:pPr>
              <w:spacing w:after="0" w:line="240" w:lineRule="auto"/>
              <w:rPr>
                <w:rFonts w:ascii="Arial" w:eastAsia="Times New Roman" w:hAnsi="Arial" w:cs="Arial"/>
                <w:noProof/>
                <w:sz w:val="20"/>
                <w:szCs w:val="20"/>
              </w:rPr>
            </w:pPr>
            <w:r>
              <w:rPr>
                <w:rFonts w:ascii="Arial" w:hAnsi="Arial"/>
                <w:noProof/>
                <w:sz w:val="20"/>
                <w:szCs w:val="20"/>
              </w:rPr>
              <w:t>Малта</w:t>
            </w:r>
          </w:p>
        </w:tc>
        <w:tc>
          <w:tcPr>
            <w:tcW w:w="992" w:type="dxa"/>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96</w:t>
            </w:r>
          </w:p>
        </w:tc>
        <w:tc>
          <w:tcPr>
            <w:tcW w:w="1134" w:type="dxa"/>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91,9</w:t>
            </w:r>
          </w:p>
        </w:tc>
        <w:tc>
          <w:tcPr>
            <w:tcW w:w="1134" w:type="dxa"/>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45</w:t>
            </w:r>
          </w:p>
        </w:tc>
        <w:tc>
          <w:tcPr>
            <w:tcW w:w="993" w:type="dxa"/>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77,7</w:t>
            </w:r>
          </w:p>
        </w:tc>
        <w:tc>
          <w:tcPr>
            <w:tcW w:w="1134" w:type="dxa"/>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54,5</w:t>
            </w:r>
          </w:p>
        </w:tc>
        <w:tc>
          <w:tcPr>
            <w:tcW w:w="1134" w:type="dxa"/>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Унгария</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86,2</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91,7</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95,6</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95,2</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95,8</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96,9</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Нидерландия</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96,1</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95,9</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96</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97</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98,7</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Австрия</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94,2</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96,7</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96,1</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96,9</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96,9</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97,9</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Полша</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92,8</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90,3</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88</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97</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96,3</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98,6</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Португалия</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87,6</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90,5</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92,7</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92,7</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92,1</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93,8</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Румъния</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86</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87,4</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88,5</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90,8</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Словения</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103</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91,3</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Словакия</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91,2</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93,7</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96</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89,4</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97,4</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97,5</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Финландия</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95</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95</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97,3</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97,3</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97,3</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97,3</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Швеция</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90,6</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91,3</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91,3</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96,8</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94,6</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97,2</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Обединено кралство</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88,1</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88,9</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90,7</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96,9</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92,2</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94,1</w:t>
            </w:r>
          </w:p>
        </w:tc>
      </w:tr>
      <w:tr>
        <w:trPr>
          <w:trHeight w:val="261"/>
        </w:trPr>
        <w:tc>
          <w:tcPr>
            <w:tcW w:w="1951" w:type="dxa"/>
            <w:shd w:val="clear" w:color="000000" w:fill="99CCFF"/>
            <w:noWrap/>
            <w:vAlign w:val="bottom"/>
          </w:tcPr>
          <w:p>
            <w:pPr>
              <w:spacing w:after="0" w:line="240" w:lineRule="auto"/>
              <w:rPr>
                <w:rFonts w:ascii="Arial" w:eastAsia="Times New Roman" w:hAnsi="Arial" w:cs="Arial"/>
                <w:noProof/>
                <w:sz w:val="20"/>
                <w:szCs w:val="20"/>
              </w:rPr>
            </w:pPr>
            <w:r>
              <w:rPr>
                <w:rFonts w:ascii="Arial" w:hAnsi="Arial"/>
                <w:noProof/>
                <w:sz w:val="20"/>
                <w:szCs w:val="20"/>
              </w:rPr>
              <w:t>Исландия</w:t>
            </w:r>
          </w:p>
        </w:tc>
        <w:tc>
          <w:tcPr>
            <w:tcW w:w="992" w:type="dxa"/>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100</w:t>
            </w:r>
          </w:p>
        </w:tc>
        <w:tc>
          <w:tcPr>
            <w:tcW w:w="1134" w:type="dxa"/>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99,6</w:t>
            </w:r>
          </w:p>
        </w:tc>
        <w:tc>
          <w:tcPr>
            <w:tcW w:w="1134" w:type="dxa"/>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97,7</w:t>
            </w:r>
          </w:p>
        </w:tc>
        <w:tc>
          <w:tcPr>
            <w:tcW w:w="993" w:type="dxa"/>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98,5</w:t>
            </w:r>
          </w:p>
        </w:tc>
        <w:tc>
          <w:tcPr>
            <w:tcW w:w="1134" w:type="dxa"/>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96,8</w:t>
            </w:r>
          </w:p>
        </w:tc>
        <w:tc>
          <w:tcPr>
            <w:tcW w:w="1134" w:type="dxa"/>
            <w:shd w:val="clear" w:color="auto" w:fill="auto"/>
            <w:noWrap/>
            <w:vAlign w:val="bottom"/>
          </w:tcPr>
          <w:p>
            <w:pPr>
              <w:spacing w:after="0" w:line="240" w:lineRule="auto"/>
              <w:jc w:val="center"/>
              <w:rPr>
                <w:rFonts w:ascii="Arial" w:eastAsia="Times New Roman" w:hAnsi="Arial" w:cs="Arial"/>
                <w:noProof/>
                <w:sz w:val="20"/>
                <w:szCs w:val="20"/>
              </w:rPr>
            </w:pPr>
            <w:r>
              <w:rPr>
                <w:rFonts w:ascii="Arial" w:hAnsi="Arial"/>
                <w:noProof/>
                <w:sz w:val="20"/>
                <w:szCs w:val="20"/>
              </w:rPr>
              <w:t>:</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Лихтенщайн</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92,7</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89</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90,6</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90,8</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85,6</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84,7</w:t>
            </w:r>
          </w:p>
        </w:tc>
      </w:tr>
      <w:tr>
        <w:trPr>
          <w:trHeight w:val="261"/>
        </w:trPr>
        <w:tc>
          <w:tcPr>
            <w:tcW w:w="1951" w:type="dxa"/>
            <w:shd w:val="clear" w:color="000000" w:fill="99CCFF"/>
            <w:noWrap/>
            <w:vAlign w:val="bottom"/>
            <w:hideMark/>
          </w:tcPr>
          <w:p>
            <w:pPr>
              <w:spacing w:after="0" w:line="240" w:lineRule="auto"/>
              <w:rPr>
                <w:rFonts w:ascii="Arial" w:eastAsia="Times New Roman" w:hAnsi="Arial" w:cs="Arial"/>
                <w:noProof/>
                <w:sz w:val="20"/>
                <w:szCs w:val="20"/>
              </w:rPr>
            </w:pPr>
            <w:r>
              <w:rPr>
                <w:rFonts w:ascii="Arial" w:hAnsi="Arial"/>
                <w:noProof/>
                <w:sz w:val="20"/>
                <w:szCs w:val="20"/>
              </w:rPr>
              <w:t>Норвегия</w:t>
            </w:r>
          </w:p>
        </w:tc>
        <w:tc>
          <w:tcPr>
            <w:tcW w:w="992"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93,8</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94,7</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97,5</w:t>
            </w:r>
          </w:p>
        </w:tc>
        <w:tc>
          <w:tcPr>
            <w:tcW w:w="993"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96,7</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97,7</w:t>
            </w:r>
          </w:p>
        </w:tc>
        <w:tc>
          <w:tcPr>
            <w:tcW w:w="1134" w:type="dxa"/>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hAnsi="Arial"/>
                <w:noProof/>
                <w:sz w:val="20"/>
                <w:szCs w:val="20"/>
              </w:rPr>
              <w:t>:</w:t>
            </w:r>
          </w:p>
        </w:tc>
      </w:tr>
    </w:tbl>
    <w:p>
      <w:pPr>
        <w:spacing w:after="240"/>
        <w:rPr>
          <w:rFonts w:ascii="Times New Roman" w:hAnsi="Times New Roman" w:cs="Times New Roman"/>
          <w:noProof/>
          <w:sz w:val="24"/>
          <w:szCs w:val="24"/>
        </w:rPr>
      </w:pPr>
    </w:p>
    <w:p>
      <w:pPr>
        <w:autoSpaceDE w:val="0"/>
        <w:autoSpaceDN w:val="0"/>
        <w:adjustRightInd w:val="0"/>
        <w:spacing w:after="240"/>
        <w:rPr>
          <w:rFonts w:ascii="Times New Roman" w:hAnsi="Times New Roman" w:cs="Times New Roman"/>
          <w:noProof/>
          <w:sz w:val="24"/>
          <w:szCs w:val="24"/>
        </w:rPr>
      </w:pPr>
      <w:r>
        <w:rPr>
          <w:rFonts w:ascii="Times New Roman" w:hAnsi="Times New Roman"/>
          <w:noProof/>
        </w:rPr>
        <w:t>Към 2017 г. 15 държави членки бяха изпълнили целта за минимална повторна употреба и оползотворяване на 95 % от средното тегло на превозно средство и за година, седем държави членки все още не бяха постигнали целта от 95 %, но са били много близо до нея, а шест държави все още не бяха представили доклади. Средната степен на повторна употреба и оползотворяване за ЕС-28 като цяло беше 94 %, т.е. малко под целта.</w:t>
      </w:r>
    </w:p>
    <w:p>
      <w:pPr>
        <w:autoSpaceDE w:val="0"/>
        <w:autoSpaceDN w:val="0"/>
        <w:adjustRightInd w:val="0"/>
        <w:spacing w:after="240"/>
        <w:rPr>
          <w:rFonts w:ascii="Times New Roman" w:hAnsi="Times New Roman" w:cs="Times New Roman"/>
          <w:noProof/>
          <w:sz w:val="24"/>
          <w:szCs w:val="24"/>
        </w:rPr>
      </w:pPr>
      <w:r>
        <w:rPr>
          <w:rFonts w:ascii="Times New Roman" w:hAnsi="Times New Roman"/>
          <w:noProof/>
        </w:rPr>
        <w:t>Макар данните да сочат, че значителен брой държави членки с изградена инфраструктура за управление на излезли от употреба превозни средства не постигат целите си за оползотворяване, този факт може по-скоро да показва наличието на по-активни усилия, насочени към рециклирането, отколкото към други форми на оползотворяване (например Франция, Испания, Швеция и Обединеното кралство изпълняват своите цели за рециклиране, но не и целите за оползотворяване) в съответствие с концепцията за кръговата икономика. Това обстоятелство може да бъде също така показателно за наличието на по-стабилни и подобрени методи на докладване, което допринася за по-ефективното прилагане на директивата. Държавите членки, които не са постигнали целите, разясниха причините за това и посочиха съответните мерки, които са предприели.</w:t>
      </w:r>
    </w:p>
    <w:p>
      <w:pPr>
        <w:spacing w:after="240"/>
        <w:rPr>
          <w:rFonts w:ascii="Times New Roman" w:hAnsi="Times New Roman" w:cs="Times New Roman"/>
          <w:noProof/>
          <w:sz w:val="24"/>
          <w:szCs w:val="24"/>
        </w:rPr>
      </w:pPr>
      <w:r>
        <w:rPr>
          <w:rFonts w:ascii="Times New Roman" w:hAnsi="Times New Roman"/>
          <w:noProof/>
        </w:rPr>
        <w:t>Високите показатели, докладвани от Гърция, могат да се обяснят с  факта, че съоръженията за разкомплектоване са избрали да съхраняват за дълго време някои излезли от употреба превозни средства, чиито течности все още не са били отстранени — най-вероятно поради ниската пазарна стойност на металите, които впоследствие са били раздробени след годината, в която е отстранено замърсяването им. Това е довело до третиране през дадена година на голям брой излезли от употреба превозни средства.</w:t>
      </w:r>
    </w:p>
    <w:p>
      <w:pPr>
        <w:spacing w:after="240"/>
        <w:rPr>
          <w:rFonts w:ascii="Times New Roman" w:hAnsi="Times New Roman" w:cs="Times New Roman"/>
          <w:noProof/>
          <w:sz w:val="24"/>
          <w:szCs w:val="24"/>
        </w:rPr>
      </w:pPr>
      <w:r>
        <w:rPr>
          <w:rFonts w:ascii="Times New Roman" w:hAnsi="Times New Roman"/>
          <w:noProof/>
        </w:rPr>
        <w:t>Въведените нови мерки за насърчаване на повторната употреба и рециклирането включват мерки за повторно използване на компоненти на излезли от употреба превозни средства в Унгария, дейности за повишаване на осведомеността и комуникационни дейности в Португалия, както и финансова помощ за нови научноизследователски и развойни проекти в Испания, насочени към предотвратяването, рециклирането и повторното използване на компоненти на излезли от употреба превозни средства, като с приоритет се ползват проекти за рециклиране на автомобилни пластмаси, предни стъкла и гуми.</w:t>
      </w:r>
    </w:p>
    <w:p>
      <w:pPr>
        <w:keepNext/>
        <w:tabs>
          <w:tab w:val="left" w:pos="850"/>
        </w:tabs>
        <w:spacing w:after="240" w:line="240" w:lineRule="auto"/>
        <w:ind w:left="850" w:hanging="850"/>
        <w:jc w:val="both"/>
        <w:outlineLvl w:val="0"/>
        <w:rPr>
          <w:rFonts w:ascii="Times New Roman" w:eastAsia="Times New Roman" w:hAnsi="Times New Roman" w:cs="Times New Roman"/>
          <w:b/>
          <w:smallCaps/>
          <w:noProof/>
          <w:sz w:val="24"/>
          <w:szCs w:val="24"/>
        </w:rPr>
      </w:pPr>
      <w:r>
        <w:rPr>
          <w:rFonts w:ascii="Times New Roman" w:hAnsi="Times New Roman"/>
          <w:b/>
          <w:smallCaps/>
          <w:noProof/>
        </w:rPr>
        <w:t xml:space="preserve">4. </w:t>
      </w:r>
      <w:r>
        <w:rPr>
          <w:rFonts w:ascii="Times New Roman" w:hAnsi="Times New Roman"/>
          <w:b/>
          <w:smallCaps/>
          <w:noProof/>
        </w:rPr>
        <w:tab/>
        <w:t>Неизвестно местонахождение и незаконно разкомплектоване на излезли от употреба превозни средства</w:t>
      </w:r>
    </w:p>
    <w:p>
      <w:pPr>
        <w:spacing w:after="240"/>
        <w:rPr>
          <w:rFonts w:ascii="Times New Roman" w:hAnsi="Times New Roman" w:cs="Times New Roman"/>
          <w:b/>
          <w:noProof/>
          <w:sz w:val="24"/>
          <w:szCs w:val="24"/>
        </w:rPr>
      </w:pPr>
      <w:r>
        <w:rPr>
          <w:rFonts w:ascii="Times New Roman" w:hAnsi="Times New Roman"/>
          <w:noProof/>
        </w:rPr>
        <w:t>Най-значимото предизвикателство, свързано с недостатъците при изпълнението и прилагането на Директивата относно излезлите от употреба превозни средства, продължава да бъде големият брой излезли от употреба автомобили с неизвестно местонахождение. Този проблем беше посочен още в предишния доклад на Комисията относно прилагането на Директивата относно излезлите от употреба превозни средства за периода 2011—2014 г.</w:t>
      </w:r>
      <w:r>
        <w:rPr>
          <w:rStyle w:val="FootnoteReference"/>
          <w:rFonts w:ascii="Times New Roman" w:hAnsi="Times New Roman"/>
          <w:noProof/>
        </w:rPr>
        <w:footnoteReference w:id="13"/>
      </w:r>
      <w:r>
        <w:rPr>
          <w:rFonts w:ascii="Times New Roman" w:hAnsi="Times New Roman"/>
          <w:noProof/>
        </w:rPr>
        <w:t xml:space="preserve"> и в последващата оценка на Комисията на пет директиви относно отпадъците</w:t>
      </w:r>
      <w:r>
        <w:rPr>
          <w:rStyle w:val="FootnoteReference"/>
          <w:rFonts w:ascii="Times New Roman" w:hAnsi="Times New Roman"/>
          <w:noProof/>
        </w:rPr>
        <w:footnoteReference w:id="14"/>
      </w:r>
      <w:r>
        <w:rPr>
          <w:rFonts w:ascii="Times New Roman" w:hAnsi="Times New Roman"/>
          <w:noProof/>
        </w:rPr>
        <w:t xml:space="preserve">. За да извърши оценка на проблема Комисията лансира </w:t>
      </w:r>
      <w:r>
        <w:rPr>
          <w:rStyle w:val="Strong"/>
          <w:rFonts w:ascii="Times New Roman" w:hAnsi="Times New Roman"/>
          <w:b w:val="0"/>
          <w:noProof/>
        </w:rPr>
        <w:t>Инициатива за насърчаване на спазването с цел оценка на прилагането на Директива 2000/53/ЕО относно излезлите от употреба превозни средства с акцент върху излезлите от употреба превозни средства с неизвестно местонахождение</w:t>
      </w:r>
      <w:r>
        <w:rPr>
          <w:rStyle w:val="FootnoteReference"/>
          <w:rFonts w:ascii="Times New Roman" w:hAnsi="Times New Roman"/>
          <w:bCs/>
          <w:noProof/>
        </w:rPr>
        <w:footnoteReference w:id="15"/>
      </w:r>
      <w:r>
        <w:rPr>
          <w:rStyle w:val="Strong"/>
          <w:rFonts w:ascii="Times New Roman" w:hAnsi="Times New Roman"/>
          <w:b w:val="0"/>
          <w:noProof/>
        </w:rPr>
        <w:t xml:space="preserve">.  </w:t>
      </w:r>
    </w:p>
    <w:p>
      <w:pPr>
        <w:spacing w:after="240"/>
        <w:rPr>
          <w:rFonts w:ascii="Times New Roman" w:hAnsi="Times New Roman" w:cs="Times New Roman"/>
          <w:noProof/>
          <w:sz w:val="24"/>
          <w:szCs w:val="24"/>
        </w:rPr>
      </w:pPr>
      <w:r>
        <w:rPr>
          <w:rFonts w:ascii="Times New Roman" w:hAnsi="Times New Roman"/>
          <w:noProof/>
        </w:rPr>
        <w:t>Евростат поиска от държавите членки да предоставят информация за броя на превозните средства, които са събрани и прехвърлени в разрешени съоръжения за третиране. Данните са представени в таблица 1 по-долу.</w:t>
      </w:r>
    </w:p>
    <w:tbl>
      <w:tblPr>
        <w:tblW w:w="9134" w:type="dxa"/>
        <w:tblInd w:w="108" w:type="dxa"/>
        <w:tblLook w:val="04A0" w:firstRow="1" w:lastRow="0" w:firstColumn="1" w:lastColumn="0" w:noHBand="0" w:noVBand="1"/>
      </w:tblPr>
      <w:tblGrid>
        <w:gridCol w:w="1183"/>
        <w:gridCol w:w="825"/>
        <w:gridCol w:w="825"/>
        <w:gridCol w:w="825"/>
        <w:gridCol w:w="824"/>
        <w:gridCol w:w="824"/>
        <w:gridCol w:w="824"/>
        <w:gridCol w:w="824"/>
        <w:gridCol w:w="976"/>
        <w:gridCol w:w="1204"/>
      </w:tblGrid>
      <w:tr>
        <w:trPr>
          <w:trHeight w:val="212"/>
        </w:trPr>
        <w:tc>
          <w:tcPr>
            <w:tcW w:w="3597" w:type="dxa"/>
            <w:gridSpan w:val="4"/>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Таблица 1: Общ брой на излезлите от употреба превозни средства, събрани и прехвърлени в разрешени съоръжения за третиране, 2008—2016 г.</w:t>
            </w:r>
            <w:r>
              <w:rPr>
                <w:rStyle w:val="FootnoteReference"/>
                <w:rFonts w:ascii="Times New Roman" w:eastAsia="Times New Roman" w:hAnsi="Times New Roman"/>
                <w:b/>
                <w:bCs/>
                <w:noProof/>
                <w:sz w:val="16"/>
                <w:szCs w:val="16"/>
              </w:rPr>
              <w:footnoteReference w:id="16"/>
            </w:r>
          </w:p>
        </w:tc>
        <w:tc>
          <w:tcPr>
            <w:tcW w:w="833"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 </w:t>
            </w:r>
          </w:p>
        </w:tc>
        <w:tc>
          <w:tcPr>
            <w:tcW w:w="833"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 </w:t>
            </w:r>
          </w:p>
        </w:tc>
        <w:tc>
          <w:tcPr>
            <w:tcW w:w="833"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 </w:t>
            </w:r>
          </w:p>
        </w:tc>
        <w:tc>
          <w:tcPr>
            <w:tcW w:w="833"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 </w:t>
            </w:r>
          </w:p>
        </w:tc>
        <w:tc>
          <w:tcPr>
            <w:tcW w:w="987"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 </w:t>
            </w:r>
          </w:p>
        </w:tc>
        <w:tc>
          <w:tcPr>
            <w:tcW w:w="1218"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 </w:t>
            </w:r>
          </w:p>
        </w:tc>
      </w:tr>
      <w:tr>
        <w:trPr>
          <w:trHeight w:val="212"/>
        </w:trPr>
        <w:tc>
          <w:tcPr>
            <w:tcW w:w="1931" w:type="dxa"/>
            <w:gridSpan w:val="2"/>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(брой превозни средства)</w:t>
            </w:r>
          </w:p>
        </w:tc>
        <w:tc>
          <w:tcPr>
            <w:tcW w:w="833"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 </w:t>
            </w:r>
          </w:p>
        </w:tc>
        <w:tc>
          <w:tcPr>
            <w:tcW w:w="833"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 </w:t>
            </w:r>
          </w:p>
        </w:tc>
        <w:tc>
          <w:tcPr>
            <w:tcW w:w="833"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 </w:t>
            </w:r>
          </w:p>
        </w:tc>
        <w:tc>
          <w:tcPr>
            <w:tcW w:w="833"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 </w:t>
            </w:r>
          </w:p>
        </w:tc>
        <w:tc>
          <w:tcPr>
            <w:tcW w:w="833"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 </w:t>
            </w:r>
          </w:p>
        </w:tc>
        <w:tc>
          <w:tcPr>
            <w:tcW w:w="833"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 </w:t>
            </w:r>
          </w:p>
        </w:tc>
        <w:tc>
          <w:tcPr>
            <w:tcW w:w="987"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 </w:t>
            </w:r>
          </w:p>
        </w:tc>
        <w:tc>
          <w:tcPr>
            <w:tcW w:w="1218"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 </w:t>
            </w:r>
          </w:p>
        </w:tc>
      </w:tr>
      <w:tr>
        <w:trPr>
          <w:trHeight w:val="233"/>
        </w:trPr>
        <w:tc>
          <w:tcPr>
            <w:tcW w:w="1098"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 </w:t>
            </w:r>
          </w:p>
        </w:tc>
        <w:tc>
          <w:tcPr>
            <w:tcW w:w="833"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 </w:t>
            </w:r>
          </w:p>
        </w:tc>
        <w:tc>
          <w:tcPr>
            <w:tcW w:w="833"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 </w:t>
            </w:r>
          </w:p>
        </w:tc>
        <w:tc>
          <w:tcPr>
            <w:tcW w:w="833"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 </w:t>
            </w:r>
          </w:p>
        </w:tc>
        <w:tc>
          <w:tcPr>
            <w:tcW w:w="833"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 </w:t>
            </w:r>
          </w:p>
        </w:tc>
        <w:tc>
          <w:tcPr>
            <w:tcW w:w="833"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 </w:t>
            </w:r>
          </w:p>
        </w:tc>
        <w:tc>
          <w:tcPr>
            <w:tcW w:w="833"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 </w:t>
            </w:r>
          </w:p>
        </w:tc>
        <w:tc>
          <w:tcPr>
            <w:tcW w:w="833"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 </w:t>
            </w:r>
          </w:p>
        </w:tc>
        <w:tc>
          <w:tcPr>
            <w:tcW w:w="987"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 </w:t>
            </w:r>
          </w:p>
        </w:tc>
        <w:tc>
          <w:tcPr>
            <w:tcW w:w="1218"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cs="Times New Roman"/>
                <w:noProof/>
                <w:sz w:val="16"/>
                <w:szCs w:val="16"/>
              </w:rPr>
            </w:pPr>
            <w:r>
              <w:rPr>
                <w:rFonts w:ascii="Times New Roman" w:hAnsi="Times New Roman"/>
                <w:noProof/>
                <w:sz w:val="16"/>
                <w:szCs w:val="16"/>
              </w:rPr>
              <w:t> </w:t>
            </w:r>
          </w:p>
        </w:tc>
      </w:tr>
      <w:tr>
        <w:trPr>
          <w:trHeight w:val="212"/>
        </w:trPr>
        <w:tc>
          <w:tcPr>
            <w:tcW w:w="1098" w:type="dxa"/>
            <w:tcBorders>
              <w:top w:val="single" w:sz="4" w:space="0" w:color="000000"/>
              <w:left w:val="nil"/>
              <w:bottom w:val="single" w:sz="4" w:space="0" w:color="000000"/>
              <w:right w:val="nil"/>
            </w:tcBorders>
            <w:shd w:val="clear" w:color="000000" w:fill="D2F2F2"/>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 </w:t>
            </w:r>
          </w:p>
        </w:tc>
        <w:tc>
          <w:tcPr>
            <w:tcW w:w="833" w:type="dxa"/>
            <w:tcBorders>
              <w:top w:val="single" w:sz="4" w:space="0" w:color="000000"/>
              <w:left w:val="nil"/>
              <w:bottom w:val="single" w:sz="4" w:space="0" w:color="000000"/>
              <w:right w:val="nil"/>
            </w:tcBorders>
            <w:shd w:val="clear" w:color="000000" w:fill="D2F2F2"/>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2008 г.</w:t>
            </w:r>
          </w:p>
        </w:tc>
        <w:tc>
          <w:tcPr>
            <w:tcW w:w="833" w:type="dxa"/>
            <w:tcBorders>
              <w:top w:val="single" w:sz="4" w:space="0" w:color="000000"/>
              <w:left w:val="nil"/>
              <w:bottom w:val="single" w:sz="4" w:space="0" w:color="000000"/>
              <w:right w:val="nil"/>
            </w:tcBorders>
            <w:shd w:val="clear" w:color="000000" w:fill="D2F2F2"/>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2009 г.</w:t>
            </w:r>
          </w:p>
        </w:tc>
        <w:tc>
          <w:tcPr>
            <w:tcW w:w="833" w:type="dxa"/>
            <w:tcBorders>
              <w:top w:val="single" w:sz="4" w:space="0" w:color="000000"/>
              <w:left w:val="nil"/>
              <w:bottom w:val="single" w:sz="4" w:space="0" w:color="000000"/>
              <w:right w:val="nil"/>
            </w:tcBorders>
            <w:shd w:val="clear" w:color="000000" w:fill="D2F2F2"/>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2010 г.</w:t>
            </w:r>
          </w:p>
        </w:tc>
        <w:tc>
          <w:tcPr>
            <w:tcW w:w="833" w:type="dxa"/>
            <w:tcBorders>
              <w:top w:val="single" w:sz="4" w:space="0" w:color="000000"/>
              <w:left w:val="nil"/>
              <w:bottom w:val="single" w:sz="4" w:space="0" w:color="000000"/>
              <w:right w:val="nil"/>
            </w:tcBorders>
            <w:shd w:val="clear" w:color="000000" w:fill="D2F2F2"/>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2011 г.</w:t>
            </w:r>
          </w:p>
        </w:tc>
        <w:tc>
          <w:tcPr>
            <w:tcW w:w="833" w:type="dxa"/>
            <w:tcBorders>
              <w:top w:val="single" w:sz="4" w:space="0" w:color="000000"/>
              <w:left w:val="nil"/>
              <w:bottom w:val="single" w:sz="4" w:space="0" w:color="000000"/>
              <w:right w:val="nil"/>
            </w:tcBorders>
            <w:shd w:val="clear" w:color="000000" w:fill="D2F2F2"/>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2012 г.</w:t>
            </w:r>
          </w:p>
        </w:tc>
        <w:tc>
          <w:tcPr>
            <w:tcW w:w="833" w:type="dxa"/>
            <w:tcBorders>
              <w:top w:val="single" w:sz="4" w:space="0" w:color="000000"/>
              <w:left w:val="nil"/>
              <w:bottom w:val="single" w:sz="4" w:space="0" w:color="000000"/>
              <w:right w:val="nil"/>
            </w:tcBorders>
            <w:shd w:val="clear" w:color="000000" w:fill="D2F2F2"/>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2013 г.</w:t>
            </w:r>
          </w:p>
        </w:tc>
        <w:tc>
          <w:tcPr>
            <w:tcW w:w="833" w:type="dxa"/>
            <w:tcBorders>
              <w:top w:val="single" w:sz="4" w:space="0" w:color="000000"/>
              <w:left w:val="nil"/>
              <w:bottom w:val="single" w:sz="4" w:space="0" w:color="000000"/>
              <w:right w:val="nil"/>
            </w:tcBorders>
            <w:shd w:val="clear" w:color="000000" w:fill="D2F2F2"/>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2014 г.</w:t>
            </w:r>
          </w:p>
        </w:tc>
        <w:tc>
          <w:tcPr>
            <w:tcW w:w="987" w:type="dxa"/>
            <w:tcBorders>
              <w:top w:val="single" w:sz="4" w:space="0" w:color="000000"/>
              <w:left w:val="nil"/>
              <w:bottom w:val="single" w:sz="4" w:space="0" w:color="000000"/>
              <w:right w:val="nil"/>
            </w:tcBorders>
            <w:shd w:val="clear" w:color="000000" w:fill="D2F2F2"/>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2015 г.</w:t>
            </w:r>
          </w:p>
        </w:tc>
        <w:tc>
          <w:tcPr>
            <w:tcW w:w="1218" w:type="dxa"/>
            <w:tcBorders>
              <w:top w:val="single" w:sz="4" w:space="0" w:color="000000"/>
              <w:left w:val="nil"/>
              <w:bottom w:val="single" w:sz="4" w:space="0" w:color="000000"/>
              <w:right w:val="nil"/>
            </w:tcBorders>
            <w:shd w:val="clear" w:color="000000" w:fill="D2F2F2"/>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2016 г.</w:t>
            </w:r>
          </w:p>
        </w:tc>
      </w:tr>
      <w:tr>
        <w:trPr>
          <w:trHeight w:val="212"/>
        </w:trPr>
        <w:tc>
          <w:tcPr>
            <w:tcW w:w="1098" w:type="dxa"/>
            <w:tcBorders>
              <w:top w:val="nil"/>
              <w:left w:val="nil"/>
              <w:bottom w:val="single" w:sz="4" w:space="0" w:color="C0C0C0"/>
              <w:right w:val="nil"/>
            </w:tcBorders>
            <w:shd w:val="clear" w:color="000000" w:fill="A6E6E6"/>
            <w:noWrap/>
            <w:vAlign w:val="bottom"/>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 xml:space="preserve">Европейски съюз </w:t>
            </w:r>
          </w:p>
        </w:tc>
        <w:tc>
          <w:tcPr>
            <w:tcW w:w="833" w:type="dxa"/>
            <w:tcBorders>
              <w:top w:val="nil"/>
              <w:left w:val="nil"/>
              <w:bottom w:val="single" w:sz="4" w:space="0" w:color="C0C0C0"/>
              <w:right w:val="nil"/>
            </w:tcBorders>
            <w:shd w:val="clear" w:color="000000" w:fill="A6E6E6"/>
            <w:noWrap/>
            <w:vAlign w:val="bottom"/>
            <w:hideMark/>
          </w:tcPr>
          <w:p>
            <w:pPr>
              <w:spacing w:after="0" w:line="240" w:lineRule="auto"/>
              <w:ind w:left="-66"/>
              <w:jc w:val="center"/>
              <w:rPr>
                <w:rFonts w:ascii="Times New Roman" w:eastAsia="Times New Roman" w:hAnsi="Times New Roman" w:cs="Times New Roman"/>
                <w:noProof/>
                <w:sz w:val="16"/>
                <w:szCs w:val="16"/>
              </w:rPr>
            </w:pPr>
            <w:r>
              <w:rPr>
                <w:rFonts w:ascii="Times New Roman" w:hAnsi="Times New Roman"/>
                <w:noProof/>
                <w:sz w:val="16"/>
                <w:szCs w:val="16"/>
              </w:rPr>
              <w:t>6 301 000</w:t>
            </w:r>
          </w:p>
        </w:tc>
        <w:tc>
          <w:tcPr>
            <w:tcW w:w="833" w:type="dxa"/>
            <w:tcBorders>
              <w:top w:val="nil"/>
              <w:left w:val="nil"/>
              <w:bottom w:val="single" w:sz="4" w:space="0" w:color="C0C0C0"/>
              <w:right w:val="nil"/>
            </w:tcBorders>
            <w:shd w:val="clear" w:color="000000" w:fill="A6E6E6"/>
            <w:noWrap/>
            <w:vAlign w:val="bottom"/>
            <w:hideMark/>
          </w:tcPr>
          <w:p>
            <w:pPr>
              <w:spacing w:after="0" w:line="240" w:lineRule="auto"/>
              <w:ind w:left="-70"/>
              <w:jc w:val="center"/>
              <w:rPr>
                <w:rFonts w:ascii="Times New Roman" w:eastAsia="Times New Roman" w:hAnsi="Times New Roman" w:cs="Times New Roman"/>
                <w:noProof/>
                <w:sz w:val="16"/>
                <w:szCs w:val="16"/>
              </w:rPr>
            </w:pPr>
            <w:r>
              <w:rPr>
                <w:rFonts w:ascii="Times New Roman" w:hAnsi="Times New Roman"/>
                <w:noProof/>
                <w:sz w:val="16"/>
                <w:szCs w:val="16"/>
              </w:rPr>
              <w:t>9 039 000</w:t>
            </w:r>
          </w:p>
        </w:tc>
        <w:tc>
          <w:tcPr>
            <w:tcW w:w="833" w:type="dxa"/>
            <w:tcBorders>
              <w:top w:val="nil"/>
              <w:left w:val="nil"/>
              <w:bottom w:val="single" w:sz="4" w:space="0" w:color="C0C0C0"/>
              <w:right w:val="nil"/>
            </w:tcBorders>
            <w:shd w:val="clear" w:color="000000" w:fill="A6E6E6"/>
            <w:noWrap/>
            <w:vAlign w:val="bottom"/>
            <w:hideMark/>
          </w:tcPr>
          <w:p>
            <w:pPr>
              <w:spacing w:after="0" w:line="240" w:lineRule="auto"/>
              <w:ind w:left="-45"/>
              <w:jc w:val="center"/>
              <w:rPr>
                <w:rFonts w:ascii="Times New Roman" w:eastAsia="Times New Roman" w:hAnsi="Times New Roman" w:cs="Times New Roman"/>
                <w:noProof/>
                <w:sz w:val="16"/>
                <w:szCs w:val="16"/>
              </w:rPr>
            </w:pPr>
            <w:r>
              <w:rPr>
                <w:rFonts w:ascii="Times New Roman" w:hAnsi="Times New Roman"/>
                <w:noProof/>
                <w:sz w:val="16"/>
                <w:szCs w:val="16"/>
              </w:rPr>
              <w:t>7 383 000</w:t>
            </w:r>
          </w:p>
        </w:tc>
        <w:tc>
          <w:tcPr>
            <w:tcW w:w="833" w:type="dxa"/>
            <w:tcBorders>
              <w:top w:val="nil"/>
              <w:left w:val="nil"/>
              <w:bottom w:val="single" w:sz="4" w:space="0" w:color="C0C0C0"/>
              <w:right w:val="nil"/>
            </w:tcBorders>
            <w:shd w:val="clear" w:color="000000" w:fill="A6E6E6"/>
            <w:noWrap/>
            <w:vAlign w:val="bottom"/>
            <w:hideMark/>
          </w:tcPr>
          <w:p>
            <w:pPr>
              <w:spacing w:after="0" w:line="240" w:lineRule="auto"/>
              <w:ind w:left="-45"/>
              <w:jc w:val="center"/>
              <w:rPr>
                <w:rFonts w:ascii="Times New Roman" w:eastAsia="Times New Roman" w:hAnsi="Times New Roman" w:cs="Times New Roman"/>
                <w:noProof/>
                <w:sz w:val="16"/>
                <w:szCs w:val="16"/>
              </w:rPr>
            </w:pPr>
            <w:r>
              <w:rPr>
                <w:rFonts w:ascii="Times New Roman" w:hAnsi="Times New Roman"/>
                <w:noProof/>
                <w:sz w:val="16"/>
                <w:szCs w:val="16"/>
              </w:rPr>
              <w:t>6 789 000</w:t>
            </w:r>
          </w:p>
        </w:tc>
        <w:tc>
          <w:tcPr>
            <w:tcW w:w="833" w:type="dxa"/>
            <w:tcBorders>
              <w:top w:val="nil"/>
              <w:left w:val="nil"/>
              <w:bottom w:val="single" w:sz="4" w:space="0" w:color="C0C0C0"/>
              <w:right w:val="nil"/>
            </w:tcBorders>
            <w:shd w:val="clear" w:color="000000" w:fill="A6E6E6"/>
            <w:noWrap/>
            <w:vAlign w:val="bottom"/>
            <w:hideMark/>
          </w:tcPr>
          <w:p>
            <w:pPr>
              <w:spacing w:after="0" w:line="240" w:lineRule="auto"/>
              <w:ind w:left="-150"/>
              <w:jc w:val="center"/>
              <w:rPr>
                <w:rFonts w:ascii="Times New Roman" w:eastAsia="Times New Roman" w:hAnsi="Times New Roman" w:cs="Times New Roman"/>
                <w:noProof/>
                <w:sz w:val="16"/>
                <w:szCs w:val="16"/>
              </w:rPr>
            </w:pPr>
            <w:r>
              <w:rPr>
                <w:rFonts w:ascii="Times New Roman" w:hAnsi="Times New Roman"/>
                <w:noProof/>
                <w:sz w:val="16"/>
                <w:szCs w:val="16"/>
              </w:rPr>
              <w:t>6 286 000</w:t>
            </w:r>
          </w:p>
        </w:tc>
        <w:tc>
          <w:tcPr>
            <w:tcW w:w="833" w:type="dxa"/>
            <w:tcBorders>
              <w:top w:val="nil"/>
              <w:left w:val="nil"/>
              <w:bottom w:val="single" w:sz="4" w:space="0" w:color="C0C0C0"/>
              <w:right w:val="nil"/>
            </w:tcBorders>
            <w:shd w:val="clear" w:color="000000" w:fill="A6E6E6"/>
            <w:noWrap/>
            <w:vAlign w:val="bottom"/>
            <w:hideMark/>
          </w:tcPr>
          <w:p>
            <w:pPr>
              <w:spacing w:after="0" w:line="240" w:lineRule="auto"/>
              <w:ind w:left="-140"/>
              <w:jc w:val="center"/>
              <w:rPr>
                <w:rFonts w:ascii="Times New Roman" w:eastAsia="Times New Roman" w:hAnsi="Times New Roman" w:cs="Times New Roman"/>
                <w:noProof/>
                <w:sz w:val="16"/>
                <w:szCs w:val="16"/>
              </w:rPr>
            </w:pPr>
            <w:r>
              <w:rPr>
                <w:rFonts w:ascii="Times New Roman" w:hAnsi="Times New Roman"/>
                <w:noProof/>
                <w:sz w:val="16"/>
                <w:szCs w:val="16"/>
              </w:rPr>
              <w:t>6 234 000</w:t>
            </w:r>
          </w:p>
        </w:tc>
        <w:tc>
          <w:tcPr>
            <w:tcW w:w="833" w:type="dxa"/>
            <w:tcBorders>
              <w:top w:val="nil"/>
              <w:left w:val="nil"/>
              <w:bottom w:val="single" w:sz="4" w:space="0" w:color="C0C0C0"/>
              <w:right w:val="nil"/>
            </w:tcBorders>
            <w:shd w:val="clear" w:color="000000" w:fill="A6E6E6"/>
            <w:noWrap/>
            <w:vAlign w:val="bottom"/>
            <w:hideMark/>
          </w:tcPr>
          <w:p>
            <w:pPr>
              <w:spacing w:after="0" w:line="240" w:lineRule="auto"/>
              <w:ind w:left="-114"/>
              <w:jc w:val="center"/>
              <w:rPr>
                <w:rFonts w:ascii="Times New Roman" w:eastAsia="Times New Roman" w:hAnsi="Times New Roman" w:cs="Times New Roman"/>
                <w:noProof/>
                <w:sz w:val="16"/>
                <w:szCs w:val="16"/>
              </w:rPr>
            </w:pPr>
            <w:r>
              <w:rPr>
                <w:rFonts w:ascii="Times New Roman" w:hAnsi="Times New Roman"/>
                <w:noProof/>
                <w:sz w:val="16"/>
                <w:szCs w:val="16"/>
              </w:rPr>
              <w:t>6 150 000</w:t>
            </w:r>
          </w:p>
        </w:tc>
        <w:tc>
          <w:tcPr>
            <w:tcW w:w="987" w:type="dxa"/>
            <w:tcBorders>
              <w:top w:val="nil"/>
              <w:left w:val="nil"/>
              <w:bottom w:val="single" w:sz="4" w:space="0" w:color="C0C0C0"/>
              <w:right w:val="nil"/>
            </w:tcBorders>
            <w:shd w:val="clear" w:color="000000" w:fill="A6E6E6"/>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5 964 000</w:t>
            </w:r>
          </w:p>
        </w:tc>
        <w:tc>
          <w:tcPr>
            <w:tcW w:w="1218" w:type="dxa"/>
            <w:tcBorders>
              <w:top w:val="nil"/>
              <w:left w:val="nil"/>
              <w:bottom w:val="single" w:sz="4" w:space="0" w:color="C0C0C0"/>
              <w:right w:val="nil"/>
            </w:tcBorders>
            <w:shd w:val="clear" w:color="000000" w:fill="A6E6E6"/>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5 920 000</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Белгия</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141 521</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140 993</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170 562</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165 016</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160 615</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134 506</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126 835</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107 425</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106 458</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България</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38 600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55 330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69 287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62 937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57 532</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61 673</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80 862</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85 946</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92 706</w:t>
            </w:r>
          </w:p>
        </w:tc>
      </w:tr>
      <w:tr>
        <w:trPr>
          <w:trHeight w:val="281"/>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Чехия</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147 259</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155 425</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145 447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132 452</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125 587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121 838</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131 987</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139 440</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145 928</w:t>
            </w:r>
          </w:p>
        </w:tc>
      </w:tr>
      <w:tr>
        <w:trPr>
          <w:trHeight w:val="329"/>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Дания</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101 042</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96 830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100 480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93 487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106 504</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125 650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6" w:firstLine="26"/>
              <w:jc w:val="center"/>
              <w:rPr>
                <w:rFonts w:ascii="Times New Roman" w:eastAsia="Times New Roman" w:hAnsi="Times New Roman" w:cs="Times New Roman"/>
                <w:noProof/>
                <w:sz w:val="16"/>
                <w:szCs w:val="16"/>
              </w:rPr>
            </w:pPr>
            <w:r>
              <w:rPr>
                <w:rFonts w:ascii="Times New Roman" w:hAnsi="Times New Roman"/>
                <w:noProof/>
                <w:sz w:val="16"/>
                <w:szCs w:val="16"/>
              </w:rPr>
              <w:t>104 413</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98 929</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89 039</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Германия</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417 534</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left="-70"/>
              <w:rPr>
                <w:rFonts w:ascii="Times New Roman" w:eastAsia="Times New Roman" w:hAnsi="Times New Roman" w:cs="Times New Roman"/>
                <w:noProof/>
                <w:sz w:val="16"/>
                <w:szCs w:val="16"/>
              </w:rPr>
            </w:pPr>
            <w:r>
              <w:rPr>
                <w:rFonts w:ascii="Times New Roman" w:hAnsi="Times New Roman"/>
                <w:noProof/>
                <w:sz w:val="16"/>
                <w:szCs w:val="16"/>
              </w:rPr>
              <w:t>1 778 593</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500 193</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466 160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476 601</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500 322</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512 163</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473 386</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412 801</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Естония</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13 843</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7 528</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7 268</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11 413</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12 835</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14 712</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14 720</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12 884</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11 184</w:t>
            </w:r>
          </w:p>
        </w:tc>
      </w:tr>
      <w:tr>
        <w:trPr>
          <w:trHeight w:val="70"/>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Ирландия</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127 612</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152 455</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158 237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134 960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102 073</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92 467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86 950</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74 910</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98 213</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Гърция</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55 201</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115 670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95 162</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112 454</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84 456</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86 205</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82 863</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87 050</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46 573</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Испания</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748 071</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952 367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839 637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671 927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leftChars="-4" w:left="-1" w:hangingChars="5" w:hanging="8"/>
              <w:jc w:val="center"/>
              <w:rPr>
                <w:rFonts w:ascii="Times New Roman" w:eastAsia="Times New Roman" w:hAnsi="Times New Roman" w:cs="Times New Roman"/>
                <w:noProof/>
                <w:sz w:val="16"/>
                <w:szCs w:val="16"/>
              </w:rPr>
            </w:pPr>
            <w:r>
              <w:rPr>
                <w:rFonts w:ascii="Times New Roman" w:hAnsi="Times New Roman"/>
                <w:noProof/>
                <w:sz w:val="16"/>
                <w:szCs w:val="16"/>
              </w:rPr>
              <w:t>687 824</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734 776</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6" w:firstLine="26"/>
              <w:jc w:val="center"/>
              <w:rPr>
                <w:rFonts w:ascii="Times New Roman" w:eastAsia="Times New Roman" w:hAnsi="Times New Roman" w:cs="Times New Roman"/>
                <w:noProof/>
                <w:sz w:val="16"/>
                <w:szCs w:val="16"/>
              </w:rPr>
            </w:pPr>
            <w:r>
              <w:rPr>
                <w:rFonts w:ascii="Times New Roman" w:hAnsi="Times New Roman"/>
                <w:noProof/>
                <w:sz w:val="16"/>
                <w:szCs w:val="16"/>
              </w:rPr>
              <w:t>724 820</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689 760</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611 446</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Франция</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left="-66"/>
              <w:jc w:val="center"/>
              <w:rPr>
                <w:rFonts w:ascii="Times New Roman" w:eastAsia="Times New Roman" w:hAnsi="Times New Roman" w:cs="Times New Roman"/>
                <w:noProof/>
                <w:sz w:val="16"/>
                <w:szCs w:val="16"/>
              </w:rPr>
            </w:pPr>
            <w:r>
              <w:rPr>
                <w:rFonts w:ascii="Times New Roman" w:hAnsi="Times New Roman"/>
                <w:noProof/>
                <w:sz w:val="16"/>
                <w:szCs w:val="16"/>
              </w:rPr>
              <w:t>1 109 876</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left="-70"/>
              <w:rPr>
                <w:rFonts w:ascii="Times New Roman" w:eastAsia="Times New Roman" w:hAnsi="Times New Roman" w:cs="Times New Roman"/>
                <w:noProof/>
                <w:sz w:val="16"/>
                <w:szCs w:val="16"/>
              </w:rPr>
            </w:pPr>
            <w:r>
              <w:rPr>
                <w:rFonts w:ascii="Times New Roman" w:hAnsi="Times New Roman"/>
                <w:noProof/>
                <w:sz w:val="16"/>
                <w:szCs w:val="16"/>
              </w:rPr>
              <w:t>1 570 593</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left="-45"/>
              <w:jc w:val="center"/>
              <w:rPr>
                <w:rFonts w:ascii="Times New Roman" w:eastAsia="Times New Roman" w:hAnsi="Times New Roman" w:cs="Times New Roman"/>
                <w:noProof/>
                <w:sz w:val="16"/>
                <w:szCs w:val="16"/>
              </w:rPr>
            </w:pPr>
            <w:r>
              <w:rPr>
                <w:rFonts w:ascii="Times New Roman" w:hAnsi="Times New Roman"/>
                <w:noProof/>
                <w:sz w:val="16"/>
                <w:szCs w:val="16"/>
              </w:rPr>
              <w:t>1 583 283</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left="-34"/>
              <w:jc w:val="center"/>
              <w:rPr>
                <w:rFonts w:ascii="Times New Roman" w:eastAsia="Times New Roman" w:hAnsi="Times New Roman" w:cs="Times New Roman"/>
                <w:noProof/>
                <w:sz w:val="16"/>
                <w:szCs w:val="16"/>
              </w:rPr>
            </w:pPr>
            <w:r>
              <w:rPr>
                <w:rFonts w:ascii="Times New Roman" w:hAnsi="Times New Roman"/>
                <w:noProof/>
                <w:sz w:val="16"/>
                <w:szCs w:val="16"/>
              </w:rPr>
              <w:t>1 515 432</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left="-150"/>
              <w:jc w:val="center"/>
              <w:rPr>
                <w:rFonts w:ascii="Times New Roman" w:eastAsia="Times New Roman" w:hAnsi="Times New Roman" w:cs="Times New Roman"/>
                <w:noProof/>
                <w:sz w:val="16"/>
                <w:szCs w:val="16"/>
              </w:rPr>
            </w:pPr>
            <w:r>
              <w:rPr>
                <w:rFonts w:ascii="Times New Roman" w:hAnsi="Times New Roman"/>
                <w:noProof/>
                <w:sz w:val="16"/>
                <w:szCs w:val="16"/>
              </w:rPr>
              <w:t>1 209 477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left="-140"/>
              <w:jc w:val="center"/>
              <w:rPr>
                <w:rFonts w:ascii="Times New Roman" w:eastAsia="Times New Roman" w:hAnsi="Times New Roman" w:cs="Times New Roman"/>
                <w:noProof/>
                <w:sz w:val="16"/>
                <w:szCs w:val="16"/>
              </w:rPr>
            </w:pPr>
            <w:r>
              <w:rPr>
                <w:rFonts w:ascii="Times New Roman" w:hAnsi="Times New Roman"/>
                <w:noProof/>
                <w:sz w:val="16"/>
                <w:szCs w:val="16"/>
              </w:rPr>
              <w:t>1 115 280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left="-114"/>
              <w:jc w:val="center"/>
              <w:rPr>
                <w:rFonts w:ascii="Times New Roman" w:eastAsia="Times New Roman" w:hAnsi="Times New Roman" w:cs="Times New Roman"/>
                <w:noProof/>
                <w:sz w:val="16"/>
                <w:szCs w:val="16"/>
              </w:rPr>
            </w:pPr>
            <w:r>
              <w:rPr>
                <w:rFonts w:ascii="Times New Roman" w:hAnsi="Times New Roman"/>
                <w:noProof/>
                <w:sz w:val="16"/>
                <w:szCs w:val="16"/>
              </w:rPr>
              <w:t>1 084 766</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1 016 326</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1 046 083</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Хърватия</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35 213</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32 135</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19 388</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16 900</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20 386</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Италия</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left="-66"/>
              <w:jc w:val="center"/>
              <w:rPr>
                <w:rFonts w:ascii="Times New Roman" w:eastAsia="Times New Roman" w:hAnsi="Times New Roman" w:cs="Times New Roman"/>
                <w:noProof/>
                <w:sz w:val="16"/>
                <w:szCs w:val="16"/>
              </w:rPr>
            </w:pPr>
            <w:r>
              <w:rPr>
                <w:rFonts w:ascii="Times New Roman" w:hAnsi="Times New Roman"/>
                <w:noProof/>
                <w:sz w:val="16"/>
                <w:szCs w:val="16"/>
              </w:rPr>
              <w:t>1 203 184</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left="-70"/>
              <w:jc w:val="center"/>
              <w:rPr>
                <w:rFonts w:ascii="Times New Roman" w:eastAsia="Times New Roman" w:hAnsi="Times New Roman" w:cs="Times New Roman"/>
                <w:noProof/>
                <w:sz w:val="16"/>
                <w:szCs w:val="16"/>
              </w:rPr>
            </w:pPr>
            <w:r>
              <w:rPr>
                <w:rFonts w:ascii="Times New Roman" w:hAnsi="Times New Roman"/>
                <w:noProof/>
                <w:sz w:val="16"/>
                <w:szCs w:val="16"/>
              </w:rPr>
              <w:t>1 610 137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left="-45"/>
              <w:jc w:val="center"/>
              <w:rPr>
                <w:rFonts w:ascii="Times New Roman" w:eastAsia="Times New Roman" w:hAnsi="Times New Roman" w:cs="Times New Roman"/>
                <w:noProof/>
                <w:sz w:val="16"/>
                <w:szCs w:val="16"/>
              </w:rPr>
            </w:pPr>
            <w:r>
              <w:rPr>
                <w:rFonts w:ascii="Times New Roman" w:hAnsi="Times New Roman"/>
                <w:noProof/>
                <w:sz w:val="16"/>
                <w:szCs w:val="16"/>
              </w:rPr>
              <w:t>1 246 546</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952 461</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902 611</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876 052</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6" w:firstLine="26"/>
              <w:jc w:val="center"/>
              <w:rPr>
                <w:rFonts w:ascii="Times New Roman" w:eastAsia="Times New Roman" w:hAnsi="Times New Roman" w:cs="Times New Roman"/>
                <w:noProof/>
                <w:sz w:val="16"/>
                <w:szCs w:val="16"/>
              </w:rPr>
            </w:pPr>
            <w:r>
              <w:rPr>
                <w:rFonts w:ascii="Times New Roman" w:hAnsi="Times New Roman"/>
                <w:noProof/>
                <w:sz w:val="16"/>
                <w:szCs w:val="16"/>
              </w:rPr>
              <w:t>853 584</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958 245</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978 960</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Кипър</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14 273</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17 303</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13 219</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17 145</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17 547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13 212</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11 160</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8293</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5 151</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Латвия</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10 968</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10 590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10 640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9 387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10 228</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9 003</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9 268</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8 924</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8 049</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Литва</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19 534</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19 656</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23 351</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26 619</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22 885</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26 482</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29 982</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26 546</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21 306</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ind w:left="-105"/>
              <w:rPr>
                <w:rFonts w:ascii="Times New Roman" w:eastAsia="Times New Roman" w:hAnsi="Times New Roman" w:cs="Times New Roman"/>
                <w:b/>
                <w:bCs/>
                <w:noProof/>
                <w:sz w:val="16"/>
                <w:szCs w:val="16"/>
              </w:rPr>
            </w:pPr>
            <w:r>
              <w:rPr>
                <w:rFonts w:ascii="Times New Roman" w:hAnsi="Times New Roman"/>
                <w:b/>
                <w:bCs/>
                <w:noProof/>
                <w:sz w:val="16"/>
                <w:szCs w:val="16"/>
              </w:rPr>
              <w:t xml:space="preserve">  Люксембург</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2 865</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6 908</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6 303</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2 341</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2 834</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2 290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2 225</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1 617</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1 854</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Унгария</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37 196</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26 020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15 907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13 043</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15 357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14 897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15 283</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16 788</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15 141</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Малта</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 xml:space="preserve"> 330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2 526</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2 530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1 198</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2 646</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4 509</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Нидерландия</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152 175</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191 980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232 448</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195 052</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leftChars="-4" w:left="-1" w:hangingChars="5" w:hanging="8"/>
              <w:jc w:val="center"/>
              <w:rPr>
                <w:rFonts w:ascii="Times New Roman" w:eastAsia="Times New Roman" w:hAnsi="Times New Roman" w:cs="Times New Roman"/>
                <w:noProof/>
                <w:sz w:val="16"/>
                <w:szCs w:val="16"/>
              </w:rPr>
            </w:pPr>
            <w:r>
              <w:rPr>
                <w:rFonts w:ascii="Times New Roman" w:hAnsi="Times New Roman"/>
                <w:noProof/>
                <w:sz w:val="16"/>
                <w:szCs w:val="16"/>
              </w:rPr>
              <w:t>187 143</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183 451</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6" w:firstLine="26"/>
              <w:jc w:val="center"/>
              <w:rPr>
                <w:rFonts w:ascii="Times New Roman" w:eastAsia="Times New Roman" w:hAnsi="Times New Roman" w:cs="Times New Roman"/>
                <w:noProof/>
                <w:sz w:val="16"/>
                <w:szCs w:val="16"/>
              </w:rPr>
            </w:pPr>
            <w:r>
              <w:rPr>
                <w:rFonts w:ascii="Times New Roman" w:hAnsi="Times New Roman"/>
                <w:noProof/>
                <w:sz w:val="16"/>
                <w:szCs w:val="16"/>
              </w:rPr>
              <w:t>188 487</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167 777</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197 488</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Австрия</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56" w:firstLine="90"/>
              <w:jc w:val="center"/>
              <w:rPr>
                <w:rFonts w:ascii="Times New Roman" w:eastAsia="Times New Roman" w:hAnsi="Times New Roman" w:cs="Times New Roman"/>
                <w:noProof/>
                <w:sz w:val="16"/>
                <w:szCs w:val="16"/>
              </w:rPr>
            </w:pPr>
            <w:r>
              <w:rPr>
                <w:rFonts w:ascii="Times New Roman" w:hAnsi="Times New Roman"/>
                <w:noProof/>
                <w:sz w:val="16"/>
                <w:szCs w:val="16"/>
              </w:rPr>
              <w:t>63 975</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87 364</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82 144</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80 004</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64 809</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73 993</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59 904</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47 926</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48 077</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Полша</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189 871</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210 218</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leftChars="-13" w:hangingChars="18" w:hanging="29"/>
              <w:jc w:val="center"/>
              <w:rPr>
                <w:rFonts w:ascii="Times New Roman" w:eastAsia="Times New Roman" w:hAnsi="Times New Roman" w:cs="Times New Roman"/>
                <w:noProof/>
                <w:sz w:val="16"/>
                <w:szCs w:val="16"/>
              </w:rPr>
            </w:pPr>
            <w:r>
              <w:rPr>
                <w:rFonts w:ascii="Times New Roman" w:hAnsi="Times New Roman"/>
                <w:noProof/>
                <w:sz w:val="16"/>
                <w:szCs w:val="16"/>
              </w:rPr>
              <w:t>259 576</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295 152</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344 809</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402 416</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6" w:firstLine="26"/>
              <w:jc w:val="center"/>
              <w:rPr>
                <w:rFonts w:ascii="Times New Roman" w:eastAsia="Times New Roman" w:hAnsi="Times New Roman" w:cs="Times New Roman"/>
                <w:noProof/>
                <w:sz w:val="16"/>
                <w:szCs w:val="16"/>
              </w:rPr>
            </w:pPr>
            <w:r>
              <w:rPr>
                <w:rFonts w:ascii="Times New Roman" w:hAnsi="Times New Roman"/>
                <w:noProof/>
                <w:sz w:val="16"/>
                <w:szCs w:val="16"/>
              </w:rPr>
              <w:t>454 737</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478 202</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leftChars="-2" w:left="1" w:hangingChars="3" w:hanging="5"/>
              <w:jc w:val="center"/>
              <w:rPr>
                <w:rFonts w:ascii="Times New Roman" w:eastAsia="Times New Roman" w:hAnsi="Times New Roman" w:cs="Times New Roman"/>
                <w:noProof/>
                <w:sz w:val="16"/>
                <w:szCs w:val="16"/>
              </w:rPr>
            </w:pPr>
            <w:r>
              <w:rPr>
                <w:rFonts w:ascii="Times New Roman" w:hAnsi="Times New Roman"/>
                <w:noProof/>
                <w:sz w:val="16"/>
                <w:szCs w:val="16"/>
              </w:rPr>
              <w:t>380 529</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Португалия</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107 746</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107 946</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107 419</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77 929</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92 008</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92 112</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86 713</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84 158</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88 559</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Румъния</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56" w:firstLine="90"/>
              <w:jc w:val="center"/>
              <w:rPr>
                <w:rFonts w:ascii="Times New Roman" w:eastAsia="Times New Roman" w:hAnsi="Times New Roman" w:cs="Times New Roman"/>
                <w:noProof/>
                <w:sz w:val="16"/>
                <w:szCs w:val="16"/>
              </w:rPr>
            </w:pPr>
            <w:r>
              <w:rPr>
                <w:rFonts w:ascii="Times New Roman" w:hAnsi="Times New Roman"/>
                <w:noProof/>
                <w:sz w:val="16"/>
                <w:szCs w:val="16"/>
              </w:rPr>
              <w:t>51 577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55 875</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190 790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128 839</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57 950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37 989</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42 138</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41 886</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Словения</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6 780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7 043</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6 807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6 598</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5 447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6 260</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Словакия</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56" w:firstLine="90"/>
              <w:jc w:val="center"/>
              <w:rPr>
                <w:rFonts w:ascii="Times New Roman" w:eastAsia="Times New Roman" w:hAnsi="Times New Roman" w:cs="Times New Roman"/>
                <w:noProof/>
                <w:sz w:val="16"/>
                <w:szCs w:val="16"/>
              </w:rPr>
            </w:pPr>
            <w:r>
              <w:rPr>
                <w:rFonts w:ascii="Times New Roman" w:hAnsi="Times New Roman"/>
                <w:noProof/>
                <w:sz w:val="16"/>
                <w:szCs w:val="16"/>
              </w:rPr>
              <w:t>39 769</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67 795</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9" w:firstLine="14"/>
              <w:jc w:val="center"/>
              <w:rPr>
                <w:rFonts w:ascii="Times New Roman" w:eastAsia="Times New Roman" w:hAnsi="Times New Roman" w:cs="Times New Roman"/>
                <w:noProof/>
                <w:sz w:val="16"/>
                <w:szCs w:val="16"/>
              </w:rPr>
            </w:pPr>
            <w:r>
              <w:rPr>
                <w:rFonts w:ascii="Times New Roman" w:hAnsi="Times New Roman"/>
                <w:noProof/>
                <w:sz w:val="16"/>
                <w:szCs w:val="16"/>
              </w:rPr>
              <w:t>35 174</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39 171</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33 469</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36 858</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29 175</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26 176</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36 931</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Финландия</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28" w:firstLine="45"/>
              <w:jc w:val="center"/>
              <w:rPr>
                <w:rFonts w:ascii="Times New Roman" w:eastAsia="Times New Roman" w:hAnsi="Times New Roman" w:cs="Times New Roman"/>
                <w:noProof/>
                <w:sz w:val="16"/>
                <w:szCs w:val="16"/>
              </w:rPr>
            </w:pPr>
            <w:r>
              <w:rPr>
                <w:rFonts w:ascii="Times New Roman" w:hAnsi="Times New Roman"/>
                <w:noProof/>
                <w:sz w:val="16"/>
                <w:szCs w:val="16"/>
              </w:rPr>
              <w:t>103 000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96 270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9" w:firstLine="14"/>
              <w:jc w:val="center"/>
              <w:rPr>
                <w:rFonts w:ascii="Times New Roman" w:eastAsia="Times New Roman" w:hAnsi="Times New Roman" w:cs="Times New Roman"/>
                <w:noProof/>
                <w:sz w:val="16"/>
                <w:szCs w:val="16"/>
              </w:rPr>
            </w:pPr>
            <w:r>
              <w:rPr>
                <w:rFonts w:ascii="Times New Roman" w:hAnsi="Times New Roman"/>
                <w:noProof/>
                <w:sz w:val="16"/>
                <w:szCs w:val="16"/>
              </w:rPr>
              <w:t>119 000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136 000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3" w:firstLine="21"/>
              <w:jc w:val="center"/>
              <w:rPr>
                <w:rFonts w:ascii="Times New Roman" w:eastAsia="Times New Roman" w:hAnsi="Times New Roman" w:cs="Times New Roman"/>
                <w:noProof/>
                <w:sz w:val="16"/>
                <w:szCs w:val="16"/>
              </w:rPr>
            </w:pPr>
            <w:r>
              <w:rPr>
                <w:rFonts w:ascii="Times New Roman" w:hAnsi="Times New Roman"/>
                <w:noProof/>
                <w:sz w:val="16"/>
                <w:szCs w:val="16"/>
              </w:rPr>
              <w:t>119 000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99 300</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94 540</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99 630</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114 460</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Швеция</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150 197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133 589</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9" w:firstLine="14"/>
              <w:jc w:val="center"/>
              <w:rPr>
                <w:rFonts w:ascii="Times New Roman" w:eastAsia="Times New Roman" w:hAnsi="Times New Roman" w:cs="Times New Roman"/>
                <w:noProof/>
                <w:sz w:val="16"/>
                <w:szCs w:val="16"/>
              </w:rPr>
            </w:pPr>
            <w:r>
              <w:rPr>
                <w:rFonts w:ascii="Times New Roman" w:hAnsi="Times New Roman"/>
                <w:noProof/>
                <w:sz w:val="16"/>
                <w:szCs w:val="16"/>
              </w:rPr>
              <w:t>170 658</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184 105</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3" w:firstLine="21"/>
              <w:jc w:val="center"/>
              <w:rPr>
                <w:rFonts w:ascii="Times New Roman" w:eastAsia="Times New Roman" w:hAnsi="Times New Roman" w:cs="Times New Roman"/>
                <w:noProof/>
                <w:sz w:val="16"/>
                <w:szCs w:val="16"/>
              </w:rPr>
            </w:pPr>
            <w:r>
              <w:rPr>
                <w:rFonts w:ascii="Times New Roman" w:hAnsi="Times New Roman"/>
                <w:noProof/>
                <w:sz w:val="16"/>
                <w:szCs w:val="16"/>
              </w:rPr>
              <w:t>185 616</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189 748</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35" w:firstLine="56"/>
              <w:jc w:val="center"/>
              <w:rPr>
                <w:rFonts w:ascii="Times New Roman" w:eastAsia="Times New Roman" w:hAnsi="Times New Roman" w:cs="Times New Roman"/>
                <w:noProof/>
                <w:sz w:val="16"/>
                <w:szCs w:val="16"/>
              </w:rPr>
            </w:pPr>
            <w:r>
              <w:rPr>
                <w:rFonts w:ascii="Times New Roman" w:hAnsi="Times New Roman"/>
                <w:noProof/>
                <w:sz w:val="16"/>
                <w:szCs w:val="16"/>
              </w:rPr>
              <w:t>186 967</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188 810</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186 875</w:t>
            </w:r>
          </w:p>
        </w:tc>
      </w:tr>
      <w:tr>
        <w:trPr>
          <w:trHeight w:val="212"/>
        </w:trPr>
        <w:tc>
          <w:tcPr>
            <w:tcW w:w="1098" w:type="dxa"/>
            <w:tcBorders>
              <w:top w:val="nil"/>
              <w:left w:val="nil"/>
              <w:bottom w:val="single" w:sz="4" w:space="0" w:color="00000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Обединено кралство</w:t>
            </w:r>
          </w:p>
        </w:tc>
        <w:tc>
          <w:tcPr>
            <w:tcW w:w="833" w:type="dxa"/>
            <w:tcBorders>
              <w:top w:val="nil"/>
              <w:left w:val="nil"/>
              <w:bottom w:val="single" w:sz="4" w:space="0" w:color="000000"/>
              <w:right w:val="nil"/>
            </w:tcBorders>
            <w:shd w:val="clear" w:color="000000" w:fill="FFFFFF"/>
            <w:noWrap/>
            <w:vAlign w:val="bottom"/>
            <w:hideMark/>
          </w:tcPr>
          <w:p>
            <w:pPr>
              <w:spacing w:after="0" w:line="240" w:lineRule="auto"/>
              <w:ind w:left="-45"/>
              <w:jc w:val="center"/>
              <w:rPr>
                <w:rFonts w:ascii="Times New Roman" w:eastAsia="Times New Roman" w:hAnsi="Times New Roman" w:cs="Times New Roman"/>
                <w:noProof/>
                <w:sz w:val="16"/>
                <w:szCs w:val="16"/>
              </w:rPr>
            </w:pPr>
            <w:r>
              <w:rPr>
                <w:rFonts w:ascii="Times New Roman" w:hAnsi="Times New Roman"/>
                <w:noProof/>
                <w:sz w:val="16"/>
                <w:szCs w:val="16"/>
              </w:rPr>
              <w:t>1 210 294</w:t>
            </w:r>
          </w:p>
        </w:tc>
        <w:tc>
          <w:tcPr>
            <w:tcW w:w="833" w:type="dxa"/>
            <w:tcBorders>
              <w:top w:val="nil"/>
              <w:left w:val="nil"/>
              <w:bottom w:val="single" w:sz="4" w:space="0" w:color="000000"/>
              <w:right w:val="nil"/>
            </w:tcBorders>
            <w:shd w:val="clear" w:color="000000" w:fill="FFFFFF"/>
            <w:noWrap/>
            <w:vAlign w:val="bottom"/>
            <w:hideMark/>
          </w:tcPr>
          <w:p>
            <w:pPr>
              <w:spacing w:after="0" w:line="240" w:lineRule="auto"/>
              <w:ind w:left="-40"/>
              <w:jc w:val="center"/>
              <w:rPr>
                <w:rFonts w:ascii="Times New Roman" w:eastAsia="Times New Roman" w:hAnsi="Times New Roman" w:cs="Times New Roman"/>
                <w:noProof/>
                <w:sz w:val="16"/>
                <w:szCs w:val="16"/>
              </w:rPr>
            </w:pPr>
            <w:r>
              <w:rPr>
                <w:rFonts w:ascii="Times New Roman" w:hAnsi="Times New Roman"/>
                <w:noProof/>
                <w:sz w:val="16"/>
                <w:szCs w:val="16"/>
              </w:rPr>
              <w:t>1 327 517</w:t>
            </w:r>
          </w:p>
        </w:tc>
        <w:tc>
          <w:tcPr>
            <w:tcW w:w="833" w:type="dxa"/>
            <w:tcBorders>
              <w:top w:val="nil"/>
              <w:left w:val="nil"/>
              <w:bottom w:val="single" w:sz="4" w:space="0" w:color="000000"/>
              <w:right w:val="nil"/>
            </w:tcBorders>
            <w:shd w:val="clear" w:color="000000" w:fill="FFFFFF"/>
            <w:noWrap/>
            <w:vAlign w:val="bottom"/>
            <w:hideMark/>
          </w:tcPr>
          <w:p>
            <w:pPr>
              <w:spacing w:after="0" w:line="240" w:lineRule="auto"/>
              <w:ind w:left="-126"/>
              <w:jc w:val="center"/>
              <w:rPr>
                <w:rFonts w:ascii="Times New Roman" w:eastAsia="Times New Roman" w:hAnsi="Times New Roman" w:cs="Times New Roman"/>
                <w:noProof/>
                <w:sz w:val="16"/>
                <w:szCs w:val="16"/>
              </w:rPr>
            </w:pPr>
            <w:r>
              <w:rPr>
                <w:rFonts w:ascii="Times New Roman" w:hAnsi="Times New Roman"/>
                <w:noProof/>
                <w:sz w:val="16"/>
                <w:szCs w:val="16"/>
              </w:rPr>
              <w:t>1 157 438</w:t>
            </w:r>
          </w:p>
        </w:tc>
        <w:tc>
          <w:tcPr>
            <w:tcW w:w="833" w:type="dxa"/>
            <w:tcBorders>
              <w:top w:val="nil"/>
              <w:left w:val="nil"/>
              <w:bottom w:val="single" w:sz="4" w:space="0" w:color="000000"/>
              <w:right w:val="nil"/>
            </w:tcBorders>
            <w:shd w:val="clear" w:color="000000" w:fill="FFFFFF"/>
            <w:noWrap/>
            <w:vAlign w:val="bottom"/>
            <w:hideMark/>
          </w:tcPr>
          <w:p>
            <w:pPr>
              <w:spacing w:after="0" w:line="240" w:lineRule="auto"/>
              <w:ind w:left="-146"/>
              <w:jc w:val="center"/>
              <w:rPr>
                <w:rFonts w:ascii="Times New Roman" w:eastAsia="Times New Roman" w:hAnsi="Times New Roman" w:cs="Times New Roman"/>
                <w:noProof/>
                <w:sz w:val="16"/>
                <w:szCs w:val="16"/>
              </w:rPr>
            </w:pPr>
            <w:r>
              <w:rPr>
                <w:rFonts w:ascii="Times New Roman" w:hAnsi="Times New Roman"/>
                <w:noProof/>
                <w:sz w:val="16"/>
                <w:szCs w:val="16"/>
              </w:rPr>
              <w:t>1 220 873</w:t>
            </w:r>
          </w:p>
        </w:tc>
        <w:tc>
          <w:tcPr>
            <w:tcW w:w="833" w:type="dxa"/>
            <w:tcBorders>
              <w:top w:val="nil"/>
              <w:left w:val="nil"/>
              <w:bottom w:val="single" w:sz="4" w:space="0" w:color="000000"/>
              <w:right w:val="nil"/>
            </w:tcBorders>
            <w:shd w:val="clear" w:color="000000" w:fill="FFFFFF"/>
            <w:noWrap/>
            <w:vAlign w:val="bottom"/>
            <w:hideMark/>
          </w:tcPr>
          <w:p>
            <w:pPr>
              <w:spacing w:after="0" w:line="240" w:lineRule="auto"/>
              <w:ind w:left="-45"/>
              <w:jc w:val="center"/>
              <w:rPr>
                <w:rFonts w:ascii="Times New Roman" w:eastAsia="Times New Roman" w:hAnsi="Times New Roman" w:cs="Times New Roman"/>
                <w:noProof/>
                <w:sz w:val="16"/>
                <w:szCs w:val="16"/>
              </w:rPr>
            </w:pPr>
            <w:r>
              <w:rPr>
                <w:rFonts w:ascii="Times New Roman" w:hAnsi="Times New Roman"/>
                <w:noProof/>
                <w:sz w:val="16"/>
                <w:szCs w:val="16"/>
              </w:rPr>
              <w:t>1 163 123</w:t>
            </w:r>
          </w:p>
        </w:tc>
        <w:tc>
          <w:tcPr>
            <w:tcW w:w="833" w:type="dxa"/>
            <w:tcBorders>
              <w:top w:val="nil"/>
              <w:left w:val="nil"/>
              <w:bottom w:val="single" w:sz="4" w:space="0" w:color="000000"/>
              <w:right w:val="nil"/>
            </w:tcBorders>
            <w:shd w:val="clear" w:color="000000" w:fill="FFFFFF"/>
            <w:noWrap/>
            <w:vAlign w:val="bottom"/>
            <w:hideMark/>
          </w:tcPr>
          <w:p>
            <w:pPr>
              <w:spacing w:after="0" w:line="240" w:lineRule="auto"/>
              <w:ind w:left="-45"/>
              <w:jc w:val="center"/>
              <w:rPr>
                <w:rFonts w:ascii="Times New Roman" w:eastAsia="Times New Roman" w:hAnsi="Times New Roman" w:cs="Times New Roman"/>
                <w:noProof/>
                <w:sz w:val="16"/>
                <w:szCs w:val="16"/>
              </w:rPr>
            </w:pPr>
            <w:r>
              <w:rPr>
                <w:rFonts w:ascii="Times New Roman" w:hAnsi="Times New Roman"/>
                <w:noProof/>
                <w:sz w:val="16"/>
                <w:szCs w:val="16"/>
              </w:rPr>
              <w:t>1 149 459</w:t>
            </w:r>
          </w:p>
        </w:tc>
        <w:tc>
          <w:tcPr>
            <w:tcW w:w="833" w:type="dxa"/>
            <w:tcBorders>
              <w:top w:val="nil"/>
              <w:left w:val="nil"/>
              <w:bottom w:val="single" w:sz="4" w:space="0" w:color="000000"/>
              <w:right w:val="nil"/>
            </w:tcBorders>
            <w:shd w:val="clear" w:color="000000" w:fill="FFFFFF"/>
            <w:noWrap/>
            <w:vAlign w:val="bottom"/>
            <w:hideMark/>
          </w:tcPr>
          <w:p>
            <w:pPr>
              <w:spacing w:after="0" w:line="240" w:lineRule="auto"/>
              <w:ind w:leftChars="-31" w:left="1" w:hangingChars="43" w:hanging="69"/>
              <w:jc w:val="center"/>
              <w:rPr>
                <w:rFonts w:ascii="Times New Roman" w:eastAsia="Times New Roman" w:hAnsi="Times New Roman" w:cs="Times New Roman"/>
                <w:noProof/>
                <w:sz w:val="16"/>
                <w:szCs w:val="16"/>
              </w:rPr>
            </w:pPr>
            <w:r>
              <w:rPr>
                <w:rFonts w:ascii="Times New Roman" w:hAnsi="Times New Roman"/>
                <w:noProof/>
                <w:sz w:val="16"/>
                <w:szCs w:val="16"/>
              </w:rPr>
              <w:t>1 106 846</w:t>
            </w:r>
          </w:p>
        </w:tc>
        <w:tc>
          <w:tcPr>
            <w:tcW w:w="987" w:type="dxa"/>
            <w:tcBorders>
              <w:top w:val="nil"/>
              <w:left w:val="nil"/>
              <w:bottom w:val="single" w:sz="4" w:space="0" w:color="00000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995 527</w:t>
            </w:r>
          </w:p>
        </w:tc>
        <w:tc>
          <w:tcPr>
            <w:tcW w:w="1218" w:type="dxa"/>
            <w:tcBorders>
              <w:top w:val="nil"/>
              <w:left w:val="nil"/>
              <w:bottom w:val="single" w:sz="4" w:space="0" w:color="00000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1 103 050</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Исландия</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9 386</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5 109</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4 195</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4 075</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5 824</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4 463</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5 245</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6 063</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6 527</w:t>
            </w:r>
          </w:p>
        </w:tc>
      </w:tr>
      <w:tr>
        <w:trPr>
          <w:trHeight w:val="212"/>
        </w:trPr>
        <w:tc>
          <w:tcPr>
            <w:tcW w:w="1098" w:type="dxa"/>
            <w:tcBorders>
              <w:top w:val="nil"/>
              <w:left w:val="nil"/>
              <w:bottom w:val="single" w:sz="4" w:space="0" w:color="C0C0C0"/>
              <w:right w:val="nil"/>
            </w:tcBorders>
            <w:shd w:val="clear" w:color="000000" w:fill="FFFFFF"/>
            <w:noWrap/>
            <w:vAlign w:val="bottom"/>
            <w:hideMark/>
          </w:tcPr>
          <w:p>
            <w:pPr>
              <w:spacing w:after="0" w:line="240" w:lineRule="auto"/>
              <w:ind w:left="-105"/>
              <w:rPr>
                <w:rFonts w:ascii="Times New Roman" w:eastAsia="Times New Roman" w:hAnsi="Times New Roman" w:cs="Times New Roman"/>
                <w:b/>
                <w:bCs/>
                <w:noProof/>
                <w:sz w:val="16"/>
                <w:szCs w:val="16"/>
              </w:rPr>
            </w:pPr>
            <w:r>
              <w:rPr>
                <w:rFonts w:ascii="Times New Roman" w:hAnsi="Times New Roman"/>
                <w:b/>
                <w:bCs/>
                <w:noProof/>
                <w:sz w:val="16"/>
                <w:szCs w:val="16"/>
              </w:rPr>
              <w:t xml:space="preserve"> Лихтенщайн</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91</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72</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107</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94</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114</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326</w:t>
            </w:r>
          </w:p>
        </w:tc>
        <w:tc>
          <w:tcPr>
            <w:tcW w:w="833"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188</w:t>
            </w:r>
          </w:p>
        </w:tc>
        <w:tc>
          <w:tcPr>
            <w:tcW w:w="987"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230</w:t>
            </w:r>
          </w:p>
        </w:tc>
        <w:tc>
          <w:tcPr>
            <w:tcW w:w="1218" w:type="dxa"/>
            <w:tcBorders>
              <w:top w:val="nil"/>
              <w:left w:val="nil"/>
              <w:bottom w:val="single" w:sz="4" w:space="0" w:color="C0C0C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260</w:t>
            </w:r>
          </w:p>
        </w:tc>
      </w:tr>
      <w:tr>
        <w:trPr>
          <w:trHeight w:val="156"/>
        </w:trPr>
        <w:tc>
          <w:tcPr>
            <w:tcW w:w="1098" w:type="dxa"/>
            <w:tcBorders>
              <w:top w:val="nil"/>
              <w:left w:val="nil"/>
              <w:bottom w:val="single" w:sz="4" w:space="0" w:color="000000"/>
              <w:right w:val="nil"/>
            </w:tcBorders>
            <w:shd w:val="clear" w:color="000000" w:fill="FFFFFF"/>
            <w:noWrap/>
            <w:vAlign w:val="bottom"/>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Норвегия</w:t>
            </w:r>
          </w:p>
        </w:tc>
        <w:tc>
          <w:tcPr>
            <w:tcW w:w="833" w:type="dxa"/>
            <w:tcBorders>
              <w:top w:val="nil"/>
              <w:left w:val="nil"/>
              <w:bottom w:val="single" w:sz="4" w:space="0" w:color="00000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130 018</w:t>
            </w:r>
          </w:p>
        </w:tc>
        <w:tc>
          <w:tcPr>
            <w:tcW w:w="833" w:type="dxa"/>
            <w:tcBorders>
              <w:top w:val="nil"/>
              <w:left w:val="nil"/>
              <w:bottom w:val="single" w:sz="4" w:space="0" w:color="00000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95 000</w:t>
            </w:r>
          </w:p>
        </w:tc>
        <w:tc>
          <w:tcPr>
            <w:tcW w:w="833" w:type="dxa"/>
            <w:tcBorders>
              <w:top w:val="nil"/>
              <w:left w:val="nil"/>
              <w:bottom w:val="single" w:sz="4" w:space="0" w:color="00000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112 537</w:t>
            </w:r>
          </w:p>
        </w:tc>
        <w:tc>
          <w:tcPr>
            <w:tcW w:w="833" w:type="dxa"/>
            <w:tcBorders>
              <w:top w:val="nil"/>
              <w:left w:val="nil"/>
              <w:bottom w:val="single" w:sz="4" w:space="0" w:color="00000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124 563</w:t>
            </w:r>
          </w:p>
        </w:tc>
        <w:tc>
          <w:tcPr>
            <w:tcW w:w="833" w:type="dxa"/>
            <w:tcBorders>
              <w:top w:val="nil"/>
              <w:left w:val="nil"/>
              <w:bottom w:val="single" w:sz="4" w:space="0" w:color="000000"/>
              <w:right w:val="nil"/>
            </w:tcBorders>
            <w:shd w:val="clear" w:color="000000" w:fill="FFFFFF"/>
            <w:noWrap/>
            <w:vAlign w:val="bottom"/>
            <w:hideMark/>
          </w:tcPr>
          <w:p>
            <w:pPr>
              <w:spacing w:after="0" w:line="240" w:lineRule="auto"/>
              <w:ind w:firstLineChars="13" w:firstLine="21"/>
              <w:jc w:val="center"/>
              <w:rPr>
                <w:rFonts w:ascii="Times New Roman" w:eastAsia="Times New Roman" w:hAnsi="Times New Roman" w:cs="Times New Roman"/>
                <w:noProof/>
                <w:sz w:val="16"/>
                <w:szCs w:val="16"/>
              </w:rPr>
            </w:pPr>
            <w:r>
              <w:rPr>
                <w:rFonts w:ascii="Times New Roman" w:hAnsi="Times New Roman"/>
                <w:noProof/>
                <w:sz w:val="16"/>
                <w:szCs w:val="16"/>
              </w:rPr>
              <w:t>119 905</w:t>
            </w:r>
          </w:p>
        </w:tc>
        <w:tc>
          <w:tcPr>
            <w:tcW w:w="833" w:type="dxa"/>
            <w:tcBorders>
              <w:top w:val="nil"/>
              <w:left w:val="nil"/>
              <w:bottom w:val="single" w:sz="4" w:space="0" w:color="000000"/>
              <w:right w:val="nil"/>
            </w:tcBorders>
            <w:shd w:val="clear" w:color="000000" w:fill="FFFFFF"/>
            <w:noWrap/>
            <w:vAlign w:val="bottom"/>
            <w:hideMark/>
          </w:tcPr>
          <w:p>
            <w:pPr>
              <w:spacing w:after="0" w:line="240" w:lineRule="auto"/>
              <w:jc w:val="center"/>
              <w:rPr>
                <w:rFonts w:ascii="Times New Roman" w:eastAsia="Times New Roman" w:hAnsi="Times New Roman" w:cs="Times New Roman"/>
                <w:noProof/>
                <w:sz w:val="16"/>
                <w:szCs w:val="16"/>
              </w:rPr>
            </w:pPr>
            <w:r>
              <w:rPr>
                <w:rFonts w:ascii="Times New Roman" w:hAnsi="Times New Roman"/>
                <w:noProof/>
                <w:sz w:val="16"/>
                <w:szCs w:val="16"/>
              </w:rPr>
              <w:t>141 452</w:t>
            </w:r>
          </w:p>
        </w:tc>
        <w:tc>
          <w:tcPr>
            <w:tcW w:w="833" w:type="dxa"/>
            <w:tcBorders>
              <w:top w:val="nil"/>
              <w:left w:val="nil"/>
              <w:bottom w:val="single" w:sz="4" w:space="0" w:color="000000"/>
              <w:right w:val="nil"/>
            </w:tcBorders>
            <w:shd w:val="clear" w:color="000000" w:fill="FFFFFF"/>
            <w:noWrap/>
            <w:vAlign w:val="bottom"/>
            <w:hideMark/>
          </w:tcPr>
          <w:p>
            <w:pPr>
              <w:spacing w:after="0" w:line="240" w:lineRule="auto"/>
              <w:ind w:firstLineChars="26" w:firstLine="42"/>
              <w:jc w:val="center"/>
              <w:rPr>
                <w:rFonts w:ascii="Times New Roman" w:eastAsia="Times New Roman" w:hAnsi="Times New Roman" w:cs="Times New Roman"/>
                <w:noProof/>
                <w:sz w:val="16"/>
                <w:szCs w:val="16"/>
              </w:rPr>
            </w:pPr>
            <w:r>
              <w:rPr>
                <w:rFonts w:ascii="Times New Roman" w:hAnsi="Times New Roman"/>
                <w:noProof/>
                <w:sz w:val="16"/>
                <w:szCs w:val="16"/>
              </w:rPr>
              <w:t>139 920</w:t>
            </w:r>
          </w:p>
        </w:tc>
        <w:tc>
          <w:tcPr>
            <w:tcW w:w="987" w:type="dxa"/>
            <w:tcBorders>
              <w:top w:val="nil"/>
              <w:left w:val="nil"/>
              <w:bottom w:val="single" w:sz="4" w:space="0" w:color="00000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145 098</w:t>
            </w:r>
          </w:p>
        </w:tc>
        <w:tc>
          <w:tcPr>
            <w:tcW w:w="1218" w:type="dxa"/>
            <w:tcBorders>
              <w:top w:val="nil"/>
              <w:left w:val="nil"/>
              <w:bottom w:val="single" w:sz="4" w:space="0" w:color="000000"/>
              <w:right w:val="nil"/>
            </w:tcBorders>
            <w:shd w:val="clear" w:color="000000" w:fill="FFFFFF"/>
            <w:noWrap/>
            <w:vAlign w:val="bottom"/>
            <w:hideMark/>
          </w:tcPr>
          <w:p>
            <w:pPr>
              <w:spacing w:after="0" w:line="240" w:lineRule="auto"/>
              <w:ind w:firstLineChars="100" w:firstLine="160"/>
              <w:jc w:val="center"/>
              <w:rPr>
                <w:rFonts w:ascii="Times New Roman" w:eastAsia="Times New Roman" w:hAnsi="Times New Roman" w:cs="Times New Roman"/>
                <w:noProof/>
                <w:sz w:val="16"/>
                <w:szCs w:val="16"/>
              </w:rPr>
            </w:pPr>
            <w:r>
              <w:rPr>
                <w:rFonts w:ascii="Times New Roman" w:hAnsi="Times New Roman"/>
                <w:noProof/>
                <w:sz w:val="16"/>
                <w:szCs w:val="16"/>
              </w:rPr>
              <w:t>142 280</w:t>
            </w:r>
          </w:p>
        </w:tc>
      </w:tr>
    </w:tbl>
    <w:p>
      <w:pPr>
        <w:spacing w:before="240" w:after="240"/>
        <w:rPr>
          <w:rFonts w:ascii="Times New Roman" w:hAnsi="Times New Roman" w:cs="Times New Roman"/>
          <w:noProof/>
          <w:sz w:val="24"/>
          <w:szCs w:val="24"/>
        </w:rPr>
      </w:pPr>
      <w:r>
        <w:rPr>
          <w:rFonts w:ascii="Times New Roman" w:hAnsi="Times New Roman"/>
          <w:noProof/>
        </w:rPr>
        <w:t>Данните в таблицата се отнасят за докладваните излезли от употреба превозни средства, за които е издаден сертификат за унищожаване и които са третирани в разрешени съоръжения. В насоките, адресирани до държавите членки, Евростат отправя призив за докладване и на общия брой отчетени излезли от употреба превозни средства, а не само на тези, за които е издаден сертификат за унищожаване. Въпреки това много малко държави членки предоставят такива данни, тъй като докладването на отчетените излезли от употреба превозни средства не е задължително съгласно Директивата относно излезлите от употреба превозни средства и Решение 2005/293/ЕО на Комисията. Следователно за извършването на оценка на отчетените излезли от употреба превозни средства трябваше да бъдат използвани данни от други източници</w:t>
      </w:r>
      <w:r>
        <w:rPr>
          <w:rStyle w:val="FootnoteReference"/>
          <w:rFonts w:ascii="Times New Roman" w:hAnsi="Times New Roman"/>
          <w:noProof/>
        </w:rPr>
        <w:footnoteReference w:id="17"/>
      </w:r>
      <w:r>
        <w:rPr>
          <w:rFonts w:ascii="Times New Roman" w:hAnsi="Times New Roman"/>
          <w:noProof/>
        </w:rPr>
        <w:t>. При сравнението на данните за излезлите от употреба превозни средства, за които е издаден сертификат за унищожаване и които се третират от разрешени съоръжения, с данните за отчетените излезли от употреба превозни средства бяха констатирани някои несъответствия. Графиката по-долу, съдържаща се в неотдавнашното проучване на Комисията, показва броя на законно докладваните излезли от употреба превозни средства</w:t>
      </w:r>
      <w:r>
        <w:rPr>
          <w:rStyle w:val="FootnoteReference"/>
          <w:rFonts w:ascii="Times New Roman" w:hAnsi="Times New Roman"/>
          <w:noProof/>
        </w:rPr>
        <w:footnoteReference w:id="18"/>
      </w:r>
      <w:r>
        <w:rPr>
          <w:rFonts w:ascii="Times New Roman" w:hAnsi="Times New Roman"/>
          <w:noProof/>
        </w:rPr>
        <w:t xml:space="preserve"> (т.е. онези, за които е издаден сертификат за унищожаване и са законно третирани) и големия брой на излезлите от употреба автомобили с неизвестно местонахождение в ЕС през 2014 г. На графиката са изобразени вписванията на превозните средства в националните системи за регистрация и отписването им от автопарка на ЕС-28. Броят на излезлите от употреба превозни средства с неизвестно местонахождение продължава да поражда сериозна загриженост.</w:t>
      </w:r>
    </w:p>
    <w:p>
      <w:pPr>
        <w:spacing w:before="240" w:after="240"/>
        <w:rPr>
          <w:rFonts w:ascii="Times New Roman" w:hAnsi="Times New Roman" w:cs="Times New Roman"/>
          <w:noProof/>
          <w:sz w:val="24"/>
          <w:szCs w:val="24"/>
        </w:rPr>
      </w:pPr>
    </w:p>
    <w:p>
      <w:pPr>
        <w:spacing w:before="240" w:after="240"/>
        <w:rPr>
          <w:rFonts w:ascii="Times New Roman" w:hAnsi="Times New Roman" w:cs="Times New Roman"/>
          <w:noProof/>
          <w:sz w:val="24"/>
          <w:szCs w:val="24"/>
        </w:rPr>
      </w:pPr>
    </w:p>
    <w:p>
      <w:pPr>
        <w:spacing w:before="240" w:after="240"/>
        <w:rPr>
          <w:rFonts w:ascii="Times New Roman" w:hAnsi="Times New Roman" w:cs="Times New Roman"/>
          <w:noProof/>
          <w:sz w:val="24"/>
          <w:szCs w:val="24"/>
        </w:rPr>
      </w:pPr>
      <w:r>
        <w:rPr>
          <w:rFonts w:ascii="Times New Roman" w:hAnsi="Times New Roman"/>
          <w:noProof/>
          <w:lang w:val="en-GB" w:eastAsia="en-GB"/>
        </w:rPr>
        <w:drawing>
          <wp:inline distT="0" distB="0" distL="0" distR="0">
            <wp:extent cx="6296025" cy="2324686"/>
            <wp:effectExtent l="0" t="0" r="0" b="0"/>
            <wp:docPr id="1" name="Picture 1" descr="C:\Users\hatziar\AppData\Local\Microsoft\Windows\INetCache\Content.Outlook\YXDA63ZB\20191002_whereabouts_EU28exclBG_2016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tziar\AppData\Local\Microsoft\Windows\INetCache\Content.Outlook\YXDA63ZB\20191002_whereabouts_EU28exclBG_2016 (00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01746" cy="2326799"/>
                    </a:xfrm>
                    <a:prstGeom prst="rect">
                      <a:avLst/>
                    </a:prstGeom>
                    <a:noFill/>
                    <a:ln>
                      <a:noFill/>
                    </a:ln>
                  </pic:spPr>
                </pic:pic>
              </a:graphicData>
            </a:graphic>
          </wp:inline>
        </w:drawing>
      </w:r>
    </w:p>
    <w:p>
      <w:pPr>
        <w:spacing w:before="240" w:after="240"/>
        <w:rPr>
          <w:rFonts w:ascii="Times New Roman" w:hAnsi="Times New Roman" w:cs="Times New Roman"/>
          <w:noProof/>
          <w:sz w:val="24"/>
          <w:szCs w:val="24"/>
        </w:rPr>
      </w:pPr>
      <w:r>
        <w:rPr>
          <w:rFonts w:ascii="Times New Roman" w:hAnsi="Times New Roman"/>
          <w:noProof/>
        </w:rPr>
        <w:t xml:space="preserve">Една от вероятните причини за възникването на посочените несъответствия е описана в доклада на Финландия — в него се посочва, че някои граждани и оператори не предават излезлите от употреба превозни средства на официалната система на производителите за обратно приемане, в резултат на което общият брой на тези превозни средства надхвърля значително действителния брой на сертификатите за унищожаване. В доклада на Финландия също така се изтъква, че нарастването на броя на излезлите от употреба превозни средства, които са били подложени на подходящо третиране през 2017 г., може да се дължи на повишаването на цените на металите и подобренията в онлайн системата за прекратяване на регистрацията. </w:t>
      </w:r>
    </w:p>
    <w:p>
      <w:pPr>
        <w:spacing w:after="240"/>
        <w:rPr>
          <w:rFonts w:ascii="Times New Roman" w:hAnsi="Times New Roman" w:cs="Times New Roman"/>
          <w:noProof/>
          <w:sz w:val="24"/>
          <w:szCs w:val="24"/>
        </w:rPr>
      </w:pPr>
      <w:r>
        <w:rPr>
          <w:rFonts w:ascii="Times New Roman" w:hAnsi="Times New Roman"/>
          <w:noProof/>
        </w:rPr>
        <w:t>Германия докладва, че сравнително ниският брой на събраните и третирани излезли от употреба превозни средства в сравнение с приблизително 2,8 милиона автомобила, чиято регистрация се прекратява окончателно всяка година, се дължи на износа на употребявани автомобили, както и че с докладите, изготвени през 2017 г., се намаляват пропуските в статистиката по отношение на превозните средства с неизвестно местонахождение</w:t>
      </w:r>
      <w:r>
        <w:rPr>
          <w:rStyle w:val="FootnoteReference"/>
          <w:rFonts w:ascii="Times New Roman" w:hAnsi="Times New Roman"/>
          <w:noProof/>
        </w:rPr>
        <w:footnoteReference w:id="19"/>
      </w:r>
      <w:r>
        <w:rPr>
          <w:rFonts w:ascii="Times New Roman" w:hAnsi="Times New Roman"/>
          <w:noProof/>
          <w:vertAlign w:val="superscript"/>
        </w:rPr>
        <w:t>,</w:t>
      </w:r>
      <w:r>
        <w:rPr>
          <w:rStyle w:val="FootnoteReference"/>
          <w:rFonts w:ascii="Times New Roman" w:hAnsi="Times New Roman"/>
          <w:noProof/>
        </w:rPr>
        <w:footnoteReference w:id="20"/>
      </w:r>
      <w:r>
        <w:rPr>
          <w:rFonts w:ascii="Times New Roman" w:hAnsi="Times New Roman"/>
          <w:noProof/>
        </w:rPr>
        <w:t>. Отстраняването на тези пропуски е постигнато предимно чрез преизчисляване на действителния брой на моторните превозни средства с окончателно прекратена регистрация, както и чрез квалифицирани оценки на статистическите данни за износа на употребявани автомобили (за държави от ЕС и трети държави).</w:t>
      </w:r>
    </w:p>
    <w:p>
      <w:pPr>
        <w:spacing w:after="240"/>
        <w:rPr>
          <w:rFonts w:ascii="Times New Roman" w:hAnsi="Times New Roman" w:cs="Times New Roman"/>
          <w:noProof/>
          <w:sz w:val="24"/>
          <w:szCs w:val="24"/>
        </w:rPr>
      </w:pPr>
      <w:r>
        <w:rPr>
          <w:rFonts w:ascii="Times New Roman" w:hAnsi="Times New Roman"/>
          <w:noProof/>
        </w:rPr>
        <w:t xml:space="preserve">Неотдавнашно проучване на Комисията показва, че някои от причините за големия брой излезли от употреба превозни средства с неизвестно местонахождение се дължат на недостатъци на системите за прекратяване на регистрацията и неправилното обработване на излезлите от употреба превозни средства (не всички излезли от употреба превозни средства са прехвърлени в пунктове за събиране и за не всички от прехвърлените автомобили са издадени сертификати за унищожаване; има също така данни за излезли от употреба превозни средства, които се разкомплектоват в неразрешени съоръжения). Наред с това има случаи, при които излезли от употреба превозни средства се изнасят незаконно като автомобили втора употреба.  </w:t>
      </w:r>
    </w:p>
    <w:p>
      <w:pPr>
        <w:spacing w:after="240"/>
        <w:rPr>
          <w:rFonts w:ascii="Times New Roman" w:eastAsia="Times New Roman" w:hAnsi="Times New Roman" w:cs="Times New Roman"/>
          <w:noProof/>
          <w:sz w:val="24"/>
          <w:szCs w:val="24"/>
        </w:rPr>
      </w:pPr>
      <w:r>
        <w:rPr>
          <w:rFonts w:ascii="Times New Roman" w:hAnsi="Times New Roman"/>
          <w:noProof/>
        </w:rPr>
        <w:t>Някои от проблемите включват: неефективни връзки и механизми за проследяване между системите за регистрация, за прекратяване на регистрацията и за пререгистрация, от което може да се заключи, че сертификати за унищожаване се издават само за част от излезлите от употреба превозни средства с прекратена регистрация, въпреки че са законно третирани; случаи на регистрирани в друга държава членка автомобили втора употреба, чиято регистрация никога не е била прекратена в държавата членка по произход; липса на качествени данни, по-специално по отношение на износа на автомобили втора употреба и излезли от употреба превозни средства, както и изтичане на суровини; необходимост от подобряване на методите за докладване от държавите членки; незаконно събиране и разкомплектоване на излезли от употреба превозни средства в неразрешени съоръжения за третиране без екологични стандарти; необходимост от по-добро правоприлагане, включително проверки на пунктовете за събиране и разрешените съоръжения за третиране.</w:t>
      </w:r>
    </w:p>
    <w:p>
      <w:pPr>
        <w:spacing w:after="240"/>
        <w:rPr>
          <w:rFonts w:ascii="Times New Roman" w:eastAsia="Times New Roman" w:hAnsi="Times New Roman" w:cs="Times New Roman"/>
          <w:noProof/>
          <w:sz w:val="24"/>
          <w:szCs w:val="24"/>
        </w:rPr>
      </w:pPr>
      <w:r>
        <w:rPr>
          <w:rFonts w:ascii="Times New Roman" w:hAnsi="Times New Roman"/>
          <w:noProof/>
        </w:rPr>
        <w:t xml:space="preserve">Мерки за справяне с тези проблеми вече са предприети в няколко държави членки — например Дания, където е въведена премия за последния регистриран собственик, който предава своето излязло от употреба превозно средство на разрешено съоръжение за третиране, или Франция и Обединеното кралство, които докладват за значително увеличение на броя на проверките в такива съоръжения.  </w:t>
      </w:r>
    </w:p>
    <w:p>
      <w:pPr>
        <w:keepNext/>
        <w:tabs>
          <w:tab w:val="left" w:pos="850"/>
        </w:tabs>
        <w:spacing w:after="240" w:line="240" w:lineRule="auto"/>
        <w:ind w:left="850" w:hanging="850"/>
        <w:jc w:val="both"/>
        <w:outlineLvl w:val="0"/>
        <w:rPr>
          <w:rFonts w:ascii="Times New Roman" w:eastAsia="Times New Roman" w:hAnsi="Times New Roman" w:cs="Times New Roman"/>
          <w:b/>
          <w:smallCaps/>
          <w:noProof/>
          <w:sz w:val="24"/>
          <w:szCs w:val="24"/>
        </w:rPr>
      </w:pPr>
      <w:r>
        <w:rPr>
          <w:rFonts w:ascii="Times New Roman" w:hAnsi="Times New Roman"/>
          <w:b/>
          <w:smallCaps/>
          <w:noProof/>
        </w:rPr>
        <w:t>5.</w:t>
      </w:r>
      <w:r>
        <w:rPr>
          <w:rFonts w:ascii="Times New Roman" w:hAnsi="Times New Roman"/>
          <w:b/>
          <w:smallCaps/>
          <w:noProof/>
        </w:rPr>
        <w:tab/>
        <w:t>Заключения</w:t>
      </w:r>
    </w:p>
    <w:p>
      <w:pPr>
        <w:spacing w:after="240"/>
        <w:rPr>
          <w:rFonts w:ascii="Times New Roman" w:hAnsi="Times New Roman" w:cs="Times New Roman"/>
          <w:noProof/>
          <w:sz w:val="24"/>
          <w:szCs w:val="24"/>
        </w:rPr>
      </w:pPr>
      <w:r>
        <w:rPr>
          <w:rFonts w:ascii="Times New Roman" w:hAnsi="Times New Roman"/>
          <w:noProof/>
        </w:rPr>
        <w:t>Директивата относно излезлите от употреба превозни средства е транспонирана по задоволителен начин в националното законодателство на всички държави членки.</w:t>
      </w:r>
    </w:p>
    <w:p>
      <w:pPr>
        <w:spacing w:after="240"/>
        <w:rPr>
          <w:rFonts w:ascii="Times New Roman" w:hAnsi="Times New Roman" w:cs="Times New Roman"/>
          <w:noProof/>
          <w:sz w:val="24"/>
          <w:szCs w:val="24"/>
        </w:rPr>
      </w:pPr>
      <w:r>
        <w:rPr>
          <w:rFonts w:ascii="Times New Roman" w:hAnsi="Times New Roman"/>
          <w:noProof/>
        </w:rPr>
        <w:t xml:space="preserve">Прилагането на директивата е като цяло ефективно. През 2017 г. 20 от общо 28-те държави членки бяха изпълнили целта, според която до 2015 г. делът на повторна употреба и рециклиране трябваше да достигне 85 % от средното тегло на превозно средство и за година (пет държави членки не са докладвали). Повече предизвикателства възникнаха по отношение на постигането на целта за повторна употреба и оползотворяване на 95 % от средното тегло на превозно средство и за година. Изоставането при близо половината държави членки, които не успяха да постигнат целите, се равнява само на няколко процентни пункта. </w:t>
      </w:r>
    </w:p>
    <w:p>
      <w:pPr>
        <w:spacing w:after="240"/>
        <w:rPr>
          <w:rFonts w:ascii="Times New Roman" w:hAnsi="Times New Roman" w:cs="Times New Roman"/>
          <w:noProof/>
          <w:sz w:val="24"/>
          <w:szCs w:val="24"/>
        </w:rPr>
      </w:pPr>
      <w:r>
        <w:rPr>
          <w:rFonts w:ascii="Times New Roman" w:hAnsi="Times New Roman"/>
          <w:noProof/>
        </w:rPr>
        <w:t>Употребата на забранени опасни вещества непрекъснато намалява в съответствие с измененията на приложение II към Директивата относно излезлите от употреба превозни средства</w:t>
      </w:r>
      <w:r>
        <w:rPr>
          <w:rStyle w:val="FootnoteReference"/>
          <w:rFonts w:ascii="Times New Roman" w:hAnsi="Times New Roman"/>
          <w:noProof/>
        </w:rPr>
        <w:footnoteReference w:id="21"/>
      </w:r>
      <w:r>
        <w:rPr>
          <w:rFonts w:ascii="Times New Roman" w:hAnsi="Times New Roman"/>
          <w:noProof/>
        </w:rPr>
        <w:t>, в което се предвиждат все по-малко изключения, позволяващи използването на такива опасни вещества. Същевременно броят на разрешените съоръжения за третиране се увеличава и някои държави членки започват да докладват за прилагането на иновативни мерки — например влагане на рециклирани материали, подпомагане на проекти за предотвратяване на отпадъци и въвеждане на системи за грижа за околната среда, като останалите държави членки могат да използват тези мерки като примери за най-добри практики.</w:t>
      </w:r>
    </w:p>
    <w:p>
      <w:pPr>
        <w:spacing w:after="240"/>
        <w:rPr>
          <w:rFonts w:ascii="Times New Roman" w:hAnsi="Times New Roman" w:cs="Times New Roman"/>
          <w:b/>
          <w:noProof/>
          <w:sz w:val="24"/>
          <w:szCs w:val="24"/>
        </w:rPr>
      </w:pPr>
      <w:r>
        <w:rPr>
          <w:rFonts w:ascii="Times New Roman" w:hAnsi="Times New Roman"/>
          <w:noProof/>
        </w:rPr>
        <w:t>Важно изключение от посочената положителна тенденция е проблемът с излезлите от употреба превозни средства с неизвестно местонахождение. Незаконното събиране, третиране и търговия с части, свалени от такива превозни средства, продължават да бъдат сериозно предизвикателство. Освен загубата на ценни ресурси (възстановими компоненти и материали) този проблем, както и третирането на излезли от употреба превозни средства в неразрешени съоръжения, оказват отрицателно въздействие върху здравето и околната среда. Това е отразено в</w:t>
      </w:r>
      <w:r>
        <w:rPr>
          <w:rStyle w:val="Strong"/>
          <w:rFonts w:ascii="Times New Roman" w:hAnsi="Times New Roman"/>
          <w:b w:val="0"/>
          <w:noProof/>
        </w:rPr>
        <w:t xml:space="preserve"> съображение 7 от Директива 2018/849/ЕС</w:t>
      </w:r>
      <w:r>
        <w:rPr>
          <w:rStyle w:val="FootnoteReference"/>
          <w:rFonts w:ascii="Times New Roman" w:hAnsi="Times New Roman"/>
          <w:bCs/>
          <w:noProof/>
        </w:rPr>
        <w:footnoteReference w:id="22"/>
      </w:r>
      <w:r>
        <w:rPr>
          <w:rStyle w:val="Strong"/>
          <w:rFonts w:ascii="Times New Roman" w:hAnsi="Times New Roman"/>
          <w:b w:val="0"/>
          <w:noProof/>
        </w:rPr>
        <w:t>, в което се посочва, че Директива 2000/53/EC следва да бъде преразгледана и, ако е необходимо, изменена, като се отдели внимание на „проблема с излезлите от употреба превозни средства, които не се отчитат, включително превоза на употребявани превозни средства, за които има съмнения, че са излезли от употреба превозни средства, и на прилагането на Насоки № 9 на кореспондентите относно превоза на отпадъци от превозни средства“.</w:t>
      </w:r>
    </w:p>
    <w:p>
      <w:pPr>
        <w:spacing w:after="240"/>
        <w:rPr>
          <w:rFonts w:ascii="Times New Roman" w:hAnsi="Times New Roman" w:cs="Times New Roman"/>
          <w:b/>
          <w:noProof/>
          <w:sz w:val="24"/>
          <w:szCs w:val="24"/>
        </w:rPr>
      </w:pPr>
      <w:r>
        <w:rPr>
          <w:rFonts w:ascii="Times New Roman" w:hAnsi="Times New Roman"/>
          <w:noProof/>
        </w:rPr>
        <w:t>Понастоящем Европейската комисия извършва оценка на Директивата относно излезлите от употреба превозни средства, с която ще се определи до каква степен законодателните норми на ЕС за излезлите от употреба превозни средства осигуряват ползи за околната среда, обществеността и промишлеността. Оценката ще бъде приключена през 2020 г.</w:t>
      </w:r>
      <w:r>
        <w:rPr>
          <w:rStyle w:val="FootnoteReference"/>
          <w:rFonts w:ascii="Times New Roman" w:hAnsi="Times New Roman"/>
          <w:noProof/>
        </w:rPr>
        <w:footnoteReference w:id="23"/>
      </w:r>
      <w:r>
        <w:rPr>
          <w:rFonts w:ascii="Times New Roman" w:hAnsi="Times New Roman"/>
          <w:noProof/>
        </w:rPr>
        <w:t>. Въпросите, разглеждани в рамките на тази оценка, се отнасят до ефективността на прилагането на директивата (включително проблема с излезлите от употреба превозни средства с неизвестно местонахождение), съгласуваността с определенията на друго приложимо законодателство и изпълнимостта на поставените цели за конкретни материали, методите на докладване и мониторинг и целесъобразността във връзка с предизвикателствата на новите технологии (включително електрическите и хибридните автомобили), както и промените в материалите, използвани за производството на превозни средства.</w:t>
      </w:r>
    </w:p>
    <w:sectPr>
      <w:headerReference w:type="even" r:id="rId17"/>
      <w:headerReference w:type="default" r:id="rId18"/>
      <w:footerReference w:type="even" r:id="rId19"/>
      <w:footerReference w:type="default" r:id="rId20"/>
      <w:headerReference w:type="first" r:id="rId21"/>
      <w:footerReference w:type="first" r:id="rId22"/>
      <w:pgSz w:w="11906" w:h="16838"/>
      <w:pgMar w:top="120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907881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1"/>
      </w:pPr>
      <w:r>
        <w:rPr>
          <w:rStyle w:val="FootnoteReference"/>
        </w:rPr>
        <w:footnoteRef/>
      </w:r>
      <w:r>
        <w:t xml:space="preserve"> ОВ L 269, 21.10.2000 г., стр. 34.</w:t>
      </w:r>
    </w:p>
  </w:footnote>
  <w:footnote w:id="3">
    <w:p>
      <w:pPr>
        <w:pStyle w:val="footnotetext1"/>
      </w:pPr>
      <w:r>
        <w:rPr>
          <w:rStyle w:val="FootnoteReference"/>
        </w:rPr>
        <w:footnoteRef/>
      </w:r>
      <w:r>
        <w:t xml:space="preserve"> OВ L 282, 26.10.2001 г., стр. 77.</w:t>
      </w:r>
    </w:p>
  </w:footnote>
  <w:footnote w:id="4">
    <w:p>
      <w:pPr>
        <w:pStyle w:val="footnotetext1"/>
      </w:pPr>
      <w:r>
        <w:rPr>
          <w:rStyle w:val="FootnoteReference"/>
        </w:rPr>
        <w:footnoteRef/>
      </w:r>
      <w:r>
        <w:t xml:space="preserve"> </w:t>
      </w:r>
      <w:r>
        <w:fldChar w:fldCharType="begin"/>
      </w:r>
      <w:r>
        <w:instrText xml:space="preserve"> ADDIN ZOTERO_ITEM CSL_CITATION {"citationID":"24q6bv507q","properties":{"formattedCitation":"European Commission (2018) {\\i{}Reporting on Implementation of Waste Legislation}, accessed 5 January 2018, {\\ul{}http://ec.europa.eu/environment/waste/reporting/index.htm}","plainCitation":"European Commission (2018) Reporting on Implementation of Waste Legislation, accessed 5 January 2018, http://ec.europa.eu/environment/waste/reporting/index.htm","noteIndex":2},"citationItems":[{"id":"5Q2ViIkA/IMehdYiA","uris":["http://zotero.org/groups/162180/items/3ENW86BF"],"uri":["http://zotero.org/groups/162180/items/3ENW86BF"],"itemData":{"id":21345,"type":"webpage","title":"Reporting on Implementation of Waste Legislation","URL":"http://ec.europa.eu/environment/waste/reporting/index.htm","author":[{"family":"European Commission","given":""}],"issued":{"date-parts":[["2018",1,5]]},"accessed":{"date-parts":[["2018",1,5]]}}}],"schema":"https://github.com/citation-style-language/schema/raw/master/csl-citation.json"} </w:instrText>
      </w:r>
      <w:r>
        <w:fldChar w:fldCharType="separate"/>
      </w:r>
      <w:r>
        <w:rPr>
          <w:rFonts w:cs="Calibri"/>
          <w:u w:val="single"/>
        </w:rPr>
        <w:t>http://ec.europa.eu/environment/waste/reporting/index.htm</w:t>
      </w:r>
      <w:r>
        <w:fldChar w:fldCharType="end"/>
      </w:r>
    </w:p>
  </w:footnote>
  <w:footnote w:id="5">
    <w:p>
      <w:pPr>
        <w:pStyle w:val="FootnoteText"/>
      </w:pPr>
      <w:r>
        <w:rPr>
          <w:rStyle w:val="FootnoteReference"/>
        </w:rPr>
        <w:footnoteRef/>
      </w:r>
      <w:r>
        <w:t xml:space="preserve"> </w:t>
      </w:r>
      <w:r>
        <w:rPr>
          <w:rFonts w:ascii="Times New Roman" w:hAnsi="Times New Roman"/>
        </w:rPr>
        <w:t>http://ec.europa.eu/environment/waste/elv/events_en.htm</w:t>
      </w:r>
    </w:p>
  </w:footnote>
  <w:footnote w:id="6">
    <w:p>
      <w:pPr>
        <w:pStyle w:val="footnotetext1"/>
      </w:pPr>
      <w:r>
        <w:rPr>
          <w:rStyle w:val="FootnoteReference"/>
        </w:rPr>
        <w:footnoteRef/>
      </w:r>
      <w:r>
        <w:t xml:space="preserve"> ОВ L 94, 13.4.2005 г., стр. 30—33.</w:t>
      </w:r>
    </w:p>
  </w:footnote>
  <w:footnote w:id="7">
    <w:p>
      <w:pPr>
        <w:pStyle w:val="FootnoteText"/>
      </w:pPr>
      <w:r>
        <w:rPr>
          <w:rStyle w:val="FootnoteReference"/>
          <w:rFonts w:ascii="Times New Roman" w:hAnsi="Times New Roman"/>
        </w:rPr>
        <w:footnoteRef/>
      </w:r>
      <w:r>
        <w:rPr>
          <w:rFonts w:ascii="Times New Roman" w:hAnsi="Times New Roman"/>
        </w:rPr>
        <w:t xml:space="preserve"> Понастоящем Комисията подготвя деветото и десетото изменение на приложение II.</w:t>
      </w:r>
    </w:p>
  </w:footnote>
  <w:footnote w:id="8">
    <w:p>
      <w:pPr>
        <w:pStyle w:val="FootnoteText"/>
      </w:pPr>
      <w:r>
        <w:rPr>
          <w:rStyle w:val="FootnoteReference"/>
        </w:rPr>
        <w:footnoteRef/>
      </w:r>
      <w:r>
        <w:t xml:space="preserve"> </w:t>
      </w:r>
      <w:r>
        <w:rPr>
          <w:rFonts w:ascii="Times New Roman" w:hAnsi="Times New Roman"/>
        </w:rPr>
        <w:t>Дерогация от изискванията за разрешително съгласно член 6, параграф 2 от Директивата относно излезлите от употреба превозни средства.</w:t>
      </w:r>
    </w:p>
  </w:footnote>
  <w:footnote w:id="9">
    <w:p>
      <w:pPr>
        <w:pStyle w:val="footnotetext1"/>
      </w:pPr>
      <w:r>
        <w:rPr>
          <w:rStyle w:val="FootnoteReference"/>
        </w:rPr>
        <w:footnoteRef/>
      </w:r>
      <w:r>
        <w:t xml:space="preserve"> </w:t>
      </w:r>
      <w:r>
        <w:fldChar w:fldCharType="begin"/>
      </w:r>
      <w:r>
        <w:instrText xml:space="preserve"> ADDIN ZOTERO_ITEM CSL_CITATION {"citationID":"qvfwSWhk","properties":{"formattedCitation":"{\\i{}IDIS | The International Dismantling Information System}, accessed 19 March 2019, {\\ul{}https://www.idis2.com/}","plainCitation":"IDIS | The International Dismantling Information System, accessed 19 March 2019, https://www.idis2.com/","noteIndex":24},"citationItems":[{"id":16916,"uris":["http://zotero.org/groups/162180/items/IWIUMT6I"],"uri":["http://zotero.org/groups/162180/items/IWIUMT6I"],"itemData":{"id":16916,"type":"webpage","title":"IDIS | The International Dismantling Information System","URL":"https://www.idis2.com/","accessed":{"date-parts":[["2019",3,19]]}}}],"schema":"https://github.com/citation-style-language/schema/raw/master/csl-citation.json"} </w:instrText>
      </w:r>
      <w:r>
        <w:fldChar w:fldCharType="separate"/>
      </w:r>
      <w:r>
        <w:rPr>
          <w:rFonts w:cs="Calibri"/>
          <w:i/>
          <w:iCs/>
        </w:rPr>
        <w:t>IDIS — Международна информационна система за демонтаж; данни към</w:t>
      </w:r>
      <w:r>
        <w:rPr>
          <w:rFonts w:cs="Calibri"/>
        </w:rPr>
        <w:t xml:space="preserve"> 19 март 2019 г., </w:t>
      </w:r>
      <w:r>
        <w:rPr>
          <w:rFonts w:cs="Calibri"/>
          <w:u w:val="single"/>
        </w:rPr>
        <w:t>https://www.idis2.com/</w:t>
      </w:r>
      <w:r>
        <w:fldChar w:fldCharType="end"/>
      </w:r>
    </w:p>
  </w:footnote>
  <w:footnote w:id="10">
    <w:p>
      <w:pPr>
        <w:pStyle w:val="footnotetext1"/>
      </w:pPr>
      <w:r>
        <w:rPr>
          <w:rStyle w:val="FootnoteReference"/>
        </w:rPr>
        <w:footnoteRef/>
      </w:r>
      <w:r>
        <w:t xml:space="preserve"> </w:t>
      </w:r>
      <w:r>
        <w:fldChar w:fldCharType="begin"/>
      </w:r>
      <w:r>
        <w:instrText xml:space="preserve"> ADDIN ZOTERO_ITEM CSL_CITATION {"citationID":"7sEzZZH1","properties":{"formattedCitation":"EUROSTAT (2019) {\\i{}Eurostat - Data Explorer}, accessed 25 March 2019, {\\ul{}http://appsso.eurostat.ec.europa.eu/nui/show.do?dataset=env_waselvt&amp;lang=en}","plainCitation":"EUROSTAT (2019) Eurostat - Data Explorer, accessed 25 March 2019, http://appsso.eurostat.ec.europa.eu/nui/show.do?dataset=env_waselvt&amp;lang=en","noteIndex":23},"citationItems":[{"id":104,"uris":["http://zotero.org/groups/162180/items/KSKHP279"],"uri":["http://zotero.org/groups/162180/items/KSKHP279"],"itemData":{"id":104,"type":"webpage","title":"Eurostat - Data Explorer","URL":"http://appsso.eurostat.ec.europa.eu/nui/show.do?dataset=env_waselvt&amp;lang=en","author":[{"literal":"EUROSTAT"}],"issued":{"date-parts":[["2019",3,21]]},"accessed":{"date-parts":[["2019",3,25]]}}}],"schema":"https://github.com/citation-style-language/schema/raw/master/csl-citation.json"} </w:instrText>
      </w:r>
      <w:r>
        <w:fldChar w:fldCharType="separate"/>
      </w:r>
      <w:r>
        <w:rPr>
          <w:rFonts w:cs="Calibri"/>
        </w:rPr>
        <w:t xml:space="preserve">EВРОСТАТ (2019 г.) </w:t>
      </w:r>
      <w:r>
        <w:rPr>
          <w:rFonts w:cs="Calibri"/>
          <w:i/>
          <w:iCs/>
        </w:rPr>
        <w:t>Eurostat — Data Explorer</w:t>
      </w:r>
      <w:r>
        <w:rPr>
          <w:rFonts w:cs="Calibri"/>
        </w:rPr>
        <w:t xml:space="preserve">, данни към 25 март 2019 г., </w:t>
      </w:r>
      <w:r>
        <w:rPr>
          <w:rFonts w:cs="Calibri"/>
          <w:u w:val="single"/>
        </w:rPr>
        <w:t>http://appsso.eurostat.ec.europa.eu/nui/show.do?dataset=env_waselvt&amp;lang=en</w:t>
      </w:r>
      <w:r>
        <w:fldChar w:fldCharType="end"/>
      </w:r>
    </w:p>
  </w:footnote>
  <w:footnote w:id="11">
    <w:p>
      <w:pPr>
        <w:pStyle w:val="FootnoteText"/>
        <w:rPr>
          <w:rFonts w:ascii="Times New Roman" w:hAnsi="Times New Roman" w:cs="Times New Roman"/>
        </w:rPr>
      </w:pPr>
      <w:r>
        <w:rPr>
          <w:rStyle w:val="FootnoteReference"/>
        </w:rPr>
        <w:footnoteRef/>
      </w:r>
      <w:r>
        <w:t xml:space="preserve"> </w:t>
      </w:r>
      <w:r>
        <w:rPr>
          <w:rFonts w:ascii="Times New Roman" w:hAnsi="Times New Roman"/>
        </w:rPr>
        <w:t>https://ec.europa.eu/eurostat/web/waste/data/database</w:t>
      </w:r>
    </w:p>
  </w:footnote>
  <w:footnote w:id="1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https://ec.europa.eu/eurostat/web/waste/data/database</w:t>
      </w:r>
    </w:p>
  </w:footnote>
  <w:footnote w:id="13">
    <w:p>
      <w:pPr>
        <w:pStyle w:val="FootnoteText"/>
        <w:rPr>
          <w:rFonts w:ascii="Times New Roman" w:hAnsi="Times New Roman" w:cs="Times New Roman"/>
        </w:rPr>
      </w:pPr>
      <w:r>
        <w:rPr>
          <w:rStyle w:val="FootnoteReference"/>
        </w:rPr>
        <w:footnoteRef/>
      </w:r>
      <w:r>
        <w:t xml:space="preserve"> </w:t>
      </w:r>
      <w:r>
        <w:rPr>
          <w:rFonts w:ascii="Times New Roman" w:hAnsi="Times New Roman"/>
        </w:rPr>
        <w:t>http://ec.europa.eu/environment/waste/elv/implementation_en.htm</w:t>
      </w:r>
    </w:p>
  </w:footnote>
  <w:footnote w:id="14">
    <w:p>
      <w:pPr>
        <w:pStyle w:val="FootnoteText"/>
      </w:pPr>
      <w:r>
        <w:rPr>
          <w:rStyle w:val="FootnoteReference"/>
          <w:rFonts w:ascii="Times New Roman" w:hAnsi="Times New Roman"/>
        </w:rPr>
        <w:footnoteRef/>
      </w:r>
      <w:r>
        <w:rPr>
          <w:rFonts w:ascii="Times New Roman" w:hAnsi="Times New Roman"/>
        </w:rPr>
        <w:t xml:space="preserve"> http://ec.europa.eu/environment/waste/target_review.htm</w:t>
      </w:r>
    </w:p>
  </w:footnote>
  <w:footnote w:id="15">
    <w:p>
      <w:pPr>
        <w:pStyle w:val="FootnoteText"/>
      </w:pPr>
      <w:r>
        <w:rPr>
          <w:rStyle w:val="FootnoteReference"/>
        </w:rPr>
        <w:footnoteRef/>
      </w:r>
      <w:r>
        <w:t xml:space="preserve"> </w:t>
      </w:r>
      <w:r>
        <w:rPr>
          <w:rStyle w:val="Strong"/>
          <w:rFonts w:ascii="Times New Roman" w:hAnsi="Times New Roman"/>
          <w:b w:val="0"/>
        </w:rPr>
        <w:t>Инициатива за насърчаване на спазването с цел оценка на прилагането на Директива 2000/53/ЕО относно излезлите от употреба превозни средства с акцент върху излезлите от употреба превозни средства с неизвестно местонахождение (</w:t>
      </w:r>
      <w:hyperlink r:id="rId1" w:history="1">
        <w:r>
          <w:rPr>
            <w:rStyle w:val="Hyperlink"/>
            <w:rFonts w:ascii="Times New Roman" w:hAnsi="Times New Roman"/>
          </w:rPr>
          <w:t>http://ec.europa.eu/environment/waste/elv/events_en.htm</w:t>
        </w:r>
      </w:hyperlink>
      <w:r>
        <w:rPr>
          <w:rStyle w:val="Strong"/>
          <w:rFonts w:ascii="Times New Roman" w:hAnsi="Times New Roman"/>
          <w:b w:val="0"/>
        </w:rPr>
        <w:t>)</w:t>
      </w:r>
      <w:r>
        <w:t>.</w:t>
      </w:r>
    </w:p>
  </w:footnote>
  <w:footnote w:id="16">
    <w:p>
      <w:pPr>
        <w:pStyle w:val="FootnoteText"/>
      </w:pPr>
      <w:r>
        <w:rPr>
          <w:rStyle w:val="FootnoteReference"/>
        </w:rPr>
        <w:footnoteRef/>
      </w:r>
      <w:r>
        <w:t xml:space="preserve"> </w:t>
      </w:r>
      <w:r>
        <w:rPr>
          <w:rFonts w:ascii="Times New Roman" w:hAnsi="Times New Roman"/>
          <w:b/>
          <w:bCs/>
          <w:i/>
          <w:iCs/>
        </w:rPr>
        <w:t>Източник</w:t>
      </w:r>
      <w:r>
        <w:rPr>
          <w:rFonts w:ascii="Times New Roman" w:hAnsi="Times New Roman"/>
        </w:rPr>
        <w:t>: Евростат (код за онлайн данни: env_waselvt).</w:t>
      </w:r>
      <w:r>
        <w:rPr>
          <w:rFonts w:ascii="Times New Roman" w:hAnsi="Times New Roman"/>
          <w:sz w:val="16"/>
          <w:szCs w:val="16"/>
        </w:rPr>
        <w:t xml:space="preserve"> </w:t>
      </w:r>
    </w:p>
  </w:footnote>
  <w:footnote w:id="17">
    <w:p>
      <w:pPr>
        <w:pStyle w:val="FootnoteText"/>
        <w:rPr>
          <w:rFonts w:ascii="Times New Roman" w:hAnsi="Times New Roman" w:cs="Times New Roman"/>
          <w:b/>
        </w:rPr>
      </w:pPr>
      <w:r>
        <w:rPr>
          <w:rStyle w:val="FootnoteReference"/>
        </w:rPr>
        <w:footnoteRef/>
      </w:r>
      <w:r>
        <w:t xml:space="preserve"> </w:t>
      </w:r>
      <w:r>
        <w:rPr>
          <w:rFonts w:ascii="Times New Roman" w:hAnsi="Times New Roman"/>
        </w:rPr>
        <w:t xml:space="preserve">Евростат, външнотърговската статистика (ВТС); Асоциация на европейските автомобилни производители (ACEA); Евростат, набор от данни: road_eqs; road_eqr); POLK.  Тези източници бяха използвани в лансираната от Комисията </w:t>
      </w:r>
      <w:r>
        <w:rPr>
          <w:rStyle w:val="Strong"/>
          <w:rFonts w:ascii="Times New Roman" w:hAnsi="Times New Roman"/>
          <w:b w:val="0"/>
        </w:rPr>
        <w:t>инициатива за насърчаване на спазването с цел оценка на прилагането на Директива 2000/53/ЕО относно излезлите от употреба превозни средства с акцент върху излезлите от употреба превозни средства с неизвестно местонахождение (</w:t>
      </w:r>
      <w:hyperlink r:id="rId2" w:history="1">
        <w:r>
          <w:rPr>
            <w:rStyle w:val="Hyperlink"/>
            <w:rFonts w:ascii="Times New Roman" w:hAnsi="Times New Roman"/>
          </w:rPr>
          <w:t>http://ec.europa.eu/environment/waste/elv/events_en.htm</w:t>
        </w:r>
      </w:hyperlink>
      <w:r>
        <w:rPr>
          <w:rStyle w:val="Strong"/>
          <w:rFonts w:ascii="Times New Roman" w:hAnsi="Times New Roman"/>
          <w:b w:val="0"/>
        </w:rPr>
        <w:t>)</w:t>
      </w:r>
      <w:r>
        <w:t>.</w:t>
      </w:r>
    </w:p>
  </w:footnote>
  <w:footnote w:id="18">
    <w:p>
      <w:pPr>
        <w:pStyle w:val="FootnoteText"/>
        <w:rPr>
          <w:rFonts w:ascii="Times New Roman" w:hAnsi="Times New Roman" w:cs="Times New Roman"/>
        </w:rPr>
      </w:pPr>
      <w:r>
        <w:rPr>
          <w:rStyle w:val="FootnoteReference"/>
        </w:rPr>
        <w:footnoteRef/>
      </w:r>
      <w:r>
        <w:t xml:space="preserve"> </w:t>
      </w:r>
      <w:r>
        <w:rPr>
          <w:rFonts w:ascii="Times New Roman" w:hAnsi="Times New Roman"/>
        </w:rPr>
        <w:t>Директивата относно излезлите от употреба превозни средства обхваща превозните средства от категория М1 (за превоз на пътници с не повече от осем места в допълнение към мястото на водача) и категория N1 (превозни средства за превоз на товари с максимална маса, ненадхвърляща 3,5 тона).</w:t>
      </w:r>
    </w:p>
  </w:footnote>
  <w:footnote w:id="19">
    <w:p>
      <w:pPr>
        <w:pStyle w:val="footnotetext1"/>
        <w:ind w:left="142" w:hanging="142"/>
      </w:pPr>
      <w:r>
        <w:rPr>
          <w:rStyle w:val="FootnoteReference"/>
        </w:rPr>
        <w:footnoteRef/>
      </w:r>
      <w:r>
        <w:t xml:space="preserve"> </w:t>
      </w:r>
      <w:r>
        <w:fldChar w:fldCharType="begin"/>
      </w:r>
      <w:r>
        <w:instrText xml:space="preserve"> ADDIN ZOTERO_ITEM CSL_CITATION {"citationID":"1tIRtlI6","properties":{"formattedCitation":"Sander, K., Wagner, L., Sanden, D.J., and Wilts, H. (2017) Entwicklung von L\\uc0\\u246{}sungsvorschl\\uc0\\u228{}gen, einschlie\\uc0\\u223{}lich rechtlicher Instrumente, zur Verbesserung der Datenlage beim Verbleib von Altfahrzeugen, p.333","plainCitation":"Sander, K., Wagner, L., Sanden, D.J., and Wilts, H. (2017) Entwicklung von Lösungsvorschlägen, einschließlich rechtlicher Instrumente, zur Verbesserung der Datenlage beim Verbleib von Altfahrzeugen, p.333","noteIndex":19},"citationItems":[{"id":16886,"uris":["http://zotero.org/groups/162180/items/5ZP4MDXA"],"uri":["http://zotero.org/groups/162180/items/5ZP4MDXA"],"itemData":{"id":16886,"type":"article-journal","title":"Entwicklung von Lösungsvorschlägen, einschließlich rechtlicher Instrumente, zur Verbesserung der Datenlage beim Verbleib von Altfahrzeugen","page":"333","source":"Zotero","abstract":"Around 8 million passenger cars are decommissioned annually in Germany. 3 million of those cars are permanently decommissioned. From the available statistical sources, it was not possible to account for the whereabouts of about 1 million of the permanently decommissioned passenger cars in Germany each year. With this background the subject-matter of the research project was the closure of this ‘statistical gap’ to the maximum extent possible. For this, the status quo and the reasons for the statistical gap have been analysed in depth based on expert discussions, workshops, field research, evaluation of data bases and literature research and systemised in scenarios.","language":"de","author":[{"family":"Sander","given":"Knut"},{"family":"Wagner","given":"Lukas"},{"family":"Sanden","given":"Dr Joachim"},{"family":"Wilts","given":"Henning"}],"issued":{"date-parts":[["2017",6]]}}}],"schema":"https://github.com/citation-style-language/schema/raw/master/csl-citation.json"} </w:instrText>
      </w:r>
      <w:r>
        <w:fldChar w:fldCharType="separate"/>
      </w:r>
      <w:r>
        <w:rPr>
          <w:rFonts w:cs="Calibri"/>
        </w:rPr>
        <w:t>Sander, K., Wagner, L., Sanden, D.J., and Wilts, H. (2017) Entwicklung von Lösungsvorschlägen, einschließlich rechtlicher Instrumente, zur Verbesserung der Datenlage beim Verbleib von Altfahrzeugen, p. 333</w:t>
      </w:r>
      <w:r>
        <w:fldChar w:fldCharType="end"/>
      </w:r>
      <w:r>
        <w:t>.</w:t>
      </w:r>
    </w:p>
  </w:footnote>
  <w:footnote w:id="20">
    <w:p>
      <w:pPr>
        <w:pStyle w:val="footnotetext1"/>
        <w:ind w:left="284" w:hanging="284"/>
      </w:pPr>
      <w:r>
        <w:rPr>
          <w:rStyle w:val="FootnoteReference"/>
        </w:rPr>
        <w:footnoteRef/>
      </w:r>
      <w:r>
        <w:t xml:space="preserve"> </w:t>
      </w:r>
      <w:r>
        <w:fldChar w:fldCharType="begin"/>
      </w:r>
      <w:r>
        <w:instrText xml:space="preserve"> ADDIN ZOTERO_ITEM CSL_CITATION {"citationID":"aI2Q6z6Z","properties":{"formattedCitation":"Kohlmeyer et al (2017) Clarification of the whereabouts of end-of-life vehicles, {\\i{}Recycling and Raw Materials}, Vol.10","plainCitation":"Kohlmeyer et al (2017) Clarification of the whereabouts of end-of-life vehicles, Recycling and Raw Materials, Vol.10","noteIndex":20},"citationItems":[{"id":16885,"uris":["http://zotero.org/groups/162180/items/ACZA9H7P"],"uri":["http://zotero.org/groups/162180/items/ACZA9H7P"],"itemData":{"id":16885,"type":"article-journal","title":"Clarification of the whereabouts of end-of-life vehicles","container-title":"Recycling and raw materials","volume":"10","author":[{"literal":"Kohlmeyer et al"}],"issued":{"date-parts":[["2017"]]}}}],"schema":"https://github.com/citation-style-language/schema/raw/master/csl-citation.json"} </w:instrText>
      </w:r>
      <w:r>
        <w:fldChar w:fldCharType="separate"/>
      </w:r>
      <w:r>
        <w:rPr>
          <w:rFonts w:cs="Calibri"/>
        </w:rPr>
        <w:t xml:space="preserve">Kohlmeyer et al (2017) Clarification of the whereabouts of end-of-life vehicles, </w:t>
      </w:r>
      <w:r>
        <w:rPr>
          <w:rFonts w:cs="Calibri"/>
          <w:i/>
          <w:iCs/>
        </w:rPr>
        <w:t>Recycling and Raw Materials</w:t>
      </w:r>
      <w:r>
        <w:rPr>
          <w:rFonts w:cs="Calibri"/>
        </w:rPr>
        <w:t>, Vol.10</w:t>
      </w:r>
      <w:r>
        <w:fldChar w:fldCharType="end"/>
      </w:r>
      <w:r>
        <w:t>.</w:t>
      </w:r>
    </w:p>
  </w:footnote>
  <w:footnote w:id="2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http://ec.europa.eu/environment/waste/elv/legislation_en.htm</w:t>
      </w:r>
    </w:p>
  </w:footnote>
  <w:footnote w:id="22">
    <w:p>
      <w:pPr>
        <w:pStyle w:val="FootnoteText"/>
      </w:pPr>
      <w:r>
        <w:rPr>
          <w:rStyle w:val="FootnoteReference"/>
        </w:rPr>
        <w:footnoteRef/>
      </w:r>
      <w:r>
        <w:t xml:space="preserve"> </w:t>
      </w:r>
      <w:r>
        <w:rPr>
          <w:rFonts w:ascii="Times New Roman" w:hAnsi="Times New Roman"/>
        </w:rPr>
        <w:t>OВ L 150, 14.6.2018 г., стр. 93.</w:t>
      </w:r>
    </w:p>
  </w:footnote>
  <w:footnote w:id="23">
    <w:p>
      <w:pPr>
        <w:pStyle w:val="footnotetext1"/>
      </w:pPr>
      <w:r>
        <w:rPr>
          <w:rStyle w:val="FootnoteReference"/>
        </w:rPr>
        <w:footnoteRef/>
      </w:r>
      <w:r>
        <w:t xml:space="preserve"> http://ec.europa.eu/environment/waste/elv/evaluation_en.htm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74D61"/>
    <w:multiLevelType w:val="multilevel"/>
    <w:tmpl w:val="737CEE2C"/>
    <w:lvl w:ilvl="0">
      <w:start w:val="1"/>
      <w:numFmt w:val="decimal"/>
      <w:pStyle w:val="Heading1"/>
      <w:lvlText w:val="%1.0"/>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31F23B5E"/>
    <w:multiLevelType w:val="hybridMultilevel"/>
    <w:tmpl w:val="775096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4E90BAB"/>
    <w:multiLevelType w:val="hybridMultilevel"/>
    <w:tmpl w:val="B8A8AB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4D055A"/>
    <w:multiLevelType w:val="multilevel"/>
    <w:tmpl w:val="17CAE162"/>
    <w:lvl w:ilvl="0">
      <w:start w:val="1"/>
      <w:numFmt w:val="bullet"/>
      <w:pStyle w:val="ListBullet"/>
      <w:lvlText w:val=""/>
      <w:lvlJc w:val="left"/>
      <w:pPr>
        <w:ind w:left="1080" w:hanging="360"/>
      </w:pPr>
      <w:rPr>
        <w:rFonts w:ascii="Symbol" w:hAnsi="Symbol" w:hint="default"/>
        <w:color w:val="auto"/>
      </w:rPr>
    </w:lvl>
    <w:lvl w:ilvl="1">
      <w:start w:val="1"/>
      <w:numFmt w:val="bullet"/>
      <w:lvlText w:val="o"/>
      <w:lvlJc w:val="left"/>
      <w:pPr>
        <w:ind w:left="1800" w:hanging="360"/>
      </w:pPr>
      <w:rPr>
        <w:rFonts w:ascii="Courier New" w:hAnsi="Courier New" w:hint="default"/>
        <w:color w:val="F15D25"/>
      </w:rPr>
    </w:lvl>
    <w:lvl w:ilvl="2">
      <w:start w:val="1"/>
      <w:numFmt w:val="bullet"/>
      <w:lvlText w:val=""/>
      <w:lvlJc w:val="left"/>
      <w:pPr>
        <w:ind w:left="2520" w:hanging="360"/>
      </w:pPr>
      <w:rPr>
        <w:rFonts w:ascii="Wingdings" w:hAnsi="Wingdings" w:hint="default"/>
        <w:color w:val="F15D25"/>
      </w:rPr>
    </w:lvl>
    <w:lvl w:ilvl="3">
      <w:start w:val="1"/>
      <w:numFmt w:val="bullet"/>
      <w:lvlText w:val=""/>
      <w:lvlJc w:val="left"/>
      <w:pPr>
        <w:ind w:left="3240" w:hanging="360"/>
      </w:pPr>
      <w:rPr>
        <w:rFonts w:ascii="Symbol" w:hAnsi="Symbol" w:hint="default"/>
        <w:color w:val="F15D25"/>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521D7C24"/>
    <w:multiLevelType w:val="hybridMultilevel"/>
    <w:tmpl w:val="C7B0662A"/>
    <w:lvl w:ilvl="0" w:tplc="4EA0D8E8">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D5D6317"/>
    <w:multiLevelType w:val="hybridMultilevel"/>
    <w:tmpl w:val="8EFE1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FEC7F27"/>
    <w:multiLevelType w:val="hybridMultilevel"/>
    <w:tmpl w:val="9D52F144"/>
    <w:lvl w:ilvl="0" w:tplc="5C0C928C">
      <w:start w:val="1"/>
      <w:numFmt w:val="bullet"/>
      <w:lvlText w:val=""/>
      <w:lvlJc w:val="left"/>
      <w:pPr>
        <w:tabs>
          <w:tab w:val="num" w:pos="720"/>
        </w:tabs>
        <w:ind w:left="720" w:hanging="360"/>
      </w:pPr>
      <w:rPr>
        <w:rFonts w:ascii="Wingdings" w:hAnsi="Wingdings" w:hint="default"/>
      </w:rPr>
    </w:lvl>
    <w:lvl w:ilvl="1" w:tplc="85766146">
      <w:start w:val="270"/>
      <w:numFmt w:val="bullet"/>
      <w:lvlText w:val="•"/>
      <w:lvlJc w:val="left"/>
      <w:pPr>
        <w:tabs>
          <w:tab w:val="num" w:pos="1440"/>
        </w:tabs>
        <w:ind w:left="1440" w:hanging="360"/>
      </w:pPr>
      <w:rPr>
        <w:rFonts w:ascii="Times New Roman" w:hAnsi="Times New Roman" w:hint="default"/>
      </w:rPr>
    </w:lvl>
    <w:lvl w:ilvl="2" w:tplc="4A761F04">
      <w:start w:val="1"/>
      <w:numFmt w:val="bullet"/>
      <w:lvlText w:val=""/>
      <w:lvlJc w:val="left"/>
      <w:pPr>
        <w:tabs>
          <w:tab w:val="num" w:pos="2160"/>
        </w:tabs>
        <w:ind w:left="2160" w:hanging="360"/>
      </w:pPr>
      <w:rPr>
        <w:rFonts w:ascii="Wingdings" w:hAnsi="Wingdings" w:hint="default"/>
      </w:rPr>
    </w:lvl>
    <w:lvl w:ilvl="3" w:tplc="65063046" w:tentative="1">
      <w:start w:val="1"/>
      <w:numFmt w:val="bullet"/>
      <w:lvlText w:val=""/>
      <w:lvlJc w:val="left"/>
      <w:pPr>
        <w:tabs>
          <w:tab w:val="num" w:pos="2880"/>
        </w:tabs>
        <w:ind w:left="2880" w:hanging="360"/>
      </w:pPr>
      <w:rPr>
        <w:rFonts w:ascii="Wingdings" w:hAnsi="Wingdings" w:hint="default"/>
      </w:rPr>
    </w:lvl>
    <w:lvl w:ilvl="4" w:tplc="68E81FA2" w:tentative="1">
      <w:start w:val="1"/>
      <w:numFmt w:val="bullet"/>
      <w:lvlText w:val=""/>
      <w:lvlJc w:val="left"/>
      <w:pPr>
        <w:tabs>
          <w:tab w:val="num" w:pos="3600"/>
        </w:tabs>
        <w:ind w:left="3600" w:hanging="360"/>
      </w:pPr>
      <w:rPr>
        <w:rFonts w:ascii="Wingdings" w:hAnsi="Wingdings" w:hint="default"/>
      </w:rPr>
    </w:lvl>
    <w:lvl w:ilvl="5" w:tplc="EA46101C" w:tentative="1">
      <w:start w:val="1"/>
      <w:numFmt w:val="bullet"/>
      <w:lvlText w:val=""/>
      <w:lvlJc w:val="left"/>
      <w:pPr>
        <w:tabs>
          <w:tab w:val="num" w:pos="4320"/>
        </w:tabs>
        <w:ind w:left="4320" w:hanging="360"/>
      </w:pPr>
      <w:rPr>
        <w:rFonts w:ascii="Wingdings" w:hAnsi="Wingdings" w:hint="default"/>
      </w:rPr>
    </w:lvl>
    <w:lvl w:ilvl="6" w:tplc="5D5E7BF8" w:tentative="1">
      <w:start w:val="1"/>
      <w:numFmt w:val="bullet"/>
      <w:lvlText w:val=""/>
      <w:lvlJc w:val="left"/>
      <w:pPr>
        <w:tabs>
          <w:tab w:val="num" w:pos="5040"/>
        </w:tabs>
        <w:ind w:left="5040" w:hanging="360"/>
      </w:pPr>
      <w:rPr>
        <w:rFonts w:ascii="Wingdings" w:hAnsi="Wingdings" w:hint="default"/>
      </w:rPr>
    </w:lvl>
    <w:lvl w:ilvl="7" w:tplc="37926DAC" w:tentative="1">
      <w:start w:val="1"/>
      <w:numFmt w:val="bullet"/>
      <w:lvlText w:val=""/>
      <w:lvlJc w:val="left"/>
      <w:pPr>
        <w:tabs>
          <w:tab w:val="num" w:pos="5760"/>
        </w:tabs>
        <w:ind w:left="5760" w:hanging="360"/>
      </w:pPr>
      <w:rPr>
        <w:rFonts w:ascii="Wingdings" w:hAnsi="Wingdings" w:hint="default"/>
      </w:rPr>
    </w:lvl>
    <w:lvl w:ilvl="8" w:tplc="C4603A3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3"/>
    <w:lvlOverride w:ilvl="0">
      <w:lvl w:ilvl="0">
        <w:start w:val="1"/>
        <w:numFmt w:val="bullet"/>
        <w:pStyle w:val="ListBullet"/>
        <w:lvlText w:val=""/>
        <w:lvlJc w:val="left"/>
        <w:pPr>
          <w:ind w:left="720" w:hanging="360"/>
        </w:pPr>
        <w:rPr>
          <w:rFonts w:ascii="Symbol" w:hAnsi="Symbol" w:hint="default"/>
          <w:color w:val="8064A2" w:themeColor="accent4"/>
        </w:rPr>
      </w:lvl>
    </w:lvlOverride>
    <w:lvlOverride w:ilvl="1">
      <w:lvl w:ilvl="1">
        <w:start w:val="1"/>
        <w:numFmt w:val="bullet"/>
        <w:lvlText w:val="o"/>
        <w:lvlJc w:val="left"/>
        <w:pPr>
          <w:ind w:left="1440" w:hanging="360"/>
        </w:pPr>
        <w:rPr>
          <w:rFonts w:ascii="Courier New" w:hAnsi="Courier New" w:hint="default"/>
          <w:color w:val="8064A2" w:themeColor="accent4"/>
        </w:rPr>
      </w:lvl>
    </w:lvlOverride>
    <w:lvlOverride w:ilvl="2">
      <w:lvl w:ilvl="2">
        <w:start w:val="1"/>
        <w:numFmt w:val="bullet"/>
        <w:lvlText w:val=""/>
        <w:lvlJc w:val="left"/>
        <w:pPr>
          <w:ind w:left="2160" w:hanging="360"/>
        </w:pPr>
        <w:rPr>
          <w:rFonts w:ascii="Wingdings" w:hAnsi="Wingdings" w:hint="default"/>
          <w:color w:val="8064A2" w:themeColor="accent4"/>
        </w:rPr>
      </w:lvl>
    </w:lvlOverride>
    <w:lvlOverride w:ilvl="3">
      <w:lvl w:ilvl="3">
        <w:start w:val="1"/>
        <w:numFmt w:val="bullet"/>
        <w:lvlText w:val=""/>
        <w:lvlJc w:val="left"/>
        <w:pPr>
          <w:ind w:left="2880" w:hanging="360"/>
        </w:pPr>
        <w:rPr>
          <w:rFonts w:ascii="Symbol" w:hAnsi="Symbol" w:hint="default"/>
          <w:color w:val="8064A2" w:themeColor="accent4"/>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revisionView w:markup="0"/>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F84DA2A-1B76-4BB4-AE8F-773E6FBBC08D"/>
    <w:docVar w:name="LW_COVERPAGE_TYPE" w:val="1"/>
    <w:docVar w:name="LW_CROSSREFERENCE" w:val="&lt;UNUSED&gt;"/>
    <w:docVar w:name="LW_DocType" w:val="NORMAL"/>
    <w:docVar w:name="LW_EMISSION" w:val="30.1.2020"/>
    <w:docVar w:name="LW_EMISSION_ISODATE" w:val="2020-01-30"/>
    <w:docVar w:name="LW_EMISSION_LOCATION" w:val="BRX"/>
    <w:docVar w:name="LW_EMISSION_PREFIX" w:val="Брюксел, "/>
    <w:docVar w:name="LW_EMISSION_SUFFIX" w:val=" \u1075?."/>
    <w:docVar w:name="LW_ID_DOCTYPE_NONLW" w:val="CP-008"/>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 Cyr&gt;\u1054?\u1058?\u1053?\u1054?\u1057?\u1053?\u1054? \u1055?\u1056?\u1048?\u1051?\u1040?\u1043?\u1040?\u1053?\u1045?\u1058?\u1054? \u1053?\u1040? \u1044?\u1048?\u1056?\u1045?\u1050?\u1058?\u1048?\u1042?\u1040? 2000/53/E\u1054?  &lt;/FMT&gt;_x000d__x000d__x000b_&lt;FMT:Font=Calibri Cyr&gt;\u1054?\u1058?\u1053?\u1054?\u1057?\u1053?\u1054? \u1048?\u1047?\u1051?\u1045?\u1047?\u1051?\u1048?\u1058?\u1045? \u1054?\u1058? \u1059?\u1055?\u1054?\u1058?\u1056?\u1045?\u1041?\u1040? \u1055?\u1056?\u1045?\u1042?\u1054?\u1047?\u1053?\u1048? \u1057?\u1056?\u1045?\u1044?\u1057?\u1058?\u1042?\u1040?&lt;/FMT&gt;_x000d__x000d__x000b__x000d__x000d__x000b_&lt;FMT:Font=Calibri Cyr&gt;\u1047?\u1040? \u1055?\u1045?\u1056?\u1048?\u1054?\u1044?\u1040? 2014\u8212?2017 \u1075?.&lt;/FMT&gt;"/>
    <w:docVar w:name="LW_TYPE.DOC.CP" w:val="\u1044?\u1054?\u1050?\u1051?\u1040?\u104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uiPriority="0" w:qFormat="1"/>
    <w:lsdException w:name="annotation reference" w:uiPriority="0"/>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3"/>
      </w:numPr>
      <w:pBdr>
        <w:bottom w:val="thinThickLargeGap" w:sz="24" w:space="1" w:color="auto"/>
      </w:pBdr>
      <w:tabs>
        <w:tab w:val="left" w:pos="1134"/>
      </w:tabs>
      <w:spacing w:before="480" w:after="120" w:line="300" w:lineRule="auto"/>
      <w:ind w:left="1134" w:hanging="1134"/>
      <w:outlineLvl w:val="0"/>
    </w:pPr>
    <w:rPr>
      <w:rFonts w:ascii="Arial" w:eastAsia="Times New Roman" w:hAnsi="Arial" w:cs="Arial"/>
      <w:b/>
      <w:bCs/>
      <w:sz w:val="40"/>
      <w:szCs w:val="40"/>
      <w:lang w:eastAsia="en-GB"/>
    </w:rPr>
  </w:style>
  <w:style w:type="paragraph" w:styleId="Heading2">
    <w:name w:val="heading 2"/>
    <w:basedOn w:val="Normal"/>
    <w:next w:val="Normal"/>
    <w:link w:val="Heading2Char"/>
    <w:qFormat/>
    <w:pPr>
      <w:keepNext/>
      <w:numPr>
        <w:ilvl w:val="1"/>
        <w:numId w:val="3"/>
      </w:numPr>
      <w:tabs>
        <w:tab w:val="clear" w:pos="576"/>
        <w:tab w:val="left" w:pos="1134"/>
      </w:tabs>
      <w:spacing w:before="240" w:after="120" w:line="240" w:lineRule="auto"/>
      <w:ind w:left="1134" w:hanging="1134"/>
      <w:outlineLvl w:val="1"/>
    </w:pPr>
    <w:rPr>
      <w:rFonts w:ascii="Arial" w:eastAsia="Times New Roman" w:hAnsi="Arial" w:cs="Arial"/>
      <w:b/>
      <w:bCs/>
      <w:iCs/>
      <w:color w:val="00A79D"/>
      <w:sz w:val="30"/>
      <w:szCs w:val="28"/>
      <w:lang w:eastAsia="en-GB"/>
    </w:rPr>
  </w:style>
  <w:style w:type="paragraph" w:styleId="Heading3">
    <w:name w:val="heading 3"/>
    <w:basedOn w:val="Normal"/>
    <w:next w:val="Normal"/>
    <w:link w:val="Heading3Char"/>
    <w:qFormat/>
    <w:pPr>
      <w:keepNext/>
      <w:numPr>
        <w:ilvl w:val="2"/>
        <w:numId w:val="3"/>
      </w:numPr>
      <w:tabs>
        <w:tab w:val="clear" w:pos="720"/>
        <w:tab w:val="left" w:pos="1134"/>
      </w:tabs>
      <w:spacing w:before="240" w:after="120" w:line="240" w:lineRule="auto"/>
      <w:ind w:left="1134" w:hanging="1134"/>
      <w:outlineLvl w:val="2"/>
    </w:pPr>
    <w:rPr>
      <w:rFonts w:ascii="Arial" w:eastAsia="Times New Roman" w:hAnsi="Arial" w:cs="Arial"/>
      <w:b/>
      <w:bCs/>
      <w:color w:val="00A79D"/>
      <w:sz w:val="26"/>
      <w:szCs w:val="26"/>
      <w:lang w:eastAsia="en-GB"/>
    </w:rPr>
  </w:style>
  <w:style w:type="paragraph" w:styleId="Heading4">
    <w:name w:val="heading 4"/>
    <w:basedOn w:val="Normal"/>
    <w:next w:val="Normal"/>
    <w:link w:val="Heading4Char"/>
    <w:autoRedefine/>
    <w:qFormat/>
    <w:pPr>
      <w:keepNext/>
      <w:numPr>
        <w:ilvl w:val="3"/>
        <w:numId w:val="3"/>
      </w:numPr>
      <w:tabs>
        <w:tab w:val="clear" w:pos="864"/>
        <w:tab w:val="left" w:pos="1134"/>
      </w:tabs>
      <w:spacing w:before="240" w:after="120" w:line="240" w:lineRule="auto"/>
      <w:ind w:left="1134" w:hanging="1134"/>
      <w:outlineLvl w:val="3"/>
    </w:pPr>
    <w:rPr>
      <w:rFonts w:ascii="Arial" w:eastAsia="Times New Roman" w:hAnsi="Arial" w:cs="Arial"/>
      <w:b/>
      <w:bCs/>
      <w:noProof/>
      <w:color w:val="00A79D"/>
      <w:sz w:val="24"/>
      <w:szCs w:val="28"/>
      <w:lang w:eastAsia="en-GB"/>
    </w:rPr>
  </w:style>
  <w:style w:type="paragraph" w:styleId="Heading6">
    <w:name w:val="heading 6"/>
    <w:basedOn w:val="Normal"/>
    <w:next w:val="Normal"/>
    <w:link w:val="Heading6Char"/>
    <w:autoRedefine/>
    <w:qFormat/>
    <w:pPr>
      <w:numPr>
        <w:ilvl w:val="5"/>
        <w:numId w:val="3"/>
      </w:numPr>
      <w:spacing w:before="240" w:after="60" w:line="240" w:lineRule="auto"/>
      <w:outlineLvl w:val="5"/>
    </w:pPr>
    <w:rPr>
      <w:rFonts w:ascii="Calibri" w:eastAsia="Times New Roman" w:hAnsi="Calibri" w:cs="Arial"/>
      <w:b/>
      <w:bCs/>
      <w:sz w:val="24"/>
      <w:lang w:eastAsia="en-GB"/>
    </w:rPr>
  </w:style>
  <w:style w:type="paragraph" w:styleId="Heading7">
    <w:name w:val="heading 7"/>
    <w:basedOn w:val="Normal"/>
    <w:next w:val="Normal"/>
    <w:link w:val="Heading7Char"/>
    <w:autoRedefine/>
    <w:qFormat/>
    <w:pPr>
      <w:numPr>
        <w:ilvl w:val="6"/>
        <w:numId w:val="3"/>
      </w:numPr>
      <w:spacing w:before="240" w:after="60" w:line="240" w:lineRule="auto"/>
      <w:outlineLvl w:val="6"/>
    </w:pPr>
    <w:rPr>
      <w:rFonts w:ascii="Calibri" w:eastAsia="Times New Roman" w:hAnsi="Calibri" w:cs="Arial"/>
      <w:sz w:val="24"/>
      <w:szCs w:val="24"/>
      <w:lang w:eastAsia="en-GB"/>
    </w:rPr>
  </w:style>
  <w:style w:type="paragraph" w:styleId="Heading8">
    <w:name w:val="heading 8"/>
    <w:basedOn w:val="Normal"/>
    <w:next w:val="Normal"/>
    <w:link w:val="Heading8Char"/>
    <w:autoRedefine/>
    <w:qFormat/>
    <w:pPr>
      <w:numPr>
        <w:ilvl w:val="7"/>
        <w:numId w:val="3"/>
      </w:numPr>
      <w:spacing w:before="240" w:after="60" w:line="240" w:lineRule="auto"/>
      <w:outlineLvl w:val="7"/>
    </w:pPr>
    <w:rPr>
      <w:rFonts w:ascii="Calibri" w:eastAsia="Times New Roman" w:hAnsi="Calibri" w:cs="Arial"/>
      <w:i/>
      <w:iCs/>
      <w:sz w:val="24"/>
      <w:szCs w:val="24"/>
      <w:lang w:eastAsia="en-GB"/>
    </w:rPr>
  </w:style>
  <w:style w:type="paragraph" w:styleId="Heading9">
    <w:name w:val="heading 9"/>
    <w:basedOn w:val="Normal"/>
    <w:next w:val="Normal"/>
    <w:link w:val="Heading9Char"/>
    <w:autoRedefine/>
    <w:qFormat/>
    <w:pPr>
      <w:numPr>
        <w:ilvl w:val="8"/>
        <w:numId w:val="3"/>
      </w:numPr>
      <w:spacing w:before="240" w:after="60" w:line="240" w:lineRule="auto"/>
      <w:outlineLvl w:val="8"/>
    </w:pPr>
    <w:rPr>
      <w:rFonts w:ascii="Calibri" w:eastAsia="Times New Roman" w:hAnsi="Calibri" w:cs="Arial"/>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fidentialit">
    <w:name w:val="Confidentialité"/>
    <w:basedOn w:val="Normal"/>
    <w:next w:val="Normal"/>
    <w:pPr>
      <w:spacing w:before="240" w:after="240" w:line="240" w:lineRule="auto"/>
      <w:ind w:left="5103"/>
      <w:jc w:val="both"/>
    </w:pPr>
    <w:rPr>
      <w:rFonts w:ascii="Times New Roman" w:eastAsia="Times New Roman" w:hAnsi="Times New Roman" w:cs="Times New Roman"/>
      <w:sz w:val="24"/>
      <w:szCs w:val="24"/>
      <w:u w:val="single"/>
      <w:lang w:eastAsia="de-DE"/>
    </w:rPr>
  </w:style>
  <w:style w:type="paragraph" w:customStyle="1" w:styleId="Emission">
    <w:name w:val="Emission"/>
    <w:basedOn w:val="Normal"/>
    <w:next w:val="Rfrenceinstitutionelle"/>
    <w:pPr>
      <w:spacing w:after="0" w:line="240" w:lineRule="auto"/>
      <w:ind w:left="5103"/>
    </w:pPr>
    <w:rPr>
      <w:rFonts w:ascii="Times New Roman" w:eastAsia="Times New Roman" w:hAnsi="Times New Roman" w:cs="Times New Roman"/>
      <w:sz w:val="24"/>
      <w:szCs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szCs w:val="24"/>
      <w:lang w:eastAsia="de-DE"/>
    </w:rPr>
  </w:style>
  <w:style w:type="paragraph" w:customStyle="1" w:styleId="Rfrenceinstitutionelle">
    <w:name w:val="Référence institutionelle"/>
    <w:basedOn w:val="Normal"/>
    <w:next w:val="Normal"/>
    <w:pPr>
      <w:spacing w:after="240" w:line="240" w:lineRule="auto"/>
      <w:ind w:left="5103"/>
    </w:pPr>
    <w:rPr>
      <w:rFonts w:ascii="Times New Roman" w:eastAsia="Times New Roman" w:hAnsi="Times New Roman" w:cs="Times New Roman"/>
      <w:sz w:val="24"/>
      <w:szCs w:val="24"/>
      <w:lang w:eastAsia="de-DE"/>
    </w:rPr>
  </w:style>
  <w:style w:type="paragraph" w:customStyle="1" w:styleId="footnotetext1">
    <w:name w:val="footnote text1"/>
    <w:aliases w:val="footnote text,Footnote Text1,Footnote Text Ch"/>
    <w:basedOn w:val="Normal"/>
    <w:qFormat/>
    <w:pPr>
      <w:spacing w:after="0" w:line="240" w:lineRule="auto"/>
      <w:ind w:left="720" w:hanging="720"/>
      <w:jc w:val="both"/>
    </w:pPr>
    <w:rPr>
      <w:rFonts w:ascii="Times New Roman" w:eastAsia="Times New Roman" w:hAnsi="Times New Roman" w:cs="Times New Roman"/>
      <w:sz w:val="20"/>
      <w:szCs w:val="20"/>
      <w:lang w:eastAsia="de-DE"/>
    </w:rPr>
  </w:style>
  <w:style w:type="character" w:styleId="FootnoteReference">
    <w:name w:val="footnote reference"/>
    <w:aliases w:val="SUPERS,EN Footnote Reference,Footnote reference number,Footnote symbol,note TESI,-E Fußnotenzeichen,number,16 Point,Superscript 6 Point,Footnote text,Footnote Reference Superscript,stylish,BVI fnr,Footnote call,(Footnote Reference),ft"/>
    <w:qFormat/>
    <w:rPr>
      <w:rFonts w:cs="Times New Roman"/>
      <w:vertAlign w:val="superscript"/>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character" w:styleId="Hyperlink">
    <w:name w:val="Hyperlink"/>
    <w:rPr>
      <w:rFonts w:cs="Times New Roman"/>
      <w:color w:val="0000FF"/>
      <w:u w:val="single"/>
    </w:rPr>
  </w:style>
  <w:style w:type="paragraph" w:styleId="Caption">
    <w:name w:val="caption"/>
    <w:basedOn w:val="Normal"/>
    <w:next w:val="Normal"/>
    <w:link w:val="CaptionChar"/>
    <w:qFormat/>
    <w:pPr>
      <w:spacing w:after="120" w:line="240" w:lineRule="auto"/>
      <w:ind w:left="992" w:hanging="992"/>
      <w:jc w:val="both"/>
    </w:pPr>
    <w:rPr>
      <w:rFonts w:ascii="Times New Roman" w:eastAsia="Times New Roman" w:hAnsi="Times New Roman" w:cs="Times New Roman"/>
      <w:iCs/>
      <w:sz w:val="24"/>
      <w:szCs w:val="24"/>
      <w:lang w:eastAsia="de-D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1Char">
    <w:name w:val="Heading 1 Char"/>
    <w:basedOn w:val="DefaultParagraphFont"/>
    <w:link w:val="Heading1"/>
    <w:rPr>
      <w:rFonts w:ascii="Arial" w:eastAsia="Times New Roman" w:hAnsi="Arial" w:cs="Arial"/>
      <w:b/>
      <w:bCs/>
      <w:sz w:val="40"/>
      <w:szCs w:val="40"/>
      <w:lang w:eastAsia="en-GB"/>
    </w:rPr>
  </w:style>
  <w:style w:type="character" w:customStyle="1" w:styleId="Heading2Char">
    <w:name w:val="Heading 2 Char"/>
    <w:basedOn w:val="DefaultParagraphFont"/>
    <w:link w:val="Heading2"/>
    <w:rPr>
      <w:rFonts w:ascii="Arial" w:eastAsia="Times New Roman" w:hAnsi="Arial" w:cs="Arial"/>
      <w:b/>
      <w:bCs/>
      <w:iCs/>
      <w:color w:val="00A79D"/>
      <w:sz w:val="30"/>
      <w:szCs w:val="28"/>
      <w:lang w:eastAsia="en-GB"/>
    </w:rPr>
  </w:style>
  <w:style w:type="character" w:customStyle="1" w:styleId="Heading3Char">
    <w:name w:val="Heading 3 Char"/>
    <w:basedOn w:val="DefaultParagraphFont"/>
    <w:link w:val="Heading3"/>
    <w:rPr>
      <w:rFonts w:ascii="Arial" w:eastAsia="Times New Roman" w:hAnsi="Arial" w:cs="Arial"/>
      <w:b/>
      <w:bCs/>
      <w:color w:val="00A79D"/>
      <w:sz w:val="26"/>
      <w:szCs w:val="26"/>
      <w:lang w:eastAsia="en-GB"/>
    </w:rPr>
  </w:style>
  <w:style w:type="character" w:customStyle="1" w:styleId="Heading4Char">
    <w:name w:val="Heading 4 Char"/>
    <w:basedOn w:val="DefaultParagraphFont"/>
    <w:link w:val="Heading4"/>
    <w:rPr>
      <w:rFonts w:ascii="Arial" w:eastAsia="Times New Roman" w:hAnsi="Arial" w:cs="Arial"/>
      <w:b/>
      <w:bCs/>
      <w:noProof/>
      <w:color w:val="00A79D"/>
      <w:sz w:val="24"/>
      <w:szCs w:val="28"/>
      <w:lang w:eastAsia="en-GB"/>
    </w:rPr>
  </w:style>
  <w:style w:type="character" w:customStyle="1" w:styleId="Heading6Char">
    <w:name w:val="Heading 6 Char"/>
    <w:basedOn w:val="DefaultParagraphFont"/>
    <w:link w:val="Heading6"/>
    <w:rPr>
      <w:rFonts w:ascii="Calibri" w:eastAsia="Times New Roman" w:hAnsi="Calibri" w:cs="Arial"/>
      <w:b/>
      <w:bCs/>
      <w:sz w:val="24"/>
      <w:lang w:eastAsia="en-GB"/>
    </w:rPr>
  </w:style>
  <w:style w:type="character" w:customStyle="1" w:styleId="Heading7Char">
    <w:name w:val="Heading 7 Char"/>
    <w:basedOn w:val="DefaultParagraphFont"/>
    <w:link w:val="Heading7"/>
    <w:rPr>
      <w:rFonts w:ascii="Calibri" w:eastAsia="Times New Roman" w:hAnsi="Calibri" w:cs="Arial"/>
      <w:sz w:val="24"/>
      <w:szCs w:val="24"/>
      <w:lang w:eastAsia="en-GB"/>
    </w:rPr>
  </w:style>
  <w:style w:type="character" w:customStyle="1" w:styleId="Heading8Char">
    <w:name w:val="Heading 8 Char"/>
    <w:basedOn w:val="DefaultParagraphFont"/>
    <w:link w:val="Heading8"/>
    <w:rPr>
      <w:rFonts w:ascii="Calibri" w:eastAsia="Times New Roman" w:hAnsi="Calibri" w:cs="Arial"/>
      <w:i/>
      <w:iCs/>
      <w:sz w:val="24"/>
      <w:szCs w:val="24"/>
      <w:lang w:eastAsia="en-GB"/>
    </w:rPr>
  </w:style>
  <w:style w:type="character" w:customStyle="1" w:styleId="Heading9Char">
    <w:name w:val="Heading 9 Char"/>
    <w:basedOn w:val="DefaultParagraphFont"/>
    <w:link w:val="Heading9"/>
    <w:rPr>
      <w:rFonts w:ascii="Calibri" w:eastAsia="Times New Roman" w:hAnsi="Calibri" w:cs="Arial"/>
      <w:sz w:val="24"/>
      <w:lang w:eastAsia="en-GB"/>
    </w:rPr>
  </w:style>
  <w:style w:type="paragraph" w:styleId="ListBullet">
    <w:name w:val="List Bullet"/>
    <w:basedOn w:val="Normal"/>
    <w:qFormat/>
    <w:pPr>
      <w:numPr>
        <w:numId w:val="4"/>
      </w:numPr>
      <w:spacing w:before="120" w:after="120" w:line="240" w:lineRule="auto"/>
      <w:contextualSpacing/>
    </w:pPr>
    <w:rPr>
      <w:rFonts w:ascii="Calibri" w:eastAsia="Times New Roman" w:hAnsi="Calibri" w:cs="Arial"/>
      <w:sz w:val="24"/>
      <w:szCs w:val="24"/>
      <w:lang w:eastAsia="en-GB"/>
    </w:rPr>
  </w:style>
  <w:style w:type="character" w:customStyle="1" w:styleId="CaptionChar">
    <w:name w:val="Caption Char"/>
    <w:link w:val="Caption"/>
    <w:rPr>
      <w:rFonts w:ascii="Times New Roman" w:eastAsia="Times New Roman" w:hAnsi="Times New Roman" w:cs="Times New Roman"/>
      <w:iCs/>
      <w:sz w:val="24"/>
      <w:szCs w:val="24"/>
      <w:lang w:eastAsia="de-DE"/>
    </w:rPr>
  </w:style>
  <w:style w:type="character" w:customStyle="1" w:styleId="hps">
    <w:name w:val="hps"/>
    <w:basedOn w:val="DefaultParagraphFont"/>
  </w:style>
  <w:style w:type="character" w:styleId="Strong">
    <w:name w:val="Strong"/>
    <w:basedOn w:val="DefaultParagraphFont"/>
    <w:uiPriority w:val="22"/>
    <w:qFormat/>
    <w:rPr>
      <w:b/>
      <w:bCs/>
    </w:rPr>
  </w:style>
  <w:style w:type="paragraph" w:styleId="FootnoteText">
    <w:name w:val="footnote text"/>
    <w:basedOn w:val="Normal"/>
    <w:link w:val="FootnoteTextChar"/>
    <w:semiHidden/>
    <w:unhideWhenUsed/>
    <w:qFormat/>
    <w:pPr>
      <w:spacing w:after="0" w:line="240" w:lineRule="auto"/>
    </w:pPr>
    <w:rPr>
      <w:sz w:val="20"/>
      <w:szCs w:val="20"/>
    </w:rPr>
  </w:style>
  <w:style w:type="character" w:customStyle="1" w:styleId="FootnoteTextChar">
    <w:name w:val="Footnote Text Char"/>
    <w:basedOn w:val="DefaultParagraphFont"/>
    <w:link w:val="FootnoteText"/>
    <w:semiHidden/>
    <w:rPr>
      <w:sz w:val="20"/>
      <w:szCs w:val="20"/>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uiPriority="0" w:qFormat="1"/>
    <w:lsdException w:name="annotation reference" w:uiPriority="0"/>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3"/>
      </w:numPr>
      <w:pBdr>
        <w:bottom w:val="thinThickLargeGap" w:sz="24" w:space="1" w:color="auto"/>
      </w:pBdr>
      <w:tabs>
        <w:tab w:val="left" w:pos="1134"/>
      </w:tabs>
      <w:spacing w:before="480" w:after="120" w:line="300" w:lineRule="auto"/>
      <w:ind w:left="1134" w:hanging="1134"/>
      <w:outlineLvl w:val="0"/>
    </w:pPr>
    <w:rPr>
      <w:rFonts w:ascii="Arial" w:eastAsia="Times New Roman" w:hAnsi="Arial" w:cs="Arial"/>
      <w:b/>
      <w:bCs/>
      <w:sz w:val="40"/>
      <w:szCs w:val="40"/>
      <w:lang w:eastAsia="en-GB"/>
    </w:rPr>
  </w:style>
  <w:style w:type="paragraph" w:styleId="Heading2">
    <w:name w:val="heading 2"/>
    <w:basedOn w:val="Normal"/>
    <w:next w:val="Normal"/>
    <w:link w:val="Heading2Char"/>
    <w:qFormat/>
    <w:pPr>
      <w:keepNext/>
      <w:numPr>
        <w:ilvl w:val="1"/>
        <w:numId w:val="3"/>
      </w:numPr>
      <w:tabs>
        <w:tab w:val="clear" w:pos="576"/>
        <w:tab w:val="left" w:pos="1134"/>
      </w:tabs>
      <w:spacing w:before="240" w:after="120" w:line="240" w:lineRule="auto"/>
      <w:ind w:left="1134" w:hanging="1134"/>
      <w:outlineLvl w:val="1"/>
    </w:pPr>
    <w:rPr>
      <w:rFonts w:ascii="Arial" w:eastAsia="Times New Roman" w:hAnsi="Arial" w:cs="Arial"/>
      <w:b/>
      <w:bCs/>
      <w:iCs/>
      <w:color w:val="00A79D"/>
      <w:sz w:val="30"/>
      <w:szCs w:val="28"/>
      <w:lang w:eastAsia="en-GB"/>
    </w:rPr>
  </w:style>
  <w:style w:type="paragraph" w:styleId="Heading3">
    <w:name w:val="heading 3"/>
    <w:basedOn w:val="Normal"/>
    <w:next w:val="Normal"/>
    <w:link w:val="Heading3Char"/>
    <w:qFormat/>
    <w:pPr>
      <w:keepNext/>
      <w:numPr>
        <w:ilvl w:val="2"/>
        <w:numId w:val="3"/>
      </w:numPr>
      <w:tabs>
        <w:tab w:val="clear" w:pos="720"/>
        <w:tab w:val="left" w:pos="1134"/>
      </w:tabs>
      <w:spacing w:before="240" w:after="120" w:line="240" w:lineRule="auto"/>
      <w:ind w:left="1134" w:hanging="1134"/>
      <w:outlineLvl w:val="2"/>
    </w:pPr>
    <w:rPr>
      <w:rFonts w:ascii="Arial" w:eastAsia="Times New Roman" w:hAnsi="Arial" w:cs="Arial"/>
      <w:b/>
      <w:bCs/>
      <w:color w:val="00A79D"/>
      <w:sz w:val="26"/>
      <w:szCs w:val="26"/>
      <w:lang w:eastAsia="en-GB"/>
    </w:rPr>
  </w:style>
  <w:style w:type="paragraph" w:styleId="Heading4">
    <w:name w:val="heading 4"/>
    <w:basedOn w:val="Normal"/>
    <w:next w:val="Normal"/>
    <w:link w:val="Heading4Char"/>
    <w:autoRedefine/>
    <w:qFormat/>
    <w:pPr>
      <w:keepNext/>
      <w:numPr>
        <w:ilvl w:val="3"/>
        <w:numId w:val="3"/>
      </w:numPr>
      <w:tabs>
        <w:tab w:val="clear" w:pos="864"/>
        <w:tab w:val="left" w:pos="1134"/>
      </w:tabs>
      <w:spacing w:before="240" w:after="120" w:line="240" w:lineRule="auto"/>
      <w:ind w:left="1134" w:hanging="1134"/>
      <w:outlineLvl w:val="3"/>
    </w:pPr>
    <w:rPr>
      <w:rFonts w:ascii="Arial" w:eastAsia="Times New Roman" w:hAnsi="Arial" w:cs="Arial"/>
      <w:b/>
      <w:bCs/>
      <w:noProof/>
      <w:color w:val="00A79D"/>
      <w:sz w:val="24"/>
      <w:szCs w:val="28"/>
      <w:lang w:eastAsia="en-GB"/>
    </w:rPr>
  </w:style>
  <w:style w:type="paragraph" w:styleId="Heading6">
    <w:name w:val="heading 6"/>
    <w:basedOn w:val="Normal"/>
    <w:next w:val="Normal"/>
    <w:link w:val="Heading6Char"/>
    <w:autoRedefine/>
    <w:qFormat/>
    <w:pPr>
      <w:numPr>
        <w:ilvl w:val="5"/>
        <w:numId w:val="3"/>
      </w:numPr>
      <w:spacing w:before="240" w:after="60" w:line="240" w:lineRule="auto"/>
      <w:outlineLvl w:val="5"/>
    </w:pPr>
    <w:rPr>
      <w:rFonts w:ascii="Calibri" w:eastAsia="Times New Roman" w:hAnsi="Calibri" w:cs="Arial"/>
      <w:b/>
      <w:bCs/>
      <w:sz w:val="24"/>
      <w:lang w:eastAsia="en-GB"/>
    </w:rPr>
  </w:style>
  <w:style w:type="paragraph" w:styleId="Heading7">
    <w:name w:val="heading 7"/>
    <w:basedOn w:val="Normal"/>
    <w:next w:val="Normal"/>
    <w:link w:val="Heading7Char"/>
    <w:autoRedefine/>
    <w:qFormat/>
    <w:pPr>
      <w:numPr>
        <w:ilvl w:val="6"/>
        <w:numId w:val="3"/>
      </w:numPr>
      <w:spacing w:before="240" w:after="60" w:line="240" w:lineRule="auto"/>
      <w:outlineLvl w:val="6"/>
    </w:pPr>
    <w:rPr>
      <w:rFonts w:ascii="Calibri" w:eastAsia="Times New Roman" w:hAnsi="Calibri" w:cs="Arial"/>
      <w:sz w:val="24"/>
      <w:szCs w:val="24"/>
      <w:lang w:eastAsia="en-GB"/>
    </w:rPr>
  </w:style>
  <w:style w:type="paragraph" w:styleId="Heading8">
    <w:name w:val="heading 8"/>
    <w:basedOn w:val="Normal"/>
    <w:next w:val="Normal"/>
    <w:link w:val="Heading8Char"/>
    <w:autoRedefine/>
    <w:qFormat/>
    <w:pPr>
      <w:numPr>
        <w:ilvl w:val="7"/>
        <w:numId w:val="3"/>
      </w:numPr>
      <w:spacing w:before="240" w:after="60" w:line="240" w:lineRule="auto"/>
      <w:outlineLvl w:val="7"/>
    </w:pPr>
    <w:rPr>
      <w:rFonts w:ascii="Calibri" w:eastAsia="Times New Roman" w:hAnsi="Calibri" w:cs="Arial"/>
      <w:i/>
      <w:iCs/>
      <w:sz w:val="24"/>
      <w:szCs w:val="24"/>
      <w:lang w:eastAsia="en-GB"/>
    </w:rPr>
  </w:style>
  <w:style w:type="paragraph" w:styleId="Heading9">
    <w:name w:val="heading 9"/>
    <w:basedOn w:val="Normal"/>
    <w:next w:val="Normal"/>
    <w:link w:val="Heading9Char"/>
    <w:autoRedefine/>
    <w:qFormat/>
    <w:pPr>
      <w:numPr>
        <w:ilvl w:val="8"/>
        <w:numId w:val="3"/>
      </w:numPr>
      <w:spacing w:before="240" w:after="60" w:line="240" w:lineRule="auto"/>
      <w:outlineLvl w:val="8"/>
    </w:pPr>
    <w:rPr>
      <w:rFonts w:ascii="Calibri" w:eastAsia="Times New Roman" w:hAnsi="Calibri" w:cs="Arial"/>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fidentialit">
    <w:name w:val="Confidentialité"/>
    <w:basedOn w:val="Normal"/>
    <w:next w:val="Normal"/>
    <w:pPr>
      <w:spacing w:before="240" w:after="240" w:line="240" w:lineRule="auto"/>
      <w:ind w:left="5103"/>
      <w:jc w:val="both"/>
    </w:pPr>
    <w:rPr>
      <w:rFonts w:ascii="Times New Roman" w:eastAsia="Times New Roman" w:hAnsi="Times New Roman" w:cs="Times New Roman"/>
      <w:sz w:val="24"/>
      <w:szCs w:val="24"/>
      <w:u w:val="single"/>
      <w:lang w:eastAsia="de-DE"/>
    </w:rPr>
  </w:style>
  <w:style w:type="paragraph" w:customStyle="1" w:styleId="Emission">
    <w:name w:val="Emission"/>
    <w:basedOn w:val="Normal"/>
    <w:next w:val="Rfrenceinstitutionelle"/>
    <w:pPr>
      <w:spacing w:after="0" w:line="240" w:lineRule="auto"/>
      <w:ind w:left="5103"/>
    </w:pPr>
    <w:rPr>
      <w:rFonts w:ascii="Times New Roman" w:eastAsia="Times New Roman" w:hAnsi="Times New Roman" w:cs="Times New Roman"/>
      <w:sz w:val="24"/>
      <w:szCs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szCs w:val="24"/>
      <w:lang w:eastAsia="de-DE"/>
    </w:rPr>
  </w:style>
  <w:style w:type="paragraph" w:customStyle="1" w:styleId="Rfrenceinstitutionelle">
    <w:name w:val="Référence institutionelle"/>
    <w:basedOn w:val="Normal"/>
    <w:next w:val="Normal"/>
    <w:pPr>
      <w:spacing w:after="240" w:line="240" w:lineRule="auto"/>
      <w:ind w:left="5103"/>
    </w:pPr>
    <w:rPr>
      <w:rFonts w:ascii="Times New Roman" w:eastAsia="Times New Roman" w:hAnsi="Times New Roman" w:cs="Times New Roman"/>
      <w:sz w:val="24"/>
      <w:szCs w:val="24"/>
      <w:lang w:eastAsia="de-DE"/>
    </w:rPr>
  </w:style>
  <w:style w:type="paragraph" w:customStyle="1" w:styleId="footnotetext1">
    <w:name w:val="footnote text1"/>
    <w:aliases w:val="footnote text,Footnote Text1,Footnote Text Ch"/>
    <w:basedOn w:val="Normal"/>
    <w:qFormat/>
    <w:pPr>
      <w:spacing w:after="0" w:line="240" w:lineRule="auto"/>
      <w:ind w:left="720" w:hanging="720"/>
      <w:jc w:val="both"/>
    </w:pPr>
    <w:rPr>
      <w:rFonts w:ascii="Times New Roman" w:eastAsia="Times New Roman" w:hAnsi="Times New Roman" w:cs="Times New Roman"/>
      <w:sz w:val="20"/>
      <w:szCs w:val="20"/>
      <w:lang w:eastAsia="de-DE"/>
    </w:rPr>
  </w:style>
  <w:style w:type="character" w:styleId="FootnoteReference">
    <w:name w:val="footnote reference"/>
    <w:aliases w:val="SUPERS,EN Footnote Reference,Footnote reference number,Footnote symbol,note TESI,-E Fußnotenzeichen,number,16 Point,Superscript 6 Point,Footnote text,Footnote Reference Superscript,stylish,BVI fnr,Footnote call,(Footnote Reference),ft"/>
    <w:qFormat/>
    <w:rPr>
      <w:rFonts w:cs="Times New Roman"/>
      <w:vertAlign w:val="superscript"/>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character" w:styleId="Hyperlink">
    <w:name w:val="Hyperlink"/>
    <w:rPr>
      <w:rFonts w:cs="Times New Roman"/>
      <w:color w:val="0000FF"/>
      <w:u w:val="single"/>
    </w:rPr>
  </w:style>
  <w:style w:type="paragraph" w:styleId="Caption">
    <w:name w:val="caption"/>
    <w:basedOn w:val="Normal"/>
    <w:next w:val="Normal"/>
    <w:link w:val="CaptionChar"/>
    <w:qFormat/>
    <w:pPr>
      <w:spacing w:after="120" w:line="240" w:lineRule="auto"/>
      <w:ind w:left="992" w:hanging="992"/>
      <w:jc w:val="both"/>
    </w:pPr>
    <w:rPr>
      <w:rFonts w:ascii="Times New Roman" w:eastAsia="Times New Roman" w:hAnsi="Times New Roman" w:cs="Times New Roman"/>
      <w:iCs/>
      <w:sz w:val="24"/>
      <w:szCs w:val="24"/>
      <w:lang w:eastAsia="de-D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1Char">
    <w:name w:val="Heading 1 Char"/>
    <w:basedOn w:val="DefaultParagraphFont"/>
    <w:link w:val="Heading1"/>
    <w:rPr>
      <w:rFonts w:ascii="Arial" w:eastAsia="Times New Roman" w:hAnsi="Arial" w:cs="Arial"/>
      <w:b/>
      <w:bCs/>
      <w:sz w:val="40"/>
      <w:szCs w:val="40"/>
      <w:lang w:eastAsia="en-GB"/>
    </w:rPr>
  </w:style>
  <w:style w:type="character" w:customStyle="1" w:styleId="Heading2Char">
    <w:name w:val="Heading 2 Char"/>
    <w:basedOn w:val="DefaultParagraphFont"/>
    <w:link w:val="Heading2"/>
    <w:rPr>
      <w:rFonts w:ascii="Arial" w:eastAsia="Times New Roman" w:hAnsi="Arial" w:cs="Arial"/>
      <w:b/>
      <w:bCs/>
      <w:iCs/>
      <w:color w:val="00A79D"/>
      <w:sz w:val="30"/>
      <w:szCs w:val="28"/>
      <w:lang w:eastAsia="en-GB"/>
    </w:rPr>
  </w:style>
  <w:style w:type="character" w:customStyle="1" w:styleId="Heading3Char">
    <w:name w:val="Heading 3 Char"/>
    <w:basedOn w:val="DefaultParagraphFont"/>
    <w:link w:val="Heading3"/>
    <w:rPr>
      <w:rFonts w:ascii="Arial" w:eastAsia="Times New Roman" w:hAnsi="Arial" w:cs="Arial"/>
      <w:b/>
      <w:bCs/>
      <w:color w:val="00A79D"/>
      <w:sz w:val="26"/>
      <w:szCs w:val="26"/>
      <w:lang w:eastAsia="en-GB"/>
    </w:rPr>
  </w:style>
  <w:style w:type="character" w:customStyle="1" w:styleId="Heading4Char">
    <w:name w:val="Heading 4 Char"/>
    <w:basedOn w:val="DefaultParagraphFont"/>
    <w:link w:val="Heading4"/>
    <w:rPr>
      <w:rFonts w:ascii="Arial" w:eastAsia="Times New Roman" w:hAnsi="Arial" w:cs="Arial"/>
      <w:b/>
      <w:bCs/>
      <w:noProof/>
      <w:color w:val="00A79D"/>
      <w:sz w:val="24"/>
      <w:szCs w:val="28"/>
      <w:lang w:eastAsia="en-GB"/>
    </w:rPr>
  </w:style>
  <w:style w:type="character" w:customStyle="1" w:styleId="Heading6Char">
    <w:name w:val="Heading 6 Char"/>
    <w:basedOn w:val="DefaultParagraphFont"/>
    <w:link w:val="Heading6"/>
    <w:rPr>
      <w:rFonts w:ascii="Calibri" w:eastAsia="Times New Roman" w:hAnsi="Calibri" w:cs="Arial"/>
      <w:b/>
      <w:bCs/>
      <w:sz w:val="24"/>
      <w:lang w:eastAsia="en-GB"/>
    </w:rPr>
  </w:style>
  <w:style w:type="character" w:customStyle="1" w:styleId="Heading7Char">
    <w:name w:val="Heading 7 Char"/>
    <w:basedOn w:val="DefaultParagraphFont"/>
    <w:link w:val="Heading7"/>
    <w:rPr>
      <w:rFonts w:ascii="Calibri" w:eastAsia="Times New Roman" w:hAnsi="Calibri" w:cs="Arial"/>
      <w:sz w:val="24"/>
      <w:szCs w:val="24"/>
      <w:lang w:eastAsia="en-GB"/>
    </w:rPr>
  </w:style>
  <w:style w:type="character" w:customStyle="1" w:styleId="Heading8Char">
    <w:name w:val="Heading 8 Char"/>
    <w:basedOn w:val="DefaultParagraphFont"/>
    <w:link w:val="Heading8"/>
    <w:rPr>
      <w:rFonts w:ascii="Calibri" w:eastAsia="Times New Roman" w:hAnsi="Calibri" w:cs="Arial"/>
      <w:i/>
      <w:iCs/>
      <w:sz w:val="24"/>
      <w:szCs w:val="24"/>
      <w:lang w:eastAsia="en-GB"/>
    </w:rPr>
  </w:style>
  <w:style w:type="character" w:customStyle="1" w:styleId="Heading9Char">
    <w:name w:val="Heading 9 Char"/>
    <w:basedOn w:val="DefaultParagraphFont"/>
    <w:link w:val="Heading9"/>
    <w:rPr>
      <w:rFonts w:ascii="Calibri" w:eastAsia="Times New Roman" w:hAnsi="Calibri" w:cs="Arial"/>
      <w:sz w:val="24"/>
      <w:lang w:eastAsia="en-GB"/>
    </w:rPr>
  </w:style>
  <w:style w:type="paragraph" w:styleId="ListBullet">
    <w:name w:val="List Bullet"/>
    <w:basedOn w:val="Normal"/>
    <w:qFormat/>
    <w:pPr>
      <w:numPr>
        <w:numId w:val="4"/>
      </w:numPr>
      <w:spacing w:before="120" w:after="120" w:line="240" w:lineRule="auto"/>
      <w:contextualSpacing/>
    </w:pPr>
    <w:rPr>
      <w:rFonts w:ascii="Calibri" w:eastAsia="Times New Roman" w:hAnsi="Calibri" w:cs="Arial"/>
      <w:sz w:val="24"/>
      <w:szCs w:val="24"/>
      <w:lang w:eastAsia="en-GB"/>
    </w:rPr>
  </w:style>
  <w:style w:type="character" w:customStyle="1" w:styleId="CaptionChar">
    <w:name w:val="Caption Char"/>
    <w:link w:val="Caption"/>
    <w:rPr>
      <w:rFonts w:ascii="Times New Roman" w:eastAsia="Times New Roman" w:hAnsi="Times New Roman" w:cs="Times New Roman"/>
      <w:iCs/>
      <w:sz w:val="24"/>
      <w:szCs w:val="24"/>
      <w:lang w:eastAsia="de-DE"/>
    </w:rPr>
  </w:style>
  <w:style w:type="character" w:customStyle="1" w:styleId="hps">
    <w:name w:val="hps"/>
    <w:basedOn w:val="DefaultParagraphFont"/>
  </w:style>
  <w:style w:type="character" w:styleId="Strong">
    <w:name w:val="Strong"/>
    <w:basedOn w:val="DefaultParagraphFont"/>
    <w:uiPriority w:val="22"/>
    <w:qFormat/>
    <w:rPr>
      <w:b/>
      <w:bCs/>
    </w:rPr>
  </w:style>
  <w:style w:type="paragraph" w:styleId="FootnoteText">
    <w:name w:val="footnote text"/>
    <w:basedOn w:val="Normal"/>
    <w:link w:val="FootnoteTextChar"/>
    <w:semiHidden/>
    <w:unhideWhenUsed/>
    <w:qFormat/>
    <w:pPr>
      <w:spacing w:after="0" w:line="240" w:lineRule="auto"/>
    </w:pPr>
    <w:rPr>
      <w:sz w:val="20"/>
      <w:szCs w:val="20"/>
    </w:rPr>
  </w:style>
  <w:style w:type="character" w:customStyle="1" w:styleId="FootnoteTextChar">
    <w:name w:val="Footnote Text Char"/>
    <w:basedOn w:val="DefaultParagraphFont"/>
    <w:link w:val="FootnoteText"/>
    <w:semiHidden/>
    <w:rPr>
      <w:sz w:val="20"/>
      <w:szCs w:val="20"/>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945333">
      <w:bodyDiv w:val="1"/>
      <w:marLeft w:val="0"/>
      <w:marRight w:val="0"/>
      <w:marTop w:val="0"/>
      <w:marBottom w:val="0"/>
      <w:divBdr>
        <w:top w:val="none" w:sz="0" w:space="0" w:color="auto"/>
        <w:left w:val="none" w:sz="0" w:space="0" w:color="auto"/>
        <w:bottom w:val="none" w:sz="0" w:space="0" w:color="auto"/>
        <w:right w:val="none" w:sz="0" w:space="0" w:color="auto"/>
      </w:divBdr>
    </w:div>
    <w:div w:id="666707772">
      <w:bodyDiv w:val="1"/>
      <w:marLeft w:val="0"/>
      <w:marRight w:val="0"/>
      <w:marTop w:val="0"/>
      <w:marBottom w:val="0"/>
      <w:divBdr>
        <w:top w:val="none" w:sz="0" w:space="0" w:color="auto"/>
        <w:left w:val="none" w:sz="0" w:space="0" w:color="auto"/>
        <w:bottom w:val="none" w:sz="0" w:space="0" w:color="auto"/>
        <w:right w:val="none" w:sz="0" w:space="0" w:color="auto"/>
      </w:divBdr>
      <w:divsChild>
        <w:div w:id="1257444299">
          <w:marLeft w:val="1757"/>
          <w:marRight w:val="0"/>
          <w:marTop w:val="360"/>
          <w:marBottom w:val="0"/>
          <w:divBdr>
            <w:top w:val="none" w:sz="0" w:space="0" w:color="auto"/>
            <w:left w:val="none" w:sz="0" w:space="0" w:color="auto"/>
            <w:bottom w:val="none" w:sz="0" w:space="0" w:color="auto"/>
            <w:right w:val="none" w:sz="0" w:space="0" w:color="auto"/>
          </w:divBdr>
        </w:div>
        <w:div w:id="1933004291">
          <w:marLeft w:val="1757"/>
          <w:marRight w:val="0"/>
          <w:marTop w:val="360"/>
          <w:marBottom w:val="0"/>
          <w:divBdr>
            <w:top w:val="none" w:sz="0" w:space="0" w:color="auto"/>
            <w:left w:val="none" w:sz="0" w:space="0" w:color="auto"/>
            <w:bottom w:val="none" w:sz="0" w:space="0" w:color="auto"/>
            <w:right w:val="none" w:sz="0" w:space="0" w:color="auto"/>
          </w:divBdr>
        </w:div>
        <w:div w:id="268125303">
          <w:marLeft w:val="1123"/>
          <w:marRight w:val="0"/>
          <w:marTop w:val="360"/>
          <w:marBottom w:val="0"/>
          <w:divBdr>
            <w:top w:val="none" w:sz="0" w:space="0" w:color="auto"/>
            <w:left w:val="none" w:sz="0" w:space="0" w:color="auto"/>
            <w:bottom w:val="none" w:sz="0" w:space="0" w:color="auto"/>
            <w:right w:val="none" w:sz="0" w:space="0" w:color="auto"/>
          </w:divBdr>
        </w:div>
      </w:divsChild>
    </w:div>
    <w:div w:id="1087725980">
      <w:bodyDiv w:val="1"/>
      <w:marLeft w:val="0"/>
      <w:marRight w:val="0"/>
      <w:marTop w:val="0"/>
      <w:marBottom w:val="0"/>
      <w:divBdr>
        <w:top w:val="none" w:sz="0" w:space="0" w:color="auto"/>
        <w:left w:val="none" w:sz="0" w:space="0" w:color="auto"/>
        <w:bottom w:val="none" w:sz="0" w:space="0" w:color="auto"/>
        <w:right w:val="none" w:sz="0" w:space="0" w:color="auto"/>
      </w:divBdr>
    </w:div>
    <w:div w:id="1226070389">
      <w:bodyDiv w:val="1"/>
      <w:marLeft w:val="0"/>
      <w:marRight w:val="0"/>
      <w:marTop w:val="0"/>
      <w:marBottom w:val="0"/>
      <w:divBdr>
        <w:top w:val="none" w:sz="0" w:space="0" w:color="auto"/>
        <w:left w:val="none" w:sz="0" w:space="0" w:color="auto"/>
        <w:bottom w:val="none" w:sz="0" w:space="0" w:color="auto"/>
        <w:right w:val="none" w:sz="0" w:space="0" w:color="auto"/>
      </w:divBdr>
    </w:div>
    <w:div w:id="175389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nvironment/waste/elv/events_en.htm" TargetMode="External"/><Relationship Id="rId1" Type="http://schemas.openxmlformats.org/officeDocument/2006/relationships/hyperlink" Target="http://ec.europa.eu/environment/waste/elv/events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3E1AE-036A-4866-A49F-B983E4D98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14</Pages>
  <Words>5339</Words>
  <Characters>29422</Characters>
  <Application>Microsoft Office Word</Application>
  <DocSecurity>0</DocSecurity>
  <Lines>1225</Lines>
  <Paragraphs>965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33796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20</cp:revision>
  <cp:lastPrinted>2019-07-25T10:37:00Z</cp:lastPrinted>
  <dcterms:created xsi:type="dcterms:W3CDTF">2019-12-16T16:18:00Z</dcterms:created>
  <dcterms:modified xsi:type="dcterms:W3CDTF">2020-01-23T14:38:00Z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CP-008</vt:lpwstr>
  </property>
</Properties>
</file>