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5B6A7C-EB91-4EFB-BD9C-BD0C143BBC67" style="width:450.75pt;height:351.7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spacing w:before="0" w:after="240"/>
        <w:rPr>
          <w:rFonts w:eastAsia="Times New Roman"/>
          <w:noProof/>
          <w:szCs w:val="20"/>
        </w:rPr>
      </w:pPr>
      <w:r>
        <w:rPr>
          <w:noProof/>
        </w:rPr>
        <w:t>Споразумението за сътрудничество в областта на науката и технологията между Европейската общност и Украйна</w:t>
      </w:r>
      <w:r>
        <w:rPr>
          <w:rStyle w:val="FootnoteReference"/>
          <w:noProof/>
        </w:rPr>
        <w:footnoteReference w:id="1"/>
      </w:r>
      <w:r>
        <w:rPr>
          <w:noProof/>
        </w:rPr>
        <w:t xml:space="preserve"> („Споразумението“) беше подписано на 4 юли 2002 г. в Копенхаген и сключено за първоначален срок, изтекъл на 31 декември 2002 г. В член 12, буква б) от Споразумението се предвижда възможност за неговото подновяване за допълнителни периоди от пет години при взаимно съгласие между страните. Споразумението беше подновено два пъти, а именно през 2011 г.</w:t>
      </w:r>
      <w:r>
        <w:rPr>
          <w:rStyle w:val="FootnoteReference"/>
          <w:noProof/>
        </w:rPr>
        <w:footnoteReference w:id="2"/>
      </w:r>
      <w:r>
        <w:rPr>
          <w:noProof/>
        </w:rPr>
        <w:t xml:space="preserve"> и 2014 г.</w:t>
      </w:r>
      <w:r>
        <w:rPr>
          <w:rStyle w:val="FootnoteReference"/>
          <w:noProof/>
        </w:rPr>
        <w:footnoteReference w:id="3"/>
      </w:r>
    </w:p>
    <w:p>
      <w:pPr>
        <w:spacing w:before="0" w:after="240"/>
        <w:rPr>
          <w:rFonts w:eastAsia="Times New Roman"/>
          <w:noProof/>
          <w:szCs w:val="20"/>
        </w:rPr>
      </w:pPr>
      <w:r>
        <w:rPr>
          <w:noProof/>
        </w:rPr>
        <w:t>Срокът на действие на Споразумението изтече на 7 ноември 2019 г.</w:t>
      </w:r>
    </w:p>
    <w:p>
      <w:pPr>
        <w:spacing w:before="0" w:after="240"/>
        <w:rPr>
          <w:rFonts w:eastAsia="Times New Roman"/>
          <w:noProof/>
          <w:szCs w:val="20"/>
        </w:rPr>
      </w:pPr>
      <w:r>
        <w:rPr>
          <w:noProof/>
        </w:rPr>
        <w:t>Подновяването на Споразумението за допълнителен период от пет години е във взаимен интерес на двете страни по Споразумението, за да продължи улесняването на сътрудничеството между ЕС и Украйна в общите приоритетни области в сферата на науката и технологиите, което води до взаимна изгода.</w:t>
      </w:r>
    </w:p>
    <w:p>
      <w:pPr>
        <w:spacing w:after="240"/>
        <w:rPr>
          <w:noProof/>
          <w:color w:val="010202"/>
          <w:szCs w:val="24"/>
        </w:rPr>
      </w:pPr>
      <w:r>
        <w:rPr>
          <w:noProof/>
        </w:rPr>
        <w:t>Украйна има дълга традиция на високи постижения в областта на науката и технологиите; въпреки трудностите през последните години нейните наука и учени продължават да бъдат първокласни и държавата е важен участник в областта на науката, технологиите и иновациите в съседство на Съюза.</w:t>
      </w:r>
      <w:r>
        <w:rPr>
          <w:noProof/>
          <w:color w:val="010202"/>
        </w:rPr>
        <w:t xml:space="preserve"> Традиционно сътрудничеството между Съюза и Украйна е много активно, по-специално в областите на авангардните и новите материали, информационната технология, физиката и астрономията, инженерните услуги, селскостопанските технологии, нанотехнологията, биотехнологията и нейните приложения в най-различни сектори като въздухоплаване, енергетика и биомедицина, по-специално за имунотерапии при раковите заболявания.</w:t>
      </w:r>
    </w:p>
    <w:p>
      <w:pPr>
        <w:spacing w:before="0" w:after="240"/>
        <w:rPr>
          <w:noProof/>
        </w:rPr>
      </w:pPr>
      <w:r>
        <w:rPr>
          <w:noProof/>
        </w:rPr>
        <w:t>По време на заседание на създадения със Споразумението съвместен комитет между ЕС и Украйна за сътрудничество в областта на науката и технологията, проведено в Киев на 29 януари 2019 г., и двете страни отчетоха взаимното си намерение да подновят Споразумението за допълнителен период от пет години, като признаха постигнатия напредък за подобряване на сътрудничеството между ЕС и Украйна в областта на научните изследвания и иновациите. Правителството на Украйна от своя страна вече започна процедурата по подновяването.</w:t>
      </w:r>
    </w:p>
    <w:p>
      <w:pPr>
        <w:pBdr>
          <w:top w:val="nil"/>
          <w:left w:val="nil"/>
          <w:bottom w:val="nil"/>
          <w:right w:val="nil"/>
          <w:between w:val="nil"/>
          <w:bar w:val="nil"/>
        </w:pBdr>
        <w:spacing w:before="0" w:after="240"/>
        <w:rPr>
          <w:rFonts w:eastAsia="Arial Unicode MS"/>
          <w:noProof/>
        </w:rPr>
      </w:pPr>
      <w:r>
        <w:rPr>
          <w:noProof/>
        </w:rPr>
        <w:t>Съдържанието на подновеното споразумение ще бъде еднакво с това на сегашното споразумение. С подновеното споразумение не се създават нови или допълнителни права и задължения за нито една от страните, а се удължава правният режим, който вече съществува в сътрудничеството между страните в областта на науката и технологиите.</w:t>
      </w:r>
    </w:p>
    <w:p>
      <w:pPr>
        <w:pStyle w:val="ManualHeading2"/>
        <w:rPr>
          <w:rFonts w:eastAsia="Arial Unicode MS"/>
          <w:noProof/>
          <w:color w:val="000000"/>
          <w:u w:color="000000"/>
          <w:bdr w:val="nil"/>
        </w:rPr>
      </w:pPr>
      <w:r>
        <w:rPr>
          <w:noProof/>
          <w:u w:color="000000"/>
          <w:bdr w:val="nil"/>
        </w:rPr>
        <w:lastRenderedPageBreak/>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szCs w:val="24"/>
        </w:rPr>
      </w:pPr>
      <w:r>
        <w:rPr>
          <w:noProof/>
        </w:rPr>
        <w:t>Настоящата инициатива е изцяло в съответствие със стратегията за международно сътрудничество на ЕС в областта на научните изследвания и иновациите</w:t>
      </w:r>
      <w:r>
        <w:rPr>
          <w:rStyle w:val="FootnoteReference"/>
          <w:noProof/>
        </w:rPr>
        <w:footnoteReference w:id="4"/>
      </w:r>
      <w:r>
        <w:rPr>
          <w:noProof/>
        </w:rPr>
        <w:t>, както и с международната насоченост на предишната и новата Комисия, при която Украйна е стратегически партньор на ЕС в областта на научните изследвания и иновациите.</w:t>
      </w:r>
    </w:p>
    <w:p>
      <w:pPr>
        <w:pBdr>
          <w:top w:val="nil"/>
          <w:left w:val="nil"/>
          <w:bottom w:val="nil"/>
          <w:right w:val="nil"/>
          <w:between w:val="nil"/>
          <w:bar w:val="nil"/>
        </w:pBdr>
        <w:spacing w:before="0" w:after="240"/>
        <w:rPr>
          <w:noProof/>
          <w:szCs w:val="24"/>
        </w:rPr>
      </w:pPr>
      <w:r>
        <w:rPr>
          <w:noProof/>
        </w:rPr>
        <w:t>Споразумението също така е средство за изпълнение на стратегията за международно сътрудничество на ЕС в областта на научните изследвания и иновациите, в която се призовава за повече откритост и интернационализация в тази сфера в ЕС.</w:t>
      </w:r>
    </w:p>
    <w:p>
      <w:pPr>
        <w:pBdr>
          <w:top w:val="nil"/>
          <w:left w:val="nil"/>
          <w:bottom w:val="nil"/>
          <w:right w:val="nil"/>
          <w:between w:val="nil"/>
          <w:bar w:val="nil"/>
        </w:pBdr>
        <w:spacing w:before="0" w:after="240"/>
        <w:rPr>
          <w:noProof/>
        </w:rPr>
      </w:pPr>
      <w:r>
        <w:rPr>
          <w:noProof/>
        </w:rPr>
        <w:t>Настоящото споразумение допълва споразумението за асоцииране към „Хоризонт 2020“, чийто акцент е поставен върху реда и условията на участието на Украйна в програмата „Хоризонт 2020“. Подновяването на това споразумение в областта на науката и технологиите би позволило да се запази общата всеобхватна правна рамка за двустранното сътрудничество в сферата на науката, технологиите и иновациите и би изпратило важно политическо послания за значението, което ЕС придава на сътрудничеството с Украйна в тази област.</w:t>
      </w:r>
    </w:p>
    <w:p>
      <w:pPr>
        <w:pBdr>
          <w:top w:val="nil"/>
          <w:left w:val="nil"/>
          <w:bottom w:val="nil"/>
          <w:right w:val="nil"/>
          <w:between w:val="nil"/>
          <w:bar w:val="nil"/>
        </w:pBdr>
        <w:spacing w:before="0" w:after="240"/>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noProof/>
          <w:szCs w:val="24"/>
        </w:rPr>
      </w:pPr>
      <w:r>
        <w:rPr>
          <w:noProof/>
        </w:rPr>
        <w:t>В Глобалната стратегия на ЕС в областта на неговата външна политика и политиката на сигурност се потвърждава, че сътрудничеството в областта на научните изследвания е важен аспект от външната политика на ЕС, и това сътрудничество се разглежда като основен елемент на по-тесните социално-икономически връзки.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Правомощията на ЕС да действа в международен план в областта на научните изследвания и технологичното развитие са установени в член 186 от ДФЕС. Процесуалноправното основание за предложението е член 218, параграф 6, втора алинея, буква а), подточка v) от ДФЕС.</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szCs w:val="24"/>
        </w:rPr>
      </w:pPr>
      <w:r>
        <w:rPr>
          <w:noProof/>
        </w:rPr>
        <w:t>ЕС и неговите държави членки разполагат със споделена компетентност в областта на научните изследвания и технологичното развитие в съответствие с член 4, параграф 3 от ДФЕС. Поради това действията на ЕС не може да бъдат заменени с действия на държавите членки.</w:t>
      </w:r>
    </w:p>
    <w:p>
      <w:pPr>
        <w:pStyle w:val="ManualHeading2"/>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szCs w:val="24"/>
        </w:rPr>
      </w:pPr>
      <w:r>
        <w:rPr>
          <w:noProof/>
        </w:rPr>
        <w:t>Настоящата инициативата не е част от програмата REFIT.</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Необходими са единствено човешки и административни ресурси; те са заложени в законодателната финансова обосновка.</w:t>
      </w:r>
    </w:p>
    <w:p>
      <w:pPr>
        <w:pBdr>
          <w:top w:val="nil"/>
          <w:left w:val="nil"/>
          <w:bottom w:val="nil"/>
          <w:right w:val="nil"/>
          <w:between w:val="nil"/>
          <w:bar w:val="nil"/>
        </w:pBdr>
        <w:spacing w:before="0" w:after="240"/>
        <w:rPr>
          <w:noProof/>
          <w:szCs w:val="24"/>
        </w:rPr>
      </w:pPr>
      <w:r>
        <w:rPr>
          <w:noProof/>
        </w:rPr>
        <w:t>С оглед на горните съображения Комисията приканва Съвета да:</w:t>
      </w:r>
    </w:p>
    <w:p>
      <w:pPr>
        <w:pBdr>
          <w:top w:val="nil"/>
          <w:left w:val="nil"/>
          <w:bottom w:val="nil"/>
          <w:right w:val="nil"/>
          <w:between w:val="nil"/>
          <w:bar w:val="nil"/>
        </w:pBdr>
        <w:spacing w:before="0" w:after="240"/>
        <w:rPr>
          <w:rFonts w:eastAsia="Arial Unicode MS"/>
          <w:noProof/>
          <w:color w:val="008000"/>
          <w:szCs w:val="24"/>
        </w:rPr>
      </w:pPr>
      <w:r>
        <w:rPr>
          <w:noProof/>
        </w:rPr>
        <w:t>– одобри, от името на Съюза и след получаване на съгласието на Европейския парламент, подновяването за допълнителен период от пет години (т.е. от 9.11.2019 г. до 8.11.2024 г.) на Споразумението за сътрудничество в областта на науката и технологията между Европейската общност и Украйна и</w:t>
      </w:r>
    </w:p>
    <w:p>
      <w:pPr>
        <w:rPr>
          <w:noProof/>
          <w:szCs w:val="24"/>
        </w:rPr>
      </w:pPr>
      <w:r>
        <w:rPr>
          <w:noProof/>
        </w:rPr>
        <w:t>– разреши на председателя на Съвета да определи лицето(ата), упълномощено(и) да уведоми(ят) правителството на Украйна, че Съюзът е приключил вътрешните си процедури, необходими за влизането в сила на това подновено споразумение.</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2020/0016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подновяване на Споразумението за сътрудничество в областта на науката и технологията между Европейската общност и Украйна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186 във връзка с член 218, параграф 6,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5"/>
      </w:r>
      <w:r>
        <w:rPr>
          <w:noProof/>
        </w:rPr>
        <w:t>,</w:t>
      </w:r>
    </w:p>
    <w:p>
      <w:pPr>
        <w:rPr>
          <w:noProof/>
        </w:rPr>
      </w:pPr>
      <w:r>
        <w:rPr>
          <w:noProof/>
        </w:rPr>
        <w:t>като има предвид, че:</w:t>
      </w:r>
    </w:p>
    <w:p>
      <w:pPr>
        <w:pStyle w:val="ManualConsidrant"/>
        <w:rPr>
          <w:i/>
          <w:noProof/>
        </w:rPr>
      </w:pPr>
      <w:r>
        <w:t>(1)</w:t>
      </w:r>
      <w:r>
        <w:tab/>
      </w:r>
      <w:r>
        <w:rPr>
          <w:noProof/>
        </w:rPr>
        <w:t>С Решение 2003/96/ЕО</w:t>
      </w:r>
      <w:r>
        <w:rPr>
          <w:rStyle w:val="FootnoteReference"/>
          <w:noProof/>
        </w:rPr>
        <w:footnoteReference w:id="6"/>
      </w:r>
      <w:r>
        <w:rPr>
          <w:noProof/>
        </w:rPr>
        <w:t xml:space="preserve"> от 6 февруари 2003 г. Съветът одобри сключването на Споразумението за сътрудничество в областта на науката и технологията между Европейската общност и Украйна</w:t>
      </w:r>
      <w:r>
        <w:rPr>
          <w:rStyle w:val="FootnoteReference"/>
          <w:noProof/>
        </w:rPr>
        <w:footnoteReference w:id="7"/>
      </w:r>
      <w:r>
        <w:rPr>
          <w:noProof/>
        </w:rPr>
        <w:t xml:space="preserve"> („Споразумението“). Споразумението бе подписано в Копенхаген на 4 юли 2002 г. и влезе в сила на 11 февруари 2003 г.</w:t>
      </w:r>
    </w:p>
    <w:p>
      <w:pPr>
        <w:pStyle w:val="ManualConsidrant"/>
        <w:rPr>
          <w:noProof/>
        </w:rPr>
      </w:pPr>
      <w:r>
        <w:t>(2)</w:t>
      </w:r>
      <w:r>
        <w:tab/>
      </w:r>
      <w:r>
        <w:rPr>
          <w:noProof/>
        </w:rPr>
        <w:t>В член 12, буква б) от Споразумението се предвижда, че то се сключва за първоначален срок, завършващ на 31 декември 2002 г., и при взаимно съгласие между Съюза и Украйна („страните“) може да бъде подновявано за допълнителни периоди от пет години.</w:t>
      </w:r>
    </w:p>
    <w:p>
      <w:pPr>
        <w:pStyle w:val="ManualConsidrant"/>
        <w:rPr>
          <w:noProof/>
        </w:rPr>
      </w:pPr>
      <w:r>
        <w:t>(3)</w:t>
      </w:r>
      <w:r>
        <w:tab/>
      </w:r>
      <w:r>
        <w:rPr>
          <w:noProof/>
        </w:rPr>
        <w:t>Въз основа на решения 2011/182/ЕС</w:t>
      </w:r>
      <w:r>
        <w:rPr>
          <w:rStyle w:val="FootnoteReference"/>
          <w:noProof/>
        </w:rPr>
        <w:footnoteReference w:id="8"/>
      </w:r>
      <w:r>
        <w:rPr>
          <w:noProof/>
        </w:rPr>
        <w:t xml:space="preserve"> и (ЕС) 2015/344</w:t>
      </w:r>
      <w:r>
        <w:rPr>
          <w:rStyle w:val="FootnoteReference"/>
          <w:noProof/>
        </w:rPr>
        <w:footnoteReference w:id="9"/>
      </w:r>
      <w:r>
        <w:rPr>
          <w:noProof/>
        </w:rPr>
        <w:t xml:space="preserve"> Споразумението бе подновено за допълнителни периоди от по пет години с обратно действие, считано съответно от 8 ноември 2009 г. и 8 ноември 2014 г. Срокът на действие на Споразумението изтече на 7 ноември 2019 г.</w:t>
      </w:r>
    </w:p>
    <w:p>
      <w:pPr>
        <w:pStyle w:val="ManualConsidrant"/>
        <w:rPr>
          <w:noProof/>
        </w:rPr>
      </w:pPr>
      <w:r>
        <w:t>(4)</w:t>
      </w:r>
      <w:r>
        <w:tab/>
      </w:r>
      <w:r>
        <w:rPr>
          <w:noProof/>
        </w:rPr>
        <w:t>Украйна е важен участник в областта на науката, технологиите и иновациите в съседство на Съюза.</w:t>
      </w:r>
      <w:r>
        <w:rPr>
          <w:noProof/>
          <w:color w:val="010202"/>
        </w:rPr>
        <w:t xml:space="preserve"> </w:t>
      </w:r>
      <w:r>
        <w:rPr>
          <w:noProof/>
        </w:rPr>
        <w:t>С цел да продължи улесняването на сътрудничеството в общите приоритетни области в сферата на науката и технологиите двете страни са на мнение, че подновяването на Споразумението би било в интерес на всяка от тях.</w:t>
      </w:r>
    </w:p>
    <w:p>
      <w:pPr>
        <w:pStyle w:val="ManualConsidrant"/>
        <w:rPr>
          <w:noProof/>
        </w:rPr>
      </w:pPr>
      <w:r>
        <w:lastRenderedPageBreak/>
        <w:t>(5)</w:t>
      </w:r>
      <w:r>
        <w:tab/>
      </w:r>
      <w:r>
        <w:rPr>
          <w:noProof/>
        </w:rPr>
        <w:t>И двете страни потвърдиха намерението си да подновят Споразумението за допълнителен период от пет години. Съдържанието на подновеното споразумение следва да бъде еднакво с това на Споразумението.</w:t>
      </w:r>
    </w:p>
    <w:p>
      <w:pPr>
        <w:pStyle w:val="ManualConsidrant"/>
        <w:rPr>
          <w:noProof/>
        </w:rPr>
      </w:pPr>
      <w:r>
        <w:t>(6)</w:t>
      </w:r>
      <w:r>
        <w:tab/>
      </w:r>
      <w:r>
        <w:rPr>
          <w:noProof/>
        </w:rPr>
        <w:t>Поради това подновяването на Споразумението следва да бъде одобрено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Подновяването за допълнителен период от пет години на Споразумението за сътрудничество в областта на науката и технологията между Европейската общност и Украйна се одобрява от името на Съюза. Подновяването поражда действие на 8 ноември 2019 г.</w:t>
      </w:r>
    </w:p>
    <w:p>
      <w:pPr>
        <w:pStyle w:val="Titrearticle"/>
        <w:rPr>
          <w:noProof/>
        </w:rPr>
      </w:pPr>
      <w:r>
        <w:rPr>
          <w:noProof/>
        </w:rPr>
        <w:t>Член 2</w:t>
      </w:r>
    </w:p>
    <w:p>
      <w:pPr>
        <w:pStyle w:val="Titrearticle"/>
        <w:keepNext w:val="0"/>
        <w:jc w:val="both"/>
        <w:rPr>
          <w:i w:val="0"/>
          <w:noProof/>
        </w:rPr>
      </w:pPr>
      <w:r>
        <w:rPr>
          <w:i w:val="0"/>
          <w:noProof/>
        </w:rPr>
        <w:t>Председателят на Съвета е оправомощен да посочи лицето (лицата), упълномощено(и) да уведоми(ят) Украйна — от името на Съюза и в съответствие с член 12, буква а) от Споразумението — че Съюзът е приключил вътрешните си процедури, необходими за подновяването на Споразумението.</w:t>
      </w:r>
    </w:p>
    <w:p>
      <w:pPr>
        <w:pStyle w:val="Titrearticle"/>
        <w:keepNext w:val="0"/>
        <w:rPr>
          <w:noProof/>
        </w:rPr>
      </w:pPr>
      <w:r>
        <w:rPr>
          <w:noProof/>
        </w:rPr>
        <w:t>Член 3</w:t>
      </w:r>
    </w:p>
    <w:p>
      <w:pPr>
        <w:rPr>
          <w:noProof/>
        </w:rPr>
      </w:pPr>
      <w:r>
        <w:rPr>
          <w:noProof/>
        </w:rPr>
        <w:t>Настоящото решение влиза в сила в деня на приемането му.</w:t>
      </w:r>
    </w:p>
    <w:p>
      <w:pPr>
        <w:keepNext/>
        <w:spacing w:before="360"/>
        <w:jc w:val="center"/>
        <w:rPr>
          <w:i/>
          <w:noProof/>
        </w:rPr>
      </w:pPr>
      <w:r>
        <w:rPr>
          <w:i/>
          <w:noProof/>
        </w:rPr>
        <w:t>Член 4</w:t>
      </w:r>
    </w:p>
    <w:p>
      <w:pPr>
        <w:rPr>
          <w:noProof/>
        </w:rPr>
      </w:pPr>
      <w:r>
        <w:rPr>
          <w:noProof/>
        </w:rPr>
        <w:t xml:space="preserve">Настоящото решение се публикува в </w:t>
      </w:r>
      <w:r>
        <w:rPr>
          <w:i/>
          <w:noProof/>
        </w:rPr>
        <w:t>Официален вестник на Европейския съюз</w:t>
      </w:r>
      <w:r>
        <w:rPr>
          <w:noProof/>
        </w:rPr>
        <w:t>.</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b w:val="0"/>
          <w:noProof/>
        </w:rPr>
      </w:pPr>
      <w:r>
        <w:rPr>
          <w:noProof/>
        </w:rPr>
        <w:tab/>
      </w:r>
      <w:r>
        <w:rPr>
          <w:b w:val="0"/>
          <w:noProof/>
        </w:rPr>
        <w:t>1.1.</w:t>
      </w:r>
      <w:r>
        <w:rPr>
          <w:b w:val="0"/>
          <w:noProof/>
        </w:rPr>
        <w:tab/>
        <w:t>Наименование на предложението/инициативата</w:t>
      </w:r>
    </w:p>
    <w:p>
      <w:pPr>
        <w:pStyle w:val="ManualHeading2"/>
        <w:rPr>
          <w:b w:val="0"/>
          <w:noProof/>
        </w:rPr>
      </w:pPr>
      <w:r>
        <w:rPr>
          <w:b w:val="0"/>
          <w:noProof/>
        </w:rPr>
        <w:tab/>
        <w:t>1.2.</w:t>
      </w:r>
      <w:r>
        <w:rPr>
          <w:b w:val="0"/>
          <w:noProof/>
        </w:rPr>
        <w:tab/>
        <w:t>Съответни области на политиката в структурата на УД/БД</w:t>
      </w:r>
    </w:p>
    <w:p>
      <w:pPr>
        <w:pStyle w:val="ManualHeading2"/>
        <w:rPr>
          <w:b w:val="0"/>
          <w:noProof/>
        </w:rPr>
      </w:pPr>
      <w:r>
        <w:rPr>
          <w:b w:val="0"/>
          <w:noProof/>
        </w:rPr>
        <w:tab/>
        <w:t>1.3.</w:t>
      </w:r>
      <w:r>
        <w:rPr>
          <w:b w:val="0"/>
          <w:noProof/>
        </w:rPr>
        <w:tab/>
        <w:t>Естество на предложението/инициативата</w:t>
      </w:r>
    </w:p>
    <w:p>
      <w:pPr>
        <w:pStyle w:val="ManualHeading2"/>
        <w:rPr>
          <w:b w:val="0"/>
          <w:noProof/>
        </w:rPr>
      </w:pPr>
      <w:r>
        <w:rPr>
          <w:b w:val="0"/>
          <w:noProof/>
        </w:rPr>
        <w:tab/>
        <w:t>1.4.</w:t>
      </w:r>
      <w:r>
        <w:rPr>
          <w:b w:val="0"/>
          <w:noProof/>
        </w:rPr>
        <w:tab/>
        <w:t>Цели</w:t>
      </w:r>
    </w:p>
    <w:p>
      <w:pPr>
        <w:pStyle w:val="ManualHeading2"/>
        <w:rPr>
          <w:b w:val="0"/>
          <w:noProof/>
        </w:rPr>
      </w:pPr>
      <w:r>
        <w:rPr>
          <w:b w:val="0"/>
          <w:noProof/>
        </w:rPr>
        <w:tab/>
        <w:t>1.5.</w:t>
      </w:r>
      <w:r>
        <w:rPr>
          <w:b w:val="0"/>
          <w:noProof/>
        </w:rPr>
        <w:tab/>
        <w:t>Мотиви за предложението/инициативата</w:t>
      </w:r>
    </w:p>
    <w:p>
      <w:pPr>
        <w:pStyle w:val="ManualHeading2"/>
        <w:rPr>
          <w:b w:val="0"/>
          <w:noProof/>
        </w:rPr>
      </w:pPr>
      <w:r>
        <w:rPr>
          <w:b w:val="0"/>
          <w:noProof/>
        </w:rPr>
        <w:tab/>
        <w:t>1.6.</w:t>
      </w:r>
      <w:r>
        <w:rPr>
          <w:b w:val="0"/>
          <w:noProof/>
        </w:rPr>
        <w:tab/>
        <w:t>Срок на действие и финансово отражение</w:t>
      </w:r>
    </w:p>
    <w:p>
      <w:pPr>
        <w:pStyle w:val="ManualHeading2"/>
        <w:rPr>
          <w:b w:val="0"/>
          <w:noProof/>
        </w:rPr>
      </w:pPr>
      <w:r>
        <w:rPr>
          <w:b w:val="0"/>
          <w:noProof/>
        </w:rPr>
        <w:tab/>
        <w:t>1.7.</w:t>
      </w:r>
      <w:r>
        <w:rPr>
          <w:b w:val="0"/>
          <w:noProof/>
        </w:rPr>
        <w:tab/>
        <w:t>Планирани методи на управление</w:t>
      </w:r>
    </w:p>
    <w:p>
      <w:pPr>
        <w:pStyle w:val="ManualHeading1"/>
        <w:rPr>
          <w:noProof/>
        </w:rPr>
      </w:pPr>
      <w:r>
        <w:rPr>
          <w:noProof/>
        </w:rPr>
        <w:t>2.</w:t>
      </w:r>
      <w:r>
        <w:rPr>
          <w:noProof/>
        </w:rPr>
        <w:tab/>
        <w:t xml:space="preserve">МЕРКИ ЗА УПРАВЛЕНИЕ </w:t>
      </w:r>
    </w:p>
    <w:p>
      <w:pPr>
        <w:pStyle w:val="ManualHeading2"/>
        <w:rPr>
          <w:b w:val="0"/>
          <w:noProof/>
        </w:rPr>
      </w:pPr>
      <w:r>
        <w:rPr>
          <w:b w:val="0"/>
          <w:noProof/>
        </w:rPr>
        <w:tab/>
        <w:t>2.1.</w:t>
      </w:r>
      <w:r>
        <w:rPr>
          <w:b w:val="0"/>
          <w:noProof/>
        </w:rPr>
        <w:tab/>
        <w:t>Правила за мониторинг и докладване</w:t>
      </w:r>
    </w:p>
    <w:p>
      <w:pPr>
        <w:pStyle w:val="ManualHeading2"/>
        <w:rPr>
          <w:b w:val="0"/>
          <w:noProof/>
        </w:rPr>
      </w:pPr>
      <w:r>
        <w:rPr>
          <w:b w:val="0"/>
          <w:noProof/>
        </w:rPr>
        <w:tab/>
        <w:t>2.2.</w:t>
      </w:r>
      <w:r>
        <w:rPr>
          <w:b w:val="0"/>
          <w:noProof/>
        </w:rPr>
        <w:tab/>
        <w:t>Система за управление и контрол</w:t>
      </w:r>
    </w:p>
    <w:p>
      <w:pPr>
        <w:pStyle w:val="ManualHeading2"/>
        <w:rPr>
          <w:b w:val="0"/>
          <w:noProof/>
        </w:rPr>
      </w:pPr>
      <w:r>
        <w:rPr>
          <w:b w:val="0"/>
          <w:noProof/>
        </w:rPr>
        <w:tab/>
        <w:t>2.3.</w:t>
      </w:r>
      <w:r>
        <w:rPr>
          <w:b w:val="0"/>
          <w:noProof/>
        </w:rPr>
        <w:tab/>
        <w:t>Мерки за предотвратяване на измами и нередности</w:t>
      </w:r>
    </w:p>
    <w:p>
      <w:pPr>
        <w:pStyle w:val="ManualHeading1"/>
        <w:rPr>
          <w:noProof/>
        </w:rPr>
      </w:pPr>
      <w:r>
        <w:rPr>
          <w:noProof/>
        </w:rPr>
        <w:t>3.</w:t>
      </w:r>
      <w:r>
        <w:rPr>
          <w:noProof/>
        </w:rPr>
        <w:tab/>
        <w:t>ОЧАКВАНО ФИНАНСОВО ОТРАЖЕНИЕ НА ПРЕДЛОЖЕНИЕТО / ИНИЦИАТИВАТА</w:t>
      </w:r>
    </w:p>
    <w:p>
      <w:pPr>
        <w:pStyle w:val="ManualHeading2"/>
        <w:rPr>
          <w:b w:val="0"/>
          <w:noProof/>
        </w:rPr>
      </w:pPr>
      <w:r>
        <w:rPr>
          <w:b w:val="0"/>
          <w:noProof/>
        </w:rPr>
        <w:tab/>
        <w:t>3.1.</w:t>
      </w:r>
      <w:r>
        <w:rPr>
          <w:b w:val="0"/>
          <w:noProof/>
        </w:rPr>
        <w:tab/>
        <w:t>Съответни функции от многогодишната финансова рамка и разходни бюджетни редове</w:t>
      </w:r>
    </w:p>
    <w:p>
      <w:pPr>
        <w:pStyle w:val="ManualHeading2"/>
        <w:rPr>
          <w:noProof/>
        </w:rPr>
      </w:pPr>
      <w:r>
        <w:rPr>
          <w:b w:val="0"/>
          <w:noProof/>
        </w:rPr>
        <w:tab/>
        <w:t>3.2.</w:t>
      </w:r>
      <w:r>
        <w:rPr>
          <w:b w:val="0"/>
          <w:noProof/>
        </w:rPr>
        <w:tab/>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оперативни разходи</w:t>
      </w:r>
    </w:p>
    <w:p>
      <w:pPr>
        <w:pStyle w:val="ManualHeading3"/>
        <w:rPr>
          <w:noProof/>
        </w:rPr>
      </w:pPr>
      <w:r>
        <w:rPr>
          <w:noProof/>
        </w:rPr>
        <w:tab/>
        <w:t>3.3.2.</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Участие на трети страни във финансирането</w:t>
      </w:r>
    </w:p>
    <w:p>
      <w:pPr>
        <w:pStyle w:val="ManualHeading2"/>
        <w:jc w:val="left"/>
        <w:rPr>
          <w:b w:val="0"/>
          <w:noProof/>
        </w:rPr>
        <w:sectPr>
          <w:footnotePr>
            <w:numRestart w:val="eachSect"/>
          </w:footnotePr>
          <w:pgSz w:w="11907" w:h="16840" w:code="9"/>
          <w:pgMar w:top="1134" w:right="1418" w:bottom="1134" w:left="1418" w:header="709" w:footer="709" w:gutter="0"/>
          <w:cols w:space="708"/>
          <w:docGrid w:linePitch="360"/>
        </w:sectPr>
      </w:pPr>
      <w:r>
        <w:rPr>
          <w:b w:val="0"/>
          <w:noProof/>
        </w:rPr>
        <w:tab/>
        <w:t>3.3.</w:t>
      </w:r>
      <w:r>
        <w:rPr>
          <w:b w:val="0"/>
          <w:noProof/>
        </w:rPr>
        <w:tab/>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РАМКА НА ПРЕДЛОЖЕНИЕТО/ИНИЦИАТИВАТА</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подновяване на Споразумението за сътрудничество в областта на науката и технологията между Европейската общност и Украйна</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10"/>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Политическа стратегия и координиране по-специално на Генералния секретариат, Правната служба, ЕСВД, генералните дирекции „Земеделие и развитие на селските райони“, „Бюджет“, „Действия по климата“, „Съобщителни мрежи, съдържание и технологии“, „Образование, младеж, спорт и култура“, „Енергетика“, „Вътрешен пазар, промишленост, предприемачество и МСП“, „Съвместен изследователски център“, „Морско дело и рибарство“ и „Мобилност и транспорт“</w:t>
      </w:r>
    </w:p>
    <w:p>
      <w:pPr>
        <w:pStyle w:val="ManualHeading2"/>
        <w:rPr>
          <w:bCs/>
          <w:noProof/>
          <w:szCs w:val="24"/>
        </w:rPr>
      </w:pPr>
      <w:r>
        <w:t>1.3.</w:t>
      </w:r>
      <w:r>
        <w:tab/>
      </w:r>
      <w:r>
        <w:rPr>
          <w:noProof/>
        </w:rPr>
        <w:t>Естество на предложението/инициативата</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ново действие</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b/>
          <w:noProof/>
        </w:rPr>
        <w:footnoteReference w:id="11"/>
      </w:r>
    </w:p>
    <w:p>
      <w:pPr>
        <w:pStyle w:val="Text1"/>
        <w:rPr>
          <w:noProof/>
          <w:sz w:val="22"/>
        </w:rPr>
      </w:pPr>
      <w:r>
        <w:rPr>
          <w:noProof/>
          <w:sz w:val="22"/>
        </w:rPr>
        <w:sym w:font="Wingdings" w:char="F0FE"/>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ново действие</w:t>
      </w:r>
    </w:p>
    <w:p>
      <w:pPr>
        <w:pStyle w:val="ManualHeading2"/>
        <w:rPr>
          <w:bCs/>
          <w:noProof/>
          <w:szCs w:val="24"/>
        </w:rPr>
      </w:pPr>
      <w:r>
        <w:t>1.4.</w:t>
      </w:r>
      <w:r>
        <w:tab/>
      </w:r>
      <w:r>
        <w:rPr>
          <w:noProof/>
        </w:rPr>
        <w:t>Цели</w:t>
      </w:r>
    </w:p>
    <w:p>
      <w:pPr>
        <w:pStyle w:val="ManualHeading3"/>
        <w:rPr>
          <w:noProof/>
        </w:rPr>
      </w:pPr>
      <w:r>
        <w:t>1.4.1.</w:t>
      </w:r>
      <w:r>
        <w:tab/>
      </w:r>
      <w:r>
        <w:rPr>
          <w:noProof/>
        </w:rPr>
        <w:t>Многогодишни стратегически цели на Комисията, за чието изпълнение е предназначено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Настоящата инициатива ще позволи на двете страни да подобрят и засилят сътрудничеството си в научните и технологичните области от общ интерес.</w:t>
      </w:r>
      <w:r>
        <w:rPr>
          <w:noProof/>
        </w:rPr>
        <w:t xml:space="preserve"> </w:t>
      </w:r>
      <w:r>
        <w:rPr>
          <w:noProof/>
          <w:sz w:val="23"/>
          <w:szCs w:val="23"/>
        </w:rPr>
        <w:t>По време на заседание на създадения със Споразумението съвместен комитет между ЕС и Украйна за сътрудничество в областта на науката и технологията, проведено в Киев на 29 януари 2019 г., и двете страни отчетоха взаимното си намерение да подновят Споразумението за допълнителен период от пет години.</w:t>
      </w:r>
    </w:p>
    <w:p>
      <w:pPr>
        <w:pStyle w:val="ManualHeading3"/>
        <w:rPr>
          <w:bCs/>
          <w:noProof/>
          <w:szCs w:val="24"/>
        </w:rPr>
      </w:pPr>
      <w:r>
        <w:t>1.4.2.</w:t>
      </w:r>
      <w:r>
        <w:tab/>
      </w:r>
      <w:r>
        <w:rPr>
          <w:noProof/>
        </w:rPr>
        <w:t>Конкретни цели и 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решение ще позволи на двете страни да разширят сътрудничеството и да развият по-стратегическо партньорство, като увеличат мащаба и обхвата на съществуващото сътрудничество, и при това да работят по глобалните предизвикателства чрез насърчаване на реципрочния достъп до програми и финансиране.</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bCs/>
          <w:noProof/>
          <w:szCs w:val="24"/>
        </w:rPr>
      </w:pPr>
      <w:r>
        <w:rPr>
          <w:noProof/>
        </w:rPr>
        <w:br w:type="page"/>
        <w:t>Очаквани резултати и отражение</w:t>
      </w:r>
    </w:p>
    <w:p>
      <w:pPr>
        <w:pStyle w:val="Text1"/>
        <w:rPr>
          <w:i/>
          <w:noProof/>
          <w:sz w:val="20"/>
        </w:rPr>
      </w:pPr>
      <w:r>
        <w:rPr>
          <w:i/>
          <w:noProof/>
          <w:sz w:val="20"/>
        </w:rPr>
        <w:t>Да се посочи въздействието на предложението/инициативата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решение ще позволи на ЕС и Украйна да извлекат взаимна изгода от научния и техническия напредък, постигнат чрез текущото сътрудничество. То ще позволи обмен на специфично познание и трансфер на ноу-хау в полза на научната общност, промишлеността и гражданите на двете страни.</w:t>
      </w:r>
    </w:p>
    <w:p>
      <w:pPr>
        <w:pStyle w:val="ManualHeading3"/>
        <w:rPr>
          <w:bCs/>
          <w:noProof/>
          <w:szCs w:val="24"/>
        </w:rPr>
      </w:pPr>
      <w:r>
        <w:t>1.4.3.</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rPr>
          <w:noProof/>
          <w:szCs w:val="24"/>
        </w:rPr>
      </w:pPr>
      <w:r>
        <w:rPr>
          <w:noProof/>
        </w:rPr>
        <w:t>Комисията ще наблюдава редовно всички дейности, извършвани съгласно Споразумението, включително сътрудничеството. Тази оценка ще обхване, наред с другото, следните елементи:</w:t>
      </w:r>
    </w:p>
    <w:p>
      <w:pPr>
        <w:pBdr>
          <w:top w:val="single" w:sz="4" w:space="1" w:color="auto"/>
          <w:left w:val="single" w:sz="4" w:space="4" w:color="auto"/>
          <w:bottom w:val="single" w:sz="4" w:space="1" w:color="auto"/>
          <w:right w:val="single" w:sz="4" w:space="4" w:color="auto"/>
        </w:pBdr>
        <w:rPr>
          <w:noProof/>
          <w:szCs w:val="24"/>
        </w:rPr>
      </w:pPr>
      <w:r>
        <w:rPr>
          <w:noProof/>
        </w:rPr>
        <w:t>а) показатели за сътрудничеството — анализ на броя и вида на участието на украинските стопански единици в програми, финансирани от ЕС (например брой на предложенията, брой на подписаните споразумения за отпускане на безвъзмездни средства, основните линии на сътрудничество, основните теми; получените резултати), и обратно (когато има налични данни);</w:t>
      </w:r>
    </w:p>
    <w:p>
      <w:pPr>
        <w:pBdr>
          <w:top w:val="single" w:sz="4" w:space="1" w:color="auto"/>
          <w:left w:val="single" w:sz="4" w:space="4" w:color="auto"/>
          <w:bottom w:val="single" w:sz="4" w:space="1" w:color="auto"/>
          <w:right w:val="single" w:sz="4" w:space="4" w:color="auto"/>
        </w:pBdr>
        <w:rPr>
          <w:noProof/>
          <w:szCs w:val="24"/>
        </w:rPr>
      </w:pPr>
      <w:r>
        <w:rPr>
          <w:noProof/>
        </w:rPr>
        <w:t>б) показатели за изпълнението — процент на успеваемост на украинските стопански единици, които участват в рамковите програми на ЕС, в сравнение с други държави извън ЕС; анализ на качеството на участие (например брой на най-елитни университети, участващи в програмата, брой на патентите и публикации в резултат от съвместни проекти);</w:t>
      </w:r>
    </w:p>
    <w:p>
      <w:pPr>
        <w:pBdr>
          <w:top w:val="single" w:sz="4" w:space="1" w:color="auto"/>
          <w:left w:val="single" w:sz="4" w:space="4" w:color="auto"/>
          <w:bottom w:val="single" w:sz="4" w:space="1" w:color="auto"/>
          <w:right w:val="single" w:sz="4" w:space="4" w:color="auto"/>
        </w:pBdr>
        <w:rPr>
          <w:noProof/>
          <w:szCs w:val="24"/>
        </w:rPr>
      </w:pPr>
      <w:r>
        <w:rPr>
          <w:noProof/>
        </w:rPr>
        <w:t>в) събиране на данни относно дейностите по сътрудничество и връзките извън съответните програми за финансиране на научните изследвания, както и оценка на ефекта от тези дейности, например участие в многостранни инициативи и работни групи.</w:t>
      </w:r>
    </w:p>
    <w:p>
      <w:pPr>
        <w:pStyle w:val="ManualHeading2"/>
        <w:rPr>
          <w:bCs/>
          <w:noProof/>
          <w:szCs w:val="24"/>
        </w:rPr>
      </w:pPr>
      <w:r>
        <w:t>1.5.</w:t>
      </w:r>
      <w:r>
        <w:tab/>
      </w:r>
      <w:r>
        <w:rPr>
          <w:noProof/>
        </w:rPr>
        <w:t>Мотиви за предложението/инициативата</w:t>
      </w:r>
    </w:p>
    <w:p>
      <w:pPr>
        <w:pStyle w:val="ManualHeading3"/>
        <w:rPr>
          <w:noProof/>
        </w:rPr>
      </w:pPr>
      <w:r>
        <w:t>1.5.1.</w:t>
      </w:r>
      <w:r>
        <w:tab/>
      </w:r>
      <w:r>
        <w:rPr>
          <w:noProof/>
        </w:rPr>
        <w:t>Изисквания, които трябва да бъдат изпълнени в краткосрочна или дългосрочна перспектива</w:t>
      </w:r>
    </w:p>
    <w:p>
      <w:pPr>
        <w:pStyle w:val="Text1"/>
        <w:pBdr>
          <w:top w:val="single" w:sz="4" w:space="1" w:color="auto"/>
          <w:left w:val="single" w:sz="4" w:space="4" w:color="auto"/>
          <w:bottom w:val="single" w:sz="4" w:space="1" w:color="auto"/>
          <w:right w:val="single" w:sz="4" w:space="4" w:color="auto"/>
        </w:pBdr>
        <w:rPr>
          <w:noProof/>
          <w:szCs w:val="24"/>
        </w:rPr>
      </w:pPr>
      <w:r>
        <w:rPr>
          <w:noProof/>
        </w:rPr>
        <w:t>Настоящото решение ще позволи на двете страни да продължат да подобряват и засилват сътрудничеството си в научни и технологични области с оглед на взаимната изгода.</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szCs w:val="24"/>
        </w:rPr>
      </w:pPr>
      <w:r>
        <w:rPr>
          <w:noProof/>
        </w:rPr>
        <w:t>През изминалите години сътрудничеството между ЕС и Украйна в областта на научните изследвания и иновациите постоянно се засилва. Участието на ЕС позволява дейности с по-голям мащаб и обхват в полза за всички държави членки. Подновяването на Споразумението ще предостави на ЕС по-добър достъп до научните знания, създадени в Украйна, както и възможности за повече съвместни дейности, което ще доведат до допълнителен обмен на знания и технологии.</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szCs w:val="24"/>
        </w:rPr>
      </w:pPr>
      <w:r>
        <w:rPr>
          <w:noProof/>
        </w:rPr>
        <w:t>Въз основа на досега придобития опит в научното и технологичното сътрудничество се смята, че е от взаимна изгода да се продължи сътрудничеството в областта на научните изследвания с Украйна като стратегически партньор на ЕС в областта на научните изследвания и иновациите.</w:t>
      </w:r>
    </w:p>
    <w:p>
      <w:pPr>
        <w:pStyle w:val="ManualHeading3"/>
        <w:rPr>
          <w:bCs/>
          <w:noProof/>
          <w:szCs w:val="24"/>
        </w:rPr>
      </w:pPr>
      <w:r>
        <w:t>1.5.4.</w:t>
      </w:r>
      <w:r>
        <w:tab/>
      </w:r>
      <w:r>
        <w:rPr>
          <w:noProof/>
        </w:rPr>
        <w:t>Съвместимост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Подновяването на Споразумението с Украйна се смята за напълно съвместимо с общата рамка на политиката за международно сътрудничество в областта на научните изследвания и иновациите (COM(2012)497).</w:t>
      </w:r>
    </w:p>
    <w:p>
      <w:pPr>
        <w:pStyle w:val="ManualHeading2"/>
        <w:rPr>
          <w:bCs/>
          <w:noProof/>
          <w:szCs w:val="24"/>
        </w:rPr>
      </w:pPr>
      <w:r>
        <w:rPr>
          <w:noProof/>
        </w:rPr>
        <w:br w:type="page"/>
      </w:r>
      <w:r>
        <w:t>1.6.</w:t>
      </w:r>
      <w:r>
        <w:tab/>
      </w:r>
      <w:r>
        <w:rPr>
          <w:noProof/>
        </w:rPr>
        <w:t>Срок на действие и финансово отражение</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ограничен срок на действие</w:t>
      </w:r>
    </w:p>
    <w:p>
      <w:pPr>
        <w:pStyle w:val="ListDash2"/>
        <w:rPr>
          <w:noProof/>
        </w:rPr>
      </w:pPr>
      <w:r>
        <w:rPr>
          <w:noProof/>
        </w:rPr>
        <w:sym w:font="Wingdings" w:char="F0FE"/>
      </w:r>
      <w:r>
        <w:rPr>
          <w:noProof/>
        </w:rPr>
        <w:t xml:space="preserve"> Предложение/инициатива в сила от [ДД/ММ]ГГГГ до [ДД/ММ]ГГГГ</w:t>
      </w:r>
    </w:p>
    <w:p>
      <w:pPr>
        <w:pStyle w:val="ListDash2"/>
        <w:rPr>
          <w:noProof/>
        </w:rPr>
      </w:pPr>
      <w:r>
        <w:rPr>
          <w:noProof/>
        </w:rPr>
        <w:sym w:font="Wingdings" w:char="F0FE"/>
      </w:r>
      <w:r>
        <w:rPr>
          <w:noProof/>
        </w:rPr>
        <w:tab/>
        <w:t>Финансово отражение от ГГГГ до ГГГГ</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2"/>
      </w:r>
    </w:p>
    <w:p>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w:t>
      </w:r>
    </w:p>
    <w:p>
      <w:pPr>
        <w:pStyle w:val="ListDash2"/>
        <w:rPr>
          <w:noProof/>
        </w:rPr>
      </w:pPr>
      <w:r>
        <w:rPr>
          <w:noProof/>
        </w:rPr>
        <w:sym w:font="Wingdings" w:char="F0A8"/>
      </w:r>
      <w:r>
        <w:rPr>
          <w:noProof/>
        </w:rPr>
        <w:tab/>
        <w:t>от изпълнителните агенции</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МЕРКИ ЗА УПРАВЛЕНИЕ</w:t>
      </w:r>
    </w:p>
    <w:p>
      <w:pPr>
        <w:pStyle w:val="ManualHeading2"/>
        <w:rPr>
          <w:noProof/>
        </w:rPr>
      </w:pPr>
      <w:r>
        <w:t>2.1.</w:t>
      </w:r>
      <w:r>
        <w:tab/>
      </w:r>
      <w:r>
        <w:rPr>
          <w:noProof/>
        </w:rPr>
        <w:t>Правила за мониторинг и докладване</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Участието на правни субекти от Украйна в Рамковата програма за научни изследвания и иновации и други съвместни дейности в рамките на Споразумението ще бъде редовно проследявано чрез срещи на съвместния комитет, създаден с член 6, буква а) от Споразумението.</w:t>
      </w:r>
    </w:p>
    <w:p>
      <w:pPr>
        <w:pStyle w:val="ManualHeading2"/>
        <w:rPr>
          <w:bCs/>
          <w:noProof/>
          <w:szCs w:val="24"/>
        </w:rPr>
      </w:pPr>
      <w:r>
        <w:t>2.2.</w:t>
      </w:r>
      <w:r>
        <w:tab/>
      </w:r>
      <w:r>
        <w:rPr>
          <w:noProof/>
        </w:rPr>
        <w:t>Система за управление и контрол</w:t>
      </w:r>
    </w:p>
    <w:p>
      <w:pPr>
        <w:pStyle w:val="ManualHeading3"/>
        <w:rPr>
          <w:noProof/>
        </w:rPr>
      </w:pPr>
      <w:r>
        <w:t>2.2.1.</w:t>
      </w:r>
      <w:r>
        <w:tab/>
      </w:r>
      <w:r>
        <w:rPr>
          <w:noProof/>
        </w:rPr>
        <w:t>Установени рискове</w:t>
      </w:r>
    </w:p>
    <w:p>
      <w:pPr>
        <w:pStyle w:val="Text1"/>
        <w:pBdr>
          <w:top w:val="single" w:sz="4" w:space="1" w:color="auto"/>
          <w:left w:val="single" w:sz="4" w:space="4" w:color="auto"/>
          <w:bottom w:val="single" w:sz="4" w:space="1" w:color="auto"/>
          <w:right w:val="single" w:sz="4" w:space="4" w:color="auto"/>
        </w:pBdr>
        <w:rPr>
          <w:noProof/>
          <w:szCs w:val="24"/>
        </w:rPr>
      </w:pPr>
      <w:r>
        <w:rPr>
          <w:noProof/>
        </w:rPr>
        <w:t>Заседанията и двустранните контакти се провеждат редовно, което позволява систематично споделяне на информация и съответен контрол. По отношение на системата за контрол не бяха установени рискове.</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r>
        <w:t>2.2.3.</w:t>
      </w:r>
      <w:r>
        <w:tab/>
      </w:r>
      <w:r>
        <w:rPr>
          <w:noProof/>
        </w:rPr>
        <w:t xml:space="preserve">Оценка на разходите и ползите от проверките и на очакваната степен на риска от грешки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t>2.3.</w:t>
      </w:r>
      <w:r>
        <w:tab/>
      </w:r>
      <w:r>
        <w:rPr>
          <w:noProof/>
        </w:rPr>
        <w:t>Мерки за предотвратяване на измами и нередности</w:t>
      </w:r>
    </w:p>
    <w:p>
      <w:pPr>
        <w:pStyle w:val="Text1"/>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rPr>
          <w:noProof/>
          <w:szCs w:val="24"/>
        </w:rPr>
      </w:pPr>
      <w:r>
        <w:rPr>
          <w:noProof/>
        </w:rPr>
        <w:t>Ако за изпълнението на рамковата програма се изисква използването на външни изпълнители или ако то води до финансова подкрепа в полза на трети страни, Комисията при необходимост ще проведе финансови одити — особено ако има основания да се съмнява в реалния характер на извършената работа или на работата, описана в докладите за дейността.</w:t>
      </w:r>
    </w:p>
    <w:p>
      <w:pPr>
        <w:pBdr>
          <w:top w:val="single" w:sz="4" w:space="1" w:color="auto"/>
          <w:left w:val="single" w:sz="4" w:space="4" w:color="auto"/>
          <w:bottom w:val="single" w:sz="4" w:space="1" w:color="auto"/>
          <w:right w:val="single" w:sz="4" w:space="4" w:color="auto"/>
        </w:pBdr>
        <w:ind w:left="142"/>
        <w:rPr>
          <w:noProof/>
          <w:szCs w:val="24"/>
        </w:rPr>
      </w:pPr>
      <w:r>
        <w:rPr>
          <w:noProof/>
        </w:rPr>
        <w:t>Финансовите одити на Съюза ще се провеждат от негови служители или от експерт-счетоводители, одобрени съгласно законодателството на одитираната страна. Съюзът ще избира гореспоменатите експерти свободно, като избягва всякакъв риск от конфликт на интереси, който може да му бъде посочен от страната, подлежаща на одит. При осъществяване на изследователските дейности Комисията също така ще защитава финансовите интереси на Съюза чрез ефективни проверки, а когато бъдат открити нередности — чрез възпиращи и пропорционални мерки и санкции.</w:t>
      </w:r>
    </w:p>
    <w:p>
      <w:pPr>
        <w:pBdr>
          <w:top w:val="single" w:sz="4" w:space="1" w:color="auto"/>
          <w:left w:val="single" w:sz="4" w:space="4" w:color="auto"/>
          <w:bottom w:val="single" w:sz="4" w:space="1" w:color="auto"/>
          <w:right w:val="single" w:sz="4" w:space="4" w:color="auto"/>
        </w:pBdr>
        <w:rPr>
          <w:noProof/>
          <w:szCs w:val="24"/>
        </w:rPr>
      </w:pPr>
      <w:r>
        <w:rPr>
          <w:noProof/>
        </w:rPr>
        <w:t>За постигането на тази цел във всички договори, използвани при изпълнението на рамковата програма, ще бъдат включвани правила за проверки, мерки и санкции в съответствие с регламенти № 2988/95, № 2185/96 и № 883/2013.</w:t>
      </w:r>
    </w:p>
    <w:p>
      <w:pPr>
        <w:pBdr>
          <w:top w:val="single" w:sz="4" w:space="1" w:color="auto"/>
          <w:left w:val="single" w:sz="4" w:space="4" w:color="auto"/>
          <w:bottom w:val="single" w:sz="4" w:space="1" w:color="auto"/>
          <w:right w:val="single" w:sz="4" w:space="4" w:color="auto"/>
        </w:pBdr>
        <w:rPr>
          <w:noProof/>
          <w:szCs w:val="24"/>
        </w:rPr>
      </w:pPr>
      <w:r>
        <w:rPr>
          <w:noProof/>
        </w:rPr>
        <w:t>В договорите следва по-конкретно да се предвиди следното:</w:t>
      </w:r>
    </w:p>
    <w:p>
      <w:pPr>
        <w:pBdr>
          <w:top w:val="single" w:sz="4" w:space="1" w:color="auto"/>
          <w:left w:val="single" w:sz="4" w:space="4" w:color="auto"/>
          <w:bottom w:val="single" w:sz="4" w:space="1" w:color="auto"/>
          <w:right w:val="single" w:sz="4" w:space="4" w:color="auto"/>
        </w:pBdr>
        <w:rPr>
          <w:noProof/>
          <w:szCs w:val="24"/>
        </w:rPr>
      </w:pPr>
      <w:r>
        <w:rPr>
          <w:noProof/>
        </w:rPr>
        <w:t>- вмъкване в договорите на специални клаузи за защита на финансовите интереси на ЕС чрез провеждане на проверки и контрол във връзка с извършената работа;</w:t>
      </w:r>
    </w:p>
    <w:p>
      <w:pPr>
        <w:pBdr>
          <w:top w:val="single" w:sz="4" w:space="1" w:color="auto"/>
          <w:left w:val="single" w:sz="4" w:space="4" w:color="auto"/>
          <w:bottom w:val="single" w:sz="4" w:space="1" w:color="auto"/>
          <w:right w:val="single" w:sz="4" w:space="4" w:color="auto"/>
        </w:pBdr>
        <w:rPr>
          <w:noProof/>
          <w:szCs w:val="24"/>
        </w:rPr>
      </w:pPr>
      <w:r>
        <w:rPr>
          <w:noProof/>
        </w:rPr>
        <w:t>- провеждане на административни проверки като част от мерките за борба с измамите в съответствие с регламенти № 2185/96, № 1073/1999 и № 1074/1999;</w:t>
      </w:r>
    </w:p>
    <w:p>
      <w:pPr>
        <w:pBdr>
          <w:top w:val="single" w:sz="4" w:space="1" w:color="auto"/>
          <w:left w:val="single" w:sz="4" w:space="4" w:color="auto"/>
          <w:bottom w:val="single" w:sz="4" w:space="1" w:color="auto"/>
          <w:right w:val="single" w:sz="4" w:space="4" w:color="auto"/>
        </w:pBdr>
        <w:rPr>
          <w:noProof/>
          <w:szCs w:val="24"/>
        </w:rPr>
      </w:pPr>
      <w:r>
        <w:rPr>
          <w:noProof/>
        </w:rPr>
        <w:t>- налагане на административни санкции съгласно Рамков регламент № 2988/95 — включително механизъм за изготвяне на черен списък, за всички преднамерено извършени или причинени по небрежност нередности при изпълнението на договорите;</w:t>
      </w:r>
    </w:p>
    <w:p>
      <w:pPr>
        <w:pBdr>
          <w:top w:val="single" w:sz="4" w:space="1" w:color="auto"/>
          <w:left w:val="single" w:sz="4" w:space="4" w:color="auto"/>
          <w:bottom w:val="single" w:sz="4" w:space="1" w:color="auto"/>
          <w:right w:val="single" w:sz="4" w:space="4" w:color="auto"/>
        </w:pBdr>
        <w:rPr>
          <w:noProof/>
          <w:szCs w:val="24"/>
        </w:rPr>
      </w:pPr>
      <w:r>
        <w:rPr>
          <w:noProof/>
        </w:rPr>
        <w:t>- фактът, че евентуални нареждания за възстановяване на средства в случай на нередности и измами трябва да имат изпълнителна сила съгласно член 299 от Договора за функционирането на Европейския съюз.</w:t>
      </w:r>
    </w:p>
    <w:p>
      <w:pPr>
        <w:pBdr>
          <w:top w:val="single" w:sz="4" w:space="1" w:color="auto"/>
          <w:left w:val="single" w:sz="4" w:space="4" w:color="auto"/>
          <w:bottom w:val="single" w:sz="4" w:space="1" w:color="auto"/>
          <w:right w:val="single" w:sz="4" w:space="4" w:color="auto"/>
        </w:pBdr>
        <w:rPr>
          <w:noProof/>
          <w:szCs w:val="24"/>
        </w:rPr>
      </w:pPr>
      <w:r>
        <w:rPr>
          <w:noProof/>
        </w:rPr>
        <w:t>В допълнение и като рутинна мярка отговорните служители на генерална дирекция „Научни изследвания и иновации“ ще изпълняват програма за проверки по отношение на научните и бюджетните аспекти на сътрудничеството. Ще бъде извършен вътрешен одит от отдела за вътрешен одит на генерална дирекция „Научни изследвания и иновации“, а Европейската сметна палата ще извърши проверки на място.</w:t>
      </w:r>
    </w:p>
    <w:p>
      <w:pPr>
        <w:pStyle w:val="Text1"/>
        <w:pBdr>
          <w:top w:val="single" w:sz="4" w:space="1" w:color="auto"/>
          <w:left w:val="single" w:sz="4" w:space="4" w:color="auto"/>
          <w:bottom w:val="single" w:sz="4" w:space="1" w:color="auto"/>
          <w:right w:val="single" w:sz="4" w:space="4" w:color="auto"/>
        </w:pBd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noProof/>
        </w:rPr>
      </w:pPr>
      <w:r>
        <w:t>3.</w:t>
      </w:r>
      <w:r>
        <w:tab/>
      </w:r>
      <w:r>
        <w:rPr>
          <w:noProof/>
        </w:rPr>
        <w:t>ОЧАКВАНО ФИНАНСОВО ОТРАЖЕНИЕ НА ПРЕДЛОЖЕНИЕТО / ИНИЦИАТИВАТА</w:t>
      </w:r>
    </w:p>
    <w:p>
      <w:pPr>
        <w:pStyle w:val="ManualHeading2"/>
        <w:rPr>
          <w:noProof/>
        </w:rPr>
      </w:pPr>
      <w:r>
        <w:t>3.1.</w:t>
      </w:r>
      <w:r>
        <w:tab/>
      </w:r>
      <w:r>
        <w:rPr>
          <w:noProof/>
        </w:rPr>
        <w:t>Съответни функции от многогодишната финансова рамка и разходни бюджетни редове</w:t>
      </w:r>
    </w:p>
    <w:p>
      <w:pPr>
        <w:pStyle w:val="ListBullet1"/>
        <w:rPr>
          <w:noProof/>
        </w:rPr>
      </w:pPr>
      <w:r>
        <w:rPr>
          <w:noProof/>
        </w:rPr>
        <w:t>Съществуващи бюджетни редове</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 разхода</w:t>
            </w:r>
          </w:p>
        </w:tc>
        <w:tc>
          <w:tcPr>
            <w:tcW w:w="4440" w:type="dxa"/>
            <w:gridSpan w:val="4"/>
            <w:vAlign w:val="center"/>
          </w:tcPr>
          <w:p>
            <w:pPr>
              <w:spacing w:before="60" w:after="60"/>
              <w:jc w:val="center"/>
              <w:rPr>
                <w:noProof/>
                <w:sz w:val="22"/>
              </w:rPr>
            </w:pPr>
            <w:r>
              <w:rPr>
                <w:noProof/>
                <w:sz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 </w:t>
            </w:r>
            <w:r>
              <w:rPr>
                <w:noProof/>
                <w:sz w:val="22"/>
              </w:rPr>
              <w:br/>
            </w:r>
            <w:r>
              <w:rPr>
                <w:noProof/>
                <w:sz w:val="20"/>
              </w:rPr>
              <w:t>Функция 1а — Конкурентоспособност за растеж и работни места</w:t>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3"/>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0"/>
              </w:rPr>
              <w:t>1a</w:t>
            </w:r>
          </w:p>
        </w:tc>
        <w:tc>
          <w:tcPr>
            <w:tcW w:w="3960" w:type="dxa"/>
            <w:vAlign w:val="center"/>
          </w:tcPr>
          <w:p>
            <w:pPr>
              <w:spacing w:after="60"/>
              <w:jc w:val="center"/>
              <w:rPr>
                <w:noProof/>
                <w:sz w:val="22"/>
              </w:rPr>
            </w:pPr>
            <w:r>
              <w:rPr>
                <w:b/>
                <w:noProof/>
                <w:sz w:val="22"/>
              </w:rPr>
              <w:t>08.01.05.01</w:t>
            </w:r>
          </w:p>
        </w:tc>
        <w:tc>
          <w:tcPr>
            <w:tcW w:w="1080" w:type="dxa"/>
            <w:vAlign w:val="center"/>
          </w:tcPr>
          <w:p>
            <w:pPr>
              <w:jc w:val="center"/>
              <w:rPr>
                <w:noProof/>
                <w:color w:val="0000FF"/>
                <w:sz w:val="22"/>
              </w:rPr>
            </w:pPr>
            <w:r>
              <w:rPr>
                <w:noProof/>
                <w:sz w:val="22"/>
              </w:rPr>
              <w:t>Едногод.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color w:val="0000FF"/>
                <w:sz w:val="22"/>
              </w:rPr>
            </w:pPr>
            <w:r>
              <w:rPr>
                <w:noProof/>
                <w:sz w:val="20"/>
              </w:rPr>
              <w:t>1a</w:t>
            </w:r>
          </w:p>
        </w:tc>
        <w:tc>
          <w:tcPr>
            <w:tcW w:w="3960" w:type="dxa"/>
            <w:vAlign w:val="center"/>
          </w:tcPr>
          <w:p>
            <w:pPr>
              <w:spacing w:before="60"/>
              <w:jc w:val="center"/>
            </w:pPr>
            <w:r>
              <w:rPr>
                <w:b/>
                <w:noProof/>
                <w:sz w:val="22"/>
              </w:rPr>
              <w:t>08.01.05.03</w:t>
            </w:r>
          </w:p>
        </w:tc>
        <w:tc>
          <w:tcPr>
            <w:tcW w:w="1080" w:type="dxa"/>
            <w:vAlign w:val="center"/>
          </w:tcPr>
          <w:p>
            <w:pPr>
              <w:jc w:val="center"/>
              <w:rPr>
                <w:noProof/>
                <w:sz w:val="22"/>
              </w:rPr>
            </w:pPr>
            <w:r>
              <w:rPr>
                <w:noProof/>
                <w:sz w:val="22"/>
              </w:rPr>
              <w:t>Едногод.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Поискани нови бюджетни редове</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 разхода</w:t>
            </w:r>
          </w:p>
        </w:tc>
        <w:tc>
          <w:tcPr>
            <w:tcW w:w="4440" w:type="dxa"/>
            <w:gridSpan w:val="4"/>
            <w:vAlign w:val="center"/>
          </w:tcPr>
          <w:p>
            <w:pPr>
              <w:spacing w:before="60" w:after="60"/>
              <w:jc w:val="center"/>
              <w:rPr>
                <w:noProof/>
                <w:sz w:val="22"/>
              </w:rPr>
            </w:pPr>
            <w:r>
              <w:rPr>
                <w:noProof/>
                <w:sz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sz w:val="22"/>
              </w:rPr>
              <w:br/>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footnotePr>
            <w:numRestart w:val="eachSect"/>
          </w:footnote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[Тази част следва да бъде попълнена, като се използва</w:t>
      </w:r>
      <w:r>
        <w:rPr>
          <w:noProof/>
        </w:rPr>
        <w:t xml:space="preserve"> </w:t>
      </w:r>
      <w:hyperlink r:id="rId13" w:history="1">
        <w:r>
          <w:rPr>
            <w:rStyle w:val="Hyperlink"/>
            <w:b/>
            <w:noProof/>
            <w:highlight w:val="lightGray"/>
          </w:rPr>
          <w:t>таблицата за бюджетни данни от административно естество</w:t>
        </w:r>
      </w:hyperlink>
      <w:r>
        <w:rPr>
          <w:noProof/>
          <w:highlight w:val="lightGray"/>
        </w:rPr>
        <w:t xml:space="preserve"> (вторият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t>3.2.1.</w:t>
      </w:r>
      <w:r>
        <w:tab/>
      </w:r>
      <w:r>
        <w:rPr>
          <w:noProof/>
        </w:rPr>
        <w:t>Обобщение на очакваното отражение върху разходите</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012"/>
        <w:gridCol w:w="1013"/>
        <w:gridCol w:w="1013"/>
        <w:gridCol w:w="1012"/>
        <w:gridCol w:w="1013"/>
        <w:gridCol w:w="1013"/>
        <w:gridCol w:w="1777"/>
      </w:tblGrid>
      <w:tr>
        <w:tc>
          <w:tcPr>
            <w:tcW w:w="3960" w:type="dxa"/>
            <w:vAlign w:val="center"/>
          </w:tcPr>
          <w:p>
            <w:pPr>
              <w:jc w:val="center"/>
              <w:rPr>
                <w:noProof/>
                <w:sz w:val="22"/>
              </w:rPr>
            </w:pPr>
            <w:r>
              <w:rPr>
                <w:noProof/>
                <w:sz w:val="22"/>
              </w:rPr>
              <w:t>ГД: „Научни изследвания и иновации“</w:t>
            </w:r>
          </w:p>
        </w:tc>
        <w:tc>
          <w:tcPr>
            <w:tcW w:w="1560" w:type="dxa"/>
            <w:gridSpan w:val="2"/>
          </w:tcPr>
          <w:p>
            <w:pPr>
              <w:rPr>
                <w:noProof/>
                <w:sz w:val="20"/>
              </w:rPr>
            </w:pPr>
          </w:p>
        </w:tc>
        <w:tc>
          <w:tcPr>
            <w:tcW w:w="534" w:type="dxa"/>
          </w:tcPr>
          <w:p>
            <w:pPr>
              <w:jc w:val="center"/>
              <w:rPr>
                <w:noProof/>
                <w:sz w:val="20"/>
              </w:rPr>
            </w:pPr>
          </w:p>
        </w:tc>
        <w:tc>
          <w:tcPr>
            <w:tcW w:w="1012" w:type="dxa"/>
            <w:vAlign w:val="center"/>
          </w:tcPr>
          <w:p>
            <w:pPr>
              <w:jc w:val="center"/>
              <w:rPr>
                <w:noProof/>
                <w:sz w:val="20"/>
              </w:rPr>
            </w:pPr>
            <w:r>
              <w:rPr>
                <w:b/>
                <w:noProof/>
                <w:sz w:val="20"/>
              </w:rPr>
              <w:t xml:space="preserve">2019 </w:t>
            </w:r>
            <w:r>
              <w:rPr>
                <w:noProof/>
                <w:sz w:val="20"/>
              </w:rPr>
              <w:t>г.</w:t>
            </w:r>
            <w:r>
              <w:rPr>
                <w:rStyle w:val="FootnoteReference"/>
                <w:noProof/>
                <w:sz w:val="20"/>
              </w:rPr>
              <w:footnoteReference w:id="16"/>
            </w:r>
          </w:p>
        </w:tc>
        <w:tc>
          <w:tcPr>
            <w:tcW w:w="1013" w:type="dxa"/>
            <w:vAlign w:val="center"/>
          </w:tcPr>
          <w:p>
            <w:pPr>
              <w:jc w:val="center"/>
              <w:rPr>
                <w:noProof/>
                <w:sz w:val="20"/>
              </w:rPr>
            </w:pPr>
            <w:r>
              <w:rPr>
                <w:b/>
                <w:noProof/>
                <w:sz w:val="20"/>
              </w:rPr>
              <w:t>2020 г.</w:t>
            </w:r>
          </w:p>
        </w:tc>
        <w:tc>
          <w:tcPr>
            <w:tcW w:w="1013" w:type="dxa"/>
            <w:vAlign w:val="center"/>
          </w:tcPr>
          <w:p>
            <w:pPr>
              <w:jc w:val="center"/>
              <w:rPr>
                <w:noProof/>
                <w:sz w:val="20"/>
              </w:rPr>
            </w:pPr>
            <w:r>
              <w:rPr>
                <w:b/>
                <w:noProof/>
                <w:sz w:val="20"/>
              </w:rPr>
              <w:t>2021 г.</w:t>
            </w:r>
          </w:p>
        </w:tc>
        <w:tc>
          <w:tcPr>
            <w:tcW w:w="1012" w:type="dxa"/>
            <w:vAlign w:val="center"/>
          </w:tcPr>
          <w:p>
            <w:pPr>
              <w:jc w:val="center"/>
              <w:rPr>
                <w:noProof/>
                <w:sz w:val="20"/>
              </w:rPr>
            </w:pPr>
            <w:r>
              <w:rPr>
                <w:b/>
                <w:noProof/>
                <w:sz w:val="20"/>
              </w:rPr>
              <w:t>2022 г.</w:t>
            </w:r>
          </w:p>
        </w:tc>
        <w:tc>
          <w:tcPr>
            <w:tcW w:w="1013" w:type="dxa"/>
            <w:tcBorders>
              <w:top w:val="single" w:sz="4" w:space="0" w:color="auto"/>
              <w:left w:val="single" w:sz="4" w:space="0" w:color="auto"/>
              <w:bottom w:val="single" w:sz="4" w:space="0" w:color="auto"/>
              <w:right w:val="single" w:sz="4" w:space="0" w:color="auto"/>
            </w:tcBorders>
          </w:tcPr>
          <w:p>
            <w:pPr>
              <w:spacing w:before="240" w:line="257" w:lineRule="auto"/>
              <w:jc w:val="center"/>
              <w:rPr>
                <w:b/>
                <w:noProof/>
                <w:sz w:val="20"/>
              </w:rPr>
            </w:pPr>
            <w:r>
              <w:rPr>
                <w:b/>
                <w:noProof/>
                <w:sz w:val="20"/>
              </w:rPr>
              <w:t>2023 г.</w:t>
            </w:r>
          </w:p>
        </w:tc>
        <w:tc>
          <w:tcPr>
            <w:tcW w:w="1013" w:type="dxa"/>
            <w:tcBorders>
              <w:top w:val="single" w:sz="4" w:space="0" w:color="auto"/>
              <w:left w:val="single" w:sz="4" w:space="0" w:color="auto"/>
              <w:bottom w:val="single" w:sz="4" w:space="0" w:color="auto"/>
              <w:right w:val="single" w:sz="4" w:space="0" w:color="auto"/>
            </w:tcBorders>
          </w:tcPr>
          <w:p>
            <w:pPr>
              <w:spacing w:before="240" w:line="257" w:lineRule="auto"/>
              <w:jc w:val="center"/>
              <w:rPr>
                <w:b/>
                <w:noProof/>
                <w:sz w:val="20"/>
              </w:rPr>
            </w:pPr>
            <w:r>
              <w:rPr>
                <w:b/>
                <w:noProof/>
                <w:sz w:val="20"/>
              </w:rPr>
              <w:t>2024 г.</w:t>
            </w:r>
          </w:p>
        </w:tc>
        <w:tc>
          <w:tcPr>
            <w:tcW w:w="1777"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1012" w:type="dxa"/>
            <w:vAlign w:val="center"/>
          </w:tcPr>
          <w:p>
            <w:pPr>
              <w:rPr>
                <w:noProof/>
                <w:sz w:val="20"/>
              </w:rPr>
            </w:pPr>
          </w:p>
        </w:tc>
        <w:tc>
          <w:tcPr>
            <w:tcW w:w="1013" w:type="dxa"/>
            <w:vAlign w:val="center"/>
          </w:tcPr>
          <w:p>
            <w:pPr>
              <w:rPr>
                <w:noProof/>
                <w:sz w:val="20"/>
              </w:rPr>
            </w:pPr>
          </w:p>
        </w:tc>
        <w:tc>
          <w:tcPr>
            <w:tcW w:w="1013" w:type="dxa"/>
            <w:vAlign w:val="center"/>
          </w:tcPr>
          <w:p>
            <w:pPr>
              <w:rPr>
                <w:noProof/>
                <w:sz w:val="20"/>
              </w:rPr>
            </w:pPr>
          </w:p>
        </w:tc>
        <w:tc>
          <w:tcPr>
            <w:tcW w:w="1012" w:type="dxa"/>
            <w:vAlign w:val="center"/>
          </w:tcPr>
          <w:p>
            <w:pPr>
              <w:rPr>
                <w:noProof/>
                <w:sz w:val="20"/>
              </w:rPr>
            </w:pPr>
          </w:p>
        </w:tc>
        <w:tc>
          <w:tcPr>
            <w:tcW w:w="1013" w:type="dxa"/>
            <w:vAlign w:val="center"/>
          </w:tcPr>
          <w:p>
            <w:pPr>
              <w:rPr>
                <w:noProof/>
                <w:sz w:val="20"/>
              </w:rPr>
            </w:pPr>
          </w:p>
        </w:tc>
        <w:tc>
          <w:tcPr>
            <w:tcW w:w="1013"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013"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1012"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2"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3"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1012"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2" w:type="dxa"/>
            <w:vAlign w:val="center"/>
          </w:tcPr>
          <w:p>
            <w:pPr>
              <w:spacing w:before="20" w:after="20"/>
              <w:jc w:val="right"/>
              <w:rPr>
                <w:noProof/>
                <w:sz w:val="20"/>
              </w:rPr>
            </w:pPr>
          </w:p>
        </w:tc>
        <w:tc>
          <w:tcPr>
            <w:tcW w:w="1013" w:type="dxa"/>
            <w:vAlign w:val="center"/>
          </w:tcPr>
          <w:p>
            <w:pPr>
              <w:spacing w:before="20" w:after="20"/>
              <w:jc w:val="right"/>
              <w:rPr>
                <w:noProof/>
                <w:sz w:val="20"/>
              </w:rPr>
            </w:pPr>
          </w:p>
        </w:tc>
        <w:tc>
          <w:tcPr>
            <w:tcW w:w="1013"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7"/>
            </w:r>
          </w:p>
          <w:p>
            <w:pPr>
              <w:spacing w:before="0" w:after="0"/>
              <w:rPr>
                <w:noProof/>
                <w:sz w:val="22"/>
              </w:rPr>
            </w:pPr>
          </w:p>
        </w:tc>
        <w:tc>
          <w:tcPr>
            <w:tcW w:w="1012" w:type="dxa"/>
            <w:vAlign w:val="center"/>
          </w:tcPr>
          <w:p>
            <w:pPr>
              <w:rPr>
                <w:b/>
                <w:noProof/>
                <w:sz w:val="20"/>
              </w:rPr>
            </w:pPr>
          </w:p>
        </w:tc>
        <w:tc>
          <w:tcPr>
            <w:tcW w:w="1013" w:type="dxa"/>
            <w:vAlign w:val="center"/>
          </w:tcPr>
          <w:p>
            <w:pPr>
              <w:rPr>
                <w:b/>
                <w:noProof/>
                <w:sz w:val="20"/>
              </w:rPr>
            </w:pPr>
          </w:p>
        </w:tc>
        <w:tc>
          <w:tcPr>
            <w:tcW w:w="1013" w:type="dxa"/>
            <w:vAlign w:val="center"/>
          </w:tcPr>
          <w:p>
            <w:pPr>
              <w:rPr>
                <w:b/>
                <w:noProof/>
                <w:sz w:val="20"/>
              </w:rPr>
            </w:pPr>
          </w:p>
        </w:tc>
        <w:tc>
          <w:tcPr>
            <w:tcW w:w="1012" w:type="dxa"/>
            <w:vAlign w:val="center"/>
          </w:tcPr>
          <w:p>
            <w:pPr>
              <w:rPr>
                <w:b/>
                <w:noProof/>
                <w:sz w:val="20"/>
              </w:rPr>
            </w:pPr>
          </w:p>
        </w:tc>
        <w:tc>
          <w:tcPr>
            <w:tcW w:w="1013" w:type="dxa"/>
            <w:vAlign w:val="center"/>
          </w:tcPr>
          <w:p>
            <w:pPr>
              <w:rPr>
                <w:b/>
                <w:noProof/>
                <w:sz w:val="20"/>
              </w:rPr>
            </w:pPr>
          </w:p>
        </w:tc>
        <w:tc>
          <w:tcPr>
            <w:tcW w:w="1013"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0"/>
              </w:rPr>
            </w:pPr>
            <w:r>
              <w:rPr>
                <w:noProof/>
                <w:sz w:val="20"/>
              </w:rPr>
              <w:t xml:space="preserve">Номер на бюджетния ред: </w:t>
            </w:r>
            <w:r>
              <w:rPr>
                <w:b/>
                <w:bCs/>
                <w:noProof/>
                <w:sz w:val="18"/>
                <w:szCs w:val="18"/>
              </w:rPr>
              <w:t>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0,010</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0,050</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0,300</w:t>
            </w:r>
          </w:p>
        </w:tc>
      </w:tr>
      <w:tr>
        <w:trPr>
          <w:trHeight w:val="319"/>
        </w:trPr>
        <w:tc>
          <w:tcPr>
            <w:tcW w:w="3960" w:type="dxa"/>
            <w:vAlign w:val="center"/>
          </w:tcPr>
          <w:p>
            <w:pPr>
              <w:spacing w:before="60" w:after="60"/>
              <w:rPr>
                <w:noProof/>
                <w:sz w:val="22"/>
              </w:rPr>
            </w:pPr>
            <w:r>
              <w:rPr>
                <w:noProof/>
                <w:sz w:val="20"/>
              </w:rPr>
              <w:t xml:space="preserve">Номер на бюджетния ред: </w:t>
            </w:r>
            <w:r>
              <w:rPr>
                <w:b/>
                <w:bCs/>
                <w:noProof/>
                <w:sz w:val="18"/>
                <w:szCs w:val="18"/>
              </w:rPr>
              <w:t>08.01.05.03</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0,002</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tcPr>
          <w:p>
            <w:pPr>
              <w:spacing w:before="40" w:after="40" w:line="256" w:lineRule="auto"/>
              <w:jc w:val="right"/>
              <w:rPr>
                <w:b/>
                <w:noProof/>
                <w:sz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tcPr>
          <w:p>
            <w:pPr>
              <w:spacing w:before="40" w:after="40" w:line="256" w:lineRule="auto"/>
              <w:jc w:val="right"/>
              <w:rPr>
                <w:b/>
                <w:noProof/>
                <w:sz w:val="20"/>
              </w:rPr>
            </w:pPr>
            <w:r>
              <w:rPr>
                <w:b/>
                <w:noProof/>
                <w:sz w:val="20"/>
              </w:rPr>
              <w:t>0,010</w:t>
            </w: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56" w:lineRule="auto"/>
              <w:jc w:val="right"/>
              <w:rPr>
                <w:b/>
                <w:noProof/>
                <w:sz w:val="20"/>
              </w:rPr>
            </w:pPr>
            <w:r>
              <w:rPr>
                <w:b/>
                <w:noProof/>
                <w:sz w:val="20"/>
              </w:rPr>
              <w:t>0,060</w:t>
            </w: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„Научни изследвания и иновации“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c>
          <w:tcPr>
            <w:tcW w:w="1777"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0,360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0,072</w:t>
            </w:r>
          </w:p>
        </w:tc>
        <w:tc>
          <w:tcPr>
            <w:tcW w:w="1013"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c>
          <w:tcPr>
            <w:tcW w:w="1777"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0,360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12"/>
        <w:gridCol w:w="1012"/>
        <w:gridCol w:w="1012"/>
        <w:gridCol w:w="1012"/>
        <w:gridCol w:w="1012"/>
        <w:gridCol w:w="1012"/>
        <w:gridCol w:w="1701"/>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0,010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r>
              <w:rPr>
                <w:b/>
                <w:noProof/>
                <w:sz w:val="20"/>
              </w:rPr>
              <w:t>0,050</w:t>
            </w: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0,010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noProof/>
                <w:sz w:val="20"/>
              </w:rPr>
            </w:pPr>
            <w:r>
              <w:rPr>
                <w:b/>
                <w:noProof/>
                <w:sz w:val="20"/>
              </w:rPr>
              <w:t>0,060</w:t>
            </w:r>
          </w:p>
        </w:tc>
        <w:tc>
          <w:tcPr>
            <w:tcW w:w="1012"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r>
              <w:rPr>
                <w:b/>
                <w:noProof/>
                <w:sz w:val="20"/>
              </w:rPr>
              <w:t>0,050</w:t>
            </w: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56" w:lineRule="auto"/>
              <w:jc w:val="right"/>
              <w:rPr>
                <w:b/>
                <w:noProof/>
                <w:sz w:val="20"/>
              </w:rPr>
            </w:pPr>
            <w:r>
              <w:rPr>
                <w:b/>
                <w:noProof/>
                <w:sz w:val="20"/>
              </w:rPr>
              <w:t>0,300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0,002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0,010</w:t>
            </w:r>
          </w:p>
        </w:tc>
        <w:tc>
          <w:tcPr>
            <w:tcW w:w="1701"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r>
      <w:tr>
        <w:tc>
          <w:tcPr>
            <w:tcW w:w="3960" w:type="dxa"/>
            <w:vMerge w:val="restart"/>
            <w:shd w:val="thinDiagStripe" w:color="C0C0C0" w:fill="auto"/>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ФУНКЦИЯ &lt;1a&gt;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c>
          <w:tcPr>
            <w:tcW w:w="1701"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0,360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0,012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0,072</w:t>
            </w:r>
          </w:p>
        </w:tc>
        <w:tc>
          <w:tcPr>
            <w:tcW w:w="1012"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0,060</w:t>
            </w:r>
          </w:p>
        </w:tc>
        <w:tc>
          <w:tcPr>
            <w:tcW w:w="1701" w:type="dxa"/>
            <w:tcBorders>
              <w:top w:val="single" w:sz="4" w:space="0" w:color="auto"/>
              <w:left w:val="single" w:sz="4" w:space="0" w:color="auto"/>
              <w:bottom w:val="single" w:sz="4" w:space="0" w:color="auto"/>
              <w:right w:val="single" w:sz="4" w:space="0" w:color="auto"/>
            </w:tcBorders>
            <w:vAlign w:val="center"/>
          </w:tcPr>
          <w:p>
            <w:pPr>
              <w:pStyle w:val="Default"/>
              <w:spacing w:line="256" w:lineRule="auto"/>
              <w:jc w:val="right"/>
              <w:rPr>
                <w:b/>
                <w:noProof/>
                <w:sz w:val="20"/>
                <w:szCs w:val="20"/>
              </w:rPr>
            </w:pPr>
            <w:r>
              <w:rPr>
                <w:b/>
                <w:noProof/>
                <w:sz w:val="20"/>
              </w:rPr>
              <w:t>0,360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31"/>
        <w:gridCol w:w="837"/>
        <w:gridCol w:w="13"/>
        <w:gridCol w:w="269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noProof/>
                <w:sz w:val="20"/>
              </w:rPr>
            </w:pPr>
            <w:r>
              <w:rPr>
                <w:b/>
                <w:noProof/>
                <w:sz w:val="20"/>
              </w:rPr>
              <w:t>2019 г.</w:t>
            </w:r>
          </w:p>
        </w:tc>
        <w:tc>
          <w:tcPr>
            <w:tcW w:w="86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noProof/>
                <w:sz w:val="20"/>
              </w:rPr>
            </w:pPr>
            <w:r>
              <w:rPr>
                <w:b/>
                <w:noProof/>
                <w:sz w:val="20"/>
              </w:rPr>
              <w:t>2020 г.</w:t>
            </w:r>
          </w:p>
        </w:tc>
        <w:tc>
          <w:tcPr>
            <w:tcW w:w="86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tcPr>
          <w:p>
            <w:pPr>
              <w:spacing w:line="256" w:lineRule="auto"/>
              <w:jc w:val="center"/>
              <w:rPr>
                <w:noProof/>
                <w:sz w:val="20"/>
              </w:rPr>
            </w:pPr>
            <w:r>
              <w:rPr>
                <w:b/>
                <w:noProof/>
                <w:sz w:val="20"/>
              </w:rPr>
              <w:t>2022 г.</w:t>
            </w:r>
          </w:p>
        </w:tc>
        <w:tc>
          <w:tcPr>
            <w:tcW w:w="899" w:type="dxa"/>
            <w:gridSpan w:val="2"/>
            <w:tcBorders>
              <w:top w:val="single" w:sz="4" w:space="0" w:color="auto"/>
              <w:left w:val="single" w:sz="4" w:space="0" w:color="auto"/>
              <w:bottom w:val="single" w:sz="4" w:space="0" w:color="auto"/>
              <w:right w:val="single" w:sz="4" w:space="0" w:color="auto"/>
            </w:tcBorders>
          </w:tcPr>
          <w:p>
            <w:pPr>
              <w:spacing w:before="200" w:line="257" w:lineRule="auto"/>
              <w:jc w:val="center"/>
              <w:rPr>
                <w:b/>
                <w:noProof/>
                <w:sz w:val="20"/>
              </w:rPr>
            </w:pPr>
            <w:r>
              <w:rPr>
                <w:b/>
                <w:noProof/>
                <w:sz w:val="20"/>
              </w:rPr>
              <w:t>2023 г.</w:t>
            </w:r>
          </w:p>
        </w:tc>
        <w:tc>
          <w:tcPr>
            <w:tcW w:w="850" w:type="dxa"/>
            <w:gridSpan w:val="2"/>
            <w:tcBorders>
              <w:top w:val="single" w:sz="4" w:space="0" w:color="auto"/>
              <w:left w:val="single" w:sz="4" w:space="0" w:color="auto"/>
              <w:bottom w:val="single" w:sz="4" w:space="0" w:color="auto"/>
              <w:right w:val="single" w:sz="4" w:space="0" w:color="auto"/>
            </w:tcBorders>
          </w:tcPr>
          <w:p>
            <w:pPr>
              <w:spacing w:before="200" w:line="257" w:lineRule="auto"/>
              <w:jc w:val="center"/>
              <w:rPr>
                <w:b/>
                <w:noProof/>
                <w:sz w:val="20"/>
              </w:rPr>
            </w:pPr>
            <w:r>
              <w:rPr>
                <w:b/>
                <w:noProof/>
                <w:sz w:val="20"/>
              </w:rPr>
              <w:t>2024 г.</w:t>
            </w:r>
          </w:p>
        </w:tc>
        <w:tc>
          <w:tcPr>
            <w:tcW w:w="2693" w:type="dxa"/>
            <w:vAlign w:val="center"/>
          </w:tcPr>
          <w:p>
            <w:pPr>
              <w:jc w:val="center"/>
              <w:rPr>
                <w:b/>
                <w:noProof/>
                <w:sz w:val="20"/>
              </w:rPr>
            </w:pPr>
            <w:r>
              <w:rPr>
                <w:b/>
                <w:noProof/>
                <w:sz w:val="20"/>
              </w:rPr>
              <w:t>ОБЩО</w:t>
            </w:r>
          </w:p>
        </w:tc>
      </w:tr>
      <w:tr>
        <w:trPr>
          <w:gridAfter w:val="11"/>
          <w:wAfter w:w="10008" w:type="dxa"/>
        </w:trPr>
        <w:tc>
          <w:tcPr>
            <w:tcW w:w="3960" w:type="dxa"/>
            <w:vAlign w:val="center"/>
          </w:tcPr>
          <w:p>
            <w:pPr>
              <w:spacing w:before="60" w:after="60"/>
              <w:jc w:val="center"/>
              <w:rPr>
                <w:noProof/>
                <w:sz w:val="22"/>
              </w:rPr>
            </w:pPr>
            <w:r>
              <w:rPr>
                <w:noProof/>
                <w:sz w:val="22"/>
              </w:rPr>
              <w:t>ГД: „Научни изследвания и иновации“</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2706" w:type="dxa"/>
            <w:gridSpan w:val="2"/>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2706" w:type="dxa"/>
            <w:gridSpan w:val="2"/>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ОБЩО ГД „НАУЧНИ ИЗСЛЕДВАНИЯ И ИНОВАЦИИ“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2706" w:type="dxa"/>
            <w:gridSpan w:val="2"/>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третия знак след десетичната запетая)</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850"/>
        <w:gridCol w:w="2693"/>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2019 г.</w:t>
            </w:r>
            <w:r>
              <w:rPr>
                <w:rStyle w:val="FootnoteReference"/>
                <w:b/>
                <w:noProof/>
                <w:sz w:val="20"/>
              </w:rPr>
              <w:footnoteReference w:id="18"/>
            </w:r>
          </w:p>
        </w:tc>
        <w:tc>
          <w:tcPr>
            <w:tcW w:w="868" w:type="dxa"/>
            <w:vAlign w:val="center"/>
          </w:tcPr>
          <w:p>
            <w:pPr>
              <w:jc w:val="center"/>
              <w:rPr>
                <w:noProof/>
                <w:sz w:val="20"/>
              </w:rPr>
            </w:pPr>
            <w:r>
              <w:rPr>
                <w:b/>
                <w:noProof/>
                <w:sz w:val="20"/>
              </w:rPr>
              <w:t>2020 г.</w:t>
            </w: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99" w:type="dxa"/>
          </w:tcPr>
          <w:p>
            <w:pPr>
              <w:spacing w:before="200"/>
              <w:jc w:val="center"/>
              <w:rPr>
                <w:noProof/>
                <w:sz w:val="18"/>
              </w:rPr>
            </w:pPr>
            <w:r>
              <w:rPr>
                <w:b/>
                <w:noProof/>
                <w:sz w:val="20"/>
              </w:rPr>
              <w:t>2023 г.</w:t>
            </w:r>
          </w:p>
        </w:tc>
        <w:tc>
          <w:tcPr>
            <w:tcW w:w="850" w:type="dxa"/>
            <w:vAlign w:val="center"/>
          </w:tcPr>
          <w:p>
            <w:pPr>
              <w:jc w:val="center"/>
              <w:rPr>
                <w:b/>
                <w:noProof/>
                <w:sz w:val="18"/>
              </w:rPr>
            </w:pPr>
            <w:r>
              <w:rPr>
                <w:b/>
                <w:noProof/>
                <w:sz w:val="20"/>
              </w:rPr>
              <w:t>2024 г.</w:t>
            </w:r>
          </w:p>
        </w:tc>
        <w:tc>
          <w:tcPr>
            <w:tcW w:w="2693"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0,012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99"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0,060</w:t>
            </w:r>
          </w:p>
        </w:tc>
        <w:tc>
          <w:tcPr>
            <w:tcW w:w="2693"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0,360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0,012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99"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0,072</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0,060</w:t>
            </w:r>
          </w:p>
        </w:tc>
        <w:tc>
          <w:tcPr>
            <w:tcW w:w="2693" w:type="dxa"/>
            <w:tcBorders>
              <w:top w:val="single" w:sz="4" w:space="0" w:color="auto"/>
              <w:left w:val="single" w:sz="4" w:space="0" w:color="auto"/>
              <w:bottom w:val="single" w:sz="4" w:space="0" w:color="auto"/>
              <w:right w:val="single" w:sz="4" w:space="0" w:color="auto"/>
            </w:tcBorders>
            <w:vAlign w:val="center"/>
          </w:tcPr>
          <w:p>
            <w:pPr>
              <w:spacing w:before="60" w:after="60" w:line="256" w:lineRule="auto"/>
              <w:jc w:val="right"/>
              <w:rPr>
                <w:b/>
                <w:noProof/>
                <w:sz w:val="20"/>
              </w:rPr>
            </w:pPr>
            <w:r>
              <w:rPr>
                <w:b/>
                <w:noProof/>
                <w:sz w:val="20"/>
              </w:rPr>
              <w:t>0,360</w:t>
            </w:r>
          </w:p>
        </w:tc>
      </w:tr>
    </w:tbl>
    <w:p>
      <w:pPr>
        <w:rPr>
          <w:noProof/>
        </w:rPr>
        <w:sectPr>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Очаквано отражение върху бюджетните кредити за оперативни разходи</w:t>
      </w:r>
    </w:p>
    <w:p>
      <w:pPr>
        <w:pStyle w:val="ListDash1"/>
        <w:rPr>
          <w:noProof/>
        </w:rPr>
      </w:pPr>
      <w:r>
        <w:rPr>
          <w:noProof/>
        </w:rPr>
        <w:sym w:font="Wingdings" w:char="F0FE"/>
      </w:r>
      <w:r>
        <w:rPr>
          <w:noProof/>
        </w:rPr>
        <w:t xml:space="preserve"> Предложението/инициативата не налага използване на бюджетни кредити за оперативни разходи</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Да се посочат целите и резултатите</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Година N</w:t>
            </w:r>
          </w:p>
        </w:tc>
        <w:tc>
          <w:tcPr>
            <w:tcW w:w="1260" w:type="dxa"/>
            <w:gridSpan w:val="2"/>
            <w:vAlign w:val="center"/>
          </w:tcPr>
          <w:p>
            <w:pPr>
              <w:ind w:right="-29"/>
              <w:jc w:val="center"/>
              <w:rPr>
                <w:noProof/>
                <w:sz w:val="18"/>
                <w:szCs w:val="18"/>
              </w:rPr>
            </w:pPr>
            <w:r>
              <w:rPr>
                <w:b/>
                <w:noProof/>
                <w:sz w:val="18"/>
              </w:rPr>
              <w:t>Година N+1</w:t>
            </w:r>
          </w:p>
        </w:tc>
        <w:tc>
          <w:tcPr>
            <w:tcW w:w="1440" w:type="dxa"/>
            <w:gridSpan w:val="2"/>
            <w:vAlign w:val="center"/>
          </w:tcPr>
          <w:p>
            <w:pPr>
              <w:ind w:right="-29"/>
              <w:jc w:val="center"/>
              <w:rPr>
                <w:noProof/>
                <w:sz w:val="18"/>
                <w:szCs w:val="18"/>
              </w:rPr>
            </w:pPr>
            <w:r>
              <w:rPr>
                <w:b/>
                <w:noProof/>
                <w:sz w:val="18"/>
              </w:rPr>
              <w:t>Година N+2</w:t>
            </w:r>
          </w:p>
        </w:tc>
        <w:tc>
          <w:tcPr>
            <w:tcW w:w="1620" w:type="dxa"/>
            <w:gridSpan w:val="3"/>
            <w:vAlign w:val="center"/>
          </w:tcPr>
          <w:p>
            <w:pPr>
              <w:ind w:right="-29"/>
              <w:jc w:val="center"/>
              <w:rPr>
                <w:noProof/>
                <w:sz w:val="18"/>
                <w:szCs w:val="18"/>
              </w:rPr>
            </w:pPr>
            <w:r>
              <w:rPr>
                <w:b/>
                <w:noProof/>
                <w:sz w:val="18"/>
              </w:rPr>
              <w:t>Година 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footnotePr>
            <w:numRestart w:val="eachSect"/>
          </w:footnote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Резюме</w:t>
      </w:r>
    </w:p>
    <w:p>
      <w:pPr>
        <w:pStyle w:val="ListDash1"/>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65"/>
        <w:gridCol w:w="1066"/>
        <w:gridCol w:w="1066"/>
        <w:gridCol w:w="1066"/>
        <w:gridCol w:w="1066"/>
        <w:gridCol w:w="1066"/>
        <w:gridCol w:w="2245"/>
      </w:tblGrid>
      <w:tr>
        <w:trPr>
          <w:trHeight w:val="585"/>
        </w:trPr>
        <w:tc>
          <w:tcPr>
            <w:tcW w:w="1980" w:type="dxa"/>
          </w:tcPr>
          <w:p>
            <w:pPr>
              <w:spacing w:before="60" w:after="60" w:line="200" w:lineRule="exact"/>
              <w:rPr>
                <w:noProof/>
                <w:sz w:val="16"/>
                <w:szCs w:val="16"/>
              </w:rPr>
            </w:pPr>
          </w:p>
        </w:tc>
        <w:tc>
          <w:tcPr>
            <w:tcW w:w="1065"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b/>
                <w:noProof/>
                <w:sz w:val="16"/>
              </w:rPr>
              <w:t>2019 г.</w:t>
            </w:r>
            <w:r>
              <w:rPr>
                <w:rStyle w:val="FootnoteReference"/>
                <w:b/>
                <w:noProof/>
                <w:sz w:val="16"/>
              </w:rPr>
              <w:footnoteReference w:id="21"/>
            </w:r>
          </w:p>
        </w:tc>
        <w:tc>
          <w:tcPr>
            <w:tcW w:w="1066"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b/>
                <w:noProof/>
                <w:sz w:val="16"/>
              </w:rPr>
              <w:t>2020 г.</w:t>
            </w:r>
          </w:p>
        </w:tc>
        <w:tc>
          <w:tcPr>
            <w:tcW w:w="1066"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b/>
                <w:noProof/>
                <w:sz w:val="16"/>
              </w:rPr>
              <w:t>2021 г.</w:t>
            </w:r>
          </w:p>
        </w:tc>
        <w:tc>
          <w:tcPr>
            <w:tcW w:w="1066"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b/>
                <w:noProof/>
                <w:sz w:val="16"/>
              </w:rPr>
              <w:t>2022 г.</w:t>
            </w:r>
          </w:p>
        </w:tc>
        <w:tc>
          <w:tcPr>
            <w:tcW w:w="1066" w:type="dxa"/>
            <w:tcBorders>
              <w:top w:val="single" w:sz="2" w:space="0" w:color="auto"/>
              <w:left w:val="single" w:sz="2" w:space="0" w:color="auto"/>
              <w:bottom w:val="single" w:sz="2" w:space="0" w:color="auto"/>
              <w:right w:val="single" w:sz="2" w:space="0" w:color="auto"/>
            </w:tcBorders>
          </w:tcPr>
          <w:p>
            <w:pPr>
              <w:spacing w:before="200" w:after="60" w:line="200" w:lineRule="exact"/>
              <w:jc w:val="center"/>
              <w:rPr>
                <w:b/>
                <w:noProof/>
                <w:sz w:val="16"/>
              </w:rPr>
            </w:pPr>
            <w:r>
              <w:rPr>
                <w:b/>
                <w:noProof/>
                <w:sz w:val="16"/>
              </w:rPr>
              <w:t>2023 г.</w:t>
            </w:r>
          </w:p>
        </w:tc>
        <w:tc>
          <w:tcPr>
            <w:tcW w:w="1066" w:type="dxa"/>
            <w:tcBorders>
              <w:top w:val="single" w:sz="2" w:space="0" w:color="auto"/>
              <w:left w:val="single" w:sz="2" w:space="0" w:color="auto"/>
              <w:bottom w:val="single" w:sz="2" w:space="0" w:color="auto"/>
              <w:right w:val="single" w:sz="2" w:space="0" w:color="auto"/>
            </w:tcBorders>
          </w:tcPr>
          <w:p>
            <w:pPr>
              <w:spacing w:before="200" w:after="60" w:line="200" w:lineRule="exact"/>
              <w:jc w:val="center"/>
              <w:rPr>
                <w:b/>
                <w:noProof/>
                <w:sz w:val="16"/>
              </w:rPr>
            </w:pPr>
            <w:r>
              <w:rPr>
                <w:b/>
                <w:noProof/>
                <w:sz w:val="16"/>
              </w:rPr>
              <w:t>2024 г.</w:t>
            </w:r>
          </w:p>
        </w:tc>
        <w:tc>
          <w:tcPr>
            <w:tcW w:w="2245"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4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65"/>
        <w:gridCol w:w="1066"/>
        <w:gridCol w:w="1066"/>
        <w:gridCol w:w="1066"/>
        <w:gridCol w:w="1066"/>
        <w:gridCol w:w="1066"/>
        <w:gridCol w:w="2268"/>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65"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2268"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65"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2268"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65"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2268"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от многогодишната финансова рамка</w:t>
            </w:r>
          </w:p>
        </w:tc>
        <w:tc>
          <w:tcPr>
            <w:tcW w:w="1065"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1066" w:type="dxa"/>
            <w:vAlign w:val="center"/>
          </w:tcPr>
          <w:p>
            <w:pPr>
              <w:spacing w:before="60" w:after="60" w:line="200" w:lineRule="exact"/>
              <w:jc w:val="right"/>
              <w:rPr>
                <w:noProof/>
                <w:sz w:val="16"/>
                <w:szCs w:val="16"/>
              </w:rPr>
            </w:pPr>
          </w:p>
        </w:tc>
        <w:tc>
          <w:tcPr>
            <w:tcW w:w="2268"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4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2183"/>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2"/>
            </w:r>
            <w:r>
              <w:rPr>
                <w:noProof/>
                <w:sz w:val="22"/>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2183"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bCs/>
                <w:noProof/>
                <w:sz w:val="20"/>
                <w:szCs w:val="20"/>
              </w:rPr>
              <w:t>0,010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bCs/>
                <w:noProof/>
                <w:sz w:val="20"/>
                <w:szCs w:val="20"/>
              </w:rPr>
              <w:t>0,060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bCs/>
                <w:noProof/>
                <w:sz w:val="20"/>
                <w:szCs w:val="20"/>
              </w:rPr>
              <w:t>0,060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bCs/>
                <w:noProof/>
                <w:sz w:val="20"/>
                <w:szCs w:val="20"/>
              </w:rPr>
            </w:pPr>
            <w:r>
              <w:rPr>
                <w:b/>
                <w:bCs/>
                <w:noProof/>
                <w:sz w:val="20"/>
                <w:szCs w:val="20"/>
              </w:rPr>
              <w:t>0,060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szCs w:val="20"/>
              </w:rPr>
              <w:t>0,060</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szCs w:val="20"/>
              </w:rPr>
              <w:t>0,050</w:t>
            </w:r>
          </w:p>
        </w:tc>
        <w:tc>
          <w:tcPr>
            <w:tcW w:w="2183"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szCs w:val="20"/>
              </w:rPr>
              <w:t>0,300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w:t>
            </w:r>
            <w:r>
              <w:rPr>
                <w:noProof/>
                <w:sz w:val="22"/>
              </w:rPr>
              <w:br/>
            </w:r>
            <w:r>
              <w:rPr>
                <w:noProof/>
                <w:sz w:val="16"/>
              </w:rPr>
              <w:t>административни разходи</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0,002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b/>
                <w:noProof/>
                <w:sz w:val="20"/>
              </w:rPr>
              <w:t>0,010</w:t>
            </w:r>
          </w:p>
        </w:tc>
        <w:tc>
          <w:tcPr>
            <w:tcW w:w="2183"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r>
              <w:rPr>
                <w:b/>
                <w:noProof/>
                <w:sz w:val="20"/>
              </w:rPr>
              <w:t>0,060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noProof/>
                <w:sz w:val="20"/>
              </w:rPr>
              <w:t>0,012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noProof/>
                <w:sz w:val="20"/>
              </w:rPr>
              <w:t>0,072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noProof/>
                <w:sz w:val="20"/>
                <w:szCs w:val="20"/>
              </w:rPr>
            </w:pPr>
            <w:r>
              <w:rPr>
                <w:b/>
                <w:noProof/>
                <w:sz w:val="20"/>
              </w:rPr>
              <w:t>0,072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bCs/>
                <w:noProof/>
                <w:sz w:val="20"/>
                <w:szCs w:val="20"/>
              </w:rPr>
            </w:pPr>
            <w:r>
              <w:rPr>
                <w:b/>
                <w:noProof/>
                <w:sz w:val="20"/>
              </w:rPr>
              <w:t>0,072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rPr>
              <w:t>0,072</w:t>
            </w:r>
          </w:p>
        </w:tc>
        <w:tc>
          <w:tcPr>
            <w:tcW w:w="1080"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rPr>
              <w:t>0,060</w:t>
            </w:r>
          </w:p>
        </w:tc>
        <w:tc>
          <w:tcPr>
            <w:tcW w:w="2183" w:type="dxa"/>
            <w:tcBorders>
              <w:top w:val="single" w:sz="2" w:space="0" w:color="auto"/>
              <w:left w:val="single" w:sz="2" w:space="0" w:color="auto"/>
              <w:bottom w:val="single" w:sz="2" w:space="0" w:color="auto"/>
              <w:right w:val="single" w:sz="2" w:space="0" w:color="auto"/>
            </w:tcBorders>
            <w:vAlign w:val="center"/>
          </w:tcPr>
          <w:p>
            <w:pPr>
              <w:pStyle w:val="Default"/>
              <w:spacing w:line="256" w:lineRule="auto"/>
              <w:jc w:val="right"/>
              <w:rPr>
                <w:b/>
                <w:noProof/>
                <w:sz w:val="20"/>
                <w:szCs w:val="20"/>
              </w:rPr>
            </w:pPr>
            <w:r>
              <w:rPr>
                <w:b/>
                <w:noProof/>
                <w:sz w:val="20"/>
              </w:rPr>
              <w:t>0,360</w:t>
            </w:r>
          </w:p>
        </w:tc>
      </w:tr>
    </w:tbl>
    <w:p>
      <w:pPr>
        <w:spacing w:line="200" w:lineRule="exact"/>
        <w:rPr>
          <w:noProof/>
          <w:sz w:val="16"/>
          <w:szCs w:val="16"/>
        </w:rPr>
      </w:pPr>
    </w:p>
    <w:tbl>
      <w:tblPr>
        <w:tblW w:w="10643"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2183"/>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0,012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rPr>
            </w:pPr>
            <w:r>
              <w:rPr>
                <w:b/>
                <w:noProof/>
                <w:sz w:val="20"/>
              </w:rPr>
              <w:t>0,060</w:t>
            </w:r>
          </w:p>
        </w:tc>
        <w:tc>
          <w:tcPr>
            <w:tcW w:w="2183" w:type="dxa"/>
            <w:tcBorders>
              <w:top w:val="single" w:sz="12" w:space="0" w:color="auto"/>
              <w:left w:val="single" w:sz="2" w:space="0" w:color="auto"/>
              <w:bottom w:val="single" w:sz="12" w:space="0" w:color="auto"/>
              <w:right w:val="single" w:sz="2" w:space="0" w:color="auto"/>
            </w:tcBorders>
            <w:vAlign w:val="center"/>
          </w:tcPr>
          <w:p>
            <w:pPr>
              <w:spacing w:before="60" w:after="60" w:line="256" w:lineRule="auto"/>
              <w:jc w:val="right"/>
              <w:rPr>
                <w:b/>
                <w:noProof/>
                <w:sz w:val="20"/>
                <w:highlight w:val="yellow"/>
              </w:rPr>
            </w:pPr>
            <w:r>
              <w:rPr>
                <w:b/>
                <w:noProof/>
                <w:sz w:val="20"/>
              </w:rPr>
              <w:t>0,360</w:t>
            </w:r>
          </w:p>
        </w:tc>
      </w:tr>
    </w:tbl>
    <w:p>
      <w:pPr>
        <w:rPr>
          <w:noProof/>
          <w:sz w:val="18"/>
        </w:rPr>
        <w:sectPr>
          <w:headerReference w:type="default" r:id="rId18"/>
          <w:footerReference w:type="default" r:id="rId19"/>
          <w:headerReference w:type="first" r:id="rId20"/>
          <w:footerReference w:type="first" r:id="rId21"/>
          <w:footnotePr>
            <w:numRestart w:val="eachSect"/>
          </w:footnotePr>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Предложението/инициативата не налага използване на човешки ресурси.</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6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53"/>
        <w:gridCol w:w="2040"/>
        <w:gridCol w:w="591"/>
        <w:gridCol w:w="827"/>
        <w:gridCol w:w="831"/>
        <w:gridCol w:w="827"/>
        <w:gridCol w:w="510"/>
        <w:gridCol w:w="313"/>
        <w:gridCol w:w="945"/>
      </w:tblGrid>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tcPr>
          <w:p>
            <w:pPr>
              <w:spacing w:before="40" w:after="40" w:line="256" w:lineRule="auto"/>
              <w:jc w:val="center"/>
              <w:rPr>
                <w:i/>
                <w:noProof/>
                <w:sz w:val="16"/>
                <w:szCs w:val="16"/>
              </w:rPr>
            </w:pPr>
          </w:p>
        </w:tc>
        <w:tc>
          <w:tcPr>
            <w:tcW w:w="342" w:type="pct"/>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b/>
                <w:noProof/>
                <w:sz w:val="16"/>
              </w:rPr>
              <w:t>2019 г.</w:t>
            </w:r>
          </w:p>
        </w:tc>
        <w:tc>
          <w:tcPr>
            <w:tcW w:w="479" w:type="pct"/>
            <w:tcBorders>
              <w:top w:val="single" w:sz="6" w:space="0" w:color="auto"/>
              <w:left w:val="single" w:sz="6" w:space="0" w:color="auto"/>
              <w:bottom w:val="single" w:sz="6" w:space="0" w:color="auto"/>
              <w:right w:val="single" w:sz="6" w:space="0" w:color="auto"/>
            </w:tcBorders>
            <w:vAlign w:val="center"/>
            <w:hideMark/>
          </w:tcPr>
          <w:p>
            <w:pPr>
              <w:spacing w:before="20" w:after="0" w:line="257" w:lineRule="auto"/>
              <w:jc w:val="center"/>
              <w:rPr>
                <w:noProof/>
                <w:sz w:val="16"/>
                <w:szCs w:val="16"/>
              </w:rPr>
            </w:pPr>
            <w:r>
              <w:rPr>
                <w:b/>
                <w:noProof/>
                <w:sz w:val="16"/>
              </w:rPr>
              <w:t>2020 г.</w:t>
            </w:r>
          </w:p>
        </w:tc>
        <w:tc>
          <w:tcPr>
            <w:tcW w:w="481" w:type="pct"/>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b/>
                <w:noProof/>
                <w:sz w:val="16"/>
                <w:szCs w:val="16"/>
              </w:rPr>
              <w:t>2021 г.</w:t>
            </w:r>
          </w:p>
        </w:tc>
        <w:tc>
          <w:tcPr>
            <w:tcW w:w="479" w:type="pct"/>
            <w:tcBorders>
              <w:top w:val="single" w:sz="6" w:space="0" w:color="auto"/>
              <w:left w:val="single" w:sz="6" w:space="0" w:color="auto"/>
              <w:bottom w:val="single" w:sz="6" w:space="0" w:color="auto"/>
              <w:right w:val="single" w:sz="6" w:space="0" w:color="auto"/>
            </w:tcBorders>
            <w:vAlign w:val="center"/>
            <w:hideMark/>
          </w:tcPr>
          <w:p>
            <w:pPr>
              <w:spacing w:before="20" w:after="20" w:line="256" w:lineRule="auto"/>
              <w:jc w:val="center"/>
              <w:rPr>
                <w:noProof/>
                <w:sz w:val="16"/>
                <w:szCs w:val="16"/>
              </w:rPr>
            </w:pPr>
            <w:r>
              <w:rPr>
                <w:b/>
                <w:noProof/>
                <w:sz w:val="16"/>
                <w:szCs w:val="16"/>
              </w:rPr>
              <w:t>2022 г.</w:t>
            </w:r>
          </w:p>
        </w:tc>
        <w:tc>
          <w:tcPr>
            <w:tcW w:w="476" w:type="pct"/>
            <w:gridSpan w:val="2"/>
            <w:tcBorders>
              <w:top w:val="single" w:sz="6" w:space="0" w:color="auto"/>
              <w:left w:val="single" w:sz="6" w:space="0" w:color="auto"/>
              <w:bottom w:val="single" w:sz="6" w:space="0" w:color="auto"/>
              <w:right w:val="single" w:sz="6" w:space="0" w:color="auto"/>
            </w:tcBorders>
            <w:vAlign w:val="center"/>
            <w:hideMark/>
          </w:tcPr>
          <w:p>
            <w:pPr>
              <w:spacing w:line="256" w:lineRule="auto"/>
              <w:jc w:val="center"/>
              <w:rPr>
                <w:b/>
                <w:noProof/>
                <w:sz w:val="16"/>
              </w:rPr>
            </w:pPr>
            <w:r>
              <w:rPr>
                <w:b/>
                <w:noProof/>
                <w:sz w:val="16"/>
                <w:szCs w:val="16"/>
              </w:rPr>
              <w:t>2023 г.</w:t>
            </w:r>
          </w:p>
        </w:tc>
        <w:tc>
          <w:tcPr>
            <w:tcW w:w="546" w:type="pct"/>
            <w:tcBorders>
              <w:top w:val="single" w:sz="6" w:space="0" w:color="auto"/>
              <w:left w:val="single" w:sz="6" w:space="0" w:color="auto"/>
              <w:bottom w:val="single" w:sz="6" w:space="0" w:color="auto"/>
              <w:right w:val="single" w:sz="6" w:space="0" w:color="auto"/>
            </w:tcBorders>
            <w:vAlign w:val="center"/>
            <w:hideMark/>
          </w:tcPr>
          <w:p>
            <w:pPr>
              <w:spacing w:line="256" w:lineRule="auto"/>
              <w:jc w:val="center"/>
              <w:rPr>
                <w:b/>
                <w:noProof/>
                <w:sz w:val="16"/>
                <w:szCs w:val="16"/>
              </w:rPr>
            </w:pPr>
            <w:r>
              <w:rPr>
                <w:b/>
                <w:noProof/>
                <w:sz w:val="16"/>
                <w:szCs w:val="16"/>
              </w:rPr>
              <w:t>2024 г.</w:t>
            </w:r>
          </w:p>
        </w:tc>
      </w:tr>
      <w:tr>
        <w:trPr>
          <w:trHeight w:val="289"/>
          <w:jc w:val="center"/>
        </w:trPr>
        <w:tc>
          <w:tcPr>
            <w:tcW w:w="3498" w:type="pct"/>
            <w:gridSpan w:val="5"/>
            <w:tcBorders>
              <w:top w:val="single" w:sz="6" w:space="0" w:color="auto"/>
              <w:left w:val="single" w:sz="6" w:space="0" w:color="auto"/>
              <w:bottom w:val="single" w:sz="6" w:space="0" w:color="auto"/>
              <w:right w:val="single" w:sz="6" w:space="0" w:color="auto"/>
            </w:tcBorders>
            <w:hideMark/>
          </w:tcPr>
          <w:p>
            <w:pPr>
              <w:spacing w:before="20" w:after="20" w:line="256" w:lineRule="auto"/>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479" w:type="pct"/>
            <w:tcBorders>
              <w:top w:val="single" w:sz="6" w:space="0" w:color="auto"/>
              <w:left w:val="single" w:sz="6" w:space="0" w:color="auto"/>
              <w:bottom w:val="single" w:sz="6" w:space="0" w:color="auto"/>
              <w:right w:val="single" w:sz="6" w:space="0" w:color="auto"/>
            </w:tcBorders>
            <w:vAlign w:val="center"/>
          </w:tcPr>
          <w:p>
            <w:pPr>
              <w:spacing w:before="20" w:after="20"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line="256" w:lineRule="auto"/>
              <w:jc w:val="center"/>
              <w:rPr>
                <w:noProof/>
                <w:sz w:val="16"/>
                <w:szCs w:val="16"/>
              </w:rPr>
            </w:pPr>
          </w:p>
        </w:tc>
      </w:tr>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4"/>
              <w:jc w:val="left"/>
              <w:rPr>
                <w:b/>
                <w:noProof/>
                <w:sz w:val="16"/>
                <w:szCs w:val="16"/>
              </w:rPr>
            </w:pPr>
            <w:r>
              <w:rPr>
                <w:noProof/>
                <w:sz w:val="16"/>
              </w:rPr>
              <w:t>XX 01 01 01 (Централа и представителства на Комисията)</w:t>
            </w: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4"/>
              <w:jc w:val="left"/>
              <w:rPr>
                <w:noProof/>
                <w:sz w:val="16"/>
                <w:szCs w:val="16"/>
              </w:rPr>
            </w:pPr>
            <w:r>
              <w:rPr>
                <w:noProof/>
                <w:sz w:val="16"/>
              </w:rPr>
              <w:t>XX 01 01 02 (Делегации)</w:t>
            </w: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4"/>
              <w:jc w:val="left"/>
              <w:rPr>
                <w:noProof/>
                <w:sz w:val="16"/>
                <w:szCs w:val="16"/>
              </w:rPr>
            </w:pPr>
            <w:r>
              <w:rPr>
                <w:noProof/>
                <w:sz w:val="16"/>
              </w:rPr>
              <w:t>08 01 05 01 (Непреки научни изследвания)</w:t>
            </w:r>
          </w:p>
        </w:tc>
        <w:tc>
          <w:tcPr>
            <w:tcW w:w="34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0,1</w:t>
            </w:r>
          </w:p>
        </w:tc>
        <w:tc>
          <w:tcPr>
            <w:tcW w:w="479"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0,5</w:t>
            </w:r>
          </w:p>
        </w:tc>
        <w:tc>
          <w:tcPr>
            <w:tcW w:w="481"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0,5</w:t>
            </w:r>
          </w:p>
        </w:tc>
        <w:tc>
          <w:tcPr>
            <w:tcW w:w="479"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0,5</w:t>
            </w:r>
          </w:p>
        </w:tc>
        <w:tc>
          <w:tcPr>
            <w:tcW w:w="476" w:type="pct"/>
            <w:gridSpan w:val="2"/>
            <w:tcBorders>
              <w:top w:val="single" w:sz="6" w:space="0" w:color="auto"/>
              <w:left w:val="single" w:sz="6" w:space="0" w:color="auto"/>
              <w:bottom w:val="single" w:sz="6" w:space="0" w:color="auto"/>
              <w:right w:val="single" w:sz="6" w:space="0" w:color="auto"/>
            </w:tcBorders>
            <w:hideMark/>
          </w:tcPr>
          <w:p>
            <w:pPr>
              <w:spacing w:beforeLines="20" w:before="48" w:afterLines="20" w:after="48" w:line="256" w:lineRule="auto"/>
              <w:jc w:val="center"/>
              <w:rPr>
                <w:noProof/>
                <w:sz w:val="16"/>
                <w:szCs w:val="16"/>
              </w:rPr>
            </w:pPr>
            <w:r>
              <w:rPr>
                <w:noProof/>
                <w:sz w:val="16"/>
                <w:szCs w:val="16"/>
              </w:rPr>
              <w:t>0,5</w:t>
            </w:r>
          </w:p>
        </w:tc>
        <w:tc>
          <w:tcPr>
            <w:tcW w:w="54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noProof/>
                <w:sz w:val="16"/>
                <w:szCs w:val="16"/>
              </w:rPr>
            </w:pPr>
            <w:r>
              <w:rPr>
                <w:noProof/>
                <w:sz w:val="16"/>
                <w:szCs w:val="16"/>
              </w:rPr>
              <w:t>0,4</w:t>
            </w:r>
          </w:p>
        </w:tc>
      </w:tr>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4"/>
              <w:jc w:val="left"/>
              <w:rPr>
                <w:noProof/>
                <w:sz w:val="16"/>
                <w:szCs w:val="16"/>
              </w:rPr>
            </w:pPr>
            <w:r>
              <w:rPr>
                <w:noProof/>
                <w:sz w:val="16"/>
              </w:rPr>
              <w:t>10 01 05 01 (Преки научни изследвания)</w:t>
            </w: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gridAfter w:val="2"/>
          <w:wAfter w:w="728" w:type="pct"/>
          <w:trHeight w:val="248"/>
          <w:jc w:val="center"/>
        </w:trPr>
        <w:tc>
          <w:tcPr>
            <w:tcW w:w="3498" w:type="pct"/>
            <w:gridSpan w:val="5"/>
            <w:tcBorders>
              <w:top w:val="single" w:sz="6" w:space="0" w:color="auto"/>
              <w:left w:val="single" w:sz="6" w:space="0" w:color="auto"/>
              <w:bottom w:val="single" w:sz="6" w:space="0" w:color="auto"/>
              <w:right w:val="single" w:sz="6" w:space="0" w:color="auto"/>
            </w:tcBorders>
            <w:vAlign w:val="center"/>
          </w:tcPr>
          <w:p>
            <w:pPr>
              <w:spacing w:before="60" w:after="60" w:line="256" w:lineRule="auto"/>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noProof/>
              </w:rPr>
              <w:footnoteReference w:id="23"/>
            </w:r>
          </w:p>
          <w:p>
            <w:pPr>
              <w:spacing w:before="0" w:after="0" w:line="256" w:lineRule="auto"/>
              <w:jc w:val="left"/>
              <w:rPr>
                <w:noProof/>
                <w:sz w:val="16"/>
                <w:szCs w:val="16"/>
              </w:rPr>
            </w:pPr>
          </w:p>
        </w:tc>
        <w:tc>
          <w:tcPr>
            <w:tcW w:w="774" w:type="pct"/>
            <w:gridSpan w:val="2"/>
            <w:tcBorders>
              <w:top w:val="single" w:sz="6" w:space="0" w:color="auto"/>
              <w:left w:val="single" w:sz="6" w:space="0" w:color="auto"/>
              <w:bottom w:val="single" w:sz="6" w:space="0" w:color="auto"/>
              <w:right w:val="single" w:sz="6" w:space="0" w:color="auto"/>
            </w:tcBorders>
          </w:tcPr>
          <w:p>
            <w:pPr>
              <w:spacing w:before="60" w:after="60" w:line="256" w:lineRule="auto"/>
              <w:jc w:val="left"/>
              <w:rPr>
                <w:b/>
                <w:noProof/>
                <w:sz w:val="16"/>
              </w:rPr>
            </w:pPr>
          </w:p>
        </w:tc>
      </w:tr>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b/>
                <w:noProof/>
                <w:sz w:val="16"/>
                <w:szCs w:val="16"/>
              </w:rPr>
            </w:pPr>
            <w:r>
              <w:rPr>
                <w:noProof/>
                <w:sz w:val="16"/>
              </w:rPr>
              <w:t>XX 01 02 01 (ДНП, КНЕ, ПНА от общия финансов пакет)</w:t>
            </w: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noProof/>
                <w:sz w:val="16"/>
                <w:szCs w:val="16"/>
              </w:rPr>
            </w:pPr>
            <w:r>
              <w:rPr>
                <w:noProof/>
                <w:sz w:val="16"/>
              </w:rPr>
              <w:t>XX 01 02 02 (ДНП, МП, КНЕ, ПНА и МЕД в делегациите)</w:t>
            </w: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1015" w:type="pct"/>
            <w:vMerge w:val="restar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ind w:left="98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noProof/>
              </w:rPr>
              <w:footnoteReference w:id="24"/>
            </w:r>
          </w:p>
          <w:p>
            <w:pPr>
              <w:spacing w:beforeLines="20" w:before="48" w:afterLines="20" w:after="48" w:line="256" w:lineRule="auto"/>
              <w:ind w:left="986"/>
              <w:jc w:val="left"/>
              <w:rPr>
                <w:b/>
                <w:noProof/>
                <w:sz w:val="16"/>
                <w:szCs w:val="16"/>
              </w:rPr>
            </w:pPr>
          </w:p>
        </w:tc>
        <w:tc>
          <w:tcPr>
            <w:tcW w:w="11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ind w:left="986"/>
              <w:jc w:val="left"/>
              <w:rPr>
                <w:b/>
                <w:noProof/>
                <w:sz w:val="16"/>
                <w:szCs w:val="16"/>
              </w:rPr>
            </w:pPr>
            <w:r>
              <w:rPr>
                <w:noProof/>
                <w:sz w:val="16"/>
              </w:rPr>
              <w:t>- в централата</w:t>
            </w:r>
          </w:p>
          <w:p>
            <w:pPr>
              <w:spacing w:beforeLines="20" w:before="48" w:afterLines="20" w:after="48" w:line="256" w:lineRule="auto"/>
              <w:ind w:left="986"/>
              <w:jc w:val="left"/>
              <w:rPr>
                <w:b/>
                <w:noProof/>
                <w:sz w:val="16"/>
                <w:szCs w:val="16"/>
              </w:rPr>
            </w:pP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ind w:left="850"/>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1015" w:type="pct"/>
            <w:vMerge/>
            <w:tcBorders>
              <w:top w:val="single" w:sz="6" w:space="0" w:color="auto"/>
              <w:left w:val="single" w:sz="6" w:space="0" w:color="auto"/>
              <w:bottom w:val="single" w:sz="6" w:space="0" w:color="auto"/>
              <w:right w:val="single" w:sz="6" w:space="0" w:color="auto"/>
            </w:tcBorders>
            <w:vAlign w:val="center"/>
            <w:hideMark/>
          </w:tcPr>
          <w:p>
            <w:pPr>
              <w:spacing w:before="0" w:after="0" w:line="256" w:lineRule="auto"/>
              <w:jc w:val="left"/>
              <w:rPr>
                <w:b/>
                <w:noProof/>
                <w:sz w:val="16"/>
                <w:szCs w:val="16"/>
              </w:rPr>
            </w:pPr>
          </w:p>
        </w:tc>
        <w:tc>
          <w:tcPr>
            <w:tcW w:w="1181"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b/>
                <w:noProof/>
                <w:sz w:val="16"/>
                <w:szCs w:val="16"/>
              </w:rPr>
            </w:pPr>
            <w:r>
              <w:rPr>
                <w:noProof/>
                <w:sz w:val="16"/>
              </w:rPr>
              <w:t xml:space="preserve">- в делегациите </w:t>
            </w: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ind w:left="850"/>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96"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noProof/>
                <w:sz w:val="16"/>
                <w:szCs w:val="16"/>
              </w:rPr>
            </w:pPr>
            <w:r>
              <w:rPr>
                <w:noProof/>
                <w:sz w:val="16"/>
              </w:rPr>
              <w:t>10 01 05 02 (ДНП, КНЕ и ПНА — преки научни изследвания)</w:t>
            </w:r>
          </w:p>
        </w:tc>
        <w:tc>
          <w:tcPr>
            <w:tcW w:w="34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single" w:sz="6"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96" w:type="pct"/>
            <w:gridSpan w:val="2"/>
            <w:tcBorders>
              <w:top w:val="single" w:sz="6" w:space="0" w:color="auto"/>
              <w:left w:val="single" w:sz="6" w:space="0" w:color="auto"/>
              <w:bottom w:val="double" w:sz="4" w:space="0" w:color="auto"/>
              <w:right w:val="single" w:sz="6" w:space="0" w:color="auto"/>
            </w:tcBorders>
            <w:vAlign w:val="center"/>
            <w:hideMark/>
          </w:tcPr>
          <w:p>
            <w:pPr>
              <w:spacing w:beforeLines="20" w:before="48" w:afterLines="20" w:after="48" w:line="256" w:lineRule="auto"/>
              <w:ind w:left="984"/>
              <w:jc w:val="left"/>
              <w:rPr>
                <w:noProof/>
                <w:sz w:val="16"/>
                <w:szCs w:val="16"/>
              </w:rPr>
            </w:pPr>
            <w:r>
              <w:rPr>
                <w:noProof/>
                <w:sz w:val="16"/>
              </w:rPr>
              <w:t>Други бюджетни редове (да се посочат)</w:t>
            </w:r>
          </w:p>
        </w:tc>
        <w:tc>
          <w:tcPr>
            <w:tcW w:w="34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c>
          <w:tcPr>
            <w:tcW w:w="481"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c>
          <w:tcPr>
            <w:tcW w:w="479"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c>
          <w:tcPr>
            <w:tcW w:w="476" w:type="pct"/>
            <w:gridSpan w:val="2"/>
            <w:tcBorders>
              <w:top w:val="single" w:sz="6" w:space="0" w:color="auto"/>
              <w:left w:val="single" w:sz="6" w:space="0" w:color="auto"/>
              <w:bottom w:val="double" w:sz="4" w:space="0" w:color="auto"/>
              <w:right w:val="single" w:sz="6" w:space="0" w:color="auto"/>
            </w:tcBorders>
          </w:tcPr>
          <w:p>
            <w:pPr>
              <w:spacing w:beforeLines="20" w:before="48" w:afterLines="20" w:after="48" w:line="256" w:lineRule="auto"/>
              <w:jc w:val="center"/>
              <w:rPr>
                <w:noProof/>
                <w:sz w:val="16"/>
                <w:szCs w:val="16"/>
              </w:rPr>
            </w:pPr>
          </w:p>
        </w:tc>
        <w:tc>
          <w:tcPr>
            <w:tcW w:w="54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56" w:lineRule="auto"/>
              <w:jc w:val="center"/>
              <w:rPr>
                <w:noProof/>
                <w:sz w:val="16"/>
                <w:szCs w:val="16"/>
              </w:rPr>
            </w:pPr>
          </w:p>
        </w:tc>
      </w:tr>
      <w:tr>
        <w:trPr>
          <w:trHeight w:val="289"/>
          <w:jc w:val="center"/>
        </w:trPr>
        <w:tc>
          <w:tcPr>
            <w:tcW w:w="2196"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ind w:left="986"/>
              <w:jc w:val="left"/>
              <w:rPr>
                <w:noProof/>
                <w:sz w:val="16"/>
                <w:szCs w:val="16"/>
              </w:rPr>
            </w:pPr>
            <w:r>
              <w:rPr>
                <w:b/>
                <w:noProof/>
                <w:sz w:val="16"/>
              </w:rPr>
              <w:t>ОБЩО</w:t>
            </w:r>
          </w:p>
        </w:tc>
        <w:tc>
          <w:tcPr>
            <w:tcW w:w="34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0,1</w:t>
            </w:r>
          </w:p>
        </w:tc>
        <w:tc>
          <w:tcPr>
            <w:tcW w:w="479"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0,5</w:t>
            </w:r>
          </w:p>
        </w:tc>
        <w:tc>
          <w:tcPr>
            <w:tcW w:w="481"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0,5</w:t>
            </w:r>
          </w:p>
        </w:tc>
        <w:tc>
          <w:tcPr>
            <w:tcW w:w="479"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0,5</w:t>
            </w:r>
          </w:p>
        </w:tc>
        <w:tc>
          <w:tcPr>
            <w:tcW w:w="476" w:type="pct"/>
            <w:gridSpan w:val="2"/>
            <w:tcBorders>
              <w:top w:val="double" w:sz="4" w:space="0" w:color="auto"/>
              <w:left w:val="single" w:sz="6" w:space="0" w:color="auto"/>
              <w:bottom w:val="single" w:sz="6" w:space="0" w:color="auto"/>
              <w:right w:val="single" w:sz="6" w:space="0" w:color="auto"/>
            </w:tcBorders>
            <w:hideMark/>
          </w:tcPr>
          <w:p>
            <w:pPr>
              <w:spacing w:beforeLines="20" w:before="48" w:afterLines="20" w:after="48" w:line="256" w:lineRule="auto"/>
              <w:jc w:val="center"/>
              <w:rPr>
                <w:b/>
                <w:noProof/>
                <w:sz w:val="16"/>
                <w:szCs w:val="16"/>
              </w:rPr>
            </w:pPr>
            <w:r>
              <w:rPr>
                <w:noProof/>
                <w:sz w:val="16"/>
                <w:szCs w:val="16"/>
              </w:rPr>
              <w:t>0,5</w:t>
            </w:r>
          </w:p>
        </w:tc>
        <w:tc>
          <w:tcPr>
            <w:tcW w:w="54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56" w:lineRule="auto"/>
              <w:jc w:val="center"/>
              <w:rPr>
                <w:b/>
                <w:noProof/>
                <w:sz w:val="16"/>
                <w:szCs w:val="16"/>
              </w:rPr>
            </w:pPr>
            <w:r>
              <w:rPr>
                <w:noProof/>
                <w:sz w:val="16"/>
                <w:szCs w:val="16"/>
              </w:rPr>
              <w:t>0,4</w:t>
            </w: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spacing w:line="256" w:lineRule="auto"/>
              <w:rPr>
                <w:noProof/>
                <w:sz w:val="20"/>
              </w:rPr>
            </w:pPr>
            <w:r>
              <w:rPr>
                <w:noProof/>
                <w:sz w:val="20"/>
              </w:rPr>
              <w:t>Подготовката и управлението на заседанията на съвместния комитет, създаден с член 6, буква а) от Споразумението, както и последващия контрол на функционирането и прилагането на Споразумението.</w:t>
            </w:r>
          </w:p>
          <w:p>
            <w:pPr>
              <w:rPr>
                <w:noProof/>
                <w:sz w:val="20"/>
              </w:rPr>
            </w:pPr>
            <w:r>
              <w:rPr>
                <w:noProof/>
                <w:sz w:val="20"/>
              </w:rPr>
              <w:t>Изчисленията се извършват пропорционално на продължителността на Споразумението.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footnotePr>
            <w:numRestart w:val="eachSect"/>
          </w:footnote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Многогодишната финансова рамка за периода 2021—2027 г. все още предстои да бъде приета от Европейския парламент и от Съвета.</w:t>
      </w:r>
    </w:p>
    <w:p>
      <w:pPr>
        <w:pStyle w:val="ManualHeading3"/>
        <w:rPr>
          <w:bCs/>
          <w:noProof/>
          <w:szCs w:val="24"/>
        </w:rPr>
      </w:pPr>
      <w:r>
        <w:t>3.2.5.</w:t>
      </w:r>
      <w:r>
        <w:tab/>
      </w:r>
      <w:r>
        <w:rPr>
          <w:noProof/>
        </w:rPr>
        <w:t>Участие на трети страни във финансирането</w:t>
      </w:r>
    </w:p>
    <w:p>
      <w:pPr>
        <w:pStyle w:val="ListDash1"/>
        <w:rPr>
          <w:noProof/>
        </w:rPr>
      </w:pPr>
      <w:r>
        <w:rPr>
          <w:noProof/>
        </w:rPr>
        <w:t>Предложението/инициативата не предвижда съфинансиране от трети страни.</w:t>
      </w:r>
    </w:p>
    <w:p>
      <w:pPr>
        <w:pStyle w:val="ListDash1"/>
        <w:rPr>
          <w:noProof/>
        </w:rPr>
      </w:pP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b/>
                <w:noProof/>
                <w:sz w:val="20"/>
              </w:rPr>
              <w:t>Година N</w:t>
            </w:r>
          </w:p>
        </w:tc>
        <w:tc>
          <w:tcPr>
            <w:tcW w:w="964" w:type="dxa"/>
            <w:vAlign w:val="center"/>
          </w:tcPr>
          <w:p>
            <w:pPr>
              <w:jc w:val="center"/>
              <w:rPr>
                <w:noProof/>
                <w:sz w:val="20"/>
              </w:rPr>
            </w:pPr>
            <w:r>
              <w:rPr>
                <w:b/>
                <w:noProof/>
                <w:sz w:val="20"/>
              </w:rPr>
              <w:t>Година N+1</w:t>
            </w:r>
          </w:p>
        </w:tc>
        <w:tc>
          <w:tcPr>
            <w:tcW w:w="964" w:type="dxa"/>
            <w:vAlign w:val="center"/>
          </w:tcPr>
          <w:p>
            <w:pPr>
              <w:jc w:val="center"/>
              <w:rPr>
                <w:noProof/>
                <w:sz w:val="20"/>
              </w:rPr>
            </w:pPr>
            <w:r>
              <w:rPr>
                <w:b/>
                <w:noProof/>
                <w:sz w:val="20"/>
              </w:rPr>
              <w:t>Година N+2</w:t>
            </w:r>
          </w:p>
        </w:tc>
        <w:tc>
          <w:tcPr>
            <w:tcW w:w="964" w:type="dxa"/>
            <w:vAlign w:val="center"/>
          </w:tcPr>
          <w:p>
            <w:pPr>
              <w:jc w:val="center"/>
              <w:rPr>
                <w:noProof/>
                <w:sz w:val="20"/>
              </w:rPr>
            </w:pPr>
            <w:r>
              <w:rPr>
                <w:b/>
                <w:noProof/>
                <w:sz w:val="20"/>
              </w:rPr>
              <w:t>Година 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ОБЩО съфинансирани бюджетни кредити</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Очаквано отражение върху приходите</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върху собствените ресурси</w:t>
      </w:r>
    </w:p>
    <w:p>
      <w:pPr>
        <w:pStyle w:val="ListNumberLevel3"/>
        <w:rPr>
          <w:noProof/>
        </w:rPr>
      </w:pPr>
      <w:r>
        <w:rPr>
          <w:noProof/>
        </w:rPr>
        <w:sym w:font="Wingdings" w:char="F0A8"/>
      </w:r>
      <w:r>
        <w:rPr>
          <w:noProof/>
        </w:rPr>
        <w:tab/>
        <w:t>върху другите приходи</w:t>
      </w:r>
    </w:p>
    <w:p>
      <w:pPr>
        <w:jc w:val="right"/>
        <w:rPr>
          <w:i/>
          <w:noProof/>
          <w:sz w:val="20"/>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b/>
                <w:noProof/>
                <w:sz w:val="18"/>
              </w:rPr>
              <w:t>Година N</w:t>
            </w:r>
          </w:p>
        </w:tc>
        <w:tc>
          <w:tcPr>
            <w:tcW w:w="900" w:type="dxa"/>
            <w:vAlign w:val="center"/>
          </w:tcPr>
          <w:p>
            <w:pPr>
              <w:jc w:val="center"/>
              <w:rPr>
                <w:noProof/>
                <w:sz w:val="18"/>
              </w:rPr>
            </w:pPr>
            <w:r>
              <w:rPr>
                <w:b/>
                <w:noProof/>
                <w:sz w:val="18"/>
              </w:rPr>
              <w:t>Година N+1</w:t>
            </w:r>
          </w:p>
        </w:tc>
        <w:tc>
          <w:tcPr>
            <w:tcW w:w="900" w:type="dxa"/>
            <w:vAlign w:val="center"/>
          </w:tcPr>
          <w:p>
            <w:pPr>
              <w:jc w:val="center"/>
              <w:rPr>
                <w:noProof/>
                <w:sz w:val="18"/>
              </w:rPr>
            </w:pPr>
            <w:r>
              <w:rPr>
                <w:b/>
                <w:noProof/>
                <w:sz w:val="18"/>
              </w:rPr>
              <w:t>Година N+2</w:t>
            </w:r>
          </w:p>
        </w:tc>
        <w:tc>
          <w:tcPr>
            <w:tcW w:w="1080" w:type="dxa"/>
            <w:vAlign w:val="center"/>
          </w:tcPr>
          <w:p>
            <w:pPr>
              <w:jc w:val="center"/>
              <w:rPr>
                <w:noProof/>
                <w:sz w:val="18"/>
              </w:rPr>
            </w:pPr>
            <w:r>
              <w:rPr>
                <w:b/>
                <w:noProof/>
                <w:sz w:val="18"/>
              </w:rPr>
              <w:t>Година 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другите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FF0000"/>
          <w:highlight w:val="yellow"/>
        </w:rPr>
      </w:pPr>
      <w:r>
        <w:rPr>
          <w:rStyle w:val="FootnoteReference"/>
        </w:rPr>
        <w:footnoteRef/>
      </w:r>
      <w:r>
        <w:tab/>
        <w:t>ОВ L 036, 12.2.2003 г., стр. 32.</w:t>
      </w:r>
    </w:p>
  </w:footnote>
  <w:footnote w:id="2">
    <w:p>
      <w:pPr>
        <w:pStyle w:val="FootnoteText"/>
      </w:pPr>
      <w:r>
        <w:rPr>
          <w:rStyle w:val="FootnoteReference"/>
        </w:rPr>
        <w:footnoteRef/>
      </w:r>
      <w:r>
        <w:tab/>
        <w:t xml:space="preserve">Решение 2011/182/ЕС на Съвета от 9 март 2011 г. за подновяване на Споразумението за научно и технологично сътрудничество между Европейската общност и Украйна (ОВ L 79, 25.3.2011 г., стр. 3). </w:t>
      </w:r>
    </w:p>
  </w:footnote>
  <w:footnote w:id="3">
    <w:p>
      <w:pPr>
        <w:pStyle w:val="FootnoteText"/>
      </w:pPr>
      <w:r>
        <w:rPr>
          <w:rStyle w:val="FootnoteReference"/>
        </w:rPr>
        <w:footnoteRef/>
      </w:r>
      <w:r>
        <w:tab/>
        <w:t>Решение (EC) 2015/344 на Съвета за подновяване на Споразумението за сътрудничество в областта на науката и технологията между Европейската общност и Украйна (ОВ L 60, 4.3.2015 г., стр. 37).</w:t>
      </w:r>
    </w:p>
  </w:footnote>
  <w:footnote w:id="4">
    <w:p>
      <w:pPr>
        <w:pStyle w:val="FootnoteText"/>
      </w:pPr>
      <w:r>
        <w:rPr>
          <w:rStyle w:val="FootnoteReference"/>
        </w:rPr>
        <w:footnoteRef/>
      </w:r>
      <w:r>
        <w:tab/>
        <w:t xml:space="preserve">Подобряване и фокусиране на международното сътрудничество на ЕС в областта на научните изследвания и иновациите: стратегически подход, COM(2012) 497. </w:t>
      </w:r>
    </w:p>
  </w:footnote>
  <w:footnote w:id="5">
    <w:p>
      <w:pPr>
        <w:pStyle w:val="FootnoteText"/>
      </w:pPr>
      <w:r>
        <w:rPr>
          <w:rStyle w:val="FootnoteReference"/>
        </w:rPr>
        <w:footnoteRef/>
      </w:r>
      <w:r>
        <w:tab/>
        <w:t>OВ C ,  г., стр. .</w:t>
      </w:r>
    </w:p>
  </w:footnote>
  <w:footnote w:id="6">
    <w:p>
      <w:pPr>
        <w:pStyle w:val="FootnoteText"/>
        <w:jc w:val="left"/>
        <w:rPr>
          <w:sz w:val="24"/>
          <w:szCs w:val="24"/>
        </w:rPr>
      </w:pPr>
      <w:r>
        <w:rPr>
          <w:rStyle w:val="FootnoteReference"/>
        </w:rPr>
        <w:footnoteRef/>
      </w:r>
      <w:r>
        <w:tab/>
        <w:t>Решение 2003/96/EО на Съвета от 6 февруари 2003 г. за сключване на Споразумение за научно и технологично сътрудничество между Европейската общност и Украйна (ОВ L 36, 12.2.2003 г., стр. 31).</w:t>
      </w:r>
    </w:p>
  </w:footnote>
  <w:footnote w:id="7">
    <w:p>
      <w:pPr>
        <w:pStyle w:val="FootnoteText"/>
        <w:jc w:val="left"/>
        <w:rPr>
          <w:sz w:val="24"/>
          <w:szCs w:val="24"/>
        </w:rPr>
      </w:pPr>
      <w:r>
        <w:rPr>
          <w:rStyle w:val="FootnoteReference"/>
        </w:rPr>
        <w:footnoteRef/>
      </w:r>
      <w:r>
        <w:tab/>
        <w:t>Споразумение за сътрудничество в областта на науката и технологията между Европейската общност и Украйна (ОВ L 36, 12.2.2003 г., стр. 32).</w:t>
      </w:r>
    </w:p>
  </w:footnote>
  <w:footnote w:id="8">
    <w:p>
      <w:pPr>
        <w:pStyle w:val="FootnoteText"/>
        <w:jc w:val="left"/>
        <w:rPr>
          <w:sz w:val="24"/>
          <w:szCs w:val="24"/>
        </w:rPr>
      </w:pPr>
      <w:r>
        <w:rPr>
          <w:rStyle w:val="FootnoteReference"/>
        </w:rPr>
        <w:footnoteRef/>
      </w:r>
      <w:r>
        <w:tab/>
        <w:t>Решение 2011/182/ЕС на Съвета от 9 март 2011 г. за подновяване на Споразумението за научно и технологично сътрудничество между Европейската общност и Украйна (ОВ L 79, 25.3.2011 г., стр. 3).</w:t>
      </w:r>
    </w:p>
  </w:footnote>
  <w:footnote w:id="9">
    <w:p>
      <w:pPr>
        <w:pStyle w:val="FootnoteText"/>
        <w:jc w:val="left"/>
        <w:rPr>
          <w:sz w:val="24"/>
          <w:szCs w:val="24"/>
        </w:rPr>
      </w:pPr>
      <w:r>
        <w:rPr>
          <w:rStyle w:val="FootnoteReference"/>
        </w:rPr>
        <w:footnoteRef/>
      </w:r>
      <w:r>
        <w:tab/>
        <w:t>Решение (EC) 2015/344 на Съвета от 17 февруари 2015 г. за подновяване на Споразумението за сътрудничество в областта на науката и технологията между Европейската общност и Украйна (ОВ L 60, 4.3.2015 г., стр. 37).</w:t>
      </w:r>
    </w:p>
  </w:footnote>
  <w:footnote w:id="10">
    <w:p>
      <w:pPr>
        <w:pStyle w:val="FootnoteText"/>
        <w:rPr>
          <w:szCs w:val="24"/>
        </w:rPr>
      </w:pPr>
      <w:r>
        <w:rPr>
          <w:rStyle w:val="FootnoteReference"/>
        </w:rPr>
        <w:footnoteRef/>
      </w:r>
      <w:r>
        <w:tab/>
        <w:t>УД: управление по дейности; БД: бюджетиране по дейности.</w:t>
      </w:r>
    </w:p>
  </w:footnote>
  <w:footnote w:id="11">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2">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sz w:val="18"/>
          </w:rPr>
          <w:t>http://www.cc.cec/budg/man/budgmanag/budgmanag_bg.html</w:t>
        </w:r>
      </w:hyperlink>
    </w:p>
  </w:footnote>
  <w:footnote w:id="1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4">
    <w:p>
      <w:pPr>
        <w:pStyle w:val="FootnoteText"/>
        <w:rPr>
          <w:szCs w:val="24"/>
        </w:rPr>
      </w:pPr>
      <w:r>
        <w:rPr>
          <w:rStyle w:val="FootnoteReference"/>
        </w:rPr>
        <w:footnoteRef/>
      </w:r>
      <w:r>
        <w:tab/>
        <w:t xml:space="preserve">ЕАСТ: Европейска асоциация за свободна търговия. </w:t>
      </w:r>
    </w:p>
  </w:footnote>
  <w:footnote w:id="15">
    <w:p>
      <w:pPr>
        <w:pStyle w:val="FootnoteText"/>
        <w:rPr>
          <w:szCs w:val="24"/>
        </w:rPr>
      </w:pPr>
      <w:r>
        <w:rPr>
          <w:rStyle w:val="FootnoteReference"/>
        </w:rPr>
        <w:footnoteRef/>
      </w:r>
      <w:r>
        <w:tab/>
        <w:t>Държави кандидатки и, ако е приложимо, потенциални държави кандидатки от Западните Балкани.</w:t>
      </w:r>
    </w:p>
  </w:footnote>
  <w:footnote w:id="16">
    <w:p>
      <w:pPr>
        <w:pStyle w:val="FootnoteText"/>
        <w:rPr>
          <w:szCs w:val="24"/>
        </w:rPr>
      </w:pPr>
      <w:r>
        <w:rPr>
          <w:rStyle w:val="FootnoteReference"/>
        </w:rPr>
        <w:footnoteRef/>
      </w:r>
      <w:r>
        <w:tab/>
        <w:t>2019 година е годината, през която започва да се осъществява предложението/инициативата. Сумите за 2019 г. и 2024 г. отговарят съответно на два месеца и на десет месеца.</w:t>
      </w:r>
    </w:p>
  </w:footnote>
  <w:footnote w:id="1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18">
    <w:p>
      <w:pPr>
        <w:pStyle w:val="FootnoteText"/>
        <w:rPr>
          <w:szCs w:val="24"/>
        </w:rPr>
      </w:pPr>
      <w:r>
        <w:rPr>
          <w:rStyle w:val="FootnoteReference"/>
        </w:rPr>
        <w:footnoteRef/>
      </w:r>
      <w:r>
        <w:tab/>
        <w:t>2019 година е годината, през която започва да се осъществява предложението/инициативата. Сумите за 2019 г. и 2024 г. отговарят съответно на два месеца и на десет месеца.</w:t>
      </w:r>
    </w:p>
  </w:footnote>
  <w:footnote w:id="1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0">
    <w:p>
      <w:pPr>
        <w:pStyle w:val="FootnoteText"/>
        <w:rPr>
          <w:szCs w:val="24"/>
        </w:rPr>
      </w:pPr>
      <w:r>
        <w:rPr>
          <w:rStyle w:val="FootnoteReference"/>
        </w:rPr>
        <w:footnoteRef/>
      </w:r>
      <w:r>
        <w:tab/>
        <w:t xml:space="preserve">Съгласно описанието в точка 1.4.2. „Конкретни цели...“ </w:t>
      </w:r>
    </w:p>
  </w:footnote>
  <w:footnote w:id="21">
    <w:p>
      <w:pPr>
        <w:pStyle w:val="FootnoteText"/>
        <w:rPr>
          <w:szCs w:val="24"/>
        </w:rPr>
      </w:pPr>
      <w:r>
        <w:rPr>
          <w:rStyle w:val="FootnoteReference"/>
        </w:rPr>
        <w:footnoteRef/>
      </w:r>
      <w:r>
        <w:tab/>
        <w:t>2019 година е годината, през която започва да се осъществява предложението/инициативата. Сумите за 2019 г. и 2024 г. отговарят съответно на два месеца и на десет месеца.</w:t>
      </w:r>
    </w:p>
  </w:footnote>
  <w:footnote w:id="2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2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 w:numId="32">
    <w:abstractNumId w:val="21"/>
  </w:num>
  <w:num w:numId="33">
    <w:abstractNumId w:val="11"/>
  </w:num>
  <w:num w:numId="34">
    <w:abstractNumId w:val="24"/>
  </w:num>
  <w:num w:numId="35">
    <w:abstractNumId w:val="6"/>
  </w:num>
  <w:num w:numId="36">
    <w:abstractNumId w:val="12"/>
  </w:num>
  <w:num w:numId="37">
    <w:abstractNumId w:val="4"/>
  </w:num>
  <w:num w:numId="38">
    <w:abstractNumId w:val="23"/>
  </w:num>
  <w:num w:numId="39">
    <w:abstractNumId w:val="3"/>
  </w:num>
  <w:num w:numId="40">
    <w:abstractNumId w:val="13"/>
  </w:num>
  <w:num w:numId="41">
    <w:abstractNumId w:val="19"/>
  </w:num>
  <w:num w:numId="42">
    <w:abstractNumId w:val="20"/>
  </w:num>
  <w:num w:numId="43">
    <w:abstractNumId w:val="5"/>
  </w:num>
  <w:num w:numId="44">
    <w:abstractNumId w:val="17"/>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23 15:44: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45B6A7C-EB91-4EFB-BD9C-BD0C143BBC67"/>
    <w:docVar w:name="LW_COVERPAGE_TYPE" w:val="1"/>
    <w:docVar w:name="LW_CROSSREFERENCE" w:val="&lt;UNUSED&gt;"/>
    <w:docVar w:name="LW_DocType" w:val="COM"/>
    <w:docVar w:name="LW_EMISSION" w:val="30.1.2020"/>
    <w:docVar w:name="LW_EMISSION_ISODATE" w:val="2020-01-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6"/>
    <w:docVar w:name="LW_REF.II.NEW.CP_YEAR" w:val="2020"/>
    <w:docVar w:name="LW_REF.INST.NEW" w:val="COM"/>
    <w:docVar w:name="LW_REF.INST.NEW_ADOPTED" w:val="final"/>
    <w:docVar w:name="LW_REF.INST.NEW_TEXT" w:val="(2020)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5?\u1086?\u1074?\u1103?\u1074?\u1072?\u1085?\u1077? \u1085?\u1072? \u1057?\u1087?\u1086?\u1088?\u1072?\u1079?\u1091?\u1084?\u1077?\u1085?\u1080?\u1077?\u1090?\u1086? \u1079?\u1072? \u1089?\u1098?\u1090?\u1088?\u1091?\u1076?\u1085?\u1080?\u1095?\u1077?\u1089?\u1090?\u1074?\u1086? \u1074? \u1086?\u1073?\u1083?\u1072?\u1089?\u1090?\u1090?\u1072? \u1085?\u1072? \u1085?\u1072?\u1091?\u1082?\u1072?\u1090?\u1072? \u1080? \u1090?\u1077?\u1093?\u1085?\u1086?\u1083?\u1086?\u1075?\u1080?\u1103?\u1090?\u1072? \u1084?\u1077?\u1078?\u1076?\u1091? \u1045?\u1074?\u1088?\u1086?\u1087?\u1077?\u1081?\u1089?\u1082?\u1072?\u1090?\u1072? \u1086?\u1073?\u1097?\u1085?\u1086?\u1089?\u1090? \u1080? \u1059?\u1082?\u1088?\u1072?\u1081?\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3AA0-597C-4B82-BB5F-5FA0EB29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23</Pages>
  <Words>4154</Words>
  <Characters>24722</Characters>
  <Application>Microsoft Office Word</Application>
  <DocSecurity>0</DocSecurity>
  <Lines>1373</Lines>
  <Paragraphs>641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2019-12-09T15:52:00Z</cp:lastPrinted>
  <dcterms:created xsi:type="dcterms:W3CDTF">2020-01-16T11:44:00Z</dcterms:created>
  <dcterms:modified xsi:type="dcterms:W3CDTF">2020-01-23T14:44:00Z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