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A23DD5D-D7B7-4A4E-B51D-994535808234" style="width:450.75pt;height:352.1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240"/>
        <w:rPr>
          <w:rFonts w:eastAsia="Times New Roman"/>
          <w:noProof/>
          <w:szCs w:val="20"/>
        </w:rPr>
      </w:pPr>
      <w:r>
        <w:rPr>
          <w:rFonts w:eastAsia="Times New Roman"/>
          <w:noProof/>
          <w:szCs w:val="20"/>
        </w:rPr>
        <w:t>The ‘Agreement on cooperation in science and technology between the European Community and Ukraine’</w:t>
      </w:r>
      <w:r>
        <w:rPr>
          <w:rStyle w:val="FootnoteReference"/>
          <w:noProof/>
        </w:rPr>
        <w:footnoteReference w:id="1"/>
      </w:r>
      <w:r>
        <w:rPr>
          <w:rFonts w:eastAsia="Times New Roman"/>
          <w:noProof/>
          <w:szCs w:val="20"/>
          <w:vertAlign w:val="superscript"/>
        </w:rPr>
        <w:t xml:space="preserve"> </w:t>
      </w:r>
      <w:r>
        <w:rPr>
          <w:rFonts w:eastAsia="Times New Roman"/>
          <w:noProof/>
          <w:szCs w:val="20"/>
        </w:rPr>
        <w:t>(‘the Agreement’) was signed in Copenhagen on 4 July 2002 and was concluded for an initial period ending 31 December 2002. Point (b) of Article 12 of the Agreement provides for a possibility of renewal by common agreement between the Parties for additional periods of five years. The Agreement has been renewed two times in 2011</w:t>
      </w:r>
      <w:r>
        <w:rPr>
          <w:rStyle w:val="FootnoteReference"/>
          <w:noProof/>
        </w:rPr>
        <w:footnoteReference w:id="2"/>
      </w:r>
      <w:r>
        <w:rPr>
          <w:rFonts w:eastAsia="Times New Roman"/>
          <w:noProof/>
          <w:szCs w:val="20"/>
        </w:rPr>
        <w:t xml:space="preserve"> and 2014</w:t>
      </w:r>
      <w:r>
        <w:rPr>
          <w:rStyle w:val="FootnoteReference"/>
          <w:noProof/>
        </w:rPr>
        <w:footnoteReference w:id="3"/>
      </w:r>
      <w:r>
        <w:rPr>
          <w:rFonts w:eastAsia="Times New Roman"/>
          <w:noProof/>
          <w:szCs w:val="20"/>
        </w:rPr>
        <w:t xml:space="preserve">. </w:t>
      </w:r>
    </w:p>
    <w:p>
      <w:pPr>
        <w:spacing w:before="0" w:after="240"/>
        <w:rPr>
          <w:rFonts w:eastAsia="Times New Roman"/>
          <w:noProof/>
          <w:szCs w:val="20"/>
        </w:rPr>
      </w:pPr>
      <w:r>
        <w:rPr>
          <w:rFonts w:eastAsia="Times New Roman"/>
          <w:noProof/>
          <w:szCs w:val="20"/>
        </w:rPr>
        <w:t>The Agreement expired on 7 November 2019.</w:t>
      </w:r>
    </w:p>
    <w:p>
      <w:pPr>
        <w:spacing w:before="0" w:after="240"/>
        <w:rPr>
          <w:rFonts w:eastAsia="Times New Roman"/>
          <w:noProof/>
          <w:szCs w:val="20"/>
        </w:rPr>
      </w:pPr>
      <w:r>
        <w:rPr>
          <w:noProof/>
        </w:rPr>
        <w:t>The renewal of the Agreement for an additional period of five years is in the mutual interest of both Parties to the Agreement in order to continue facilitating cooperation between EU and Ukraine in common science and technology (S&amp;T) priority areas leading to mutual benefits.</w:t>
      </w:r>
    </w:p>
    <w:p>
      <w:pPr>
        <w:spacing w:after="240"/>
        <w:rPr>
          <w:noProof/>
          <w:color w:val="010202"/>
          <w:szCs w:val="24"/>
        </w:rPr>
      </w:pPr>
      <w:r>
        <w:rPr>
          <w:noProof/>
        </w:rPr>
        <w:t>Ukraine has a long tradition of science and technology excellence and despite the difficulties of the last years, the country has still first class science and scientists, and is</w:t>
      </w:r>
      <w:r>
        <w:rPr>
          <w:noProof/>
          <w:color w:val="010202"/>
          <w:szCs w:val="24"/>
        </w:rPr>
        <w:t xml:space="preserve"> an important s</w:t>
      </w:r>
      <w:r>
        <w:rPr>
          <w:noProof/>
        </w:rPr>
        <w:t xml:space="preserve">cience, technology and innovation (STI) </w:t>
      </w:r>
      <w:r>
        <w:rPr>
          <w:noProof/>
          <w:color w:val="010202"/>
          <w:szCs w:val="24"/>
        </w:rPr>
        <w:t xml:space="preserve">actor in the neighbourhood of the Union. Cooperation between the Union and Ukraine has traditionally been very active notably in the fields of advanced/new materials, IT-technology, physics and astronomy, engeering, agricultural technology, nanotechnology, biotechnology and their applications across various sectors such as aviation, energy, and biomedicine, in particular immunotherapies for cancer. </w:t>
      </w:r>
    </w:p>
    <w:p>
      <w:pPr>
        <w:spacing w:before="0" w:after="240"/>
        <w:rPr>
          <w:noProof/>
        </w:rPr>
      </w:pPr>
      <w:r>
        <w:rPr>
          <w:noProof/>
        </w:rPr>
        <w:t>At the meeting of the EU-Ukraine Joint Science and Technology Cooperation Committee, established under the Agreement, held in Kyiv on 29 January 2019, both Parties took note of their intention to renew the Agreement for an additional period of five years, recognising the progress made to enhance EU-Ukraine cooperation in research and innovation. The Government of Ukraine has already started the renewal process on their side.</w:t>
      </w:r>
    </w:p>
    <w:p>
      <w:pPr>
        <w:pBdr>
          <w:top w:val="nil"/>
          <w:left w:val="nil"/>
          <w:bottom w:val="nil"/>
          <w:right w:val="nil"/>
          <w:between w:val="nil"/>
          <w:bar w:val="nil"/>
        </w:pBdr>
        <w:spacing w:before="0" w:after="240"/>
        <w:rPr>
          <w:rFonts w:eastAsia="Arial Unicode MS"/>
          <w:noProof/>
        </w:rPr>
      </w:pPr>
      <w:r>
        <w:rPr>
          <w:noProof/>
        </w:rPr>
        <w:t>The substance of the renewed Agreement will be identical to that of the content of the current Agreement. The renewed Agreement will not create new or additional rights and obligations for either of the Parties, but instead it will extend in time the legal regime already existing between the Parties in the field of S&amp;T cooperation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szCs w:val="24"/>
        </w:rPr>
      </w:pPr>
      <w:r>
        <w:rPr>
          <w:noProof/>
          <w:szCs w:val="24"/>
        </w:rPr>
        <w:t>This initiative is fully in line with with the EU’s international cooperation strategy for research and innovation</w:t>
      </w:r>
      <w:r>
        <w:rPr>
          <w:rStyle w:val="FootnoteReference"/>
          <w:noProof/>
          <w:szCs w:val="24"/>
        </w:rPr>
        <w:footnoteReference w:id="4"/>
      </w:r>
      <w:r>
        <w:rPr>
          <w:noProof/>
          <w:szCs w:val="24"/>
        </w:rPr>
        <w:t xml:space="preserve">, in addition, with the international outreach of the previous and the new Commission, whereby Ukraine is a strategic partner of the EU in research and innovation. </w:t>
      </w:r>
    </w:p>
    <w:p>
      <w:pPr>
        <w:pBdr>
          <w:top w:val="nil"/>
          <w:left w:val="nil"/>
          <w:bottom w:val="nil"/>
          <w:right w:val="nil"/>
          <w:between w:val="nil"/>
          <w:bar w:val="nil"/>
        </w:pBdr>
        <w:spacing w:before="0" w:after="240"/>
        <w:rPr>
          <w:noProof/>
          <w:szCs w:val="24"/>
        </w:rPr>
      </w:pPr>
      <w:r>
        <w:rPr>
          <w:noProof/>
          <w:szCs w:val="24"/>
        </w:rPr>
        <w:lastRenderedPageBreak/>
        <w:t>The Agreement is also a means of implementing the EU’s international cooperation strategy for research and innovation, which calls for more internationalisation and openness in the EU’s research and innovation landscape.</w:t>
      </w:r>
    </w:p>
    <w:p>
      <w:pPr>
        <w:pBdr>
          <w:top w:val="nil"/>
          <w:left w:val="nil"/>
          <w:bottom w:val="nil"/>
          <w:right w:val="nil"/>
          <w:between w:val="nil"/>
          <w:bar w:val="nil"/>
        </w:pBdr>
        <w:spacing w:before="0" w:after="240"/>
        <w:rPr>
          <w:noProof/>
        </w:rPr>
      </w:pPr>
      <w:r>
        <w:rPr>
          <w:noProof/>
        </w:rPr>
        <w:t>This Agreement is complementary to the Horizon 2020 Association Agreement, which focuses specifically on terms and conditions of Ukrainian participation in the Horizon 2020 Programme. The renewal of this S&amp;T Agreement would allow to keep the general overarching legal framework for bilateral STI cooperation and would send an important political signal about the importance, which the EU attaches to cooperation with Ukraine on STI.</w:t>
      </w:r>
    </w:p>
    <w:p>
      <w:pPr>
        <w:pBdr>
          <w:top w:val="nil"/>
          <w:left w:val="nil"/>
          <w:bottom w:val="nil"/>
          <w:right w:val="nil"/>
          <w:between w:val="nil"/>
          <w:bar w:val="nil"/>
        </w:pBdr>
        <w:spacing w:before="0" w:after="24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szCs w:val="24"/>
        </w:rPr>
      </w:pPr>
      <w:r>
        <w:rPr>
          <w:noProof/>
          <w:szCs w:val="24"/>
        </w:rPr>
        <w:t>The EU’s global strategy for the EU’s foreign and security policy confirms that research cooperation is an important aspect of EU foreign policy and sees research cooperation as an essential element of stronger socioeconomic ties.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szCs w:val="24"/>
        </w:rPr>
        <w:t>The EU’s power to act internationally in research and technological development is based on Article 186 TFEU. The procedural legal basis for the proposal is point (a)(v) of the second subparagraph of Article 218(6)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szCs w:val="24"/>
        </w:rPr>
      </w:pPr>
      <w:r>
        <w:rPr>
          <w:noProof/>
          <w:szCs w:val="24"/>
        </w:rPr>
        <w:t>The EU and its Members States have parallel competence in the area of research and technological development in accordance with Article 4(3) TFEU. Therefore EU's action cannot be replaced by action of Member States.</w:t>
      </w:r>
    </w:p>
    <w:p>
      <w:pPr>
        <w:pStyle w:val="ManualHeading2"/>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szCs w:val="24"/>
        </w:rPr>
      </w:pPr>
      <w:r>
        <w:rPr>
          <w:noProof/>
          <w:szCs w:val="24"/>
        </w:rPr>
        <w:t xml:space="preserve">This initiative is not part of the REFIT agenda.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szCs w:val="24"/>
        </w:rPr>
        <w:t>Only human and administrative resources are required; these are set out in the legislative financial statement.</w:t>
      </w:r>
    </w:p>
    <w:p>
      <w:pPr>
        <w:pBdr>
          <w:top w:val="nil"/>
          <w:left w:val="nil"/>
          <w:bottom w:val="nil"/>
          <w:right w:val="nil"/>
          <w:between w:val="nil"/>
          <w:bar w:val="nil"/>
        </w:pBdr>
        <w:spacing w:before="0" w:after="240"/>
        <w:rPr>
          <w:noProof/>
          <w:szCs w:val="24"/>
        </w:rPr>
      </w:pPr>
      <w:r>
        <w:rPr>
          <w:noProof/>
          <w:szCs w:val="24"/>
        </w:rPr>
        <w:t xml:space="preserve">In the light of the above considerations, the Commission requests that the Council: </w:t>
      </w:r>
    </w:p>
    <w:p>
      <w:pPr>
        <w:pBdr>
          <w:top w:val="nil"/>
          <w:left w:val="nil"/>
          <w:bottom w:val="nil"/>
          <w:right w:val="nil"/>
          <w:between w:val="nil"/>
          <w:bar w:val="nil"/>
        </w:pBdr>
        <w:spacing w:before="0" w:after="240"/>
        <w:rPr>
          <w:rFonts w:eastAsia="Arial Unicode MS"/>
          <w:noProof/>
          <w:color w:val="008000"/>
          <w:szCs w:val="24"/>
        </w:rPr>
      </w:pPr>
      <w:r>
        <w:rPr>
          <w:noProof/>
          <w:szCs w:val="24"/>
        </w:rPr>
        <w:t>– approves, on behalf of the Union, and with the consent of the European Parliament, the renewal</w:t>
      </w:r>
      <w:r>
        <w:rPr>
          <w:rFonts w:eastAsia="Arial Unicode MS"/>
          <w:noProof/>
          <w:color w:val="008000"/>
          <w:szCs w:val="24"/>
        </w:rPr>
        <w:t xml:space="preserve"> </w:t>
      </w:r>
      <w:r>
        <w:rPr>
          <w:noProof/>
          <w:szCs w:val="24"/>
        </w:rPr>
        <w:t xml:space="preserve">of the Agreement on cooperation in science and technology between the European Community and Ukraine, for an additional period of five years (i.e., from </w:t>
      </w:r>
      <w:r>
        <w:rPr>
          <w:noProof/>
        </w:rPr>
        <w:t xml:space="preserve">09/11/2019 until 08/11/2024); and </w:t>
      </w:r>
    </w:p>
    <w:p>
      <w:pPr>
        <w:rPr>
          <w:noProof/>
          <w:szCs w:val="24"/>
        </w:rPr>
      </w:pPr>
      <w:r>
        <w:rPr>
          <w:noProof/>
          <w:szCs w:val="24"/>
        </w:rPr>
        <w:t>– authorises the President of the Council to designate the person(s) empowered to notify the Government of Ukraine that the Union has completed the internal procedures necessary for the entry into force of this renewed Agreement.</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2020/0016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renewal of the Agreement on cooperation in science and technology between the European Community and Ukraine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186 in conjunction with point (a)(v) of Article 218(6)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5"/>
      </w:r>
      <w:r>
        <w:rPr>
          <w:noProof/>
        </w:rPr>
        <w:t xml:space="preserve">, </w:t>
      </w:r>
    </w:p>
    <w:p>
      <w:pPr>
        <w:rPr>
          <w:noProof/>
        </w:rPr>
      </w:pPr>
      <w:r>
        <w:rPr>
          <w:noProof/>
        </w:rPr>
        <w:t>Whereas:</w:t>
      </w:r>
    </w:p>
    <w:p>
      <w:pPr>
        <w:pStyle w:val="ManualConsidrant"/>
        <w:rPr>
          <w:i/>
          <w:noProof/>
        </w:rPr>
      </w:pPr>
      <w:r>
        <w:t>(1)</w:t>
      </w:r>
      <w:r>
        <w:tab/>
      </w:r>
      <w:r>
        <w:rPr>
          <w:noProof/>
        </w:rPr>
        <w:t>By Decision 2003/96/EC</w:t>
      </w:r>
      <w:r>
        <w:rPr>
          <w:rStyle w:val="FootnoteReference"/>
          <w:noProof/>
        </w:rPr>
        <w:footnoteReference w:id="6"/>
      </w:r>
      <w:r>
        <w:rPr>
          <w:noProof/>
        </w:rPr>
        <w:t xml:space="preserve"> of 6 February 2003, the Council approved the conclusion of the Agreement on cooperation in science and technology between the European Community and Ukraine</w:t>
      </w:r>
      <w:r>
        <w:rPr>
          <w:rStyle w:val="FootnoteReference"/>
          <w:noProof/>
        </w:rPr>
        <w:footnoteReference w:id="7"/>
      </w:r>
      <w:r>
        <w:rPr>
          <w:noProof/>
        </w:rPr>
        <w:t xml:space="preserve"> (‘the Agreement’). </w:t>
      </w:r>
      <w:r>
        <w:rPr>
          <w:rFonts w:eastAsia="Times New Roman"/>
          <w:noProof/>
          <w:szCs w:val="20"/>
        </w:rPr>
        <w:t xml:space="preserve">The Agreement was signed in Copenhagen on 4 July 2002 and </w:t>
      </w:r>
      <w:r>
        <w:rPr>
          <w:noProof/>
        </w:rPr>
        <w:t xml:space="preserve">entered into force on 11 February 2003. </w:t>
      </w:r>
    </w:p>
    <w:p>
      <w:pPr>
        <w:pStyle w:val="ManualConsidrant"/>
        <w:rPr>
          <w:noProof/>
        </w:rPr>
      </w:pPr>
      <w:r>
        <w:t>(2)</w:t>
      </w:r>
      <w:r>
        <w:tab/>
      </w:r>
      <w:r>
        <w:rPr>
          <w:noProof/>
        </w:rPr>
        <w:t xml:space="preserve">Point (b) of Article 12 of the Agreement provided that the Agreement would be concluded for an initial period ending on 31 December 2002 and would be renewable by common agreement between the Union and Ukraine (‘the Parties’) for additional periods of five years. </w:t>
      </w:r>
    </w:p>
    <w:p>
      <w:pPr>
        <w:pStyle w:val="ManualConsidrant"/>
        <w:rPr>
          <w:noProof/>
        </w:rPr>
      </w:pPr>
      <w:r>
        <w:t>(3)</w:t>
      </w:r>
      <w:r>
        <w:tab/>
      </w:r>
      <w:r>
        <w:rPr>
          <w:noProof/>
        </w:rPr>
        <w:t>Based on Decisions 2011/182/EU</w:t>
      </w:r>
      <w:r>
        <w:rPr>
          <w:rStyle w:val="FootnoteReference"/>
          <w:noProof/>
        </w:rPr>
        <w:footnoteReference w:id="8"/>
      </w:r>
      <w:r>
        <w:rPr>
          <w:noProof/>
        </w:rPr>
        <w:t xml:space="preserve"> </w:t>
      </w:r>
      <w:r>
        <w:rPr>
          <w:noProof/>
          <w:color w:val="000000" w:themeColor="text1"/>
          <w:szCs w:val="24"/>
        </w:rPr>
        <w:t>and (EU) 2015/344</w:t>
      </w:r>
      <w:r>
        <w:rPr>
          <w:rStyle w:val="FootnoteReference"/>
          <w:noProof/>
        </w:rPr>
        <w:footnoteReference w:id="9"/>
      </w:r>
      <w:r>
        <w:rPr>
          <w:noProof/>
          <w:color w:val="000000" w:themeColor="text1"/>
          <w:szCs w:val="24"/>
        </w:rPr>
        <w:t xml:space="preserve"> </w:t>
      </w:r>
      <w:r>
        <w:rPr>
          <w:noProof/>
        </w:rPr>
        <w:t>the Agreement was renewed for additional periods of five years each time, with a retroactive effect as of 8 November 2009 and 8 November 2014, respectively. The Agreement expired on 7 November 2019.</w:t>
      </w:r>
    </w:p>
    <w:p>
      <w:pPr>
        <w:pStyle w:val="ManualConsidrant"/>
        <w:rPr>
          <w:noProof/>
        </w:rPr>
      </w:pPr>
      <w:r>
        <w:t>(4)</w:t>
      </w:r>
      <w:r>
        <w:tab/>
      </w:r>
      <w:r>
        <w:rPr>
          <w:noProof/>
        </w:rPr>
        <w:t>Ukraine is</w:t>
      </w:r>
      <w:r>
        <w:rPr>
          <w:noProof/>
          <w:color w:val="010202"/>
          <w:szCs w:val="24"/>
        </w:rPr>
        <w:t xml:space="preserve"> an important s</w:t>
      </w:r>
      <w:r>
        <w:rPr>
          <w:noProof/>
        </w:rPr>
        <w:t xml:space="preserve">cience, technology and innovation (STI) </w:t>
      </w:r>
      <w:r>
        <w:rPr>
          <w:noProof/>
          <w:color w:val="010202"/>
          <w:szCs w:val="24"/>
        </w:rPr>
        <w:t xml:space="preserve">actor in the neighbourhood of the Union. </w:t>
      </w:r>
      <w:r>
        <w:rPr>
          <w:noProof/>
        </w:rPr>
        <w:t xml:space="preserve">In order to continue facilitating cooperation in common science and technology (S&amp;T) priority areas both Parties consider that the renewal of this Agreement would be in their mutual interest. </w:t>
      </w:r>
    </w:p>
    <w:p>
      <w:pPr>
        <w:pStyle w:val="ManualConsidrant"/>
        <w:rPr>
          <w:noProof/>
        </w:rPr>
      </w:pPr>
      <w:r>
        <w:lastRenderedPageBreak/>
        <w:t>(5)</w:t>
      </w:r>
      <w:r>
        <w:tab/>
      </w:r>
      <w:r>
        <w:rPr>
          <w:noProof/>
        </w:rPr>
        <w:t>Both Parties confirmed their intention to renew the Agreement for an additional period of five years. The content of the renewed Agreement should remain identical to the content of the Agreement.</w:t>
      </w:r>
    </w:p>
    <w:p>
      <w:pPr>
        <w:pStyle w:val="ManualConsidrant"/>
        <w:rPr>
          <w:noProof/>
        </w:rPr>
      </w:pPr>
      <w:r>
        <w:t>(6)</w:t>
      </w:r>
      <w:r>
        <w:tab/>
      </w:r>
      <w:r>
        <w:rPr>
          <w:noProof/>
        </w:rPr>
        <w:t>The renewal of the Agreement should therefore be approved on behalf of the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renewal of the Agreement on cooperation in science and technology between the European Community and Ukraine for an additional period of five years, is hereby approved on behalf of the Union. The renewal shall take effect on 8 November 2019.</w:t>
      </w:r>
    </w:p>
    <w:p>
      <w:pPr>
        <w:pStyle w:val="Titrearticle"/>
        <w:rPr>
          <w:noProof/>
        </w:rPr>
      </w:pPr>
      <w:r>
        <w:rPr>
          <w:noProof/>
        </w:rPr>
        <w:t>Article 2</w:t>
      </w:r>
    </w:p>
    <w:p>
      <w:pPr>
        <w:pStyle w:val="Titrearticle"/>
        <w:keepNext w:val="0"/>
        <w:jc w:val="both"/>
        <w:rPr>
          <w:i w:val="0"/>
          <w:noProof/>
          <w:lang w:val="en-US"/>
        </w:rPr>
      </w:pPr>
      <w:r>
        <w:rPr>
          <w:i w:val="0"/>
          <w:noProof/>
        </w:rPr>
        <w:t>The President of the Council is hereby authorised to designate the person(s) empowered, acting on behalf of the Union and in accordance with point (a) of Article 12 of the Agreement, to notify Ukraine that the Union has completed its internal procedures necessary for the entry into force of this renewed Agreement.</w:t>
      </w:r>
    </w:p>
    <w:p>
      <w:pPr>
        <w:pStyle w:val="Titrearticle"/>
        <w:keepNext w:val="0"/>
        <w:rPr>
          <w:noProof/>
        </w:rPr>
      </w:pPr>
      <w:r>
        <w:rPr>
          <w:noProof/>
        </w:rPr>
        <w:t>Article 3</w:t>
      </w:r>
    </w:p>
    <w:p>
      <w:pPr>
        <w:rPr>
          <w:noProof/>
        </w:rPr>
      </w:pPr>
      <w:r>
        <w:rPr>
          <w:noProof/>
        </w:rPr>
        <w:t>This Decision shall enter into force on the day of its adoption.</w:t>
      </w:r>
    </w:p>
    <w:p>
      <w:pPr>
        <w:keepNext/>
        <w:spacing w:before="360"/>
        <w:jc w:val="center"/>
        <w:rPr>
          <w:i/>
          <w:noProof/>
        </w:rPr>
      </w:pPr>
      <w:r>
        <w:rPr>
          <w:i/>
          <w:noProof/>
        </w:rPr>
        <w:t>Article 4</w:t>
      </w:r>
    </w:p>
    <w:p>
      <w:pPr>
        <w:rPr>
          <w:noProof/>
        </w:rPr>
      </w:pPr>
      <w:r>
        <w:rPr>
          <w:noProof/>
        </w:rPr>
        <w:t xml:space="preserve">The decision shall be published in the </w:t>
      </w:r>
      <w:r>
        <w:rPr>
          <w:i/>
          <w:noProof/>
        </w:rPr>
        <w:t>Official Journal of the European Union</w:t>
      </w:r>
      <w:r>
        <w:rPr>
          <w:noProof/>
        </w:rPr>
        <w:t>.</w:t>
      </w:r>
    </w:p>
    <w:p>
      <w:pPr>
        <w:rPr>
          <w:noProof/>
        </w:rPr>
      </w:pPr>
    </w:p>
    <w:p>
      <w:pPr>
        <w:pStyle w:val="Fait"/>
        <w:rPr>
          <w:noProof/>
        </w:rPr>
      </w:pPr>
      <w:r>
        <w:t>Done at Brussels,</w:t>
      </w:r>
    </w:p>
    <w:p>
      <w:pPr>
        <w:pStyle w:val="Institutionquisigne"/>
        <w:rPr>
          <w:noProof/>
          <w:lang w:val="fr-FR"/>
        </w:rPr>
      </w:pPr>
      <w:r>
        <w:rPr>
          <w:noProof/>
        </w:rPr>
        <w:tab/>
        <w:t>For the Council</w:t>
      </w:r>
    </w:p>
    <w:p>
      <w:pPr>
        <w:pStyle w:val="Personnequisigne"/>
        <w:rPr>
          <w:noProof/>
        </w:rPr>
      </w:pP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footnotePr>
            <w:numRestart w:val="eachSect"/>
          </w:footnote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concerning the renewal of the Agreement on cooperation in science and technology between the European Community and Ukraine.</w:t>
      </w:r>
    </w:p>
    <w:p>
      <w:pPr>
        <w:pStyle w:val="ManualHeading2"/>
        <w:rPr>
          <w:noProof/>
          <w:szCs w:val="24"/>
        </w:rPr>
      </w:pPr>
      <w:r>
        <w:t>1.2.</w:t>
      </w:r>
      <w:r>
        <w:tab/>
      </w:r>
      <w:r>
        <w:rPr>
          <w:noProof/>
        </w:rPr>
        <w:t>Policy area(s) concerned in the ABM/ABB structure</w:t>
      </w:r>
      <w:r>
        <w:rPr>
          <w:rStyle w:val="FootnoteReference"/>
          <w:noProof/>
        </w:rPr>
        <w:footnoteReference w:id="10"/>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 xml:space="preserve">Policy strategy and coordination of, in particular, the Secretariat-General, Legal Service, the EEAS the Directorates-General, AGRI, BUDG, CLIMA, CNECT, EAC, ENER, GROW, JRC, MARE and MOVE </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11"/>
      </w:r>
      <w:r>
        <w:rPr>
          <w:noProof/>
          <w:sz w:val="22"/>
        </w:rPr>
        <w:t xml:space="preserve"> </w:t>
      </w:r>
    </w:p>
    <w:p>
      <w:pPr>
        <w:pStyle w:val="Text1"/>
        <w:rPr>
          <w:noProof/>
          <w:sz w:val="22"/>
        </w:rPr>
      </w:pPr>
      <w:r>
        <w:rPr>
          <w:noProof/>
          <w:sz w:val="22"/>
        </w:rPr>
        <w:sym w:font="Wingdings" w:char="F0FE"/>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The present initiative will allow both Parties to improve and intensify their cooperation in scientific and technological areas of common interest.</w:t>
      </w:r>
      <w:r>
        <w:rPr>
          <w:noProof/>
        </w:rPr>
        <w:t xml:space="preserve"> </w:t>
      </w:r>
      <w:r>
        <w:rPr>
          <w:noProof/>
          <w:sz w:val="23"/>
          <w:szCs w:val="23"/>
        </w:rPr>
        <w:t>At the meeting of the EU-Ukraine Joint Science and Technology Cooperation Committee, established by the Agreement, held in Kyiv on 29 January 2019, both Parties took note of their intention to renew the Agreement, for an additional period of five years.</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This decision will allow both Parties to enhance the cooperation and develop a more strategic partnership by increasing the scale and scope of existing cooperation, addressing global challenges by promoting reciprocal access to programmes and funding.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bCs/>
          <w:noProof/>
          <w:szCs w:val="24"/>
        </w:rPr>
      </w:pPr>
      <w:r>
        <w:rPr>
          <w:noProof/>
        </w:rPr>
        <w:br w:type="page"/>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szCs w:val="24"/>
        </w:rPr>
        <w:t>This decision will allow both the EU and Ukraine to mutually gain benefit from the scientific and technical progress achieved through ongoing cooperation activities. It will allow for exchange of specific knowledge and transfer of know-how to the benefit of the scientific community, industry and citizens of both Parties.</w:t>
      </w:r>
    </w:p>
    <w:p>
      <w:pPr>
        <w:pStyle w:val="ManualHeading3"/>
        <w:rPr>
          <w:bCs/>
          <w:noProof/>
          <w:szCs w:val="24"/>
        </w:rPr>
      </w:pPr>
      <w:r>
        <w:t>1.4.3.</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Bdr>
          <w:top w:val="single" w:sz="4" w:space="1" w:color="auto"/>
          <w:left w:val="single" w:sz="4" w:space="4" w:color="auto"/>
          <w:bottom w:val="single" w:sz="4" w:space="1" w:color="auto"/>
          <w:right w:val="single" w:sz="4" w:space="4" w:color="auto"/>
        </w:pBdr>
        <w:rPr>
          <w:noProof/>
          <w:szCs w:val="24"/>
        </w:rPr>
      </w:pPr>
      <w:r>
        <w:rPr>
          <w:noProof/>
          <w:szCs w:val="24"/>
        </w:rPr>
        <w:t>The Commission will regularly monitor all actions carried out under the Agreement, including cooperation activities. This evaluation will cover, among others, the following points:</w:t>
      </w:r>
    </w:p>
    <w:p>
      <w:pPr>
        <w:pBdr>
          <w:top w:val="single" w:sz="4" w:space="1" w:color="auto"/>
          <w:left w:val="single" w:sz="4" w:space="4" w:color="auto"/>
          <w:bottom w:val="single" w:sz="4" w:space="1" w:color="auto"/>
          <w:right w:val="single" w:sz="4" w:space="4" w:color="auto"/>
        </w:pBdr>
        <w:rPr>
          <w:noProof/>
          <w:szCs w:val="24"/>
        </w:rPr>
      </w:pPr>
      <w:r>
        <w:rPr>
          <w:noProof/>
          <w:szCs w:val="24"/>
        </w:rPr>
        <w:t>(a) cooperation indicators – analysis of the number and type of participation of Ukrainian entities in EU funded programmes (e.g. number of proposals, number of signed grant agreements, main collaboration links, main thematic; generated output) and vice-versa (whenever the data is available);</w:t>
      </w:r>
    </w:p>
    <w:p>
      <w:pPr>
        <w:pBdr>
          <w:top w:val="single" w:sz="4" w:space="1" w:color="auto"/>
          <w:left w:val="single" w:sz="4" w:space="4" w:color="auto"/>
          <w:bottom w:val="single" w:sz="4" w:space="1" w:color="auto"/>
          <w:right w:val="single" w:sz="4" w:space="4" w:color="auto"/>
        </w:pBdr>
        <w:rPr>
          <w:noProof/>
          <w:szCs w:val="24"/>
        </w:rPr>
      </w:pPr>
      <w:r>
        <w:rPr>
          <w:noProof/>
          <w:szCs w:val="24"/>
        </w:rPr>
        <w:t>(b) performance indicators – success rate of Ukrainian entities participating in the EU framework programmes compared to other non-EU countries and to Member States; analysis of the quality of the participation (e.g. number of best ranked universities taking part on the programme, number of patents and publications coming from collaborative projects);</w:t>
      </w:r>
    </w:p>
    <w:p>
      <w:pPr>
        <w:pBdr>
          <w:top w:val="single" w:sz="4" w:space="1" w:color="auto"/>
          <w:left w:val="single" w:sz="4" w:space="4" w:color="auto"/>
          <w:bottom w:val="single" w:sz="4" w:space="1" w:color="auto"/>
          <w:right w:val="single" w:sz="4" w:space="4" w:color="auto"/>
        </w:pBdr>
        <w:rPr>
          <w:noProof/>
          <w:szCs w:val="24"/>
        </w:rPr>
      </w:pPr>
      <w:r>
        <w:rPr>
          <w:noProof/>
          <w:szCs w:val="24"/>
        </w:rPr>
        <w:t>(c) data collection regarding cooperation activities and links that go beyond the respective research funding programmes as well as assessment of the impact of these activities, like participation in multilateral initiatives and working groups.</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This decision will allow the two Parties to continue to improve and intensify their cooperation in scientific and technological areas for mutual benefit.</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Cooperation in research &amp; innovation between the EU and the Ukraine has been intensifying steadily over the past years. The involvement of the EU allows for activities with larger scale and scope for the benefit of all Member States. The renewal of the Agreement will allow the EU to have better access to scientific knowledge produced in the Ukraine and to engage in more cooperation activities leading to additional exchange of knowledge and technologies. </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Based on the experience so far in scientific and technological cooperation, it is considered mutually beneficial to continue research cooperation with Ukraine, as a strategic partner of the EU in research and innovation.</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szCs w:val="24"/>
        </w:rPr>
        <w:t xml:space="preserve">The renewal of the Agreement with the Ukraine is considered to be fully consistent with the overall policy framework on international cooperation in research and innovation (COM(2012) 497). </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FE"/>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FE"/>
      </w:r>
      <w:r>
        <w:rPr>
          <w:noProof/>
        </w:rPr>
        <w:t xml:space="preserve"> Proposal/initiative in effect from [DD/MM]YYYY to [DD/MM]YYYY </w:t>
      </w:r>
    </w:p>
    <w:p>
      <w:pPr>
        <w:pStyle w:val="ListDash2"/>
        <w:rPr>
          <w:noProof/>
        </w:rPr>
      </w:pPr>
      <w:r>
        <w:rPr>
          <w:noProof/>
        </w:rPr>
        <w:sym w:font="Wingdings" w:char="F0FE"/>
      </w:r>
      <w:r>
        <w:rPr>
          <w:noProof/>
        </w:rPr>
        <w:tab/>
        <w:t xml:space="preserve">Financial impact from YYYY to YYYY </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12"/>
      </w:r>
      <w:r>
        <w:rPr>
          <w:rStyle w:val="FootnoteReference"/>
          <w:noProof/>
        </w:rPr>
        <w:t xml:space="preserve"> </w:t>
      </w:r>
    </w:p>
    <w:p>
      <w:pPr>
        <w:pStyle w:val="Text1"/>
        <w:rPr>
          <w:noProof/>
        </w:rPr>
      </w:pPr>
      <w:r>
        <w:rPr>
          <w:noProof/>
        </w:rPr>
        <w:sym w:font="Wingdings" w:char="F0FE"/>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rFonts w:eastAsia="Times New Roman"/>
          <w:noProof/>
          <w:lang w:eastAsia="de-DE"/>
        </w:rPr>
      </w:pPr>
      <w:r>
        <w:rPr>
          <w:rFonts w:eastAsia="Times New Roman"/>
          <w:noProof/>
          <w:lang w:eastAsia="de-DE"/>
        </w:rPr>
        <w:t>Participation of Ukrainian entities in the Framework Programme for Research and Innovation and other cooperative activities under the Agreement will be regularly followed through meetings of the Joint Committee established under letter (a) of Article 6 of the Agreement.</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Meetings and bilateral contacts take place on a regular basis allowing for the systematic sharing of information and control therupon. No risks have been identified in the control system.</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Bdr>
          <w:top w:val="single" w:sz="4" w:space="1" w:color="auto"/>
          <w:left w:val="single" w:sz="4" w:space="4" w:color="auto"/>
          <w:bottom w:val="single" w:sz="4" w:space="1" w:color="auto"/>
          <w:right w:val="single" w:sz="4" w:space="4" w:color="auto"/>
        </w:pBdr>
        <w:rPr>
          <w:noProof/>
          <w:szCs w:val="24"/>
        </w:rPr>
      </w:pPr>
      <w:r>
        <w:rPr>
          <w:noProof/>
          <w:szCs w:val="24"/>
        </w:rPr>
        <w:t>When the implementation of the Framework Programme calls for the use of external contractors or entails granting financial contribution to third parties, the Commission will carry out, where appropriate, financial audits, in particular if it has reason to doubt the realistic nature of work performed or described in the activity reports.</w:t>
      </w:r>
    </w:p>
    <w:p>
      <w:pPr>
        <w:pBdr>
          <w:top w:val="single" w:sz="4" w:space="1" w:color="auto"/>
          <w:left w:val="single" w:sz="4" w:space="4" w:color="auto"/>
          <w:bottom w:val="single" w:sz="4" w:space="1" w:color="auto"/>
          <w:right w:val="single" w:sz="4" w:space="4" w:color="auto"/>
        </w:pBdr>
        <w:ind w:left="142"/>
        <w:rPr>
          <w:noProof/>
          <w:szCs w:val="24"/>
        </w:rPr>
      </w:pPr>
      <w:r>
        <w:rPr>
          <w:noProof/>
          <w:szCs w:val="24"/>
        </w:rPr>
        <w:t>The Union’s financial audits will be carried out either by its own staff or by accounting experts approved according to the law of the audited party. The Union will choose the latter freely, while avoiding any risks of conflicts of interest which might be indicated to it by the party subject to the audit. In addition, the Commission will make sure, in carrying out the research activities, that the financial interests of the Union are protected by effective checks and, where irregularities are detected, by deterrent and proportionate measures and penalties.</w:t>
      </w:r>
    </w:p>
    <w:p>
      <w:pPr>
        <w:pBdr>
          <w:top w:val="single" w:sz="4" w:space="1" w:color="auto"/>
          <w:left w:val="single" w:sz="4" w:space="4" w:color="auto"/>
          <w:bottom w:val="single" w:sz="4" w:space="1" w:color="auto"/>
          <w:right w:val="single" w:sz="4" w:space="4" w:color="auto"/>
        </w:pBdr>
        <w:rPr>
          <w:noProof/>
          <w:szCs w:val="24"/>
        </w:rPr>
      </w:pPr>
      <w:r>
        <w:rPr>
          <w:noProof/>
          <w:szCs w:val="24"/>
        </w:rPr>
        <w:t xml:space="preserve">In order to achieve this aim, rules on checks, measures and penalties, with reference to Regulations No 2988/95, No 2185/96 and No 883/2013 will be incorporated in all contracts used in the implementation of the framework programme. </w:t>
      </w:r>
    </w:p>
    <w:p>
      <w:pPr>
        <w:pBdr>
          <w:top w:val="single" w:sz="4" w:space="1" w:color="auto"/>
          <w:left w:val="single" w:sz="4" w:space="4" w:color="auto"/>
          <w:bottom w:val="single" w:sz="4" w:space="1" w:color="auto"/>
          <w:right w:val="single" w:sz="4" w:space="4" w:color="auto"/>
        </w:pBdr>
        <w:rPr>
          <w:noProof/>
          <w:szCs w:val="24"/>
        </w:rPr>
      </w:pPr>
      <w:r>
        <w:rPr>
          <w:noProof/>
          <w:szCs w:val="24"/>
        </w:rPr>
        <w:t>In particular, the following points will have to be provided for in the contracts:</w:t>
      </w:r>
    </w:p>
    <w:p>
      <w:pPr>
        <w:pBdr>
          <w:top w:val="single" w:sz="4" w:space="1" w:color="auto"/>
          <w:left w:val="single" w:sz="4" w:space="4" w:color="auto"/>
          <w:bottom w:val="single" w:sz="4" w:space="1" w:color="auto"/>
          <w:right w:val="single" w:sz="4" w:space="4" w:color="auto"/>
        </w:pBdr>
        <w:rPr>
          <w:noProof/>
          <w:szCs w:val="24"/>
        </w:rPr>
      </w:pPr>
      <w:r>
        <w:rPr>
          <w:noProof/>
          <w:szCs w:val="24"/>
        </w:rPr>
        <w:t xml:space="preserve">- the insertion of specific clauses in the contracts to protect the financial interests of the EU in carrying out checks and controls in relation to the work performed; </w:t>
      </w:r>
    </w:p>
    <w:p>
      <w:pPr>
        <w:pBdr>
          <w:top w:val="single" w:sz="4" w:space="1" w:color="auto"/>
          <w:left w:val="single" w:sz="4" w:space="4" w:color="auto"/>
          <w:bottom w:val="single" w:sz="4" w:space="1" w:color="auto"/>
          <w:right w:val="single" w:sz="4" w:space="4" w:color="auto"/>
        </w:pBdr>
        <w:rPr>
          <w:noProof/>
          <w:szCs w:val="24"/>
        </w:rPr>
      </w:pPr>
      <w:r>
        <w:rPr>
          <w:noProof/>
          <w:szCs w:val="24"/>
        </w:rPr>
        <w:t>- the carrying out of administrative checks as part of anti-fraud measures, in accordance with Regulations No 2185/96, No 1073/1999 and No 1074/1999;</w:t>
      </w:r>
    </w:p>
    <w:p>
      <w:pPr>
        <w:pBdr>
          <w:top w:val="single" w:sz="4" w:space="1" w:color="auto"/>
          <w:left w:val="single" w:sz="4" w:space="4" w:color="auto"/>
          <w:bottom w:val="single" w:sz="4" w:space="1" w:color="auto"/>
          <w:right w:val="single" w:sz="4" w:space="4" w:color="auto"/>
        </w:pBdr>
        <w:rPr>
          <w:noProof/>
          <w:szCs w:val="24"/>
        </w:rPr>
      </w:pPr>
      <w:r>
        <w:rPr>
          <w:noProof/>
          <w:sz w:val="23"/>
          <w:szCs w:val="23"/>
        </w:rPr>
        <w:t xml:space="preserve">- </w:t>
      </w:r>
      <w:r>
        <w:rPr>
          <w:noProof/>
          <w:szCs w:val="24"/>
        </w:rPr>
        <w:t>the application of administrative penalties for all intentional or negligent irregularities in the implementation of the contracts, in accordance with the Framework Regulation No 2988/95, including a blacklisting mechanism;</w:t>
      </w:r>
    </w:p>
    <w:p>
      <w:pPr>
        <w:pBdr>
          <w:top w:val="single" w:sz="4" w:space="1" w:color="auto"/>
          <w:left w:val="single" w:sz="4" w:space="4" w:color="auto"/>
          <w:bottom w:val="single" w:sz="4" w:space="1" w:color="auto"/>
          <w:right w:val="single" w:sz="4" w:space="4" w:color="auto"/>
        </w:pBdr>
        <w:rPr>
          <w:noProof/>
          <w:szCs w:val="24"/>
        </w:rPr>
      </w:pPr>
      <w:r>
        <w:rPr>
          <w:noProof/>
          <w:szCs w:val="24"/>
        </w:rPr>
        <w:t>- the fact that any recovery orders in the event of irregularities and fraud must be enforceable according to Article 299 of the Treaty on the Functioning of the European Union.</w:t>
      </w:r>
    </w:p>
    <w:p>
      <w:pPr>
        <w:pBdr>
          <w:top w:val="single" w:sz="4" w:space="1" w:color="auto"/>
          <w:left w:val="single" w:sz="4" w:space="4" w:color="auto"/>
          <w:bottom w:val="single" w:sz="4" w:space="1" w:color="auto"/>
          <w:right w:val="single" w:sz="4" w:space="4" w:color="auto"/>
        </w:pBdr>
        <w:rPr>
          <w:noProof/>
          <w:szCs w:val="24"/>
        </w:rPr>
      </w:pPr>
      <w:r>
        <w:rPr>
          <w:noProof/>
          <w:szCs w:val="24"/>
        </w:rPr>
        <w:t>In addition and as a routine measure, a programme of checks on scientific and budgetary aspects of cooperation will be carried out by the staff responsible in the Directorate – General for Research and Innovation (DG R&amp;I). An internal audit will be carried out by the Internal Audit unit of DG R&amp;I, and local inspections will be carried out by the European Court of Auditors.</w:t>
      </w:r>
    </w:p>
    <w:p>
      <w:pPr>
        <w:pStyle w:val="Text1"/>
        <w:pBdr>
          <w:top w:val="single" w:sz="4" w:space="1" w:color="auto"/>
          <w:left w:val="single" w:sz="4" w:space="4" w:color="auto"/>
          <w:bottom w:val="single" w:sz="4" w:space="1" w:color="auto"/>
          <w:right w:val="single" w:sz="4" w:space="4" w:color="auto"/>
        </w:pBdr>
        <w:rPr>
          <w:noProof/>
        </w:rPr>
        <w:sectPr>
          <w:footnotePr>
            <w:numRestart w:val="eachSect"/>
          </w:footnote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 </w:t>
            </w:r>
            <w:r>
              <w:rPr>
                <w:noProof/>
                <w:sz w:val="22"/>
              </w:rPr>
              <w:br/>
            </w:r>
            <w:r>
              <w:rPr>
                <w:noProof/>
                <w:sz w:val="20"/>
              </w:rPr>
              <w:t>Heading1a – Competitiveness for growth and jobs</w:t>
            </w:r>
          </w:p>
        </w:tc>
        <w:tc>
          <w:tcPr>
            <w:tcW w:w="1080" w:type="dxa"/>
            <w:vAlign w:val="center"/>
          </w:tcPr>
          <w:p>
            <w:pPr>
              <w:jc w:val="center"/>
              <w:rPr>
                <w:noProof/>
                <w:sz w:val="22"/>
              </w:rPr>
            </w:pPr>
            <w:r>
              <w:rPr>
                <w:noProof/>
                <w:sz w:val="18"/>
              </w:rPr>
              <w:t>Diff./Non-diff.</w:t>
            </w:r>
            <w:r>
              <w:rPr>
                <w:rStyle w:val="FootnoteReference"/>
                <w:noProof/>
                <w:sz w:val="18"/>
              </w:rPr>
              <w:footnoteReference w:id="13"/>
            </w:r>
          </w:p>
        </w:tc>
        <w:tc>
          <w:tcPr>
            <w:tcW w:w="956" w:type="dxa"/>
            <w:vAlign w:val="center"/>
          </w:tcPr>
          <w:p>
            <w:pPr>
              <w:jc w:val="center"/>
              <w:rPr>
                <w:noProof/>
                <w:sz w:val="22"/>
              </w:rPr>
            </w:pPr>
            <w:r>
              <w:rPr>
                <w:noProof/>
                <w:sz w:val="18"/>
              </w:rPr>
              <w:t>from EFTA countries</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r>
              <w:rPr>
                <w:noProof/>
                <w:sz w:val="20"/>
              </w:rPr>
              <w:t>1a</w:t>
            </w:r>
          </w:p>
        </w:tc>
        <w:tc>
          <w:tcPr>
            <w:tcW w:w="3960" w:type="dxa"/>
            <w:vAlign w:val="center"/>
          </w:tcPr>
          <w:p>
            <w:pPr>
              <w:spacing w:after="60"/>
              <w:jc w:val="center"/>
              <w:rPr>
                <w:noProof/>
                <w:sz w:val="22"/>
              </w:rPr>
            </w:pPr>
            <w:r>
              <w:rPr>
                <w:b/>
                <w:noProof/>
                <w:sz w:val="22"/>
              </w:rPr>
              <w:t>08.01.05.01</w:t>
            </w:r>
          </w:p>
        </w:tc>
        <w:tc>
          <w:tcPr>
            <w:tcW w:w="1080" w:type="dxa"/>
            <w:vAlign w:val="center"/>
          </w:tcPr>
          <w:p>
            <w:pPr>
              <w:jc w:val="center"/>
              <w:rPr>
                <w:noProof/>
                <w:color w:val="0000FF"/>
                <w:sz w:val="22"/>
              </w:rPr>
            </w:pPr>
            <w:r>
              <w:rPr>
                <w:noProof/>
                <w:sz w:val="22"/>
              </w:rPr>
              <w:t>Non-diff.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color w:val="0000FF"/>
                <w:sz w:val="22"/>
              </w:rPr>
            </w:pPr>
            <w:r>
              <w:rPr>
                <w:noProof/>
                <w:sz w:val="20"/>
              </w:rPr>
              <w:t>1a</w:t>
            </w:r>
          </w:p>
        </w:tc>
        <w:tc>
          <w:tcPr>
            <w:tcW w:w="3960" w:type="dxa"/>
            <w:vAlign w:val="center"/>
          </w:tcPr>
          <w:p>
            <w:pPr>
              <w:spacing w:before="60"/>
              <w:jc w:val="center"/>
            </w:pPr>
            <w:r>
              <w:rPr>
                <w:b/>
                <w:noProof/>
                <w:sz w:val="22"/>
              </w:rPr>
              <w:t>08.01.05.03</w:t>
            </w:r>
          </w:p>
        </w:tc>
        <w:tc>
          <w:tcPr>
            <w:tcW w:w="1080" w:type="dxa"/>
            <w:vAlign w:val="center"/>
          </w:tcPr>
          <w:p>
            <w:pPr>
              <w:jc w:val="center"/>
              <w:rPr>
                <w:noProof/>
                <w:sz w:val="22"/>
              </w:rPr>
            </w:pPr>
            <w:r>
              <w:rPr>
                <w:noProof/>
                <w:sz w:val="22"/>
              </w:rPr>
              <w:t>Non-diff.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footnotePr>
            <w:numRestart w:val="eachSect"/>
          </w:footnote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highlight w:val="lightGray"/>
        </w:rPr>
        <w:t xml:space="preserve">[This section should be filled in using the </w:t>
      </w:r>
      <w:hyperlink r:id="rId13"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 xml:space="preserve">'Competetiveness for growth and jobs'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012"/>
        <w:gridCol w:w="1013"/>
        <w:gridCol w:w="1013"/>
        <w:gridCol w:w="1012"/>
        <w:gridCol w:w="1013"/>
        <w:gridCol w:w="1013"/>
        <w:gridCol w:w="1777"/>
      </w:tblGrid>
      <w:tr>
        <w:tc>
          <w:tcPr>
            <w:tcW w:w="3960" w:type="dxa"/>
            <w:vAlign w:val="center"/>
          </w:tcPr>
          <w:p>
            <w:pPr>
              <w:jc w:val="center"/>
              <w:rPr>
                <w:noProof/>
                <w:sz w:val="22"/>
              </w:rPr>
            </w:pPr>
            <w:r>
              <w:rPr>
                <w:noProof/>
                <w:sz w:val="22"/>
              </w:rPr>
              <w:t>DG: RTD</w:t>
            </w:r>
          </w:p>
        </w:tc>
        <w:tc>
          <w:tcPr>
            <w:tcW w:w="1560" w:type="dxa"/>
            <w:gridSpan w:val="2"/>
          </w:tcPr>
          <w:p>
            <w:pPr>
              <w:rPr>
                <w:noProof/>
                <w:sz w:val="20"/>
              </w:rPr>
            </w:pPr>
          </w:p>
        </w:tc>
        <w:tc>
          <w:tcPr>
            <w:tcW w:w="534" w:type="dxa"/>
          </w:tcPr>
          <w:p>
            <w:pPr>
              <w:jc w:val="center"/>
              <w:rPr>
                <w:noProof/>
                <w:sz w:val="20"/>
              </w:rPr>
            </w:pPr>
          </w:p>
        </w:tc>
        <w:tc>
          <w:tcPr>
            <w:tcW w:w="1012" w:type="dxa"/>
            <w:vAlign w:val="center"/>
          </w:tcPr>
          <w:p>
            <w:pPr>
              <w:jc w:val="center"/>
              <w:rPr>
                <w:noProof/>
                <w:sz w:val="20"/>
              </w:rPr>
            </w:pPr>
            <w:r>
              <w:rPr>
                <w:noProof/>
                <w:sz w:val="20"/>
              </w:rPr>
              <w:t>Year</w:t>
            </w:r>
            <w:r>
              <w:rPr>
                <w:noProof/>
                <w:sz w:val="22"/>
              </w:rPr>
              <w:br/>
            </w:r>
            <w:r>
              <w:rPr>
                <w:noProof/>
                <w:sz w:val="20"/>
              </w:rPr>
              <w:t>2019</w:t>
            </w:r>
            <w:r>
              <w:rPr>
                <w:rStyle w:val="FootnoteReference"/>
                <w:noProof/>
                <w:sz w:val="20"/>
              </w:rPr>
              <w:footnoteReference w:id="16"/>
            </w:r>
          </w:p>
        </w:tc>
        <w:tc>
          <w:tcPr>
            <w:tcW w:w="1013" w:type="dxa"/>
            <w:vAlign w:val="center"/>
          </w:tcPr>
          <w:p>
            <w:pPr>
              <w:jc w:val="center"/>
              <w:rPr>
                <w:noProof/>
                <w:sz w:val="20"/>
              </w:rPr>
            </w:pPr>
            <w:r>
              <w:rPr>
                <w:noProof/>
                <w:sz w:val="20"/>
              </w:rPr>
              <w:t>Year</w:t>
            </w:r>
            <w:r>
              <w:rPr>
                <w:noProof/>
                <w:sz w:val="22"/>
              </w:rPr>
              <w:br/>
            </w:r>
            <w:r>
              <w:rPr>
                <w:b/>
                <w:noProof/>
                <w:sz w:val="20"/>
              </w:rPr>
              <w:t>2020</w:t>
            </w:r>
          </w:p>
        </w:tc>
        <w:tc>
          <w:tcPr>
            <w:tcW w:w="1013" w:type="dxa"/>
            <w:vAlign w:val="center"/>
          </w:tcPr>
          <w:p>
            <w:pPr>
              <w:jc w:val="center"/>
              <w:rPr>
                <w:noProof/>
                <w:sz w:val="20"/>
              </w:rPr>
            </w:pPr>
            <w:r>
              <w:rPr>
                <w:noProof/>
                <w:sz w:val="20"/>
              </w:rPr>
              <w:t>Year</w:t>
            </w:r>
            <w:r>
              <w:rPr>
                <w:noProof/>
                <w:sz w:val="22"/>
              </w:rPr>
              <w:br/>
            </w:r>
            <w:r>
              <w:rPr>
                <w:b/>
                <w:noProof/>
                <w:sz w:val="20"/>
              </w:rPr>
              <w:t>2021</w:t>
            </w:r>
          </w:p>
        </w:tc>
        <w:tc>
          <w:tcPr>
            <w:tcW w:w="1012" w:type="dxa"/>
            <w:vAlign w:val="center"/>
          </w:tcPr>
          <w:p>
            <w:pPr>
              <w:jc w:val="center"/>
              <w:rPr>
                <w:noProof/>
                <w:sz w:val="20"/>
              </w:rPr>
            </w:pPr>
            <w:r>
              <w:rPr>
                <w:noProof/>
                <w:sz w:val="20"/>
              </w:rPr>
              <w:t>Year</w:t>
            </w:r>
            <w:r>
              <w:rPr>
                <w:noProof/>
                <w:sz w:val="22"/>
              </w:rPr>
              <w:br/>
            </w:r>
            <w:r>
              <w:rPr>
                <w:b/>
                <w:noProof/>
                <w:sz w:val="20"/>
              </w:rPr>
              <w:t>2022</w:t>
            </w:r>
          </w:p>
        </w:tc>
        <w:tc>
          <w:tcPr>
            <w:tcW w:w="1013" w:type="dxa"/>
            <w:tcBorders>
              <w:top w:val="single" w:sz="4" w:space="0" w:color="auto"/>
              <w:left w:val="single" w:sz="4" w:space="0" w:color="auto"/>
              <w:bottom w:val="single" w:sz="4" w:space="0" w:color="auto"/>
              <w:right w:val="single" w:sz="4" w:space="0" w:color="auto"/>
            </w:tcBorders>
          </w:tcPr>
          <w:p>
            <w:pPr>
              <w:spacing w:line="256" w:lineRule="auto"/>
              <w:jc w:val="center"/>
              <w:rPr>
                <w:b/>
                <w:noProof/>
                <w:sz w:val="20"/>
              </w:rPr>
            </w:pPr>
            <w:r>
              <w:rPr>
                <w:noProof/>
                <w:sz w:val="20"/>
              </w:rPr>
              <w:t>Year</w:t>
            </w:r>
            <w:r>
              <w:rPr>
                <w:noProof/>
                <w:sz w:val="22"/>
              </w:rPr>
              <w:br/>
            </w:r>
            <w:r>
              <w:rPr>
                <w:b/>
                <w:noProof/>
                <w:sz w:val="20"/>
              </w:rPr>
              <w:t>2023</w:t>
            </w:r>
          </w:p>
        </w:tc>
        <w:tc>
          <w:tcPr>
            <w:tcW w:w="1013" w:type="dxa"/>
            <w:tcBorders>
              <w:top w:val="single" w:sz="4" w:space="0" w:color="auto"/>
              <w:left w:val="single" w:sz="4" w:space="0" w:color="auto"/>
              <w:bottom w:val="single" w:sz="4" w:space="0" w:color="auto"/>
              <w:right w:val="single" w:sz="4" w:space="0" w:color="auto"/>
            </w:tcBorders>
          </w:tcPr>
          <w:p>
            <w:pPr>
              <w:spacing w:line="256" w:lineRule="auto"/>
              <w:jc w:val="center"/>
              <w:rPr>
                <w:b/>
                <w:noProof/>
                <w:sz w:val="20"/>
              </w:rPr>
            </w:pPr>
            <w:r>
              <w:rPr>
                <w:noProof/>
                <w:sz w:val="20"/>
              </w:rPr>
              <w:t>Year</w:t>
            </w:r>
            <w:r>
              <w:rPr>
                <w:noProof/>
                <w:sz w:val="22"/>
              </w:rPr>
              <w:br/>
            </w:r>
            <w:r>
              <w:rPr>
                <w:b/>
                <w:noProof/>
                <w:sz w:val="20"/>
              </w:rPr>
              <w:t>2024</w:t>
            </w:r>
          </w:p>
        </w:tc>
        <w:tc>
          <w:tcPr>
            <w:tcW w:w="1777"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1012" w:type="dxa"/>
            <w:vAlign w:val="center"/>
          </w:tcPr>
          <w:p>
            <w:pPr>
              <w:rPr>
                <w:noProof/>
                <w:sz w:val="20"/>
              </w:rPr>
            </w:pPr>
          </w:p>
        </w:tc>
        <w:tc>
          <w:tcPr>
            <w:tcW w:w="1013" w:type="dxa"/>
            <w:vAlign w:val="center"/>
          </w:tcPr>
          <w:p>
            <w:pPr>
              <w:rPr>
                <w:noProof/>
                <w:sz w:val="20"/>
              </w:rPr>
            </w:pPr>
          </w:p>
        </w:tc>
        <w:tc>
          <w:tcPr>
            <w:tcW w:w="1013" w:type="dxa"/>
            <w:vAlign w:val="center"/>
          </w:tcPr>
          <w:p>
            <w:pPr>
              <w:rPr>
                <w:noProof/>
                <w:sz w:val="20"/>
              </w:rPr>
            </w:pPr>
          </w:p>
        </w:tc>
        <w:tc>
          <w:tcPr>
            <w:tcW w:w="1012" w:type="dxa"/>
            <w:vAlign w:val="center"/>
          </w:tcPr>
          <w:p>
            <w:pPr>
              <w:rPr>
                <w:noProof/>
                <w:sz w:val="20"/>
              </w:rPr>
            </w:pPr>
          </w:p>
        </w:tc>
        <w:tc>
          <w:tcPr>
            <w:tcW w:w="1013" w:type="dxa"/>
            <w:vAlign w:val="center"/>
          </w:tcPr>
          <w:p>
            <w:pPr>
              <w:rPr>
                <w:noProof/>
                <w:sz w:val="20"/>
              </w:rPr>
            </w:pPr>
          </w:p>
        </w:tc>
        <w:tc>
          <w:tcPr>
            <w:tcW w:w="1013"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1012"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2"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3"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1012"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2"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3"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7"/>
            </w:r>
            <w:r>
              <w:rPr>
                <w:noProof/>
                <w:sz w:val="21"/>
              </w:rPr>
              <w:t xml:space="preserve"> </w:t>
            </w:r>
          </w:p>
          <w:p>
            <w:pPr>
              <w:spacing w:before="0" w:after="0"/>
              <w:rPr>
                <w:noProof/>
                <w:sz w:val="22"/>
              </w:rPr>
            </w:pPr>
          </w:p>
        </w:tc>
        <w:tc>
          <w:tcPr>
            <w:tcW w:w="1012" w:type="dxa"/>
            <w:vAlign w:val="center"/>
          </w:tcPr>
          <w:p>
            <w:pPr>
              <w:rPr>
                <w:b/>
                <w:noProof/>
                <w:sz w:val="20"/>
              </w:rPr>
            </w:pPr>
          </w:p>
        </w:tc>
        <w:tc>
          <w:tcPr>
            <w:tcW w:w="1013" w:type="dxa"/>
            <w:vAlign w:val="center"/>
          </w:tcPr>
          <w:p>
            <w:pPr>
              <w:rPr>
                <w:b/>
                <w:noProof/>
                <w:sz w:val="20"/>
              </w:rPr>
            </w:pPr>
          </w:p>
        </w:tc>
        <w:tc>
          <w:tcPr>
            <w:tcW w:w="1013" w:type="dxa"/>
            <w:vAlign w:val="center"/>
          </w:tcPr>
          <w:p>
            <w:pPr>
              <w:rPr>
                <w:b/>
                <w:noProof/>
                <w:sz w:val="20"/>
              </w:rPr>
            </w:pPr>
          </w:p>
        </w:tc>
        <w:tc>
          <w:tcPr>
            <w:tcW w:w="1012" w:type="dxa"/>
            <w:vAlign w:val="center"/>
          </w:tcPr>
          <w:p>
            <w:pPr>
              <w:rPr>
                <w:b/>
                <w:noProof/>
                <w:sz w:val="20"/>
              </w:rPr>
            </w:pPr>
          </w:p>
        </w:tc>
        <w:tc>
          <w:tcPr>
            <w:tcW w:w="1013" w:type="dxa"/>
            <w:vAlign w:val="center"/>
          </w:tcPr>
          <w:p>
            <w:pPr>
              <w:rPr>
                <w:b/>
                <w:noProof/>
                <w:sz w:val="20"/>
              </w:rPr>
            </w:pPr>
          </w:p>
        </w:tc>
        <w:tc>
          <w:tcPr>
            <w:tcW w:w="1013"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0"/>
              </w:rPr>
            </w:pPr>
            <w:r>
              <w:rPr>
                <w:noProof/>
                <w:sz w:val="20"/>
              </w:rPr>
              <w:t xml:space="preserve">Number of budget line: </w:t>
            </w:r>
            <w:r>
              <w:rPr>
                <w:b/>
                <w:bCs/>
                <w:noProof/>
                <w:sz w:val="18"/>
                <w:szCs w:val="18"/>
              </w:rPr>
              <w:t>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0.010</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0.060</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0.060</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0.060</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0.050</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0.300</w:t>
            </w:r>
          </w:p>
        </w:tc>
      </w:tr>
      <w:tr>
        <w:trPr>
          <w:trHeight w:val="319"/>
        </w:trPr>
        <w:tc>
          <w:tcPr>
            <w:tcW w:w="3960" w:type="dxa"/>
            <w:vAlign w:val="center"/>
          </w:tcPr>
          <w:p>
            <w:pPr>
              <w:spacing w:before="60" w:after="60"/>
              <w:rPr>
                <w:noProof/>
                <w:sz w:val="22"/>
              </w:rPr>
            </w:pPr>
            <w:r>
              <w:rPr>
                <w:noProof/>
                <w:sz w:val="20"/>
              </w:rPr>
              <w:t xml:space="preserve">Number of budget line: </w:t>
            </w:r>
            <w:r>
              <w:rPr>
                <w:b/>
                <w:bCs/>
                <w:noProof/>
                <w:sz w:val="18"/>
                <w:szCs w:val="18"/>
              </w:rPr>
              <w:t>08.01.05.03</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0.002</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0.012</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0.012</w:t>
            </w:r>
          </w:p>
        </w:tc>
        <w:tc>
          <w:tcPr>
            <w:tcW w:w="1013" w:type="dxa"/>
            <w:tcBorders>
              <w:top w:val="single" w:sz="4" w:space="0" w:color="auto"/>
              <w:left w:val="single" w:sz="4" w:space="0" w:color="auto"/>
              <w:bottom w:val="single" w:sz="4" w:space="0" w:color="auto"/>
              <w:right w:val="single" w:sz="4" w:space="0" w:color="auto"/>
            </w:tcBorders>
          </w:tcPr>
          <w:p>
            <w:pPr>
              <w:spacing w:before="40" w:after="40" w:line="256" w:lineRule="auto"/>
              <w:jc w:val="right"/>
              <w:rPr>
                <w:b/>
                <w:noProof/>
                <w:sz w:val="20"/>
              </w:rPr>
            </w:pPr>
            <w:r>
              <w:rPr>
                <w:b/>
                <w:noProof/>
                <w:sz w:val="20"/>
              </w:rPr>
              <w:t>0.012</w:t>
            </w:r>
          </w:p>
        </w:tc>
        <w:tc>
          <w:tcPr>
            <w:tcW w:w="1013" w:type="dxa"/>
            <w:tcBorders>
              <w:top w:val="single" w:sz="4" w:space="0" w:color="auto"/>
              <w:left w:val="single" w:sz="4" w:space="0" w:color="auto"/>
              <w:bottom w:val="single" w:sz="4" w:space="0" w:color="auto"/>
              <w:right w:val="single" w:sz="4" w:space="0" w:color="auto"/>
            </w:tcBorders>
          </w:tcPr>
          <w:p>
            <w:pPr>
              <w:spacing w:before="40" w:after="40" w:line="256" w:lineRule="auto"/>
              <w:jc w:val="right"/>
              <w:rPr>
                <w:b/>
                <w:noProof/>
                <w:sz w:val="20"/>
              </w:rPr>
            </w:pPr>
            <w:r>
              <w:rPr>
                <w:b/>
                <w:noProof/>
                <w:sz w:val="20"/>
              </w:rPr>
              <w:t>0.010</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0.060</w:t>
            </w: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DG RTD</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0.060</w:t>
            </w:r>
          </w:p>
        </w:tc>
        <w:tc>
          <w:tcPr>
            <w:tcW w:w="1777"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0.360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0.060</w:t>
            </w:r>
          </w:p>
        </w:tc>
        <w:tc>
          <w:tcPr>
            <w:tcW w:w="1777"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0.360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012"/>
        <w:gridCol w:w="1012"/>
        <w:gridCol w:w="1012"/>
        <w:gridCol w:w="1012"/>
        <w:gridCol w:w="1012"/>
        <w:gridCol w:w="1012"/>
        <w:gridCol w:w="1701"/>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0.010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r>
              <w:rPr>
                <w:b/>
                <w:noProof/>
                <w:sz w:val="20"/>
              </w:rPr>
              <w:t>0.050</w:t>
            </w: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r>
              <w:rPr>
                <w:b/>
                <w:noProof/>
                <w:sz w:val="20"/>
              </w:rPr>
              <w:t>0.300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0.010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r>
              <w:rPr>
                <w:b/>
                <w:noProof/>
                <w:sz w:val="20"/>
              </w:rPr>
              <w:t>0.050</w:t>
            </w: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r>
              <w:rPr>
                <w:b/>
                <w:noProof/>
                <w:sz w:val="20"/>
              </w:rPr>
              <w:t>0.300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0.002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0.010</w:t>
            </w:r>
          </w:p>
        </w:tc>
        <w:tc>
          <w:tcPr>
            <w:tcW w:w="1701"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0.060</w:t>
            </w: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&lt;1a&gt;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0.060</w:t>
            </w:r>
          </w:p>
        </w:tc>
        <w:tc>
          <w:tcPr>
            <w:tcW w:w="1701"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0.360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0.060</w:t>
            </w:r>
          </w:p>
        </w:tc>
        <w:tc>
          <w:tcPr>
            <w:tcW w:w="1701"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0.360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31"/>
        <w:gridCol w:w="837"/>
        <w:gridCol w:w="13"/>
        <w:gridCol w:w="269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noProof/>
                <w:sz w:val="20"/>
              </w:rPr>
            </w:pPr>
            <w:r>
              <w:rPr>
                <w:noProof/>
                <w:sz w:val="20"/>
              </w:rPr>
              <w:t>Year</w:t>
            </w:r>
            <w:r>
              <w:rPr>
                <w:noProof/>
                <w:sz w:val="22"/>
              </w:rPr>
              <w:br/>
            </w:r>
            <w:r>
              <w:rPr>
                <w:b/>
                <w:noProof/>
                <w:sz w:val="20"/>
              </w:rPr>
              <w:t>2019</w:t>
            </w:r>
          </w:p>
        </w:tc>
        <w:tc>
          <w:tcPr>
            <w:tcW w:w="868"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noProof/>
                <w:sz w:val="20"/>
              </w:rPr>
            </w:pPr>
            <w:r>
              <w:rPr>
                <w:noProof/>
                <w:sz w:val="20"/>
              </w:rPr>
              <w:t>Year</w:t>
            </w:r>
            <w:r>
              <w:rPr>
                <w:noProof/>
                <w:sz w:val="22"/>
              </w:rPr>
              <w:br/>
            </w: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noProof/>
                <w:sz w:val="20"/>
              </w:rPr>
            </w:pPr>
            <w:r>
              <w:rPr>
                <w:noProof/>
                <w:sz w:val="20"/>
              </w:rPr>
              <w:t>Year</w:t>
            </w:r>
            <w:r>
              <w:rPr>
                <w:noProof/>
                <w:sz w:val="22"/>
              </w:rPr>
              <w:br/>
            </w: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noProof/>
                <w:sz w:val="20"/>
              </w:rPr>
            </w:pPr>
            <w:r>
              <w:rPr>
                <w:noProof/>
                <w:sz w:val="20"/>
              </w:rPr>
              <w:t>Year</w:t>
            </w:r>
            <w:r>
              <w:rPr>
                <w:noProof/>
                <w:sz w:val="22"/>
              </w:rPr>
              <w:br/>
            </w:r>
            <w:r>
              <w:rPr>
                <w:b/>
                <w:noProof/>
                <w:sz w:val="20"/>
              </w:rPr>
              <w:t>2022</w:t>
            </w:r>
          </w:p>
        </w:tc>
        <w:tc>
          <w:tcPr>
            <w:tcW w:w="899" w:type="dxa"/>
            <w:gridSpan w:val="2"/>
            <w:tcBorders>
              <w:top w:val="single" w:sz="4" w:space="0" w:color="auto"/>
              <w:left w:val="single" w:sz="4" w:space="0" w:color="auto"/>
              <w:bottom w:val="single" w:sz="4" w:space="0" w:color="auto"/>
              <w:right w:val="single" w:sz="4" w:space="0" w:color="auto"/>
            </w:tcBorders>
          </w:tcPr>
          <w:p>
            <w:pPr>
              <w:spacing w:line="256" w:lineRule="auto"/>
              <w:jc w:val="center"/>
              <w:rPr>
                <w:b/>
                <w:noProof/>
                <w:sz w:val="20"/>
              </w:rPr>
            </w:pPr>
            <w:r>
              <w:rPr>
                <w:noProof/>
                <w:sz w:val="20"/>
              </w:rPr>
              <w:t>Year</w:t>
            </w:r>
            <w:r>
              <w:rPr>
                <w:b/>
                <w:noProof/>
                <w:sz w:val="20"/>
              </w:rPr>
              <w:t xml:space="preserve"> 2023</w:t>
            </w:r>
          </w:p>
        </w:tc>
        <w:tc>
          <w:tcPr>
            <w:tcW w:w="850" w:type="dxa"/>
            <w:gridSpan w:val="2"/>
            <w:tcBorders>
              <w:top w:val="single" w:sz="4" w:space="0" w:color="auto"/>
              <w:left w:val="single" w:sz="4" w:space="0" w:color="auto"/>
              <w:bottom w:val="single" w:sz="4" w:space="0" w:color="auto"/>
              <w:right w:val="single" w:sz="4" w:space="0" w:color="auto"/>
            </w:tcBorders>
          </w:tcPr>
          <w:p>
            <w:pPr>
              <w:spacing w:line="256" w:lineRule="auto"/>
              <w:jc w:val="center"/>
              <w:rPr>
                <w:b/>
                <w:noProof/>
                <w:sz w:val="20"/>
              </w:rPr>
            </w:pPr>
            <w:r>
              <w:rPr>
                <w:noProof/>
                <w:sz w:val="20"/>
              </w:rPr>
              <w:t xml:space="preserve">Year </w:t>
            </w:r>
            <w:r>
              <w:rPr>
                <w:b/>
                <w:noProof/>
                <w:sz w:val="20"/>
              </w:rPr>
              <w:t>2024</w:t>
            </w:r>
          </w:p>
        </w:tc>
        <w:tc>
          <w:tcPr>
            <w:tcW w:w="2693" w:type="dxa"/>
            <w:vAlign w:val="center"/>
          </w:tcPr>
          <w:p>
            <w:pPr>
              <w:jc w:val="center"/>
              <w:rPr>
                <w:b/>
                <w:noProof/>
                <w:sz w:val="20"/>
              </w:rPr>
            </w:pPr>
            <w:r>
              <w:rPr>
                <w:b/>
                <w:noProof/>
                <w:sz w:val="20"/>
              </w:rPr>
              <w:t>TOTAL</w:t>
            </w:r>
          </w:p>
        </w:tc>
      </w:tr>
      <w:tr>
        <w:trPr>
          <w:gridAfter w:val="11"/>
          <w:wAfter w:w="10008" w:type="dxa"/>
        </w:trPr>
        <w:tc>
          <w:tcPr>
            <w:tcW w:w="3960" w:type="dxa"/>
            <w:vAlign w:val="center"/>
          </w:tcPr>
          <w:p>
            <w:pPr>
              <w:spacing w:before="60" w:after="60"/>
              <w:jc w:val="center"/>
              <w:rPr>
                <w:noProof/>
                <w:sz w:val="22"/>
              </w:rPr>
            </w:pPr>
            <w:r>
              <w:rPr>
                <w:noProof/>
                <w:sz w:val="22"/>
              </w:rPr>
              <w:t>DG: RTD</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2706" w:type="dxa"/>
            <w:gridSpan w:val="2"/>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2706" w:type="dxa"/>
            <w:gridSpan w:val="2"/>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TOTAL DG RTD</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2706" w:type="dxa"/>
            <w:gridSpan w:val="2"/>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99"/>
        <w:gridCol w:w="850"/>
        <w:gridCol w:w="269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r>
              <w:rPr>
                <w:rStyle w:val="FootnoteReference"/>
                <w:b/>
                <w:noProof/>
                <w:sz w:val="20"/>
              </w:rPr>
              <w:footnoteReference w:id="18"/>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99" w:type="dxa"/>
          </w:tcPr>
          <w:p>
            <w:pPr>
              <w:jc w:val="center"/>
              <w:rPr>
                <w:noProof/>
                <w:sz w:val="18"/>
              </w:rPr>
            </w:pPr>
            <w:r>
              <w:rPr>
                <w:noProof/>
                <w:sz w:val="20"/>
              </w:rPr>
              <w:t>Year</w:t>
            </w:r>
            <w:r>
              <w:rPr>
                <w:noProof/>
                <w:sz w:val="22"/>
              </w:rPr>
              <w:br/>
            </w:r>
            <w:r>
              <w:rPr>
                <w:b/>
                <w:noProof/>
                <w:sz w:val="20"/>
              </w:rPr>
              <w:t>2023</w:t>
            </w:r>
          </w:p>
        </w:tc>
        <w:tc>
          <w:tcPr>
            <w:tcW w:w="850" w:type="dxa"/>
            <w:vAlign w:val="center"/>
          </w:tcPr>
          <w:p>
            <w:pPr>
              <w:jc w:val="center"/>
              <w:rPr>
                <w:b/>
                <w:noProof/>
                <w:sz w:val="18"/>
              </w:rPr>
            </w:pPr>
            <w:r>
              <w:rPr>
                <w:noProof/>
                <w:sz w:val="18"/>
              </w:rPr>
              <w:t>Year</w:t>
            </w:r>
            <w:r>
              <w:rPr>
                <w:b/>
                <w:noProof/>
                <w:sz w:val="18"/>
              </w:rPr>
              <w:t xml:space="preserve"> 2024</w:t>
            </w:r>
          </w:p>
        </w:tc>
        <w:tc>
          <w:tcPr>
            <w:tcW w:w="2693"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0.012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99"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0.060</w:t>
            </w:r>
          </w:p>
        </w:tc>
        <w:tc>
          <w:tcPr>
            <w:tcW w:w="2693"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0.360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0.012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99"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0.060</w:t>
            </w:r>
          </w:p>
        </w:tc>
        <w:tc>
          <w:tcPr>
            <w:tcW w:w="2693"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0.360</w:t>
            </w:r>
          </w:p>
        </w:tc>
      </w:tr>
    </w:tbl>
    <w:p>
      <w:pPr>
        <w:rPr>
          <w:noProof/>
        </w:rPr>
        <w:sectPr>
          <w:headerReference w:type="default" r:id="rId14"/>
          <w:footerReference w:type="default" r:id="rId15"/>
          <w:headerReference w:type="first" r:id="rId16"/>
          <w:footerReference w:type="first" r:id="rId17"/>
          <w:footnotePr>
            <w:numRestart w:val="eachSect"/>
          </w:footnotePr>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FE"/>
      </w:r>
      <w:r>
        <w:rPr>
          <w:noProof/>
        </w:rPr>
        <w:t xml:space="preserve"> The proposal/initiative does not require the use of operational appropriations </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9"/>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2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footnotePr>
            <w:numRestart w:val="eachSect"/>
          </w:footnote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65"/>
        <w:gridCol w:w="1066"/>
        <w:gridCol w:w="1066"/>
        <w:gridCol w:w="1066"/>
        <w:gridCol w:w="1066"/>
        <w:gridCol w:w="1066"/>
        <w:gridCol w:w="2245"/>
      </w:tblGrid>
      <w:tr>
        <w:trPr>
          <w:trHeight w:val="585"/>
        </w:trPr>
        <w:tc>
          <w:tcPr>
            <w:tcW w:w="1980" w:type="dxa"/>
          </w:tcPr>
          <w:p>
            <w:pPr>
              <w:spacing w:before="60" w:after="60" w:line="200" w:lineRule="exact"/>
              <w:rPr>
                <w:noProof/>
                <w:sz w:val="16"/>
                <w:szCs w:val="16"/>
              </w:rPr>
            </w:pPr>
          </w:p>
        </w:tc>
        <w:tc>
          <w:tcPr>
            <w:tcW w:w="1065"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Year</w:t>
            </w:r>
            <w:r>
              <w:rPr>
                <w:noProof/>
                <w:sz w:val="22"/>
              </w:rPr>
              <w:br/>
            </w:r>
            <w:r>
              <w:rPr>
                <w:b/>
                <w:noProof/>
                <w:sz w:val="16"/>
              </w:rPr>
              <w:t>2019</w:t>
            </w:r>
            <w:r>
              <w:rPr>
                <w:rStyle w:val="FootnoteReference"/>
                <w:b/>
                <w:noProof/>
                <w:sz w:val="16"/>
              </w:rPr>
              <w:footnoteReference w:id="21"/>
            </w:r>
          </w:p>
        </w:tc>
        <w:tc>
          <w:tcPr>
            <w:tcW w:w="1066"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66"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Year</w:t>
            </w:r>
            <w:r>
              <w:rPr>
                <w:noProof/>
                <w:sz w:val="22"/>
              </w:rPr>
              <w:br/>
            </w:r>
            <w:r>
              <w:rPr>
                <w:b/>
                <w:noProof/>
                <w:sz w:val="16"/>
              </w:rPr>
              <w:t>2021</w:t>
            </w:r>
          </w:p>
        </w:tc>
        <w:tc>
          <w:tcPr>
            <w:tcW w:w="1066"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Year</w:t>
            </w:r>
            <w:r>
              <w:rPr>
                <w:noProof/>
                <w:sz w:val="22"/>
              </w:rPr>
              <w:br/>
            </w:r>
            <w:r>
              <w:rPr>
                <w:b/>
                <w:noProof/>
                <w:sz w:val="16"/>
              </w:rPr>
              <w:t>2022</w:t>
            </w:r>
          </w:p>
        </w:tc>
        <w:tc>
          <w:tcPr>
            <w:tcW w:w="1066" w:type="dxa"/>
            <w:tcBorders>
              <w:top w:val="single" w:sz="2" w:space="0" w:color="auto"/>
              <w:left w:val="single" w:sz="2" w:space="0" w:color="auto"/>
              <w:bottom w:val="single" w:sz="2" w:space="0" w:color="auto"/>
              <w:right w:val="single" w:sz="2" w:space="0" w:color="auto"/>
            </w:tcBorders>
          </w:tcPr>
          <w:p>
            <w:pPr>
              <w:spacing w:before="60" w:after="60" w:line="200" w:lineRule="exact"/>
              <w:jc w:val="center"/>
              <w:rPr>
                <w:b/>
                <w:noProof/>
                <w:sz w:val="16"/>
              </w:rPr>
            </w:pPr>
            <w:r>
              <w:rPr>
                <w:noProof/>
                <w:sz w:val="16"/>
              </w:rPr>
              <w:t>Year</w:t>
            </w:r>
            <w:r>
              <w:rPr>
                <w:noProof/>
                <w:sz w:val="22"/>
              </w:rPr>
              <w:br/>
            </w:r>
            <w:r>
              <w:rPr>
                <w:b/>
                <w:noProof/>
                <w:sz w:val="16"/>
              </w:rPr>
              <w:t>2023</w:t>
            </w:r>
          </w:p>
        </w:tc>
        <w:tc>
          <w:tcPr>
            <w:tcW w:w="1066" w:type="dxa"/>
            <w:tcBorders>
              <w:top w:val="single" w:sz="2" w:space="0" w:color="auto"/>
              <w:left w:val="single" w:sz="2" w:space="0" w:color="auto"/>
              <w:bottom w:val="single" w:sz="2" w:space="0" w:color="auto"/>
              <w:right w:val="single" w:sz="2" w:space="0" w:color="auto"/>
            </w:tcBorders>
          </w:tcPr>
          <w:p>
            <w:pPr>
              <w:spacing w:before="60" w:after="60" w:line="200" w:lineRule="exact"/>
              <w:jc w:val="center"/>
              <w:rPr>
                <w:b/>
                <w:noProof/>
                <w:sz w:val="16"/>
              </w:rPr>
            </w:pPr>
            <w:r>
              <w:rPr>
                <w:noProof/>
                <w:sz w:val="16"/>
              </w:rPr>
              <w:t>Year</w:t>
            </w:r>
            <w:r>
              <w:rPr>
                <w:noProof/>
                <w:sz w:val="22"/>
              </w:rPr>
              <w:br/>
            </w:r>
            <w:r>
              <w:rPr>
                <w:b/>
                <w:noProof/>
                <w:sz w:val="16"/>
              </w:rPr>
              <w:t>2024</w:t>
            </w:r>
          </w:p>
        </w:tc>
        <w:tc>
          <w:tcPr>
            <w:tcW w:w="2245"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43"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65"/>
        <w:gridCol w:w="1066"/>
        <w:gridCol w:w="1066"/>
        <w:gridCol w:w="1066"/>
        <w:gridCol w:w="1066"/>
        <w:gridCol w:w="1066"/>
        <w:gridCol w:w="2268"/>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65"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2268"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65"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2268"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65"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2268"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65"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2268"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43"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2183"/>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2"/>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2183"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bCs/>
                <w:noProof/>
                <w:sz w:val="20"/>
                <w:szCs w:val="20"/>
              </w:rPr>
              <w:t>0.010</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bCs/>
                <w:noProof/>
                <w:sz w:val="20"/>
                <w:szCs w:val="20"/>
              </w:rPr>
              <w:t>0.060</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bCs/>
                <w:noProof/>
                <w:sz w:val="20"/>
                <w:szCs w:val="20"/>
              </w:rPr>
              <w:t>0.060</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bCs/>
                <w:noProof/>
                <w:sz w:val="20"/>
                <w:szCs w:val="20"/>
              </w:rPr>
            </w:pPr>
            <w:r>
              <w:rPr>
                <w:b/>
                <w:bCs/>
                <w:noProof/>
                <w:sz w:val="20"/>
                <w:szCs w:val="20"/>
              </w:rPr>
              <w:t>0.060</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szCs w:val="20"/>
              </w:rPr>
              <w:t>0.060</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szCs w:val="20"/>
              </w:rPr>
              <w:t>0.050</w:t>
            </w:r>
          </w:p>
        </w:tc>
        <w:tc>
          <w:tcPr>
            <w:tcW w:w="2183"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szCs w:val="20"/>
              </w:rPr>
              <w:t>0.300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0.002</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0.012</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0.012</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0.012</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0.012</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0.010</w:t>
            </w:r>
          </w:p>
        </w:tc>
        <w:tc>
          <w:tcPr>
            <w:tcW w:w="218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r>
              <w:rPr>
                <w:b/>
                <w:noProof/>
                <w:sz w:val="20"/>
              </w:rPr>
              <w:t>0.060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noProof/>
                <w:sz w:val="20"/>
              </w:rPr>
              <w:t>0.012</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noProof/>
                <w:sz w:val="20"/>
              </w:rPr>
              <w:t>0.072</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noProof/>
                <w:sz w:val="20"/>
              </w:rPr>
              <w:t>0.072</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bCs/>
                <w:noProof/>
                <w:sz w:val="20"/>
                <w:szCs w:val="20"/>
              </w:rPr>
            </w:pPr>
            <w:r>
              <w:rPr>
                <w:b/>
                <w:noProof/>
                <w:sz w:val="20"/>
              </w:rPr>
              <w:t>0.072</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rPr>
              <w:t>0.072</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rPr>
              <w:t>0.060</w:t>
            </w:r>
          </w:p>
        </w:tc>
        <w:tc>
          <w:tcPr>
            <w:tcW w:w="2183"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rPr>
              <w:t>0.360</w:t>
            </w:r>
          </w:p>
        </w:tc>
      </w:tr>
    </w:tbl>
    <w:p>
      <w:pPr>
        <w:spacing w:line="200" w:lineRule="exact"/>
        <w:rPr>
          <w:noProof/>
          <w:sz w:val="16"/>
          <w:szCs w:val="16"/>
        </w:rPr>
      </w:pPr>
    </w:p>
    <w:tbl>
      <w:tblPr>
        <w:tblW w:w="10643"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2183"/>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0.012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0.060</w:t>
            </w:r>
          </w:p>
        </w:tc>
        <w:tc>
          <w:tcPr>
            <w:tcW w:w="2183"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highlight w:val="yellow"/>
              </w:rPr>
            </w:pPr>
            <w:r>
              <w:rPr>
                <w:b/>
                <w:noProof/>
                <w:sz w:val="20"/>
              </w:rPr>
              <w:t>0.360</w:t>
            </w:r>
          </w:p>
        </w:tc>
      </w:tr>
    </w:tbl>
    <w:p>
      <w:pPr>
        <w:rPr>
          <w:noProof/>
          <w:sz w:val="18"/>
        </w:rPr>
        <w:sectPr>
          <w:headerReference w:type="default" r:id="rId18"/>
          <w:footerReference w:type="default" r:id="rId19"/>
          <w:headerReference w:type="first" r:id="rId20"/>
          <w:footerReference w:type="first" r:id="rId21"/>
          <w:footnotePr>
            <w:numRestart w:val="eachSect"/>
          </w:footnotePr>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6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51"/>
        <w:gridCol w:w="2055"/>
        <w:gridCol w:w="590"/>
        <w:gridCol w:w="826"/>
        <w:gridCol w:w="828"/>
        <w:gridCol w:w="709"/>
        <w:gridCol w:w="624"/>
        <w:gridCol w:w="312"/>
        <w:gridCol w:w="942"/>
      </w:tblGrid>
      <w:tr>
        <w:trPr>
          <w:trHeight w:val="289"/>
          <w:jc w:val="center"/>
        </w:trPr>
        <w:tc>
          <w:tcPr>
            <w:tcW w:w="2171" w:type="pct"/>
            <w:gridSpan w:val="2"/>
            <w:tcBorders>
              <w:top w:val="single" w:sz="6" w:space="0" w:color="auto"/>
              <w:left w:val="single" w:sz="6" w:space="0" w:color="auto"/>
              <w:bottom w:val="single" w:sz="6" w:space="0" w:color="auto"/>
              <w:right w:val="single" w:sz="6" w:space="0" w:color="auto"/>
            </w:tcBorders>
          </w:tcPr>
          <w:p>
            <w:pPr>
              <w:spacing w:before="40" w:after="40" w:line="256" w:lineRule="auto"/>
              <w:jc w:val="center"/>
              <w:rPr>
                <w:i/>
                <w:noProof/>
                <w:sz w:val="16"/>
                <w:szCs w:val="16"/>
              </w:rPr>
            </w:pPr>
          </w:p>
        </w:tc>
        <w:tc>
          <w:tcPr>
            <w:tcW w:w="346" w:type="pct"/>
            <w:tcBorders>
              <w:top w:val="single" w:sz="6" w:space="0" w:color="auto"/>
              <w:left w:val="single" w:sz="6" w:space="0" w:color="auto"/>
              <w:bottom w:val="single" w:sz="6" w:space="0" w:color="auto"/>
              <w:right w:val="single" w:sz="6" w:space="0" w:color="auto"/>
            </w:tcBorders>
            <w:vAlign w:val="center"/>
            <w:hideMark/>
          </w:tcPr>
          <w:p>
            <w:pPr>
              <w:spacing w:before="20" w:after="20" w:line="256" w:lineRule="auto"/>
              <w:jc w:val="center"/>
              <w:rPr>
                <w:noProof/>
                <w:sz w:val="16"/>
                <w:szCs w:val="16"/>
              </w:rPr>
            </w:pPr>
            <w:r>
              <w:rPr>
                <w:noProof/>
                <w:sz w:val="16"/>
              </w:rPr>
              <w:t>Year</w:t>
            </w:r>
            <w:r>
              <w:rPr>
                <w:noProof/>
                <w:sz w:val="22"/>
              </w:rPr>
              <w:br/>
            </w:r>
            <w:r>
              <w:rPr>
                <w:b/>
                <w:noProof/>
                <w:sz w:val="16"/>
              </w:rPr>
              <w:t>2019</w:t>
            </w:r>
          </w:p>
        </w:tc>
        <w:tc>
          <w:tcPr>
            <w:tcW w:w="483" w:type="pct"/>
            <w:tcBorders>
              <w:top w:val="single" w:sz="6" w:space="0" w:color="auto"/>
              <w:left w:val="single" w:sz="6" w:space="0" w:color="auto"/>
              <w:bottom w:val="single" w:sz="6" w:space="0" w:color="auto"/>
              <w:right w:val="single" w:sz="6" w:space="0" w:color="auto"/>
            </w:tcBorders>
            <w:vAlign w:val="center"/>
            <w:hideMark/>
          </w:tcPr>
          <w:p>
            <w:pPr>
              <w:spacing w:before="20" w:after="20" w:line="256" w:lineRule="auto"/>
              <w:jc w:val="center"/>
              <w:rPr>
                <w:noProof/>
                <w:sz w:val="16"/>
                <w:szCs w:val="16"/>
              </w:rPr>
            </w:pPr>
            <w:r>
              <w:rPr>
                <w:noProof/>
                <w:sz w:val="16"/>
              </w:rPr>
              <w:t>Year</w:t>
            </w:r>
            <w:r>
              <w:rPr>
                <w:noProof/>
                <w:sz w:val="22"/>
              </w:rPr>
              <w:br/>
            </w:r>
            <w:r>
              <w:rPr>
                <w:b/>
                <w:noProof/>
                <w:sz w:val="16"/>
              </w:rPr>
              <w:t>2020</w:t>
            </w:r>
          </w:p>
        </w:tc>
        <w:tc>
          <w:tcPr>
            <w:tcW w:w="484" w:type="pct"/>
            <w:tcBorders>
              <w:top w:val="single" w:sz="6" w:space="0" w:color="auto"/>
              <w:left w:val="single" w:sz="6" w:space="0" w:color="auto"/>
              <w:bottom w:val="single" w:sz="6" w:space="0" w:color="auto"/>
              <w:right w:val="single" w:sz="6" w:space="0" w:color="auto"/>
            </w:tcBorders>
            <w:vAlign w:val="center"/>
            <w:hideMark/>
          </w:tcPr>
          <w:p>
            <w:pPr>
              <w:spacing w:before="20" w:after="20" w:line="256" w:lineRule="auto"/>
              <w:jc w:val="center"/>
              <w:rPr>
                <w:noProof/>
                <w:sz w:val="16"/>
                <w:szCs w:val="16"/>
              </w:rPr>
            </w:pPr>
            <w:r>
              <w:rPr>
                <w:noProof/>
                <w:sz w:val="16"/>
                <w:szCs w:val="16"/>
              </w:rPr>
              <w:t>Year</w:t>
            </w:r>
          </w:p>
          <w:p>
            <w:pPr>
              <w:spacing w:before="20" w:after="20" w:line="256" w:lineRule="auto"/>
              <w:jc w:val="center"/>
              <w:rPr>
                <w:noProof/>
                <w:sz w:val="16"/>
                <w:szCs w:val="16"/>
              </w:rPr>
            </w:pPr>
            <w:r>
              <w:rPr>
                <w:b/>
                <w:noProof/>
                <w:sz w:val="16"/>
                <w:szCs w:val="16"/>
              </w:rPr>
              <w:t>2021</w:t>
            </w:r>
          </w:p>
        </w:tc>
        <w:tc>
          <w:tcPr>
            <w:tcW w:w="415" w:type="pct"/>
            <w:tcBorders>
              <w:top w:val="single" w:sz="6" w:space="0" w:color="auto"/>
              <w:left w:val="single" w:sz="6" w:space="0" w:color="auto"/>
              <w:bottom w:val="single" w:sz="6" w:space="0" w:color="auto"/>
              <w:right w:val="single" w:sz="6" w:space="0" w:color="auto"/>
            </w:tcBorders>
            <w:vAlign w:val="center"/>
            <w:hideMark/>
          </w:tcPr>
          <w:p>
            <w:pPr>
              <w:spacing w:before="20" w:after="20" w:line="256" w:lineRule="auto"/>
              <w:jc w:val="center"/>
              <w:rPr>
                <w:noProof/>
                <w:sz w:val="16"/>
                <w:szCs w:val="16"/>
              </w:rPr>
            </w:pPr>
            <w:r>
              <w:rPr>
                <w:noProof/>
                <w:sz w:val="16"/>
                <w:szCs w:val="16"/>
              </w:rPr>
              <w:t>Year</w:t>
            </w:r>
          </w:p>
          <w:p>
            <w:pPr>
              <w:spacing w:before="20" w:after="20" w:line="256" w:lineRule="auto"/>
              <w:jc w:val="center"/>
              <w:rPr>
                <w:noProof/>
                <w:sz w:val="16"/>
                <w:szCs w:val="16"/>
              </w:rPr>
            </w:pPr>
            <w:r>
              <w:rPr>
                <w:b/>
                <w:noProof/>
                <w:sz w:val="16"/>
                <w:szCs w:val="16"/>
              </w:rPr>
              <w:t>2022</w:t>
            </w:r>
          </w:p>
        </w:tc>
        <w:tc>
          <w:tcPr>
            <w:tcW w:w="551" w:type="pct"/>
            <w:gridSpan w:val="2"/>
            <w:tcBorders>
              <w:top w:val="single" w:sz="6" w:space="0" w:color="auto"/>
              <w:left w:val="single" w:sz="6" w:space="0" w:color="auto"/>
              <w:bottom w:val="single" w:sz="6" w:space="0" w:color="auto"/>
              <w:right w:val="single" w:sz="6" w:space="0" w:color="auto"/>
            </w:tcBorders>
            <w:vAlign w:val="center"/>
            <w:hideMark/>
          </w:tcPr>
          <w:p>
            <w:pPr>
              <w:spacing w:before="20" w:after="20" w:line="256" w:lineRule="auto"/>
              <w:jc w:val="center"/>
              <w:rPr>
                <w:noProof/>
                <w:sz w:val="16"/>
                <w:szCs w:val="16"/>
              </w:rPr>
            </w:pPr>
            <w:r>
              <w:rPr>
                <w:noProof/>
                <w:sz w:val="16"/>
                <w:szCs w:val="16"/>
              </w:rPr>
              <w:t>Year</w:t>
            </w:r>
          </w:p>
          <w:p>
            <w:pPr>
              <w:spacing w:line="256" w:lineRule="auto"/>
              <w:jc w:val="center"/>
              <w:rPr>
                <w:b/>
                <w:noProof/>
                <w:sz w:val="16"/>
              </w:rPr>
            </w:pPr>
            <w:r>
              <w:rPr>
                <w:b/>
                <w:noProof/>
                <w:sz w:val="16"/>
                <w:szCs w:val="16"/>
              </w:rPr>
              <w:t>2023</w:t>
            </w:r>
          </w:p>
        </w:tc>
        <w:tc>
          <w:tcPr>
            <w:tcW w:w="551" w:type="pct"/>
            <w:tcBorders>
              <w:top w:val="single" w:sz="6" w:space="0" w:color="auto"/>
              <w:left w:val="single" w:sz="6" w:space="0" w:color="auto"/>
              <w:bottom w:val="single" w:sz="6" w:space="0" w:color="auto"/>
              <w:right w:val="single" w:sz="6" w:space="0" w:color="auto"/>
            </w:tcBorders>
            <w:vAlign w:val="center"/>
            <w:hideMark/>
          </w:tcPr>
          <w:p>
            <w:pPr>
              <w:spacing w:before="20" w:after="20" w:line="256" w:lineRule="auto"/>
              <w:jc w:val="center"/>
              <w:rPr>
                <w:noProof/>
                <w:sz w:val="16"/>
                <w:szCs w:val="16"/>
              </w:rPr>
            </w:pPr>
            <w:r>
              <w:rPr>
                <w:noProof/>
                <w:sz w:val="16"/>
                <w:szCs w:val="16"/>
              </w:rPr>
              <w:t>Year</w:t>
            </w:r>
          </w:p>
          <w:p>
            <w:pPr>
              <w:spacing w:line="256" w:lineRule="auto"/>
              <w:jc w:val="center"/>
              <w:rPr>
                <w:b/>
                <w:noProof/>
                <w:sz w:val="16"/>
                <w:szCs w:val="16"/>
              </w:rPr>
            </w:pPr>
            <w:r>
              <w:rPr>
                <w:b/>
                <w:noProof/>
                <w:sz w:val="16"/>
                <w:szCs w:val="16"/>
              </w:rPr>
              <w:t>2024</w:t>
            </w:r>
          </w:p>
        </w:tc>
      </w:tr>
      <w:tr>
        <w:trPr>
          <w:trHeight w:val="289"/>
          <w:jc w:val="center"/>
        </w:trPr>
        <w:tc>
          <w:tcPr>
            <w:tcW w:w="3483" w:type="pct"/>
            <w:gridSpan w:val="5"/>
            <w:tcBorders>
              <w:top w:val="single" w:sz="6" w:space="0" w:color="auto"/>
              <w:left w:val="single" w:sz="6" w:space="0" w:color="auto"/>
              <w:bottom w:val="single" w:sz="6" w:space="0" w:color="auto"/>
              <w:right w:val="single" w:sz="6" w:space="0" w:color="auto"/>
            </w:tcBorders>
            <w:hideMark/>
          </w:tcPr>
          <w:p>
            <w:pPr>
              <w:spacing w:before="20" w:after="20" w:line="256" w:lineRule="auto"/>
              <w:rPr>
                <w:noProof/>
                <w:sz w:val="16"/>
                <w:szCs w:val="16"/>
              </w:rPr>
            </w:pPr>
            <w:r>
              <w:rPr>
                <w:b/>
                <w:noProof/>
                <w:sz w:val="16"/>
              </w:rPr>
              <w:sym w:font="Wingdings" w:char="F09F"/>
            </w:r>
            <w:r>
              <w:rPr>
                <w:b/>
                <w:noProof/>
                <w:sz w:val="16"/>
              </w:rPr>
              <w:t xml:space="preserve"> Establishment plan posts (officials and temporary staff)</w:t>
            </w:r>
          </w:p>
        </w:tc>
        <w:tc>
          <w:tcPr>
            <w:tcW w:w="415" w:type="pct"/>
            <w:tcBorders>
              <w:top w:val="single" w:sz="6" w:space="0" w:color="auto"/>
              <w:left w:val="single" w:sz="6" w:space="0" w:color="auto"/>
              <w:bottom w:val="single" w:sz="6" w:space="0" w:color="auto"/>
              <w:right w:val="single" w:sz="6" w:space="0" w:color="auto"/>
            </w:tcBorders>
            <w:vAlign w:val="center"/>
          </w:tcPr>
          <w:p>
            <w:pPr>
              <w:spacing w:before="20" w:after="20" w:line="256" w:lineRule="auto"/>
              <w:jc w:val="center"/>
              <w:rPr>
                <w:noProof/>
                <w:sz w:val="16"/>
                <w:szCs w:val="16"/>
              </w:rPr>
            </w:pPr>
          </w:p>
        </w:tc>
        <w:tc>
          <w:tcPr>
            <w:tcW w:w="551" w:type="pct"/>
            <w:gridSpan w:val="2"/>
            <w:tcBorders>
              <w:top w:val="single" w:sz="6" w:space="0" w:color="auto"/>
              <w:left w:val="single" w:sz="6" w:space="0" w:color="auto"/>
              <w:bottom w:val="single" w:sz="6" w:space="0" w:color="auto"/>
              <w:right w:val="single" w:sz="6" w:space="0" w:color="auto"/>
            </w:tcBorders>
          </w:tcPr>
          <w:p>
            <w:pPr>
              <w:spacing w:line="256" w:lineRule="auto"/>
              <w:jc w:val="center"/>
              <w:rPr>
                <w:noProof/>
                <w:sz w:val="16"/>
                <w:szCs w:val="16"/>
              </w:rPr>
            </w:pPr>
          </w:p>
        </w:tc>
        <w:tc>
          <w:tcPr>
            <w:tcW w:w="551" w:type="pct"/>
            <w:tcBorders>
              <w:top w:val="single" w:sz="6" w:space="0" w:color="auto"/>
              <w:left w:val="single" w:sz="6" w:space="0" w:color="auto"/>
              <w:bottom w:val="single" w:sz="6" w:space="0" w:color="auto"/>
              <w:right w:val="single" w:sz="6" w:space="0" w:color="auto"/>
            </w:tcBorders>
            <w:vAlign w:val="center"/>
          </w:tcPr>
          <w:p>
            <w:pPr>
              <w:spacing w:line="256" w:lineRule="auto"/>
              <w:jc w:val="center"/>
              <w:rPr>
                <w:noProof/>
                <w:sz w:val="16"/>
                <w:szCs w:val="16"/>
              </w:rPr>
            </w:pPr>
          </w:p>
        </w:tc>
      </w:tr>
      <w:tr>
        <w:trPr>
          <w:trHeight w:val="289"/>
          <w:jc w:val="center"/>
        </w:trPr>
        <w:tc>
          <w:tcPr>
            <w:tcW w:w="2171"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4"/>
              <w:jc w:val="left"/>
              <w:rPr>
                <w:b/>
                <w:noProof/>
                <w:sz w:val="16"/>
                <w:szCs w:val="16"/>
              </w:rPr>
            </w:pPr>
            <w:r>
              <w:rPr>
                <w:noProof/>
                <w:sz w:val="16"/>
              </w:rPr>
              <w:t>XX 01 01 01 (Headquarters and Commission’s Representation Offices)</w:t>
            </w:r>
          </w:p>
        </w:tc>
        <w:tc>
          <w:tcPr>
            <w:tcW w:w="3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551"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5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71"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4"/>
              <w:jc w:val="left"/>
              <w:rPr>
                <w:noProof/>
                <w:sz w:val="16"/>
                <w:szCs w:val="16"/>
              </w:rPr>
            </w:pPr>
            <w:r>
              <w:rPr>
                <w:noProof/>
                <w:sz w:val="16"/>
              </w:rPr>
              <w:t>XX 01 01 02 (Delegations)</w:t>
            </w:r>
          </w:p>
        </w:tc>
        <w:tc>
          <w:tcPr>
            <w:tcW w:w="3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551"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5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71"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4"/>
              <w:jc w:val="left"/>
              <w:rPr>
                <w:noProof/>
                <w:sz w:val="16"/>
                <w:szCs w:val="16"/>
              </w:rPr>
            </w:pPr>
            <w:r>
              <w:rPr>
                <w:noProof/>
                <w:sz w:val="16"/>
              </w:rPr>
              <w:t>08 01 05 01 (Indirect research)</w:t>
            </w:r>
          </w:p>
        </w:tc>
        <w:tc>
          <w:tcPr>
            <w:tcW w:w="34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noProof/>
                <w:sz w:val="16"/>
                <w:szCs w:val="16"/>
              </w:rPr>
            </w:pPr>
            <w:r>
              <w:rPr>
                <w:noProof/>
                <w:sz w:val="16"/>
                <w:szCs w:val="16"/>
              </w:rPr>
              <w:t>0.1</w:t>
            </w:r>
          </w:p>
        </w:tc>
        <w:tc>
          <w:tcPr>
            <w:tcW w:w="48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noProof/>
                <w:sz w:val="16"/>
                <w:szCs w:val="16"/>
              </w:rPr>
            </w:pPr>
            <w:r>
              <w:rPr>
                <w:noProof/>
                <w:sz w:val="16"/>
                <w:szCs w:val="16"/>
              </w:rPr>
              <w:t>0.5</w:t>
            </w:r>
          </w:p>
        </w:tc>
        <w:tc>
          <w:tcPr>
            <w:tcW w:w="48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noProof/>
                <w:sz w:val="16"/>
                <w:szCs w:val="16"/>
              </w:rPr>
            </w:pPr>
            <w:r>
              <w:rPr>
                <w:noProof/>
                <w:sz w:val="16"/>
                <w:szCs w:val="16"/>
              </w:rPr>
              <w:t>0.5</w:t>
            </w:r>
          </w:p>
        </w:tc>
        <w:tc>
          <w:tcPr>
            <w:tcW w:w="415"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noProof/>
                <w:sz w:val="16"/>
                <w:szCs w:val="16"/>
              </w:rPr>
            </w:pPr>
            <w:r>
              <w:rPr>
                <w:noProof/>
                <w:sz w:val="16"/>
                <w:szCs w:val="16"/>
              </w:rPr>
              <w:t>0.5</w:t>
            </w:r>
          </w:p>
        </w:tc>
        <w:tc>
          <w:tcPr>
            <w:tcW w:w="551"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56" w:lineRule="auto"/>
              <w:jc w:val="center"/>
              <w:rPr>
                <w:noProof/>
                <w:sz w:val="16"/>
                <w:szCs w:val="16"/>
              </w:rPr>
            </w:pPr>
            <w:r>
              <w:rPr>
                <w:noProof/>
                <w:sz w:val="16"/>
                <w:szCs w:val="16"/>
              </w:rPr>
              <w:t>0.5</w:t>
            </w:r>
          </w:p>
        </w:tc>
        <w:tc>
          <w:tcPr>
            <w:tcW w:w="551"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noProof/>
                <w:sz w:val="16"/>
                <w:szCs w:val="16"/>
              </w:rPr>
            </w:pPr>
            <w:r>
              <w:rPr>
                <w:noProof/>
                <w:sz w:val="16"/>
                <w:szCs w:val="16"/>
              </w:rPr>
              <w:t>0.4</w:t>
            </w:r>
          </w:p>
        </w:tc>
      </w:tr>
      <w:tr>
        <w:trPr>
          <w:trHeight w:val="289"/>
          <w:jc w:val="center"/>
        </w:trPr>
        <w:tc>
          <w:tcPr>
            <w:tcW w:w="2171"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4"/>
              <w:jc w:val="left"/>
              <w:rPr>
                <w:noProof/>
                <w:sz w:val="16"/>
                <w:szCs w:val="16"/>
              </w:rPr>
            </w:pPr>
            <w:r>
              <w:rPr>
                <w:noProof/>
                <w:sz w:val="16"/>
              </w:rPr>
              <w:t>10 01 05 01 (Direct research)</w:t>
            </w:r>
          </w:p>
        </w:tc>
        <w:tc>
          <w:tcPr>
            <w:tcW w:w="3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551"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5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gridAfter w:val="2"/>
          <w:wAfter w:w="736" w:type="pct"/>
          <w:trHeight w:val="248"/>
          <w:jc w:val="center"/>
        </w:trPr>
        <w:tc>
          <w:tcPr>
            <w:tcW w:w="3483" w:type="pct"/>
            <w:gridSpan w:val="5"/>
            <w:tcBorders>
              <w:top w:val="single" w:sz="6" w:space="0" w:color="auto"/>
              <w:left w:val="single" w:sz="6" w:space="0" w:color="auto"/>
              <w:bottom w:val="single" w:sz="6" w:space="0" w:color="auto"/>
              <w:right w:val="single" w:sz="6" w:space="0" w:color="auto"/>
            </w:tcBorders>
            <w:vAlign w:val="center"/>
          </w:tcPr>
          <w:p>
            <w:pPr>
              <w:spacing w:before="60" w:after="60" w:line="256" w:lineRule="auto"/>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23"/>
            </w:r>
          </w:p>
          <w:p>
            <w:pPr>
              <w:spacing w:before="0" w:after="0" w:line="256" w:lineRule="auto"/>
              <w:jc w:val="left"/>
              <w:rPr>
                <w:noProof/>
                <w:sz w:val="16"/>
                <w:szCs w:val="16"/>
              </w:rPr>
            </w:pPr>
          </w:p>
        </w:tc>
        <w:tc>
          <w:tcPr>
            <w:tcW w:w="781" w:type="pct"/>
            <w:gridSpan w:val="2"/>
            <w:tcBorders>
              <w:top w:val="single" w:sz="6" w:space="0" w:color="auto"/>
              <w:left w:val="single" w:sz="6" w:space="0" w:color="auto"/>
              <w:bottom w:val="single" w:sz="6" w:space="0" w:color="auto"/>
              <w:right w:val="single" w:sz="6" w:space="0" w:color="auto"/>
            </w:tcBorders>
          </w:tcPr>
          <w:p>
            <w:pPr>
              <w:spacing w:before="60" w:after="60" w:line="256" w:lineRule="auto"/>
              <w:jc w:val="left"/>
              <w:rPr>
                <w:b/>
                <w:noProof/>
                <w:sz w:val="16"/>
              </w:rPr>
            </w:pPr>
          </w:p>
        </w:tc>
      </w:tr>
      <w:tr>
        <w:trPr>
          <w:trHeight w:val="289"/>
          <w:jc w:val="center"/>
        </w:trPr>
        <w:tc>
          <w:tcPr>
            <w:tcW w:w="2171"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b/>
                <w:noProof/>
                <w:sz w:val="16"/>
                <w:szCs w:val="16"/>
              </w:rPr>
            </w:pPr>
            <w:r>
              <w:rPr>
                <w:noProof/>
                <w:sz w:val="16"/>
              </w:rPr>
              <w:t>XX 01 02 01 (AC, END, INT from the ‘global envelope’)</w:t>
            </w:r>
          </w:p>
        </w:tc>
        <w:tc>
          <w:tcPr>
            <w:tcW w:w="3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551"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5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71"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noProof/>
                <w:sz w:val="16"/>
                <w:szCs w:val="16"/>
              </w:rPr>
            </w:pPr>
            <w:r>
              <w:rPr>
                <w:noProof/>
                <w:sz w:val="16"/>
              </w:rPr>
              <w:t>XX 01 02 02 (AC, AL, END, INT and JED in the delegations)</w:t>
            </w:r>
          </w:p>
        </w:tc>
        <w:tc>
          <w:tcPr>
            <w:tcW w:w="3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551"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5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1019" w:type="pct"/>
            <w:vMerge w:val="restar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ind w:left="98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24"/>
            </w:r>
          </w:p>
          <w:p>
            <w:pPr>
              <w:spacing w:beforeLines="20" w:before="48" w:afterLines="20" w:after="48" w:line="256" w:lineRule="auto"/>
              <w:ind w:left="986"/>
              <w:jc w:val="left"/>
              <w:rPr>
                <w:b/>
                <w:noProof/>
                <w:sz w:val="16"/>
                <w:szCs w:val="16"/>
              </w:rPr>
            </w:pPr>
          </w:p>
        </w:tc>
        <w:tc>
          <w:tcPr>
            <w:tcW w:w="115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ind w:left="986"/>
              <w:jc w:val="left"/>
              <w:rPr>
                <w:b/>
                <w:noProof/>
                <w:sz w:val="16"/>
                <w:szCs w:val="16"/>
              </w:rPr>
            </w:pPr>
            <w:r>
              <w:rPr>
                <w:noProof/>
                <w:sz w:val="16"/>
              </w:rPr>
              <w:t>- at Headquarters</w:t>
            </w:r>
          </w:p>
          <w:p>
            <w:pPr>
              <w:spacing w:beforeLines="20" w:before="48" w:afterLines="20" w:after="48" w:line="256" w:lineRule="auto"/>
              <w:ind w:left="986"/>
              <w:jc w:val="left"/>
              <w:rPr>
                <w:b/>
                <w:noProof/>
                <w:sz w:val="16"/>
                <w:szCs w:val="16"/>
              </w:rPr>
            </w:pPr>
          </w:p>
        </w:tc>
        <w:tc>
          <w:tcPr>
            <w:tcW w:w="3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ind w:left="850"/>
              <w:rPr>
                <w:noProof/>
                <w:sz w:val="16"/>
                <w:szCs w:val="16"/>
              </w:rPr>
            </w:pPr>
          </w:p>
        </w:tc>
        <w:tc>
          <w:tcPr>
            <w:tcW w:w="48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551"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5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56" w:lineRule="auto"/>
              <w:jc w:val="left"/>
              <w:rPr>
                <w:b/>
                <w:noProof/>
                <w:sz w:val="16"/>
                <w:szCs w:val="16"/>
              </w:rPr>
            </w:pPr>
          </w:p>
        </w:tc>
        <w:tc>
          <w:tcPr>
            <w:tcW w:w="1151"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b/>
                <w:noProof/>
                <w:sz w:val="16"/>
                <w:szCs w:val="16"/>
              </w:rPr>
            </w:pPr>
            <w:r>
              <w:rPr>
                <w:noProof/>
                <w:sz w:val="16"/>
              </w:rPr>
              <w:t xml:space="preserve">- in Delegations </w:t>
            </w:r>
          </w:p>
        </w:tc>
        <w:tc>
          <w:tcPr>
            <w:tcW w:w="3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ind w:left="850"/>
              <w:rPr>
                <w:noProof/>
                <w:sz w:val="16"/>
                <w:szCs w:val="16"/>
              </w:rPr>
            </w:pPr>
          </w:p>
        </w:tc>
        <w:tc>
          <w:tcPr>
            <w:tcW w:w="48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551"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5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71"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noProof/>
                <w:sz w:val="16"/>
                <w:szCs w:val="16"/>
              </w:rPr>
            </w:pPr>
            <w:r>
              <w:rPr>
                <w:b/>
                <w:noProof/>
                <w:sz w:val="16"/>
                <w:szCs w:val="16"/>
              </w:rPr>
              <w:t>XX</w:t>
            </w:r>
            <w:r>
              <w:rPr>
                <w:noProof/>
                <w:sz w:val="16"/>
                <w:szCs w:val="16"/>
              </w:rPr>
              <w:t xml:space="preserve"> 01 05 02 (AC, END, INT – Indirect research)</w:t>
            </w:r>
          </w:p>
        </w:tc>
        <w:tc>
          <w:tcPr>
            <w:tcW w:w="3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551"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5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71"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noProof/>
                <w:sz w:val="16"/>
                <w:szCs w:val="16"/>
              </w:rPr>
            </w:pPr>
            <w:r>
              <w:rPr>
                <w:noProof/>
                <w:sz w:val="16"/>
              </w:rPr>
              <w:t>10 01 05 02 (AC, END, INT – Direct research)</w:t>
            </w:r>
          </w:p>
        </w:tc>
        <w:tc>
          <w:tcPr>
            <w:tcW w:w="3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551"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5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71" w:type="pct"/>
            <w:gridSpan w:val="2"/>
            <w:tcBorders>
              <w:top w:val="single" w:sz="6" w:space="0" w:color="auto"/>
              <w:left w:val="single" w:sz="6" w:space="0" w:color="auto"/>
              <w:bottom w:val="double" w:sz="4" w:space="0" w:color="auto"/>
              <w:right w:val="single" w:sz="6" w:space="0" w:color="auto"/>
            </w:tcBorders>
            <w:vAlign w:val="center"/>
            <w:hideMark/>
          </w:tcPr>
          <w:p>
            <w:pPr>
              <w:spacing w:beforeLines="20" w:before="48" w:afterLines="20" w:after="48" w:line="256" w:lineRule="auto"/>
              <w:ind w:left="984"/>
              <w:jc w:val="left"/>
              <w:rPr>
                <w:noProof/>
                <w:sz w:val="16"/>
                <w:szCs w:val="16"/>
              </w:rPr>
            </w:pPr>
            <w:r>
              <w:rPr>
                <w:noProof/>
                <w:sz w:val="16"/>
              </w:rPr>
              <w:t>Other budget lines (specify)</w:t>
            </w:r>
          </w:p>
        </w:tc>
        <w:tc>
          <w:tcPr>
            <w:tcW w:w="34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56" w:lineRule="auto"/>
              <w:jc w:val="center"/>
              <w:rPr>
                <w:noProof/>
                <w:sz w:val="16"/>
                <w:szCs w:val="16"/>
              </w:rPr>
            </w:pPr>
          </w:p>
        </w:tc>
        <w:tc>
          <w:tcPr>
            <w:tcW w:w="48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56" w:lineRule="auto"/>
              <w:jc w:val="center"/>
              <w:rPr>
                <w:noProof/>
                <w:sz w:val="16"/>
                <w:szCs w:val="16"/>
              </w:rPr>
            </w:pPr>
          </w:p>
        </w:tc>
        <w:tc>
          <w:tcPr>
            <w:tcW w:w="48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56" w:lineRule="auto"/>
              <w:jc w:val="center"/>
              <w:rPr>
                <w:noProof/>
                <w:sz w:val="16"/>
                <w:szCs w:val="16"/>
              </w:rPr>
            </w:pPr>
          </w:p>
        </w:tc>
        <w:tc>
          <w:tcPr>
            <w:tcW w:w="4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56" w:lineRule="auto"/>
              <w:jc w:val="center"/>
              <w:rPr>
                <w:noProof/>
                <w:sz w:val="16"/>
                <w:szCs w:val="16"/>
              </w:rPr>
            </w:pPr>
          </w:p>
        </w:tc>
        <w:tc>
          <w:tcPr>
            <w:tcW w:w="551" w:type="pct"/>
            <w:gridSpan w:val="2"/>
            <w:tcBorders>
              <w:top w:val="single" w:sz="6" w:space="0" w:color="auto"/>
              <w:left w:val="single" w:sz="6" w:space="0" w:color="auto"/>
              <w:bottom w:val="double" w:sz="4" w:space="0" w:color="auto"/>
              <w:right w:val="single" w:sz="6" w:space="0" w:color="auto"/>
            </w:tcBorders>
          </w:tcPr>
          <w:p>
            <w:pPr>
              <w:spacing w:beforeLines="20" w:before="48" w:afterLines="20" w:after="48" w:line="256" w:lineRule="auto"/>
              <w:jc w:val="center"/>
              <w:rPr>
                <w:noProof/>
                <w:sz w:val="16"/>
                <w:szCs w:val="16"/>
              </w:rPr>
            </w:pPr>
          </w:p>
        </w:tc>
        <w:tc>
          <w:tcPr>
            <w:tcW w:w="551"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71" w:type="pct"/>
            <w:gridSpan w:val="2"/>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noProof/>
                <w:sz w:val="16"/>
                <w:szCs w:val="16"/>
              </w:rPr>
            </w:pPr>
            <w:r>
              <w:rPr>
                <w:b/>
                <w:noProof/>
                <w:sz w:val="16"/>
              </w:rPr>
              <w:t>TOTAL</w:t>
            </w:r>
          </w:p>
        </w:tc>
        <w:tc>
          <w:tcPr>
            <w:tcW w:w="34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b/>
                <w:noProof/>
                <w:sz w:val="16"/>
                <w:szCs w:val="16"/>
              </w:rPr>
            </w:pPr>
            <w:r>
              <w:rPr>
                <w:noProof/>
                <w:sz w:val="16"/>
                <w:szCs w:val="16"/>
              </w:rPr>
              <w:t>0.1</w:t>
            </w:r>
          </w:p>
        </w:tc>
        <w:tc>
          <w:tcPr>
            <w:tcW w:w="48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b/>
                <w:noProof/>
                <w:sz w:val="16"/>
                <w:szCs w:val="16"/>
              </w:rPr>
            </w:pPr>
            <w:r>
              <w:rPr>
                <w:noProof/>
                <w:sz w:val="16"/>
                <w:szCs w:val="16"/>
              </w:rPr>
              <w:t>0.5</w:t>
            </w:r>
          </w:p>
        </w:tc>
        <w:tc>
          <w:tcPr>
            <w:tcW w:w="484"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b/>
                <w:noProof/>
                <w:sz w:val="16"/>
                <w:szCs w:val="16"/>
              </w:rPr>
            </w:pPr>
            <w:r>
              <w:rPr>
                <w:noProof/>
                <w:sz w:val="16"/>
                <w:szCs w:val="16"/>
              </w:rPr>
              <w:t>0.5</w:t>
            </w:r>
          </w:p>
        </w:tc>
        <w:tc>
          <w:tcPr>
            <w:tcW w:w="415"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b/>
                <w:noProof/>
                <w:sz w:val="16"/>
                <w:szCs w:val="16"/>
              </w:rPr>
            </w:pPr>
            <w:r>
              <w:rPr>
                <w:noProof/>
                <w:sz w:val="16"/>
                <w:szCs w:val="16"/>
              </w:rPr>
              <w:t>0.5</w:t>
            </w:r>
          </w:p>
        </w:tc>
        <w:tc>
          <w:tcPr>
            <w:tcW w:w="551" w:type="pct"/>
            <w:gridSpan w:val="2"/>
            <w:tcBorders>
              <w:top w:val="double" w:sz="4" w:space="0" w:color="auto"/>
              <w:left w:val="single" w:sz="6" w:space="0" w:color="auto"/>
              <w:bottom w:val="single" w:sz="6" w:space="0" w:color="auto"/>
              <w:right w:val="single" w:sz="6" w:space="0" w:color="auto"/>
            </w:tcBorders>
            <w:hideMark/>
          </w:tcPr>
          <w:p>
            <w:pPr>
              <w:spacing w:beforeLines="20" w:before="48" w:afterLines="20" w:after="48" w:line="256" w:lineRule="auto"/>
              <w:jc w:val="center"/>
              <w:rPr>
                <w:b/>
                <w:noProof/>
                <w:sz w:val="16"/>
                <w:szCs w:val="16"/>
              </w:rPr>
            </w:pPr>
            <w:r>
              <w:rPr>
                <w:noProof/>
                <w:sz w:val="16"/>
                <w:szCs w:val="16"/>
              </w:rPr>
              <w:t>0.5</w:t>
            </w:r>
          </w:p>
        </w:tc>
        <w:tc>
          <w:tcPr>
            <w:tcW w:w="551"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b/>
                <w:noProof/>
                <w:sz w:val="16"/>
                <w:szCs w:val="16"/>
              </w:rPr>
            </w:pPr>
            <w:r>
              <w:rPr>
                <w:noProof/>
                <w:sz w:val="16"/>
                <w:szCs w:val="16"/>
              </w:rPr>
              <w:t>0.4</w:t>
            </w: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spacing w:line="256" w:lineRule="auto"/>
              <w:rPr>
                <w:noProof/>
                <w:sz w:val="20"/>
              </w:rPr>
            </w:pPr>
            <w:r>
              <w:rPr>
                <w:noProof/>
                <w:sz w:val="20"/>
              </w:rPr>
              <w:t>Preparation and management of meetings of the Joint Committee established under Art. 6(a) of the Agreement, as well as follow–up of the functioning and implementation of the Agreement.</w:t>
            </w:r>
          </w:p>
          <w:p>
            <w:pPr>
              <w:rPr>
                <w:noProof/>
                <w:sz w:val="20"/>
              </w:rPr>
            </w:pPr>
            <w:r>
              <w:rPr>
                <w:noProof/>
                <w:sz w:val="20"/>
              </w:rPr>
              <w:t>Calculations are done proportionally considering the duration of the Agreement.</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footnotePr>
            <w:numRestart w:val="eachSect"/>
          </w:footnote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FE"/>
      </w:r>
      <w:r>
        <w:rPr>
          <w:noProof/>
        </w:rPr>
        <w:tab/>
        <w:t>The proposal/initiative is compatible the current multiannual financial framework.</w:t>
      </w:r>
    </w:p>
    <w:p>
      <w:pPr>
        <w:pStyle w:val="Text1"/>
        <w:pBdr>
          <w:top w:val="single" w:sz="4" w:space="1" w:color="auto"/>
          <w:left w:val="single" w:sz="4" w:space="4" w:color="auto"/>
          <w:bottom w:val="single" w:sz="4" w:space="1" w:color="auto"/>
          <w:right w:val="single" w:sz="4" w:space="4" w:color="auto"/>
        </w:pBdr>
        <w:rPr>
          <w:noProof/>
        </w:rPr>
      </w:pPr>
      <w:r>
        <w:rPr>
          <w:noProof/>
          <w:sz w:val="20"/>
        </w:rPr>
        <w:t>Multiannual Financial Framework 2021-2027 is still to be adopted by the European Parliament and Council.</w:t>
      </w:r>
    </w:p>
    <w:p>
      <w:pPr>
        <w:pStyle w:val="ManualHeading3"/>
        <w:rPr>
          <w:bCs/>
          <w:noProof/>
          <w:szCs w:val="24"/>
        </w:rPr>
      </w:pPr>
      <w:r>
        <w:t>3.2.5.</w:t>
      </w:r>
      <w:r>
        <w:tab/>
      </w: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FF0000"/>
          <w:highlight w:val="yellow"/>
        </w:rPr>
      </w:pPr>
      <w:r>
        <w:rPr>
          <w:rStyle w:val="FootnoteReference"/>
        </w:rPr>
        <w:footnoteRef/>
      </w:r>
      <w:r>
        <w:rPr>
          <w:color w:val="000000" w:themeColor="text1"/>
        </w:rPr>
        <w:tab/>
        <w:t>OJ L 036, 12.02.2003, p. 32.</w:t>
      </w:r>
    </w:p>
  </w:footnote>
  <w:footnote w:id="2">
    <w:p>
      <w:pPr>
        <w:pStyle w:val="FootnoteText"/>
      </w:pPr>
      <w:r>
        <w:rPr>
          <w:rStyle w:val="FootnoteReference"/>
        </w:rPr>
        <w:footnoteRef/>
      </w:r>
      <w:r>
        <w:tab/>
        <w:t xml:space="preserve">Council Decision 2011/182/EU of 9 March 2011 concerning the renewal of the Agreement for scientific and technological cooperation between the European Community and Ukraine (OJ L 79, 25.3.2011, p. 3). </w:t>
      </w:r>
    </w:p>
  </w:footnote>
  <w:footnote w:id="3">
    <w:p>
      <w:pPr>
        <w:pStyle w:val="FootnoteText"/>
      </w:pPr>
      <w:r>
        <w:rPr>
          <w:rStyle w:val="FootnoteReference"/>
        </w:rPr>
        <w:footnoteRef/>
      </w:r>
      <w:r>
        <w:tab/>
        <w:t>Council Decision (EU) 2015/344 concerning the renewal of the Agreement on cooperation in science and technology between the European Community and Ukraine (OJ L 60, 4.3.2015, p. 37)</w:t>
      </w:r>
      <w:r>
        <w:rPr>
          <w:color w:val="000000" w:themeColor="text1"/>
        </w:rPr>
        <w:t>.</w:t>
      </w:r>
    </w:p>
  </w:footnote>
  <w:footnote w:id="4">
    <w:p>
      <w:pPr>
        <w:pStyle w:val="FootnoteText"/>
      </w:pPr>
      <w:r>
        <w:rPr>
          <w:rStyle w:val="FootnoteReference"/>
        </w:rPr>
        <w:footnoteRef/>
      </w:r>
      <w:r>
        <w:tab/>
      </w:r>
      <w:r>
        <w:rPr>
          <w:iCs/>
        </w:rPr>
        <w:t>Enhancing and focusing EU international cooperation in research and innovation: a strategic approach</w:t>
      </w:r>
      <w:r>
        <w:t xml:space="preserve">, COM(2012) 497. </w:t>
      </w:r>
    </w:p>
  </w:footnote>
  <w:footnote w:id="5">
    <w:p>
      <w:pPr>
        <w:pStyle w:val="FootnoteText"/>
        <w:rPr>
          <w:lang w:val="pl-PL"/>
        </w:rPr>
      </w:pPr>
      <w:r>
        <w:rPr>
          <w:rStyle w:val="FootnoteReference"/>
        </w:rPr>
        <w:footnoteRef/>
      </w:r>
      <w:r>
        <w:rPr>
          <w:lang w:val="pl-PL"/>
        </w:rPr>
        <w:tab/>
        <w:t>OJ C , , p. .</w:t>
      </w:r>
    </w:p>
  </w:footnote>
  <w:footnote w:id="6">
    <w:p>
      <w:pPr>
        <w:pStyle w:val="FootnoteText"/>
        <w:jc w:val="left"/>
        <w:rPr>
          <w:sz w:val="24"/>
          <w:szCs w:val="24"/>
        </w:rPr>
      </w:pPr>
      <w:r>
        <w:rPr>
          <w:rStyle w:val="FootnoteReference"/>
        </w:rPr>
        <w:footnoteRef/>
      </w:r>
      <w:r>
        <w:rPr>
          <w:sz w:val="24"/>
          <w:szCs w:val="24"/>
        </w:rPr>
        <w:tab/>
        <w:t>Council Decision 2003/96/EC of 6 of February 2003 concerning the conclusion of the Agreement for scientific and technological cooperation between the European Community and Ukraine (OJ L 36, 12.2.2003, p. 31).</w:t>
      </w:r>
    </w:p>
  </w:footnote>
  <w:footnote w:id="7">
    <w:p>
      <w:pPr>
        <w:pStyle w:val="FootnoteText"/>
        <w:jc w:val="left"/>
        <w:rPr>
          <w:sz w:val="24"/>
          <w:szCs w:val="24"/>
        </w:rPr>
      </w:pPr>
      <w:r>
        <w:rPr>
          <w:rStyle w:val="FootnoteReference"/>
        </w:rPr>
        <w:footnoteRef/>
      </w:r>
      <w:r>
        <w:rPr>
          <w:color w:val="000000" w:themeColor="text1"/>
          <w:sz w:val="24"/>
          <w:szCs w:val="24"/>
        </w:rPr>
        <w:tab/>
        <w:t>Agreement on cooperation in science and technology between the European Community and Ukraine (OJ L 36, 12.2.2003, p. 32).</w:t>
      </w:r>
    </w:p>
  </w:footnote>
  <w:footnote w:id="8">
    <w:p>
      <w:pPr>
        <w:pStyle w:val="FootnoteText"/>
        <w:jc w:val="left"/>
        <w:rPr>
          <w:sz w:val="24"/>
          <w:szCs w:val="24"/>
        </w:rPr>
      </w:pPr>
      <w:r>
        <w:rPr>
          <w:rStyle w:val="FootnoteReference"/>
        </w:rPr>
        <w:footnoteRef/>
      </w:r>
      <w:r>
        <w:rPr>
          <w:sz w:val="24"/>
          <w:szCs w:val="24"/>
        </w:rPr>
        <w:tab/>
        <w:t>Council Decision 2011/182/EU of 9 March 2011 concerning the renewal of the Agreement for scientific and technological cooperation between the European Community and Ukraine (OJ L79, 25.3.2011, p. 3).</w:t>
      </w:r>
    </w:p>
  </w:footnote>
  <w:footnote w:id="9">
    <w:p>
      <w:pPr>
        <w:pStyle w:val="FootnoteText"/>
        <w:jc w:val="left"/>
        <w:rPr>
          <w:sz w:val="24"/>
          <w:szCs w:val="24"/>
        </w:rPr>
      </w:pPr>
      <w:r>
        <w:rPr>
          <w:rStyle w:val="FootnoteReference"/>
        </w:rPr>
        <w:footnoteRef/>
      </w:r>
      <w:r>
        <w:rPr>
          <w:sz w:val="24"/>
          <w:szCs w:val="24"/>
        </w:rPr>
        <w:tab/>
        <w:t>Council Decision (EU) 2015/344 of 17 February 2015 concerning the renewal of the Agreement on cooperation in science and technology between the European Community and Ukraine (OJ L 60, 4.3.2015, p. 37).</w:t>
      </w:r>
    </w:p>
  </w:footnote>
  <w:footnote w:id="10">
    <w:p>
      <w:pPr>
        <w:pStyle w:val="FootnoteText"/>
        <w:rPr>
          <w:szCs w:val="24"/>
        </w:rPr>
      </w:pPr>
      <w:r>
        <w:rPr>
          <w:rStyle w:val="FootnoteReference"/>
        </w:rPr>
        <w:footnoteRef/>
      </w:r>
      <w:r>
        <w:tab/>
        <w:t>ABM: activity-based management; ABB: activity-based budgeting.</w:t>
      </w:r>
    </w:p>
  </w:footnote>
  <w:footnote w:id="11">
    <w:p>
      <w:pPr>
        <w:pStyle w:val="FootnoteText"/>
        <w:rPr>
          <w:szCs w:val="24"/>
        </w:rPr>
      </w:pPr>
      <w:r>
        <w:rPr>
          <w:rStyle w:val="FootnoteReference"/>
        </w:rPr>
        <w:footnoteRef/>
      </w:r>
      <w:r>
        <w:tab/>
        <w:t>As referred to in Article 54(2)(a) or (b) of the Financial Regulation.</w:t>
      </w:r>
    </w:p>
  </w:footnote>
  <w:footnote w:id="12">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3">
    <w:p>
      <w:pPr>
        <w:pStyle w:val="FootnoteText"/>
        <w:rPr>
          <w:szCs w:val="24"/>
        </w:rPr>
      </w:pPr>
      <w:r>
        <w:rPr>
          <w:rStyle w:val="FootnoteReference"/>
        </w:rPr>
        <w:footnoteRef/>
      </w:r>
      <w:r>
        <w:tab/>
        <w:t>Diff. = Differentiated appropriations / Non-diff. = Non-differentiated appropriations.</w:t>
      </w:r>
    </w:p>
  </w:footnote>
  <w:footnote w:id="14">
    <w:p>
      <w:pPr>
        <w:pStyle w:val="FootnoteText"/>
        <w:rPr>
          <w:szCs w:val="24"/>
        </w:rPr>
      </w:pPr>
      <w:r>
        <w:rPr>
          <w:rStyle w:val="FootnoteReference"/>
        </w:rPr>
        <w:footnoteRef/>
      </w:r>
      <w:r>
        <w:tab/>
        <w:t xml:space="preserve">EFTA: European Free Trade Association. </w:t>
      </w:r>
    </w:p>
  </w:footnote>
  <w:footnote w:id="15">
    <w:p>
      <w:pPr>
        <w:pStyle w:val="FootnoteText"/>
        <w:rPr>
          <w:szCs w:val="24"/>
        </w:rPr>
      </w:pPr>
      <w:r>
        <w:rPr>
          <w:rStyle w:val="FootnoteReference"/>
        </w:rPr>
        <w:footnoteRef/>
      </w:r>
      <w:r>
        <w:tab/>
        <w:t>Candidate countries and, where applicable, potential candidate countries from the Western Balkans.</w:t>
      </w:r>
    </w:p>
  </w:footnote>
  <w:footnote w:id="16">
    <w:p>
      <w:pPr>
        <w:pStyle w:val="FootnoteText"/>
        <w:rPr>
          <w:szCs w:val="24"/>
        </w:rPr>
      </w:pPr>
      <w:r>
        <w:rPr>
          <w:rStyle w:val="FootnoteReference"/>
        </w:rPr>
        <w:footnoteRef/>
      </w:r>
      <w:r>
        <w:tab/>
        <w:t>Year 2019 is the year in which implementation of the proposal/initiative starts. Amounts for 2019 and 2024 correspond to two months and ten months respectively.</w:t>
      </w:r>
    </w:p>
  </w:footnote>
  <w:footnote w:id="17">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8">
    <w:p>
      <w:pPr>
        <w:pStyle w:val="FootnoteText"/>
        <w:rPr>
          <w:szCs w:val="24"/>
        </w:rPr>
      </w:pPr>
      <w:r>
        <w:rPr>
          <w:rStyle w:val="FootnoteReference"/>
        </w:rPr>
        <w:footnoteRef/>
      </w:r>
      <w:r>
        <w:tab/>
        <w:t>Year 2019 is the year in which implementation of the proposal/initiative starts. Amounts for 2019 and 2024 correspond to two months and ten months respectively.</w:t>
      </w:r>
    </w:p>
  </w:footnote>
  <w:footnote w:id="19">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0">
    <w:p>
      <w:pPr>
        <w:pStyle w:val="FootnoteText"/>
        <w:rPr>
          <w:szCs w:val="24"/>
        </w:rPr>
      </w:pPr>
      <w:r>
        <w:rPr>
          <w:rStyle w:val="FootnoteReference"/>
        </w:rPr>
        <w:footnoteRef/>
      </w:r>
      <w:r>
        <w:tab/>
        <w:t xml:space="preserve">As described in point 1.4.2. ‘Specific objective(s)…’ </w:t>
      </w:r>
    </w:p>
  </w:footnote>
  <w:footnote w:id="21">
    <w:p>
      <w:pPr>
        <w:pStyle w:val="FootnoteText"/>
        <w:rPr>
          <w:szCs w:val="24"/>
        </w:rPr>
      </w:pPr>
      <w:r>
        <w:rPr>
          <w:rStyle w:val="FootnoteReference"/>
        </w:rPr>
        <w:footnoteRef/>
      </w:r>
      <w:r>
        <w:tab/>
        <w:t>Year 2019 is the year in which implementation of the proposal/initiative starts. Amounts for 2019 and 2024 correspond to two months and ten months respectively.</w:t>
      </w:r>
    </w:p>
  </w:footnote>
  <w:footnote w:id="2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3">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4">
    <w:p>
      <w:pPr>
        <w:pStyle w:val="FootnoteText"/>
        <w:rPr>
          <w:szCs w:val="24"/>
        </w:rPr>
      </w:pPr>
      <w:r>
        <w:rPr>
          <w:rStyle w:val="FootnoteReference"/>
        </w:rPr>
        <w:footnoteRef/>
      </w:r>
      <w:r>
        <w:tab/>
        <w:t>Sub-ceiling for external staff covered by operational appropriations (former ‘BA’ lines).</w:t>
      </w:r>
    </w:p>
  </w:footnote>
  <w:footnote w:id="25">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1"/>
  </w:num>
  <w:num w:numId="19">
    <w:abstractNumId w:val="11"/>
  </w:num>
  <w:num w:numId="20">
    <w:abstractNumId w:val="24"/>
  </w:num>
  <w:num w:numId="21">
    <w:abstractNumId w:val="6"/>
  </w:num>
  <w:num w:numId="22">
    <w:abstractNumId w:val="12"/>
  </w:num>
  <w:num w:numId="23">
    <w:abstractNumId w:val="4"/>
  </w:num>
  <w:num w:numId="24">
    <w:abstractNumId w:val="23"/>
  </w:num>
  <w:num w:numId="25">
    <w:abstractNumId w:val="3"/>
  </w:num>
  <w:num w:numId="26">
    <w:abstractNumId w:val="13"/>
  </w:num>
  <w:num w:numId="27">
    <w:abstractNumId w:val="19"/>
  </w:num>
  <w:num w:numId="28">
    <w:abstractNumId w:val="20"/>
  </w:num>
  <w:num w:numId="29">
    <w:abstractNumId w:val="5"/>
  </w:num>
  <w:num w:numId="30">
    <w:abstractNumId w:val="17"/>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23 15:41: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A23DD5D-D7B7-4A4E-B51D-994535808234"/>
    <w:docVar w:name="LW_COVERPAGE_TYPE" w:val="1"/>
    <w:docVar w:name="LW_CROSSREFERENCE" w:val="&lt;UNUSED&gt;"/>
    <w:docVar w:name="LW_DocType" w:val="COM"/>
    <w:docVar w:name="LW_EMISSION" w:val="30.1.2020"/>
    <w:docVar w:name="LW_EMISSION_ISODATE" w:val="2020-01-3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6"/>
    <w:docVar w:name="LW_REF.II.NEW.CP_YEAR" w:val="2020"/>
    <w:docVar w:name="LW_REF.INST.NEW" w:val="COM"/>
    <w:docVar w:name="LW_REF.INST.NEW_ADOPTED" w:val="final"/>
    <w:docVar w:name="LW_REF.INST.NEW_TEXT" w:val="(2020)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on the renewal of the Agreement on cooperation in science and technology between the European Community and Ukraine"/>
    <w:docVar w:name="LW_TITRE.OBJ.CP" w:val="on the renewal of the Agreement on cooperation in science and technology between the European Community and Ukraine"/>
    <w:docVar w:name="LW_TYPE.DOC" w:val="COUNCIL DECI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BDFB-4E3E-4604-B0A9-BA1AE223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17</Pages>
  <Words>4093</Words>
  <Characters>23128</Characters>
  <Application>Microsoft Office Word</Application>
  <DocSecurity>0</DocSecurity>
  <Lines>1360</Lines>
  <Paragraphs>648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2019-12-09T15:52:00Z</cp:lastPrinted>
  <dcterms:created xsi:type="dcterms:W3CDTF">2019-12-20T14:06:00Z</dcterms:created>
  <dcterms:modified xsi:type="dcterms:W3CDTF">2020-01-23T14:41:00Z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