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B37DE2C-EB33-429B-BA61-F99B385B647F"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 xml:space="preserve">CONTEXT OF THE PROPOSAL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0" w:after="0"/>
        <w:rPr>
          <w:noProof/>
        </w:rPr>
      </w:pPr>
      <w:r>
        <w:rPr>
          <w:noProof/>
        </w:rPr>
        <w:t>The 'Agreement for scientific and technological cooperation between the European Community and the Government of the Republic of India'</w:t>
      </w:r>
      <w:r>
        <w:rPr>
          <w:rStyle w:val="FootnoteReference"/>
          <w:noProof/>
        </w:rPr>
        <w:footnoteReference w:id="1"/>
      </w:r>
      <w:r>
        <w:rPr>
          <w:noProof/>
        </w:rPr>
        <w:t xml:space="preserve"> ('the Agreement') was signed in New Delhi on 23 November 2001 and entered into force on 14 October 2002. Article 11(b) provides that 'This Agreement shall be concluded for a period of five years and may be renewed by mutual agreement between the Parties after evaluation during the last year of the aforementioned period'. The Agreement has been renewed twice so far; the Council approved the renewal in 2009</w:t>
      </w:r>
      <w:r>
        <w:rPr>
          <w:rStyle w:val="FootnoteReference"/>
          <w:noProof/>
        </w:rPr>
        <w:footnoteReference w:id="2"/>
      </w:r>
      <w:r>
        <w:rPr>
          <w:noProof/>
        </w:rPr>
        <w:t xml:space="preserve"> and in 2015</w:t>
      </w:r>
      <w:r>
        <w:rPr>
          <w:rStyle w:val="FootnoteReference"/>
          <w:noProof/>
        </w:rPr>
        <w:footnoteReference w:id="3"/>
      </w:r>
      <w:r>
        <w:rPr>
          <w:noProof/>
        </w:rPr>
        <w:t xml:space="preserve"> for an additional period of 5 years each time. </w:t>
      </w:r>
    </w:p>
    <w:p>
      <w:pPr>
        <w:spacing w:before="0" w:after="0"/>
        <w:ind w:left="-46"/>
        <w:rPr>
          <w:noProof/>
        </w:rPr>
      </w:pPr>
    </w:p>
    <w:p>
      <w:pPr>
        <w:spacing w:before="0" w:after="0"/>
        <w:ind w:left="-46"/>
        <w:rPr>
          <w:noProof/>
        </w:rPr>
      </w:pPr>
      <w:r>
        <w:rPr>
          <w:noProof/>
        </w:rPr>
        <w:t xml:space="preserve">The current Agreement is due to expire on 17 May 2020. </w:t>
      </w:r>
    </w:p>
    <w:p>
      <w:pPr>
        <w:spacing w:before="0" w:after="0"/>
        <w:ind w:left="-46"/>
        <w:rPr>
          <w:noProof/>
        </w:rPr>
      </w:pPr>
    </w:p>
    <w:p>
      <w:pPr>
        <w:spacing w:before="0" w:after="0"/>
        <w:rPr>
          <w:noProof/>
        </w:rPr>
      </w:pPr>
      <w:r>
        <w:rPr>
          <w:noProof/>
        </w:rPr>
        <w:t>The evaluation carried out by the Commission clearly demonstrates that the Agreement provides an important framework for conducting and facilitating cooperation between the EU and India in common S&amp;T priority areas leading to mutual benefits. In the past years, under the Horizon 2020 Programme</w:t>
      </w:r>
      <w:r>
        <w:rPr>
          <w:rStyle w:val="FootnoteReference"/>
          <w:noProof/>
        </w:rPr>
        <w:footnoteReference w:id="4"/>
      </w:r>
      <w:r>
        <w:rPr>
          <w:noProof/>
        </w:rPr>
        <w:t>, a joint call on water resulted in 7 selected projects for a total of EUR 30M with the Department of Science and Technology (DST) and the Department of Biotechnology (DBT); a joint call on new generation vaccines with DBT for a total of EUR 30M resulted in 3 selected projects; two innovation initiatives were launched: an incubators network and an innovation platform, resulting on more than 20 innovation partnerships among its participants. In addition, an Implementing Arrangement between the Science and Engineering Research Board (SERB) and the European Commission was signed to facilitate mobility of Indian researchers to European Research Council grantees teams. Finally, two co-funding mechanisms were set up by DBT and the Ministry of Earth Science (MoES) to fund succesful Indian participants in more than 50 Horizon 2020 calls.</w:t>
      </w:r>
    </w:p>
    <w:p>
      <w:pPr>
        <w:spacing w:before="0" w:after="0"/>
        <w:rPr>
          <w:noProof/>
          <w:sz w:val="23"/>
          <w:szCs w:val="23"/>
        </w:rPr>
      </w:pPr>
    </w:p>
    <w:p>
      <w:pPr>
        <w:spacing w:before="0" w:after="0"/>
        <w:rPr>
          <w:noProof/>
        </w:rPr>
      </w:pPr>
      <w:r>
        <w:rPr>
          <w:noProof/>
        </w:rPr>
        <w:t>It is in the interest of the EU to renew this Agreement in order to continue to further engage in scientific and technological cooperation and facilitation thereof, in areas of mutual interest and leading to technological advances benefitting European scientific community and increase market access to India through joint cooperation.</w:t>
      </w:r>
    </w:p>
    <w:p>
      <w:pPr>
        <w:spacing w:before="0" w:after="0"/>
        <w:ind w:left="-46"/>
        <w:rPr>
          <w:noProof/>
        </w:rPr>
      </w:pPr>
    </w:p>
    <w:p>
      <w:pPr>
        <w:spacing w:before="0" w:after="0"/>
        <w:ind w:left="-46"/>
        <w:rPr>
          <w:noProof/>
        </w:rPr>
      </w:pPr>
      <w:r>
        <w:rPr>
          <w:noProof/>
        </w:rPr>
        <w:t xml:space="preserve">The Agreement is essential to understand each other's scientific and innovation landscape and establish together priority areas of mutual interest on international cooperation in  research and innovation. It offers a legal and administrative framework in which the modalities of cooperation can be discussed ensuring a sound and fair allocation of research and innovation funding in areas that are in line with the EU's interests and policies and can be adapted and adjusted to India's interests and needs. </w:t>
      </w:r>
    </w:p>
    <w:p>
      <w:pPr>
        <w:spacing w:before="0" w:after="0"/>
        <w:ind w:left="-46"/>
        <w:rPr>
          <w:noProof/>
        </w:rPr>
      </w:pPr>
    </w:p>
    <w:p>
      <w:pPr>
        <w:spacing w:before="0" w:after="0"/>
        <w:ind w:left="-46"/>
        <w:rPr>
          <w:noProof/>
        </w:rPr>
      </w:pPr>
      <w:r>
        <w:rPr>
          <w:noProof/>
        </w:rPr>
        <w:t>It offers also a useful forum to assess past cooperation and determine future actions, including on topics making the cooperation effective such as Open access and Open Innovation principles.</w:t>
      </w:r>
    </w:p>
    <w:p>
      <w:pPr>
        <w:spacing w:before="0" w:after="0"/>
        <w:ind w:left="-46"/>
        <w:jc w:val="left"/>
        <w:rPr>
          <w:rFonts w:eastAsia="Times New Roman"/>
          <w:b/>
          <w:i/>
          <w:noProof/>
          <w:sz w:val="20"/>
          <w:szCs w:val="24"/>
          <w:lang w:eastAsia="en-GB"/>
        </w:rPr>
      </w:pPr>
    </w:p>
    <w:p>
      <w:pPr>
        <w:spacing w:after="0"/>
        <w:ind w:left="-46"/>
        <w:rPr>
          <w:noProof/>
        </w:rPr>
      </w:pPr>
      <w:r>
        <w:rPr>
          <w:noProof/>
        </w:rPr>
        <w:lastRenderedPageBreak/>
        <w:t xml:space="preserve">At the India – EU Joint Steering Committee meeting, </w:t>
      </w:r>
      <w:r>
        <w:rPr>
          <w:noProof/>
          <w:szCs w:val="24"/>
        </w:rPr>
        <w:t>established by the Agreement</w:t>
      </w:r>
      <w:r>
        <w:rPr>
          <w:noProof/>
        </w:rPr>
        <w:t>, held in New Delhi on 1 March 2019, both Parties took note of their intention to renew the Agreement for another five-year period without any amendment following an evaluation in line with its Article 11.</w:t>
      </w:r>
    </w:p>
    <w:p>
      <w:pPr>
        <w:spacing w:after="0"/>
        <w:ind w:left="-46"/>
        <w:rPr>
          <w:noProof/>
          <w:highlight w:val="yellow"/>
        </w:rPr>
      </w:pPr>
    </w:p>
    <w:p>
      <w:pPr>
        <w:spacing w:before="0" w:after="0"/>
        <w:rPr>
          <w:noProof/>
        </w:rPr>
      </w:pPr>
      <w:r>
        <w:rPr>
          <w:noProof/>
        </w:rPr>
        <w:t>The substance of the renewed Agreement will be identical to that of the current Agreement,</w:t>
      </w:r>
      <w:r>
        <w:rPr>
          <w:noProof/>
          <w:szCs w:val="24"/>
        </w:rPr>
        <w:t xml:space="preserve"> as discussed and agreed with the Indian counterparts</w:t>
      </w:r>
      <w:r>
        <w:rPr>
          <w:noProof/>
        </w:rPr>
        <w:t>. It will not create new rights and obligations for the EU, but instead it will extend in time the legal regime already existing between the Parties in the field of S&amp;T cooperation.</w:t>
      </w:r>
    </w:p>
    <w:p>
      <w:pPr>
        <w:spacing w:before="0" w:after="0"/>
        <w:rPr>
          <w:noProof/>
          <w:color w:val="010202"/>
          <w:szCs w:val="24"/>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szCs w:val="24"/>
        </w:rPr>
        <w:t>This initiative is fully in line with the EU’s international cooperation strategy for R&amp;I</w:t>
      </w:r>
      <w:r>
        <w:rPr>
          <w:rStyle w:val="FootnoteReference"/>
          <w:noProof/>
          <w:szCs w:val="24"/>
        </w:rPr>
        <w:footnoteReference w:id="5"/>
      </w:r>
      <w:r>
        <w:rPr>
          <w:noProof/>
          <w:szCs w:val="24"/>
        </w:rPr>
        <w:t xml:space="preserve">. The EU’s strategy clearly states the importance of science &amp; technology agreements as vehicles for defining and implementing multiannual roadmaps for cooperation with non-EU countries. The Agreement is also a means of implementing the EU’s international cooperation strategy for R&amp;I, which calls for more internationalisation and openness in the EU’s R&amp;I landscape.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spacing w:before="0" w:after="0"/>
        <w:ind w:left="-46"/>
        <w:rPr>
          <w:noProof/>
        </w:rPr>
      </w:pPr>
      <w:r>
        <w:rPr>
          <w:noProof/>
        </w:rPr>
        <w:t>The Agreement is instrumental in fulfilling the objectives of the EU Strategy on India</w:t>
      </w:r>
      <w:r>
        <w:rPr>
          <w:rStyle w:val="FootnoteReference"/>
          <w:noProof/>
        </w:rPr>
        <w:footnoteReference w:id="6"/>
      </w:r>
      <w:r>
        <w:rPr>
          <w:noProof/>
        </w:rPr>
        <w:t xml:space="preserve"> to jointly tackling global challenges, supporting India’s sustainable modernisation, opening business opportunities and increasing scientific excellence and competitiveness.</w:t>
      </w:r>
      <w:r>
        <w:rPr>
          <w:rStyle w:val="FootnoteReference"/>
          <w:noProof/>
        </w:rPr>
        <w:footnoteReference w:id="7"/>
      </w:r>
      <w:r>
        <w:rPr>
          <w:noProof/>
        </w:rPr>
        <w:t xml:space="preserv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szCs w:val="24"/>
        </w:rPr>
        <w:t>The EU’s power to act internationally in research and technological development is based on Article 186 TFEU. The procedural legal basis for the proposal is point (a)(v) of the second subparagraph of Article 218(6)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Default"/>
        <w:jc w:val="both"/>
        <w:rPr>
          <w:noProof/>
        </w:rPr>
      </w:pPr>
      <w:r>
        <w:rPr>
          <w:noProof/>
        </w:rPr>
        <w:t xml:space="preserve">The EU and its Members States have parallel competence in the area of research and technological development in accordance with Article 4(3) TFEU. The objectives of scientific and technological international cooperation can be better achieved at EU’s level considering the global challenges. </w:t>
      </w:r>
      <w:r>
        <w:rPr>
          <w:noProof/>
          <w:sz w:val="23"/>
          <w:szCs w:val="23"/>
        </w:rPr>
        <w:t xml:space="preserve">Also the Union is best placed to play a leading role in promoting common principles for the conduct of international research and innovation activities in order to create a level playing field in which researchers and innovators from across the globe feel confident to engage with each other. </w:t>
      </w:r>
      <w:r>
        <w:rPr>
          <w:noProof/>
        </w:rPr>
        <w:t>Therefore it’s preferable for the EU to take action in the area of research and technogical development. At the same time the Union's international cooperation activities and those of the Member States need to be consistent and complement each other.</w:t>
      </w:r>
    </w:p>
    <w:p>
      <w:pPr>
        <w:autoSpaceDE w:val="0"/>
        <w:autoSpaceDN w:val="0"/>
        <w:adjustRightInd w:val="0"/>
        <w:spacing w:before="0" w:after="0"/>
        <w:rPr>
          <w:noProof/>
          <w:color w:val="000000"/>
          <w:sz w:val="23"/>
          <w:szCs w:val="23"/>
        </w:rPr>
      </w:pPr>
    </w:p>
    <w:p>
      <w:pPr>
        <w:autoSpaceDE w:val="0"/>
        <w:autoSpaceDN w:val="0"/>
        <w:adjustRightInd w:val="0"/>
        <w:spacing w:before="0" w:after="0"/>
        <w:rPr>
          <w:noProof/>
          <w:color w:val="000000"/>
          <w:szCs w:val="24"/>
        </w:rPr>
      </w:pPr>
      <w:r>
        <w:rPr>
          <w:noProof/>
          <w:color w:val="000000"/>
          <w:sz w:val="23"/>
          <w:szCs w:val="23"/>
        </w:rPr>
        <w:t>In this context, the Agreement allows for a frame to identify areas of cooperation on research and innovation of mutual interest and in line with the EU's agenda and strategy on international cooperation. So far the cooperation between the EU and India has be proved to be useful and necessary and therefore we seek for its continuation via the renewal of the Agreement.</w:t>
      </w:r>
      <w:r>
        <w:rPr>
          <w:noProof/>
          <w:color w:val="000000"/>
          <w:szCs w:val="24"/>
        </w:rPr>
        <w:t xml:space="preserve"> </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szCs w:val="24"/>
        </w:rPr>
      </w:pPr>
      <w:r>
        <w:rPr>
          <w:noProof/>
          <w:szCs w:val="24"/>
        </w:rPr>
        <w:t xml:space="preserve">This initiative is not part of the REFIT agenda. </w:t>
      </w:r>
    </w:p>
    <w:p>
      <w:pPr>
        <w:pStyle w:val="ManualHeading1"/>
        <w:rPr>
          <w:noProof/>
          <w:szCs w:val="24"/>
        </w:rPr>
      </w:pPr>
      <w:r>
        <w:rPr>
          <w:noProof/>
          <w:szCs w:val="24"/>
        </w:rPr>
        <w:t>4.</w:t>
      </w:r>
      <w:r>
        <w:rPr>
          <w:noProof/>
          <w:szCs w:val="24"/>
        </w:rPr>
        <w:tab/>
        <w:t>BUDGETARY IMPLICATIONS</w:t>
      </w:r>
    </w:p>
    <w:p>
      <w:pPr>
        <w:pBdr>
          <w:top w:val="nil"/>
          <w:left w:val="nil"/>
          <w:bottom w:val="nil"/>
          <w:right w:val="nil"/>
          <w:between w:val="nil"/>
          <w:bar w:val="nil"/>
        </w:pBdr>
        <w:spacing w:before="0" w:after="240"/>
        <w:rPr>
          <w:noProof/>
        </w:rPr>
      </w:pPr>
      <w:r>
        <w:rPr>
          <w:noProof/>
          <w:szCs w:val="24"/>
        </w:rPr>
        <w:t>Only human and administrative resources are required; these are set out in the legislative financial statement.</w:t>
      </w:r>
    </w:p>
    <w:p>
      <w:pPr>
        <w:pBdr>
          <w:top w:val="nil"/>
          <w:left w:val="nil"/>
          <w:bottom w:val="nil"/>
          <w:right w:val="nil"/>
          <w:between w:val="nil"/>
          <w:bar w:val="nil"/>
        </w:pBdr>
        <w:spacing w:before="0" w:after="240"/>
        <w:rPr>
          <w:noProof/>
          <w:szCs w:val="24"/>
        </w:rPr>
      </w:pPr>
      <w:r>
        <w:rPr>
          <w:noProof/>
          <w:szCs w:val="24"/>
        </w:rPr>
        <w:t xml:space="preserve">In the light of the above considerations, the Commission requests that the Council: </w:t>
      </w:r>
    </w:p>
    <w:p>
      <w:pPr>
        <w:pBdr>
          <w:top w:val="nil"/>
          <w:left w:val="nil"/>
          <w:bottom w:val="nil"/>
          <w:right w:val="nil"/>
          <w:between w:val="nil"/>
          <w:bar w:val="nil"/>
        </w:pBdr>
        <w:spacing w:before="0" w:after="240"/>
        <w:rPr>
          <w:rFonts w:eastAsia="Arial Unicode MS"/>
          <w:noProof/>
          <w:color w:val="008000"/>
          <w:szCs w:val="24"/>
        </w:rPr>
      </w:pPr>
      <w:r>
        <w:rPr>
          <w:noProof/>
          <w:szCs w:val="24"/>
        </w:rPr>
        <w:t>- approves, on behalf of the Union, and with the consent of the European Parliament, the renewal</w:t>
      </w:r>
      <w:r>
        <w:rPr>
          <w:rFonts w:eastAsia="Arial Unicode MS"/>
          <w:noProof/>
          <w:color w:val="008000"/>
          <w:szCs w:val="24"/>
        </w:rPr>
        <w:t xml:space="preserve"> </w:t>
      </w:r>
      <w:r>
        <w:rPr>
          <w:noProof/>
          <w:szCs w:val="24"/>
        </w:rPr>
        <w:t xml:space="preserve">of the 'Agreement for scientific and technological cooperation between the European Community and the Government of the Republic of India', for an additional period of five years (i.e., from </w:t>
      </w:r>
      <w:r>
        <w:rPr>
          <w:noProof/>
        </w:rPr>
        <w:t>17.05.2020 until 16/05/2025)</w:t>
      </w:r>
    </w:p>
    <w:p>
      <w:pPr>
        <w:rPr>
          <w:noProof/>
          <w:szCs w:val="24"/>
        </w:rPr>
      </w:pPr>
      <w:r>
        <w:rPr>
          <w:noProof/>
          <w:szCs w:val="24"/>
        </w:rPr>
        <w:t>- authorises the President of the Council to designate the person(s) empowered to notify the Government of the Republic of India that the Union has completed the internal procedures necessary for the entry into force of this renewed Agreement</w:t>
      </w:r>
    </w:p>
    <w:p>
      <w:pPr>
        <w:rPr>
          <w:noProof/>
          <w:szCs w:val="24"/>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2020/0015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renewal of the Agreement for scientific and technological cooperation between the European Community and the Government of the Republic of India</w:t>
      </w:r>
    </w:p>
    <w:p>
      <w:pPr>
        <w:pStyle w:val="Institutionquiagit"/>
        <w:rPr>
          <w:noProof/>
        </w:rPr>
      </w:pPr>
      <w:r>
        <w:rPr>
          <w:noProof/>
        </w:rPr>
        <w:t>THE COUNCIL OF THE EUROPEAN UNION,</w:t>
      </w:r>
    </w:p>
    <w:p>
      <w:pPr>
        <w:rPr>
          <w:noProof/>
          <w:sz w:val="23"/>
          <w:szCs w:val="23"/>
        </w:rPr>
      </w:pPr>
      <w:r>
        <w:rPr>
          <w:noProof/>
        </w:rPr>
        <w:t xml:space="preserve">Having regard to the Treaty on the Functioning of the European Union, and in particular Article </w:t>
      </w:r>
      <w:r>
        <w:rPr>
          <w:noProof/>
          <w:sz w:val="23"/>
          <w:szCs w:val="23"/>
        </w:rPr>
        <w:t xml:space="preserve">186, in conjunction with </w:t>
      </w:r>
      <w:r>
        <w:rPr>
          <w:noProof/>
        </w:rPr>
        <w:t xml:space="preserve">point (v) of </w:t>
      </w:r>
      <w:r>
        <w:rPr>
          <w:noProof/>
          <w:sz w:val="23"/>
          <w:szCs w:val="23"/>
        </w:rPr>
        <w:t>Article 218(6)(a) thereof</w:t>
      </w:r>
      <w:r>
        <w:rPr>
          <w:noProof/>
        </w:rPr>
        <w:t>,</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8"/>
      </w:r>
      <w:r>
        <w:rPr>
          <w:noProof/>
        </w:rPr>
        <w:t>,</w:t>
      </w:r>
    </w:p>
    <w:p>
      <w:pPr>
        <w:rPr>
          <w:noProof/>
        </w:rPr>
      </w:pPr>
      <w:r>
        <w:rPr>
          <w:noProof/>
        </w:rPr>
        <w:t>Whereas:</w:t>
      </w:r>
    </w:p>
    <w:p>
      <w:pPr>
        <w:pStyle w:val="ManualConsidrant"/>
        <w:rPr>
          <w:noProof/>
        </w:rPr>
      </w:pPr>
      <w:r>
        <w:rPr>
          <w:noProof/>
        </w:rPr>
        <w:t>(1)</w:t>
      </w:r>
      <w:r>
        <w:rPr>
          <w:noProof/>
        </w:rPr>
        <w:tab/>
        <w:t>By Decision 2002/648/EC</w:t>
      </w:r>
      <w:r>
        <w:rPr>
          <w:rStyle w:val="FootnoteReference"/>
          <w:noProof/>
        </w:rPr>
        <w:footnoteReference w:id="9"/>
      </w:r>
      <w:r>
        <w:rPr>
          <w:noProof/>
        </w:rPr>
        <w:t>, the Council approved the conclusion of the Agreement for scientific and technological cooperation between the European Community and the Government of the Republic of India (‘the Agreement’)</w:t>
      </w:r>
      <w:r>
        <w:rPr>
          <w:rStyle w:val="FootnoteReference"/>
          <w:noProof/>
        </w:rPr>
        <w:footnoteReference w:id="10"/>
      </w:r>
      <w:r>
        <w:rPr>
          <w:noProof/>
        </w:rPr>
        <w:t>. The Agreement was signed in New Delhi on 23 November 2001 and entered into force on 14 October 2002.</w:t>
      </w:r>
    </w:p>
    <w:p>
      <w:pPr>
        <w:pStyle w:val="ManualConsidrant"/>
        <w:rPr>
          <w:noProof/>
        </w:rPr>
      </w:pPr>
      <w:r>
        <w:rPr>
          <w:noProof/>
        </w:rPr>
        <w:t>(2)</w:t>
      </w:r>
      <w:r>
        <w:rPr>
          <w:noProof/>
        </w:rPr>
        <w:tab/>
        <w:t>In accordance with point (b) of Article 11 of the Agreement, the Agreement is concluded for a period of five years and may be renewed by mutual agreement between the Parties after evaluation during the last year of the five year period.</w:t>
      </w:r>
    </w:p>
    <w:p>
      <w:pPr>
        <w:pStyle w:val="ManualConsidrant"/>
        <w:rPr>
          <w:noProof/>
          <w:szCs w:val="24"/>
        </w:rPr>
      </w:pPr>
      <w:r>
        <w:rPr>
          <w:noProof/>
        </w:rPr>
        <w:t>(3)</w:t>
      </w:r>
      <w:r>
        <w:rPr>
          <w:noProof/>
        </w:rPr>
        <w:tab/>
        <w:t xml:space="preserve">By </w:t>
      </w:r>
      <w:r>
        <w:rPr>
          <w:noProof/>
          <w:szCs w:val="24"/>
        </w:rPr>
        <w:t>Decisions 2009/501/EC</w:t>
      </w:r>
      <w:r>
        <w:rPr>
          <w:rStyle w:val="FootnoteReference"/>
          <w:noProof/>
          <w:szCs w:val="24"/>
        </w:rPr>
        <w:footnoteReference w:id="11"/>
      </w:r>
      <w:r>
        <w:rPr>
          <w:noProof/>
          <w:szCs w:val="24"/>
        </w:rPr>
        <w:t>, 2015/1788/EU</w:t>
      </w:r>
      <w:r>
        <w:rPr>
          <w:rStyle w:val="FootnoteReference"/>
          <w:noProof/>
          <w:szCs w:val="24"/>
        </w:rPr>
        <w:footnoteReference w:id="12"/>
      </w:r>
      <w:r>
        <w:rPr>
          <w:noProof/>
          <w:szCs w:val="24"/>
        </w:rPr>
        <w:t xml:space="preserve">  the Council approved the renewal of the Agreement for an additional period of five years each time. The current Agreement is due to expire on 17 May 2020. </w:t>
      </w:r>
    </w:p>
    <w:p>
      <w:pPr>
        <w:pStyle w:val="ManualConsidrant"/>
        <w:rPr>
          <w:noProof/>
          <w:szCs w:val="24"/>
        </w:rPr>
      </w:pPr>
      <w:r>
        <w:rPr>
          <w:noProof/>
          <w:szCs w:val="24"/>
        </w:rPr>
        <w:t>(4)</w:t>
      </w:r>
      <w:r>
        <w:rPr>
          <w:noProof/>
          <w:szCs w:val="24"/>
        </w:rPr>
        <w:tab/>
        <w:t>The evaluation carried out by Commission services demonstrates that the Agreement provides an important framework for facilitating cooperation between the Union and  India in common Science &amp; Technology priority areas leading to mutual benefits. It is therefore in the Union’s interest to renew the Agreement for a new period of five years.</w:t>
      </w:r>
    </w:p>
    <w:p>
      <w:pPr>
        <w:pStyle w:val="ManualConsidrant"/>
        <w:rPr>
          <w:rFonts w:eastAsia="Times New Roman"/>
          <w:noProof/>
          <w:color w:val="000000"/>
        </w:rPr>
      </w:pPr>
      <w:r>
        <w:rPr>
          <w:noProof/>
          <w:szCs w:val="24"/>
        </w:rPr>
        <w:t xml:space="preserve">(5)   </w:t>
      </w:r>
      <w:r>
        <w:rPr>
          <w:noProof/>
          <w:szCs w:val="24"/>
        </w:rPr>
        <w:tab/>
        <w:t>Both Parties confirmed their intention to renew the Agreement</w:t>
      </w:r>
      <w:r>
        <w:rPr>
          <w:noProof/>
        </w:rPr>
        <w:t xml:space="preserve"> for an additional period of five years without </w:t>
      </w:r>
      <w:r>
        <w:rPr>
          <w:rFonts w:eastAsia="Times New Roman"/>
          <w:noProof/>
          <w:color w:val="000000"/>
        </w:rPr>
        <w:t xml:space="preserve">any amendments to the Agreement. </w:t>
      </w:r>
    </w:p>
    <w:p>
      <w:pPr>
        <w:pStyle w:val="ManualConsidrant"/>
        <w:rPr>
          <w:noProof/>
        </w:rPr>
      </w:pPr>
      <w:r>
        <w:rPr>
          <w:noProof/>
        </w:rPr>
        <w:t>(6)</w:t>
      </w:r>
      <w:r>
        <w:rPr>
          <w:noProof/>
        </w:rPr>
        <w:tab/>
        <w:t xml:space="preserve">The renewal of the Agreement should be approved on behalf of the Union, </w:t>
      </w:r>
    </w:p>
    <w:p>
      <w:pPr>
        <w:pStyle w:val="ManualConsidrant"/>
        <w:rPr>
          <w:noProof/>
        </w:rPr>
      </w:pPr>
    </w:p>
    <w:p>
      <w:pPr>
        <w:pStyle w:val="Formuledadoption"/>
        <w:rPr>
          <w:noProof/>
        </w:rPr>
      </w:pPr>
      <w:r>
        <w:rPr>
          <w:noProof/>
        </w:rPr>
        <w:t xml:space="preserve">HAS ADOPTED THIS DECISION: </w:t>
      </w:r>
    </w:p>
    <w:p>
      <w:pPr>
        <w:pStyle w:val="Titrearticle"/>
        <w:rPr>
          <w:noProof/>
        </w:rPr>
      </w:pPr>
      <w:r>
        <w:rPr>
          <w:noProof/>
        </w:rPr>
        <w:t>Article 1</w:t>
      </w:r>
    </w:p>
    <w:p>
      <w:pPr>
        <w:rPr>
          <w:noProof/>
          <w:color w:val="0000FF"/>
          <w:szCs w:val="24"/>
        </w:rPr>
      </w:pPr>
      <w:r>
        <w:rPr>
          <w:noProof/>
          <w:szCs w:val="24"/>
        </w:rPr>
        <w:t>The renewal of the Agreement for scientific and technological cooperation between the European Community and the Government of the Republic of India, for an additional period of five years, is hereby approved on behalf of the Union.</w:t>
      </w:r>
    </w:p>
    <w:p>
      <w:pPr>
        <w:pStyle w:val="Titrearticle"/>
        <w:keepNext w:val="0"/>
        <w:rPr>
          <w:noProof/>
          <w:szCs w:val="24"/>
        </w:rPr>
      </w:pPr>
      <w:r>
        <w:rPr>
          <w:noProof/>
          <w:szCs w:val="24"/>
        </w:rPr>
        <w:t>Article 2</w:t>
      </w:r>
    </w:p>
    <w:p>
      <w:pPr>
        <w:rPr>
          <w:noProof/>
          <w:szCs w:val="24"/>
        </w:rPr>
      </w:pPr>
      <w:r>
        <w:rPr>
          <w:noProof/>
          <w:szCs w:val="24"/>
        </w:rPr>
        <w:t xml:space="preserve">The President of the Council shall designate the person(s) empowered to notify the Government of the Republic of India, on behalf of the Union, that the Union has completed its internal procedures necessary for the renewal of the Agreement in accordance with point (b) of Article 11 of the Agreement.  </w:t>
      </w:r>
    </w:p>
    <w:p>
      <w:pPr>
        <w:pStyle w:val="Titrearticle"/>
        <w:keepNext w:val="0"/>
        <w:rPr>
          <w:noProof/>
          <w:szCs w:val="24"/>
        </w:rPr>
      </w:pPr>
      <w:r>
        <w:rPr>
          <w:noProof/>
          <w:szCs w:val="24"/>
        </w:rPr>
        <w:t>Article 3</w:t>
      </w:r>
    </w:p>
    <w:p>
      <w:pPr>
        <w:rPr>
          <w:noProof/>
          <w:szCs w:val="24"/>
        </w:rPr>
      </w:pPr>
      <w:r>
        <w:rPr>
          <w:noProof/>
          <w:szCs w:val="24"/>
        </w:rPr>
        <w:t>This Decision shall enter into force on the day of its adoption.</w:t>
      </w:r>
    </w:p>
    <w:p>
      <w:pPr>
        <w:rPr>
          <w:noProof/>
          <w:szCs w:val="24"/>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rPr>
          <w:noProof/>
        </w:rPr>
        <w:t>1.</w:t>
      </w:r>
      <w:r>
        <w:rPr>
          <w:noProof/>
        </w:rPr>
        <w:tab/>
        <w:t xml:space="preserve">FRAMEWORK OF THE PROPOSAL/INITIATIVE </w:t>
      </w:r>
    </w:p>
    <w:p>
      <w:pPr>
        <w:pStyle w:val="ManualHeading2"/>
        <w:rPr>
          <w:noProof/>
          <w:szCs w:val="24"/>
        </w:rPr>
      </w:pPr>
      <w:r>
        <w:rPr>
          <w:noProof/>
        </w:rPr>
        <w:t>1.1.</w:t>
      </w:r>
      <w:r>
        <w:rPr>
          <w:noProof/>
        </w:rPr>
        <w:tab/>
      </w:r>
      <w:r>
        <w:rPr>
          <w:noProof/>
          <w:szCs w:val="24"/>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Proposal for a Council Decision on the renewal of the Agreement for scientific and technological cooperation between the European Community and the Government of the Republic of India</w:t>
      </w:r>
    </w:p>
    <w:p>
      <w:pPr>
        <w:pStyle w:val="ManualHeading2"/>
        <w:rPr>
          <w:noProof/>
          <w:szCs w:val="24"/>
        </w:rPr>
      </w:pPr>
      <w:r>
        <w:rPr>
          <w:noProof/>
          <w:szCs w:val="24"/>
        </w:rPr>
        <w:t>1.2.</w:t>
      </w:r>
      <w:r>
        <w:rPr>
          <w:noProof/>
          <w:szCs w:val="24"/>
        </w:rPr>
        <w:tab/>
        <w:t>Policy area(s) concerned in the ABM/ABB structure</w:t>
      </w:r>
      <w:r>
        <w:rPr>
          <w:rStyle w:val="FootnoteReference"/>
          <w:noProof/>
          <w:szCs w:val="24"/>
        </w:rPr>
        <w:footnoteReference w:id="13"/>
      </w:r>
      <w:r>
        <w:rPr>
          <w:i/>
          <w:noProof/>
          <w:szCs w:val="24"/>
        </w:rPr>
        <w:t xml:space="preserve">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Policy strategy and coordination of, in particular, the Directorates-General RTD, AGRI, CLIMA, JRC, EAC, ENER, GROW, CNECT, MARE and MOVE.</w:t>
      </w:r>
    </w:p>
    <w:p>
      <w:pPr>
        <w:pStyle w:val="ManualHeading2"/>
        <w:rPr>
          <w:bCs/>
          <w:noProof/>
          <w:szCs w:val="24"/>
        </w:rPr>
      </w:pPr>
      <w:r>
        <w:rPr>
          <w:noProof/>
          <w:szCs w:val="24"/>
        </w:rPr>
        <w:t>1.3.</w:t>
      </w:r>
      <w:r>
        <w:rPr>
          <w:noProof/>
          <w:szCs w:val="24"/>
        </w:rPr>
        <w:tab/>
        <w:t>Nature of the proposal/initiative</w:t>
      </w:r>
    </w:p>
    <w:p>
      <w:pPr>
        <w:pStyle w:val="Text1"/>
        <w:rPr>
          <w:noProof/>
          <w:szCs w:val="24"/>
        </w:rPr>
      </w:pPr>
      <w:r>
        <w:rPr>
          <w:noProof/>
          <w:szCs w:val="24"/>
        </w:rPr>
        <w:sym w:font="Wingdings" w:char="F0A8"/>
      </w:r>
      <w:r>
        <w:rPr>
          <w:noProof/>
          <w:szCs w:val="24"/>
        </w:rPr>
        <w:t xml:space="preserve"> The proposal/initiative relates to </w:t>
      </w:r>
      <w:r>
        <w:rPr>
          <w:b/>
          <w:noProof/>
          <w:szCs w:val="24"/>
        </w:rPr>
        <w:t>a new action</w:t>
      </w:r>
      <w:r>
        <w:rPr>
          <w:noProof/>
          <w:szCs w:val="24"/>
        </w:rPr>
        <w:t xml:space="preserve"> </w:t>
      </w:r>
    </w:p>
    <w:p>
      <w:pPr>
        <w:pStyle w:val="Text1"/>
        <w:rPr>
          <w:b/>
          <w:noProof/>
          <w:szCs w:val="24"/>
        </w:rPr>
      </w:pPr>
      <w:r>
        <w:rPr>
          <w:noProof/>
          <w:szCs w:val="24"/>
        </w:rPr>
        <w:sym w:font="Wingdings" w:char="F0A8"/>
      </w:r>
      <w:r>
        <w:rPr>
          <w:noProof/>
          <w:szCs w:val="24"/>
        </w:rPr>
        <w:t xml:space="preserve"> The proposal/initiative relates to </w:t>
      </w:r>
      <w:r>
        <w:rPr>
          <w:b/>
          <w:noProof/>
          <w:szCs w:val="24"/>
        </w:rPr>
        <w:t xml:space="preserve">a new action following a pilot project/preparatory action  </w:t>
      </w:r>
    </w:p>
    <w:p>
      <w:pPr>
        <w:pStyle w:val="Text1"/>
        <w:rPr>
          <w:noProof/>
          <w:szCs w:val="24"/>
        </w:rPr>
      </w:pPr>
      <w:r>
        <w:rPr>
          <w:noProof/>
          <w:szCs w:val="24"/>
        </w:rPr>
        <w:sym w:font="Wingdings" w:char="F0FE"/>
      </w:r>
      <w:r>
        <w:rPr>
          <w:i/>
          <w:noProof/>
          <w:szCs w:val="24"/>
        </w:rPr>
        <w:t xml:space="preserve"> </w:t>
      </w:r>
      <w:r>
        <w:rPr>
          <w:noProof/>
          <w:szCs w:val="24"/>
        </w:rPr>
        <w:t xml:space="preserve">The proposal/initiative relates to </w:t>
      </w:r>
      <w:r>
        <w:rPr>
          <w:b/>
          <w:noProof/>
          <w:szCs w:val="24"/>
        </w:rPr>
        <w:t>the extension of an existing action</w:t>
      </w:r>
      <w:r>
        <w:rPr>
          <w:noProof/>
          <w:szCs w:val="24"/>
        </w:rPr>
        <w:t xml:space="preserve"> </w:t>
      </w:r>
    </w:p>
    <w:p>
      <w:pPr>
        <w:pStyle w:val="Text1"/>
        <w:rPr>
          <w:noProof/>
          <w:szCs w:val="24"/>
        </w:rPr>
      </w:pPr>
      <w:r>
        <w:rPr>
          <w:noProof/>
          <w:szCs w:val="24"/>
        </w:rPr>
        <w:sym w:font="Wingdings" w:char="F0A8"/>
      </w:r>
      <w:r>
        <w:rPr>
          <w:noProof/>
          <w:szCs w:val="24"/>
        </w:rPr>
        <w:t xml:space="preserve">The proposal/initiative relates to </w:t>
      </w:r>
      <w:r>
        <w:rPr>
          <w:b/>
          <w:noProof/>
          <w:szCs w:val="24"/>
        </w:rPr>
        <w:t>an action redirected towards a new action</w:t>
      </w:r>
    </w:p>
    <w:p>
      <w:pPr>
        <w:pStyle w:val="ManualHeading2"/>
        <w:rPr>
          <w:bCs/>
          <w:noProof/>
          <w:szCs w:val="24"/>
        </w:rPr>
      </w:pPr>
      <w:r>
        <w:rPr>
          <w:noProof/>
          <w:szCs w:val="24"/>
        </w:rPr>
        <w:t>1.4.</w:t>
      </w:r>
      <w:r>
        <w:rPr>
          <w:noProof/>
          <w:szCs w:val="24"/>
        </w:rPr>
        <w:tab/>
        <w:t>Objective(s)</w:t>
      </w:r>
    </w:p>
    <w:p>
      <w:pPr>
        <w:pStyle w:val="ManualHeading3"/>
        <w:rPr>
          <w:noProof/>
          <w:szCs w:val="24"/>
        </w:rPr>
      </w:pPr>
      <w:r>
        <w:rPr>
          <w:noProof/>
          <w:szCs w:val="24"/>
        </w:rPr>
        <w:t>1.4.1.</w:t>
      </w:r>
      <w:r>
        <w:rPr>
          <w:noProof/>
          <w:szCs w:val="24"/>
        </w:rPr>
        <w:tab/>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The present initiative will allow both Parties to improve and intensify their cooperation in scientific and technological areas of common interest in line with the EU Strategy on India.</w:t>
      </w:r>
    </w:p>
    <w:p>
      <w:pPr>
        <w:pStyle w:val="ManualHeading3"/>
        <w:rPr>
          <w:bCs/>
          <w:noProof/>
          <w:szCs w:val="24"/>
        </w:rPr>
      </w:pPr>
      <w:r>
        <w:rPr>
          <w:noProof/>
          <w:szCs w:val="24"/>
        </w:rPr>
        <w:t>1.4.2.</w:t>
      </w:r>
      <w:r>
        <w:rPr>
          <w:noProof/>
          <w:szCs w:val="24"/>
        </w:rPr>
        <w:tab/>
        <w:t xml:space="preserve">Specific objective(s) and ABM/ABB activity(ies) concerned </w:t>
      </w:r>
    </w:p>
    <w:p>
      <w:pPr>
        <w:pStyle w:val="Text1"/>
        <w:pBdr>
          <w:top w:val="single" w:sz="4" w:space="1" w:color="auto"/>
          <w:left w:val="single" w:sz="4" w:space="4" w:color="auto"/>
          <w:bottom w:val="single" w:sz="4" w:space="1" w:color="auto"/>
          <w:right w:val="single" w:sz="4" w:space="3" w:color="auto"/>
        </w:pBdr>
        <w:rPr>
          <w:noProof/>
          <w:szCs w:val="24"/>
          <w:u w:val="single"/>
        </w:rPr>
      </w:pPr>
      <w:r>
        <w:rPr>
          <w:noProof/>
          <w:szCs w:val="24"/>
          <w:u w:val="single"/>
        </w:rPr>
        <w:t>Specific objective No 4.1</w:t>
      </w:r>
    </w:p>
    <w:p>
      <w:pPr>
        <w:pStyle w:val="Text1"/>
        <w:pBdr>
          <w:top w:val="single" w:sz="4" w:space="1" w:color="auto"/>
          <w:left w:val="single" w:sz="4" w:space="4" w:color="auto"/>
          <w:bottom w:val="single" w:sz="4" w:space="1" w:color="auto"/>
          <w:right w:val="single" w:sz="4" w:space="3" w:color="auto"/>
        </w:pBdr>
        <w:rPr>
          <w:noProof/>
          <w:szCs w:val="24"/>
        </w:rPr>
      </w:pPr>
      <w:r>
        <w:rPr>
          <w:noProof/>
          <w:szCs w:val="24"/>
        </w:rPr>
        <w:t>It will allow a further exchange of specific knowledge and a transfer of know-how to the benefit of the scientific communities, industry and citizens. A useful forum will continue to be offered to assess past cooperation and determine future actions, including on topics making the cooperation effective such as Open access and Open Innovation principles.</w:t>
      </w:r>
    </w:p>
    <w:p>
      <w:pPr>
        <w:pStyle w:val="Text1"/>
        <w:pBdr>
          <w:top w:val="single" w:sz="4" w:space="1" w:color="auto"/>
          <w:left w:val="single" w:sz="4" w:space="4" w:color="auto"/>
          <w:bottom w:val="single" w:sz="4" w:space="1" w:color="auto"/>
          <w:right w:val="single" w:sz="4" w:space="3" w:color="auto"/>
        </w:pBdr>
        <w:rPr>
          <w:noProof/>
          <w:szCs w:val="24"/>
          <w:u w:val="single"/>
        </w:rPr>
      </w:pPr>
      <w:r>
        <w:rPr>
          <w:noProof/>
          <w:szCs w:val="24"/>
          <w:u w:val="single"/>
        </w:rPr>
        <w:t>ABM/ABB activity(ies) concerned</w:t>
      </w:r>
    </w:p>
    <w:p>
      <w:pPr>
        <w:pStyle w:val="Text1"/>
        <w:pBdr>
          <w:top w:val="single" w:sz="4" w:space="1" w:color="auto"/>
          <w:left w:val="single" w:sz="4" w:space="4" w:color="auto"/>
          <w:bottom w:val="single" w:sz="4" w:space="1" w:color="auto"/>
          <w:right w:val="single" w:sz="4" w:space="3" w:color="auto"/>
        </w:pBdr>
        <w:rPr>
          <w:noProof/>
        </w:rPr>
      </w:pPr>
    </w:p>
    <w:p>
      <w:pPr>
        <w:pStyle w:val="ManualHeading3"/>
        <w:rPr>
          <w:bCs/>
          <w:noProof/>
          <w:szCs w:val="24"/>
        </w:rPr>
      </w:pPr>
      <w:r>
        <w:rPr>
          <w:noProof/>
        </w:rPr>
        <w:br w:type="page"/>
        <w:t>1.4.3.</w:t>
      </w:r>
      <w:r>
        <w:rPr>
          <w:noProof/>
        </w:rPr>
        <w:tab/>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szCs w:val="24"/>
        </w:rPr>
        <w:t>This decision will allow both the Union and India to derive mutual benefit from the scientific and technical progress achieved through research cooperation in their respective specific research programmes and facilitate further increased cooperation. It will allow the Union and India to jointly tackle global challenges, and allow the Union to contribute to the sustainable modernisation of India.</w:t>
      </w:r>
    </w:p>
    <w:p>
      <w:pPr>
        <w:pStyle w:val="ManualHeading3"/>
        <w:rPr>
          <w:bCs/>
          <w:noProof/>
          <w:szCs w:val="24"/>
        </w:rPr>
      </w:pPr>
      <w:r>
        <w:rPr>
          <w:noProof/>
        </w:rPr>
        <w:t>1.4.4.</w:t>
      </w:r>
      <w:r>
        <w:rPr>
          <w:noProof/>
        </w:rPr>
        <w:tab/>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The Commission will regularly monitor all actions carried out under the Agreement, which will include a review by the Union. This review will cover, among others, the following points:</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(a) cooperation indicators — analysis of the number and type of participation of Indian entities in EU funded programmes (e.g. number of proposals, number of signed grant agreements, main collaboration links, main thematic; generated output) and vice-versa (whenever the data is available);</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(b) performance indicators — success rate of Indian entities participating in the EU framework programmes compared to other non-EU countries and to Member States/Associated countries to a Research Framework Programme; analysis of the quality of the participation (e.g. number of best ranked universities taking part on the programme, number of patents and publications coming from collaborative projects);</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(c) data collection regarding cooperation activities and links that go beyond the respective research funding programmes as well as assessment of the impact of these activities, like participation in multilateral initiatives and working groups.</w:t>
      </w:r>
    </w:p>
    <w:p>
      <w:pPr>
        <w:pStyle w:val="ManualHeading2"/>
        <w:rPr>
          <w:bCs/>
          <w:noProof/>
          <w:szCs w:val="24"/>
        </w:rPr>
      </w:pPr>
      <w:r>
        <w:rPr>
          <w:noProof/>
        </w:rPr>
        <w:t>1.5.</w:t>
      </w:r>
      <w:r>
        <w:rPr>
          <w:noProof/>
        </w:rPr>
        <w:tab/>
        <w:t xml:space="preserve">Grounds for the proposal/initiative </w:t>
      </w:r>
    </w:p>
    <w:p>
      <w:pPr>
        <w:pStyle w:val="ManualHeading3"/>
        <w:rPr>
          <w:noProof/>
        </w:rPr>
      </w:pPr>
      <w:r>
        <w:rPr>
          <w:noProof/>
        </w:rPr>
        <w:t>1.5.1.</w:t>
      </w:r>
      <w:r>
        <w:rPr>
          <w:noProof/>
        </w:rPr>
        <w:tab/>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This decision will allow the two Parties to continue to improve and intensify their cooperation in scientific and technological areas for mutual benefit.</w:t>
      </w:r>
    </w:p>
    <w:p>
      <w:pPr>
        <w:pStyle w:val="ManualHeading3"/>
        <w:rPr>
          <w:bCs/>
          <w:noProof/>
          <w:szCs w:val="24"/>
        </w:rPr>
      </w:pPr>
      <w:r>
        <w:rPr>
          <w:noProof/>
        </w:rPr>
        <w:t>1.5.2.</w:t>
      </w:r>
      <w:r>
        <w:rPr>
          <w:noProof/>
        </w:rPr>
        <w:tab/>
        <w:t>Added value of EU involvement</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The Agreement is based on the principles of mutual benefit, reciprocal access to programmes and activities of the other Party, in connection with the subject of the Agreement, non-discrimination, effective protection of intellectual property and equitable sharing of IPR and effective exploitation of results. The renewal of this Agreement will allow for increased scientific knowledge leading to market access opportunities.</w:t>
      </w:r>
    </w:p>
    <w:p>
      <w:pPr>
        <w:pStyle w:val="ManualHeading3"/>
        <w:rPr>
          <w:bCs/>
          <w:noProof/>
          <w:szCs w:val="24"/>
        </w:rPr>
      </w:pPr>
      <w:r>
        <w:rPr>
          <w:noProof/>
        </w:rPr>
        <w:t>1.5.3.</w:t>
      </w:r>
      <w:r>
        <w:rPr>
          <w:noProof/>
        </w:rPr>
        <w:tab/>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Based on the experience so far in scientific and technological cooperation, it is considered mutually beneficial to continue research cooperation with India by renewing the Agreement for a further period of 5 years. </w:t>
      </w:r>
    </w:p>
    <w:p>
      <w:pPr>
        <w:pStyle w:val="ManualHeading3"/>
        <w:rPr>
          <w:bCs/>
          <w:noProof/>
          <w:szCs w:val="24"/>
        </w:rPr>
      </w:pPr>
      <w:r>
        <w:rPr>
          <w:noProof/>
        </w:rPr>
        <w:t>1.5.4.</w:t>
      </w:r>
      <w:r>
        <w:rPr>
          <w:noProof/>
        </w:rPr>
        <w:tab/>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The renewal of the Agreement with India is fully coherent with the overall policy framework on international cooperation in research and innovation (COM(2012)497). </w:t>
      </w:r>
    </w:p>
    <w:p>
      <w:pPr>
        <w:pStyle w:val="ManualHeading2"/>
        <w:ind w:left="0" w:firstLine="0"/>
        <w:rPr>
          <w:noProof/>
        </w:rPr>
      </w:pPr>
    </w:p>
    <w:p>
      <w:pPr>
        <w:pStyle w:val="ManualHeading2"/>
        <w:ind w:left="0" w:firstLine="0"/>
        <w:rPr>
          <w:bCs/>
          <w:noProof/>
          <w:szCs w:val="24"/>
        </w:rPr>
      </w:pPr>
      <w:r>
        <w:rPr>
          <w:noProof/>
        </w:rPr>
        <w:t>1.6.</w:t>
      </w:r>
      <w:r>
        <w:rPr>
          <w:noProof/>
        </w:rPr>
        <w:tab/>
        <w:t xml:space="preserve">Duration and financial impact </w:t>
      </w:r>
    </w:p>
    <w:p>
      <w:pPr>
        <w:pStyle w:val="Text1"/>
        <w:rPr>
          <w:noProof/>
        </w:rPr>
      </w:pPr>
      <w:r>
        <w:rPr>
          <w:noProof/>
        </w:rPr>
        <w:sym w:font="Wingdings" w:char="F0FE"/>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FE"/>
      </w:r>
      <w:r>
        <w:rPr>
          <w:noProof/>
        </w:rPr>
        <w:tab/>
        <w:t>Proposal/initiative in effect from 17/05/2020 to 16/05/2025</w:t>
      </w:r>
    </w:p>
    <w:p>
      <w:pPr>
        <w:pStyle w:val="ListDash2"/>
        <w:rPr>
          <w:noProof/>
        </w:rPr>
      </w:pPr>
      <w:r>
        <w:rPr>
          <w:noProof/>
        </w:rPr>
        <w:sym w:font="Wingdings" w:char="F0FE"/>
      </w:r>
      <w:r>
        <w:rPr>
          <w:noProof/>
        </w:rPr>
        <w:tab/>
        <w:t>Financial impact from 17/05/2020 to 16/05/2025</w:t>
      </w:r>
    </w:p>
    <w:p>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rPr>
          <w:noProof/>
        </w:rPr>
        <w:t>1.7.</w:t>
      </w:r>
      <w:r>
        <w:rPr>
          <w:noProof/>
        </w:rPr>
        <w:tab/>
        <w:t>Management mode(s) planned</w:t>
      </w:r>
      <w:r>
        <w:rPr>
          <w:rStyle w:val="FootnoteReference"/>
          <w:noProof/>
        </w:rPr>
        <w:footnoteReference w:id="14"/>
      </w:r>
      <w:r>
        <w:rPr>
          <w:rStyle w:val="FootnoteReference"/>
          <w:noProof/>
        </w:rPr>
        <w:t xml:space="preserve"> </w:t>
      </w:r>
    </w:p>
    <w:p>
      <w:pPr>
        <w:pStyle w:val="Text1"/>
        <w:rPr>
          <w:noProof/>
        </w:rPr>
      </w:pPr>
      <w:r>
        <w:rPr>
          <w:noProof/>
        </w:rPr>
        <w:sym w:font="Wingdings" w:char="F0FE"/>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MANAGEMENT MEASURES </w:t>
      </w:r>
    </w:p>
    <w:p>
      <w:pPr>
        <w:pStyle w:val="ManualHeading2"/>
        <w:rPr>
          <w:noProof/>
        </w:rPr>
      </w:pPr>
      <w:r>
        <w:rPr>
          <w:noProof/>
        </w:rPr>
        <w:t>2.1.</w:t>
      </w:r>
      <w:r>
        <w:rPr>
          <w:noProof/>
        </w:rPr>
        <w:tab/>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rFonts w:eastAsia="Times New Roman"/>
          <w:noProof/>
          <w:lang w:eastAsia="de-DE"/>
        </w:rPr>
      </w:pPr>
      <w:r>
        <w:rPr>
          <w:rFonts w:eastAsia="Times New Roman"/>
          <w:noProof/>
          <w:lang w:eastAsia="de-DE"/>
        </w:rPr>
        <w:t>Participation of legal entities from India in the EU Framework Programme for Research and Innovation and other cooperative activities under the Agreement will be regularly followed through meetings of the Joint Committee established under Art. 6  (b) of the Agreement.</w:t>
      </w:r>
    </w:p>
    <w:p>
      <w:pPr>
        <w:pStyle w:val="ManualHeading2"/>
        <w:rPr>
          <w:bCs/>
          <w:noProof/>
          <w:szCs w:val="24"/>
        </w:rPr>
      </w:pPr>
      <w:r>
        <w:rPr>
          <w:noProof/>
        </w:rPr>
        <w:t>2.2.</w:t>
      </w:r>
      <w:r>
        <w:rPr>
          <w:noProof/>
        </w:rPr>
        <w:tab/>
        <w:t xml:space="preserve">Management and control system </w:t>
      </w:r>
    </w:p>
    <w:p>
      <w:pPr>
        <w:pStyle w:val="ManualHeading3"/>
        <w:rPr>
          <w:noProof/>
        </w:rPr>
      </w:pPr>
      <w:r>
        <w:rPr>
          <w:noProof/>
        </w:rPr>
        <w:t>2.2.1.</w:t>
      </w:r>
      <w:r>
        <w:rPr>
          <w:noProof/>
        </w:rPr>
        <w:tab/>
        <w:t xml:space="preserve">Risk(s) identified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Meetings and bilateral contacts take place on a regular basis allowing for the systematic sharing of information and control. No risks have been identified in the control system.</w:t>
      </w:r>
    </w:p>
    <w:p>
      <w:pPr>
        <w:pStyle w:val="ManualHeading3"/>
        <w:rPr>
          <w:bCs/>
          <w:noProof/>
          <w:szCs w:val="24"/>
        </w:rPr>
      </w:pPr>
      <w:r>
        <w:rPr>
          <w:noProof/>
        </w:rPr>
        <w:t>2.2.2.</w:t>
      </w:r>
      <w:r>
        <w:rPr>
          <w:noProof/>
        </w:rPr>
        <w:tab/>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r>
        <w:rPr>
          <w:noProof/>
        </w:rPr>
        <w:t>2.2.3.</w:t>
      </w:r>
      <w:r>
        <w:rPr>
          <w:noProof/>
        </w:rPr>
        <w:tab/>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t>2.3.</w:t>
      </w:r>
      <w:r>
        <w:rPr>
          <w:noProof/>
        </w:rPr>
        <w:tab/>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When the implementation of the Framework Programme calls for the use of external contractors or entails granting financial contribution to third parties, the Commission will carry out, where appropriate, financial audits, in particular if it has reason to doubt the realistic nature of work performed or described in the activity reports.</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The Union’s financial audits will be carried out either by its own staff or by accounting experts approved according to the law of the audited party. The Union will choose the latter freely, while avoiding any risks of conflicts of interest which might be indicated to it by the party subject to the audit. In addition, the Commission will make sure, in carrying out the research activities, that the financial interests of the Union are protected by effective checks and, where irregularities are detected, by deterrent and proportionate measures and penalties.</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In order to achieve this aim, rules on checks, measures and penalties, with reference to Regulations No 2988/95, No 2185/96 and No 883/2013 will be incorporated in all contracts used in the implementation of the framework programme.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In particular, the following points will have to be provided for in the contracts:</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 the insertion of specific clauses in the contracts to protect the financial interests of the EU in carrying out checks and controls in relation to the work performed;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the carrying out of administrative checks as part of anti-fraud measures, in accordance with Regulations No 2185/96 and No 883/2013;</w:t>
      </w:r>
    </w:p>
    <w:p>
      <w:pPr>
        <w:pStyle w:val="Text1"/>
        <w:pBdr>
          <w:top w:val="single" w:sz="4" w:space="1" w:color="auto"/>
          <w:left w:val="single" w:sz="4" w:space="4" w:color="auto"/>
          <w:bottom w:val="single" w:sz="4" w:space="1" w:color="auto"/>
          <w:right w:val="single" w:sz="4" w:space="4" w:color="auto"/>
        </w:pBdr>
        <w:rPr>
          <w:noProof/>
          <w:szCs w:val="24"/>
        </w:rPr>
      </w:pPr>
      <w:r>
        <w:rPr>
          <w:noProof/>
          <w:sz w:val="23"/>
          <w:szCs w:val="23"/>
        </w:rPr>
        <w:t xml:space="preserve">- </w:t>
      </w:r>
      <w:r>
        <w:rPr>
          <w:noProof/>
          <w:szCs w:val="24"/>
        </w:rPr>
        <w:t>the application of administrative penalties for all intentional or negligent irregularities in the implementation of the contracts, in accordance with the Framework Regulation No 2988/95, including a blacklisting mechanism;</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the fact that any recovery orders in the event of irregularities and fraud must be enforceable according to Article 299 of the Treaty on the Functioning of the European Union.</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In addition and as a routine measure, a programme of checks on scientific and budgetary aspects of cooperation will be carried out by the staff responsible in the Directorate – General for Research and Innovation (DG RTD). An internal audit will be carried out by the Internal Audit unit of DG RTD, and local inspections will be carried out by the European Court of Auditors.</w:t>
      </w:r>
    </w:p>
    <w:p>
      <w:pPr>
        <w:pStyle w:val="Text1"/>
        <w:pBdr>
          <w:top w:val="single" w:sz="4" w:space="1" w:color="auto"/>
          <w:left w:val="single" w:sz="4" w:space="0"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ESTIMATED FINANCIAL IMPACT OF THE PROPOSAL/INITIATIVE </w:t>
      </w:r>
    </w:p>
    <w:p>
      <w:pPr>
        <w:pStyle w:val="ManualHeading2"/>
        <w:rPr>
          <w:noProof/>
        </w:rPr>
      </w:pPr>
      <w:r>
        <w:rPr>
          <w:noProof/>
        </w:rPr>
        <w:t>3.1.</w:t>
      </w:r>
      <w:r>
        <w:rPr>
          <w:noProof/>
        </w:rPr>
        <w:tab/>
        <w:t xml:space="preserve">Heading(s) of the multiannual financial framework and expenditure budget line(s) affected </w:t>
      </w:r>
    </w:p>
    <w:p>
      <w:pPr>
        <w:pStyle w:val="ListBullet1"/>
        <w:rPr>
          <w:noProof/>
        </w:rPr>
      </w:pPr>
      <w:r>
        <w:rPr>
          <w:noProof/>
        </w:rPr>
        <w:t>Existing budget lines</w:t>
      </w:r>
      <w:r>
        <w:rPr>
          <w:rStyle w:val="FootnoteReference"/>
          <w:noProof/>
        </w:rPr>
        <w:footnoteReference w:id="15"/>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 </w:t>
            </w:r>
            <w:r>
              <w:rPr>
                <w:noProof/>
                <w:sz w:val="22"/>
              </w:rPr>
              <w:br/>
            </w:r>
            <w:r>
              <w:rPr>
                <w:noProof/>
                <w:sz w:val="20"/>
              </w:rPr>
              <w:t>Heading 1a – Competitiveness for growth and jobs</w:t>
            </w:r>
          </w:p>
        </w:tc>
        <w:tc>
          <w:tcPr>
            <w:tcW w:w="1080" w:type="dxa"/>
            <w:vAlign w:val="center"/>
          </w:tcPr>
          <w:p>
            <w:pPr>
              <w:jc w:val="center"/>
              <w:rPr>
                <w:noProof/>
                <w:sz w:val="22"/>
              </w:rPr>
            </w:pPr>
            <w:r>
              <w:rPr>
                <w:noProof/>
                <w:sz w:val="18"/>
              </w:rPr>
              <w:t>Diff./Non-diff.</w:t>
            </w:r>
            <w:r>
              <w:rPr>
                <w:rStyle w:val="FootnoteReference"/>
                <w:noProof/>
                <w:sz w:val="18"/>
              </w:rPr>
              <w:footnoteReference w:id="16"/>
            </w:r>
          </w:p>
        </w:tc>
        <w:tc>
          <w:tcPr>
            <w:tcW w:w="956" w:type="dxa"/>
            <w:vAlign w:val="center"/>
          </w:tcPr>
          <w:p>
            <w:pPr>
              <w:jc w:val="center"/>
              <w:rPr>
                <w:noProof/>
                <w:sz w:val="22"/>
              </w:rPr>
            </w:pPr>
            <w:r>
              <w:rPr>
                <w:noProof/>
                <w:sz w:val="18"/>
              </w:rPr>
              <w:t>from EFTA countries</w:t>
            </w:r>
            <w:r>
              <w:rPr>
                <w:rStyle w:val="FootnoteReference"/>
                <w:noProof/>
                <w:sz w:val="18"/>
              </w:rPr>
              <w:footnoteReference w:id="17"/>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sz w:val="18"/>
              </w:rPr>
              <w:footnoteReference w:id="18"/>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r>
              <w:rPr>
                <w:noProof/>
                <w:sz w:val="20"/>
              </w:rPr>
              <w:t>1a</w:t>
            </w:r>
          </w:p>
        </w:tc>
        <w:tc>
          <w:tcPr>
            <w:tcW w:w="3960" w:type="dxa"/>
            <w:vAlign w:val="center"/>
          </w:tcPr>
          <w:p>
            <w:pPr>
              <w:spacing w:before="60"/>
              <w:jc w:val="center"/>
              <w:rPr>
                <w:b/>
                <w:noProof/>
                <w:sz w:val="22"/>
              </w:rPr>
            </w:pPr>
            <w:r>
              <w:rPr>
                <w:b/>
                <w:noProof/>
                <w:sz w:val="22"/>
              </w:rPr>
              <w:t>08.01.05.01</w:t>
            </w:r>
          </w:p>
        </w:tc>
        <w:tc>
          <w:tcPr>
            <w:tcW w:w="1080" w:type="dxa"/>
            <w:vAlign w:val="center"/>
          </w:tcPr>
          <w:p>
            <w:pPr>
              <w:jc w:val="center"/>
              <w:rPr>
                <w:noProof/>
                <w:color w:val="0000FF"/>
                <w:sz w:val="22"/>
              </w:rPr>
            </w:pPr>
            <w:r>
              <w:rPr>
                <w:noProof/>
                <w:sz w:val="22"/>
              </w:rPr>
              <w:t>Non-diff.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YES</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color w:val="0000FF"/>
                <w:sz w:val="22"/>
              </w:rPr>
            </w:pPr>
            <w:r>
              <w:rPr>
                <w:noProof/>
                <w:sz w:val="20"/>
              </w:rPr>
              <w:t>1a</w:t>
            </w:r>
          </w:p>
        </w:tc>
        <w:tc>
          <w:tcPr>
            <w:tcW w:w="3960" w:type="dxa"/>
            <w:vAlign w:val="center"/>
          </w:tcPr>
          <w:p>
            <w:pPr>
              <w:spacing w:before="60"/>
              <w:jc w:val="center"/>
              <w:rPr>
                <w:b/>
                <w:noProof/>
                <w:sz w:val="22"/>
              </w:rPr>
            </w:pPr>
            <w:r>
              <w:rPr>
                <w:b/>
                <w:noProof/>
                <w:sz w:val="22"/>
              </w:rPr>
              <w:t>08.01.05.03</w:t>
            </w:r>
          </w:p>
        </w:tc>
        <w:tc>
          <w:tcPr>
            <w:tcW w:w="1080" w:type="dxa"/>
            <w:vAlign w:val="center"/>
          </w:tcPr>
          <w:p>
            <w:pPr>
              <w:jc w:val="center"/>
              <w:rPr>
                <w:noProof/>
                <w:color w:val="0000FF"/>
                <w:sz w:val="22"/>
              </w:rPr>
            </w:pPr>
            <w:r>
              <w:rPr>
                <w:noProof/>
                <w:sz w:val="22"/>
              </w:rPr>
              <w:t>Non-diff.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YES</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r>
              <w:rPr>
                <w:noProof/>
                <w:sz w:val="20"/>
              </w:rPr>
              <w:t>[Heading………………………………………]</w:t>
            </w:r>
          </w:p>
        </w:tc>
        <w:tc>
          <w:tcPr>
            <w:tcW w:w="1080" w:type="dxa"/>
            <w:vAlign w:val="center"/>
          </w:tcPr>
          <w:p>
            <w:pPr>
              <w:jc w:val="center"/>
              <w:rPr>
                <w:noProof/>
                <w:sz w:val="22"/>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YES/NO</w:t>
            </w:r>
          </w:p>
        </w:tc>
        <w:tc>
          <w:tcPr>
            <w:tcW w:w="1080" w:type="dxa"/>
            <w:vAlign w:val="center"/>
          </w:tcPr>
          <w:p>
            <w:pPr>
              <w:jc w:val="center"/>
              <w:rPr>
                <w:noProof/>
                <w:color w:val="0000FF"/>
                <w:sz w:val="18"/>
              </w:rPr>
            </w:pPr>
            <w:r>
              <w:rPr>
                <w:noProof/>
                <w:sz w:val="22"/>
              </w:rPr>
              <w:t>YES/NO</w:t>
            </w:r>
          </w:p>
        </w:tc>
        <w:tc>
          <w:tcPr>
            <w:tcW w:w="956" w:type="dxa"/>
            <w:vAlign w:val="center"/>
          </w:tcPr>
          <w:p>
            <w:pPr>
              <w:jc w:val="center"/>
              <w:rPr>
                <w:noProof/>
                <w:color w:val="0000FF"/>
                <w:sz w:val="18"/>
              </w:rPr>
            </w:pPr>
            <w:r>
              <w:rPr>
                <w:noProof/>
                <w:sz w:val="22"/>
              </w:rPr>
              <w:t>YES/NO</w:t>
            </w:r>
          </w:p>
        </w:tc>
        <w:tc>
          <w:tcPr>
            <w:tcW w:w="1448" w:type="dxa"/>
            <w:vAlign w:val="center"/>
          </w:tcPr>
          <w:p>
            <w:pPr>
              <w:jc w:val="center"/>
              <w:rPr>
                <w:noProof/>
                <w:sz w:val="22"/>
              </w:rPr>
            </w:pPr>
            <w:r>
              <w:rPr>
                <w:noProof/>
                <w:sz w:val="22"/>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Estimated impact on expenditure </w:t>
      </w:r>
    </w:p>
    <w:p>
      <w:pPr>
        <w:pStyle w:val="ManualHeading3"/>
        <w:rPr>
          <w:noProof/>
          <w:u w:val="single"/>
        </w:rPr>
      </w:pPr>
      <w:r>
        <w:rPr>
          <w:noProof/>
        </w:rPr>
        <w:t>3.2.1.</w:t>
      </w:r>
      <w:r>
        <w:rPr>
          <w:noProof/>
        </w:rPr>
        <w:tab/>
        <w:t xml:space="preserve">Summary of estimated impact on expenditure </w:t>
      </w:r>
    </w:p>
    <w:p>
      <w:pPr>
        <w:jc w:val="center"/>
        <w:rPr>
          <w:noProof/>
          <w:sz w:val="20"/>
        </w:rPr>
      </w:pPr>
      <w:r>
        <w:rPr>
          <w:noProof/>
          <w:sz w:val="20"/>
        </w:rPr>
        <w:t>EUR million (to three decimal places)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1"/>
        <w:gridCol w:w="1080"/>
        <w:gridCol w:w="7104"/>
      </w:tblGrid>
      <w:tr>
        <w:tc>
          <w:tcPr>
            <w:tcW w:w="4291"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1a</w:t>
            </w:r>
          </w:p>
        </w:tc>
        <w:tc>
          <w:tcPr>
            <w:tcW w:w="7104" w:type="dxa"/>
            <w:vAlign w:val="center"/>
          </w:tcPr>
          <w:p>
            <w:pPr>
              <w:spacing w:before="60" w:after="60"/>
              <w:rPr>
                <w:noProof/>
                <w:sz w:val="22"/>
              </w:rPr>
            </w:pPr>
            <w:r>
              <w:rPr>
                <w:noProof/>
              </w:rPr>
              <w:t xml:space="preserve">'Competetiveness for growth and jobs' </w:t>
            </w:r>
          </w:p>
        </w:tc>
      </w:tr>
    </w:tbl>
    <w:p>
      <w:pPr>
        <w:rPr>
          <w:noProof/>
          <w:sz w:val="16"/>
        </w:rPr>
      </w:pPr>
    </w:p>
    <w:tbl>
      <w:tblPr>
        <w:tblW w:w="12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794"/>
        <w:gridCol w:w="960"/>
        <w:gridCol w:w="1200"/>
      </w:tblGrid>
      <w:tr>
        <w:tc>
          <w:tcPr>
            <w:tcW w:w="3960" w:type="dxa"/>
            <w:vAlign w:val="center"/>
          </w:tcPr>
          <w:p>
            <w:pPr>
              <w:jc w:val="center"/>
              <w:rPr>
                <w:noProof/>
                <w:sz w:val="22"/>
              </w:rPr>
            </w:pPr>
            <w:r>
              <w:rPr>
                <w:noProof/>
                <w:sz w:val="22"/>
              </w:rPr>
              <w:t>DG: RTD</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2020</w:t>
            </w:r>
            <w:r>
              <w:rPr>
                <w:rStyle w:val="FootnoteReference"/>
                <w:b/>
                <w:noProof/>
                <w:sz w:val="20"/>
              </w:rPr>
              <w:footnoteReference w:id="19"/>
            </w: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794" w:type="dxa"/>
          </w:tcPr>
          <w:p>
            <w:pPr>
              <w:jc w:val="center"/>
              <w:rPr>
                <w:b/>
                <w:noProof/>
                <w:sz w:val="20"/>
              </w:rPr>
            </w:pPr>
            <w:r>
              <w:rPr>
                <w:noProof/>
                <w:sz w:val="20"/>
              </w:rPr>
              <w:t>Year</w:t>
            </w:r>
            <w:r>
              <w:rPr>
                <w:noProof/>
                <w:sz w:val="22"/>
              </w:rPr>
              <w:br/>
            </w:r>
            <w:r>
              <w:rPr>
                <w:b/>
                <w:noProof/>
                <w:sz w:val="20"/>
              </w:rPr>
              <w:t>2024</w:t>
            </w:r>
          </w:p>
        </w:tc>
        <w:tc>
          <w:tcPr>
            <w:tcW w:w="960" w:type="dxa"/>
          </w:tcPr>
          <w:p>
            <w:pPr>
              <w:jc w:val="center"/>
              <w:rPr>
                <w:b/>
                <w:noProof/>
                <w:sz w:val="20"/>
              </w:rPr>
            </w:pPr>
            <w:r>
              <w:rPr>
                <w:noProof/>
                <w:sz w:val="20"/>
              </w:rPr>
              <w:t>Year</w:t>
            </w:r>
            <w:r>
              <w:rPr>
                <w:noProof/>
                <w:sz w:val="22"/>
              </w:rPr>
              <w:br/>
            </w:r>
            <w:r>
              <w:rPr>
                <w:b/>
                <w:noProof/>
                <w:sz w:val="20"/>
              </w:rPr>
              <w:t>2025</w:t>
            </w:r>
          </w:p>
        </w:tc>
        <w:tc>
          <w:tcPr>
            <w:tcW w:w="1200"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2"/>
              </w:rPr>
            </w:pPr>
            <w:r>
              <w:rPr>
                <w:noProof/>
                <w:sz w:val="21"/>
              </w:rPr>
              <w:t>Appropriations of an administrative nature financed from the envelope of specific programmes</w:t>
            </w:r>
            <w:r>
              <w:rPr>
                <w:rStyle w:val="FootnoteReference"/>
                <w:noProof/>
                <w:sz w:val="21"/>
              </w:rPr>
              <w:footnoteReference w:id="20"/>
            </w:r>
            <w:r>
              <w:rPr>
                <w:noProof/>
                <w:sz w:val="21"/>
              </w:rPr>
              <w:t xml:space="preserve"> </w:t>
            </w:r>
          </w:p>
          <w:p>
            <w:pPr>
              <w:spacing w:before="20" w:after="20"/>
              <w:rPr>
                <w:noProof/>
                <w:sz w:val="21"/>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794" w:type="dxa"/>
          </w:tcPr>
          <w:p>
            <w:pPr>
              <w:rPr>
                <w:b/>
                <w:noProof/>
                <w:sz w:val="20"/>
              </w:rPr>
            </w:pPr>
          </w:p>
        </w:tc>
        <w:tc>
          <w:tcPr>
            <w:tcW w:w="960" w:type="dxa"/>
          </w:tcPr>
          <w:p>
            <w:pPr>
              <w:rPr>
                <w:b/>
                <w:noProof/>
                <w:sz w:val="20"/>
              </w:rPr>
            </w:pPr>
          </w:p>
        </w:tc>
        <w:tc>
          <w:tcPr>
            <w:tcW w:w="1200"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 xml:space="preserve">Number of budget line: </w:t>
            </w:r>
            <w:r>
              <w:rPr>
                <w:b/>
                <w:bCs/>
                <w:noProof/>
                <w:sz w:val="18"/>
                <w:szCs w:val="18"/>
              </w:rPr>
              <w:t>08.01.05.01</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b/>
                <w:noProof/>
                <w:sz w:val="20"/>
              </w:rPr>
              <w:t>0.040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794" w:type="dxa"/>
            <w:vAlign w:val="center"/>
          </w:tcPr>
          <w:p>
            <w:pPr>
              <w:spacing w:before="20" w:after="20"/>
              <w:jc w:val="right"/>
              <w:rPr>
                <w:b/>
                <w:noProof/>
                <w:sz w:val="20"/>
              </w:rPr>
            </w:pPr>
            <w:r>
              <w:rPr>
                <w:b/>
                <w:noProof/>
                <w:sz w:val="20"/>
              </w:rPr>
              <w:t>0.060</w:t>
            </w:r>
          </w:p>
        </w:tc>
        <w:tc>
          <w:tcPr>
            <w:tcW w:w="960" w:type="dxa"/>
            <w:vAlign w:val="center"/>
          </w:tcPr>
          <w:p>
            <w:pPr>
              <w:spacing w:before="20" w:after="20"/>
              <w:jc w:val="right"/>
              <w:rPr>
                <w:b/>
                <w:noProof/>
                <w:sz w:val="20"/>
              </w:rPr>
            </w:pPr>
            <w:r>
              <w:rPr>
                <w:b/>
                <w:noProof/>
                <w:sz w:val="20"/>
              </w:rPr>
              <w:t>0.020</w:t>
            </w:r>
          </w:p>
        </w:tc>
        <w:tc>
          <w:tcPr>
            <w:tcW w:w="1200" w:type="dxa"/>
            <w:vAlign w:val="center"/>
          </w:tcPr>
          <w:p>
            <w:pPr>
              <w:spacing w:before="20" w:after="20"/>
              <w:jc w:val="right"/>
              <w:rPr>
                <w:b/>
                <w:noProof/>
                <w:sz w:val="20"/>
              </w:rPr>
            </w:pPr>
            <w:r>
              <w:rPr>
                <w:b/>
                <w:noProof/>
                <w:sz w:val="20"/>
              </w:rPr>
              <w:t>0.300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b/>
                <w:noProof/>
                <w:sz w:val="20"/>
              </w:rPr>
              <w:t>0.040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794" w:type="dxa"/>
            <w:vAlign w:val="center"/>
          </w:tcPr>
          <w:p>
            <w:pPr>
              <w:spacing w:before="20" w:after="20"/>
              <w:jc w:val="right"/>
              <w:rPr>
                <w:b/>
                <w:noProof/>
                <w:sz w:val="20"/>
              </w:rPr>
            </w:pPr>
            <w:r>
              <w:rPr>
                <w:b/>
                <w:noProof/>
                <w:sz w:val="20"/>
              </w:rPr>
              <w:t>0.060</w:t>
            </w:r>
          </w:p>
        </w:tc>
        <w:tc>
          <w:tcPr>
            <w:tcW w:w="960" w:type="dxa"/>
            <w:vAlign w:val="center"/>
          </w:tcPr>
          <w:p>
            <w:pPr>
              <w:spacing w:before="20" w:after="20"/>
              <w:jc w:val="right"/>
              <w:rPr>
                <w:b/>
                <w:noProof/>
                <w:sz w:val="20"/>
              </w:rPr>
            </w:pPr>
            <w:r>
              <w:rPr>
                <w:b/>
                <w:noProof/>
                <w:sz w:val="20"/>
              </w:rPr>
              <w:t>0.020</w:t>
            </w:r>
          </w:p>
        </w:tc>
        <w:tc>
          <w:tcPr>
            <w:tcW w:w="1200" w:type="dxa"/>
            <w:vAlign w:val="center"/>
          </w:tcPr>
          <w:p>
            <w:pPr>
              <w:spacing w:before="20" w:after="20"/>
              <w:jc w:val="right"/>
              <w:rPr>
                <w:b/>
                <w:noProof/>
                <w:sz w:val="20"/>
              </w:rPr>
            </w:pPr>
            <w:r>
              <w:rPr>
                <w:b/>
                <w:noProof/>
                <w:sz w:val="20"/>
              </w:rPr>
              <w:t>0.300</w:t>
            </w:r>
          </w:p>
        </w:tc>
      </w:tr>
      <w:tr>
        <w:trPr>
          <w:trHeight w:val="319"/>
        </w:trPr>
        <w:tc>
          <w:tcPr>
            <w:tcW w:w="3960" w:type="dxa"/>
            <w:vAlign w:val="center"/>
          </w:tcPr>
          <w:p>
            <w:pPr>
              <w:spacing w:before="60" w:after="60"/>
              <w:rPr>
                <w:noProof/>
                <w:sz w:val="22"/>
              </w:rPr>
            </w:pPr>
            <w:r>
              <w:rPr>
                <w:noProof/>
                <w:sz w:val="20"/>
              </w:rPr>
              <w:t xml:space="preserve">Number of budget line: </w:t>
            </w:r>
            <w:r>
              <w:rPr>
                <w:b/>
                <w:bCs/>
                <w:noProof/>
                <w:sz w:val="18"/>
                <w:szCs w:val="18"/>
              </w:rPr>
              <w:t>08.01.05.03</w:t>
            </w:r>
          </w:p>
        </w:tc>
        <w:tc>
          <w:tcPr>
            <w:tcW w:w="1440" w:type="dxa"/>
            <w:vAlign w:val="center"/>
          </w:tcPr>
          <w:p>
            <w:pPr>
              <w:pStyle w:val="Default"/>
              <w:jc w:val="right"/>
              <w:rPr>
                <w:noProof/>
                <w:sz w:val="18"/>
                <w:szCs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r>
              <w:rPr>
                <w:b/>
                <w:noProof/>
                <w:sz w:val="20"/>
              </w:rPr>
              <w:t>0.008</w:t>
            </w:r>
          </w:p>
        </w:tc>
        <w:tc>
          <w:tcPr>
            <w:tcW w:w="868" w:type="dxa"/>
            <w:vAlign w:val="center"/>
          </w:tcPr>
          <w:p>
            <w:pPr>
              <w:spacing w:before="40" w:after="40"/>
              <w:jc w:val="right"/>
              <w:rPr>
                <w:b/>
                <w:noProof/>
                <w:sz w:val="20"/>
              </w:rPr>
            </w:pPr>
            <w:r>
              <w:rPr>
                <w:b/>
                <w:noProof/>
                <w:sz w:val="20"/>
              </w:rPr>
              <w:t>0.012</w:t>
            </w:r>
          </w:p>
        </w:tc>
        <w:tc>
          <w:tcPr>
            <w:tcW w:w="868" w:type="dxa"/>
            <w:vAlign w:val="center"/>
          </w:tcPr>
          <w:p>
            <w:pPr>
              <w:spacing w:before="40" w:after="40"/>
              <w:jc w:val="right"/>
              <w:rPr>
                <w:b/>
                <w:noProof/>
                <w:sz w:val="20"/>
              </w:rPr>
            </w:pPr>
            <w:r>
              <w:rPr>
                <w:b/>
                <w:noProof/>
                <w:sz w:val="20"/>
              </w:rPr>
              <w:t>0.012</w:t>
            </w:r>
          </w:p>
        </w:tc>
        <w:tc>
          <w:tcPr>
            <w:tcW w:w="868" w:type="dxa"/>
            <w:vAlign w:val="center"/>
          </w:tcPr>
          <w:p>
            <w:pPr>
              <w:spacing w:before="40" w:after="40"/>
              <w:jc w:val="right"/>
              <w:rPr>
                <w:b/>
                <w:noProof/>
                <w:sz w:val="20"/>
              </w:rPr>
            </w:pPr>
            <w:r>
              <w:rPr>
                <w:b/>
                <w:noProof/>
                <w:sz w:val="20"/>
              </w:rPr>
              <w:t>0.012</w:t>
            </w:r>
          </w:p>
        </w:tc>
        <w:tc>
          <w:tcPr>
            <w:tcW w:w="794" w:type="dxa"/>
          </w:tcPr>
          <w:p>
            <w:pPr>
              <w:spacing w:before="40" w:after="40"/>
              <w:jc w:val="right"/>
              <w:rPr>
                <w:b/>
                <w:noProof/>
                <w:sz w:val="20"/>
              </w:rPr>
            </w:pPr>
            <w:r>
              <w:rPr>
                <w:b/>
                <w:noProof/>
                <w:sz w:val="20"/>
              </w:rPr>
              <w:t>0.012</w:t>
            </w:r>
          </w:p>
        </w:tc>
        <w:tc>
          <w:tcPr>
            <w:tcW w:w="960" w:type="dxa"/>
          </w:tcPr>
          <w:p>
            <w:pPr>
              <w:spacing w:before="40" w:after="40"/>
              <w:jc w:val="right"/>
              <w:rPr>
                <w:b/>
                <w:noProof/>
                <w:sz w:val="20"/>
              </w:rPr>
            </w:pPr>
            <w:r>
              <w:rPr>
                <w:b/>
                <w:noProof/>
                <w:sz w:val="20"/>
              </w:rPr>
              <w:t>0.004</w:t>
            </w:r>
          </w:p>
        </w:tc>
        <w:tc>
          <w:tcPr>
            <w:tcW w:w="1200" w:type="dxa"/>
            <w:vAlign w:val="center"/>
          </w:tcPr>
          <w:p>
            <w:pPr>
              <w:spacing w:before="40" w:after="40"/>
              <w:jc w:val="right"/>
              <w:rPr>
                <w:b/>
                <w:noProof/>
                <w:sz w:val="20"/>
              </w:rPr>
            </w:pPr>
            <w:r>
              <w:rPr>
                <w:b/>
                <w:noProof/>
                <w:sz w:val="20"/>
              </w:rPr>
              <w:t>0.060</w:t>
            </w:r>
          </w:p>
        </w:tc>
      </w:tr>
      <w:tr>
        <w:tc>
          <w:tcPr>
            <w:tcW w:w="3960" w:type="dxa"/>
            <w:vMerge w:val="restart"/>
            <w:vAlign w:val="center"/>
          </w:tcPr>
          <w:p>
            <w:pPr>
              <w:jc w:val="center"/>
              <w:rPr>
                <w:b/>
                <w:noProof/>
                <w:sz w:val="22"/>
              </w:rPr>
            </w:pPr>
            <w:r>
              <w:rPr>
                <w:b/>
                <w:noProof/>
                <w:sz w:val="22"/>
              </w:rPr>
              <w:t>TOTAL appropriations</w:t>
            </w:r>
            <w:r>
              <w:rPr>
                <w:noProof/>
                <w:sz w:val="22"/>
              </w:rPr>
              <w:br/>
            </w:r>
            <w:r>
              <w:rPr>
                <w:b/>
                <w:noProof/>
                <w:sz w:val="22"/>
              </w:rPr>
              <w:t>for DG RTD</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868" w:type="dxa"/>
            <w:vAlign w:val="center"/>
          </w:tcPr>
          <w:p>
            <w:pPr>
              <w:pStyle w:val="Default"/>
              <w:jc w:val="right"/>
              <w:rPr>
                <w:noProof/>
                <w:sz w:val="20"/>
                <w:szCs w:val="20"/>
              </w:rPr>
            </w:pPr>
            <w:r>
              <w:rPr>
                <w:b/>
                <w:noProof/>
                <w:sz w:val="20"/>
              </w:rPr>
              <w:t>0.048</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794" w:type="dxa"/>
            <w:vAlign w:val="center"/>
          </w:tcPr>
          <w:p>
            <w:pPr>
              <w:pStyle w:val="Default"/>
              <w:jc w:val="right"/>
              <w:rPr>
                <w:b/>
                <w:noProof/>
                <w:sz w:val="20"/>
                <w:szCs w:val="20"/>
              </w:rPr>
            </w:pPr>
            <w:r>
              <w:rPr>
                <w:b/>
                <w:noProof/>
                <w:sz w:val="20"/>
              </w:rPr>
              <w:t>0.072</w:t>
            </w:r>
          </w:p>
        </w:tc>
        <w:tc>
          <w:tcPr>
            <w:tcW w:w="960" w:type="dxa"/>
            <w:vAlign w:val="center"/>
          </w:tcPr>
          <w:p>
            <w:pPr>
              <w:pStyle w:val="Default"/>
              <w:jc w:val="right"/>
              <w:rPr>
                <w:b/>
                <w:noProof/>
                <w:sz w:val="20"/>
                <w:szCs w:val="20"/>
              </w:rPr>
            </w:pPr>
            <w:r>
              <w:rPr>
                <w:b/>
                <w:noProof/>
                <w:sz w:val="20"/>
              </w:rPr>
              <w:t>0.024</w:t>
            </w:r>
          </w:p>
        </w:tc>
        <w:tc>
          <w:tcPr>
            <w:tcW w:w="1200" w:type="dxa"/>
            <w:vAlign w:val="center"/>
          </w:tcPr>
          <w:p>
            <w:pPr>
              <w:pStyle w:val="Default"/>
              <w:jc w:val="right"/>
              <w:rPr>
                <w:b/>
                <w:noProof/>
                <w:sz w:val="20"/>
                <w:szCs w:val="20"/>
              </w:rPr>
            </w:pPr>
            <w:r>
              <w:rPr>
                <w:b/>
                <w:noProof/>
                <w:sz w:val="20"/>
              </w:rPr>
              <w:t>0.360</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pStyle w:val="Default"/>
              <w:jc w:val="right"/>
              <w:rPr>
                <w:noProof/>
                <w:sz w:val="20"/>
                <w:szCs w:val="20"/>
              </w:rPr>
            </w:pPr>
            <w:r>
              <w:rPr>
                <w:b/>
                <w:noProof/>
                <w:sz w:val="20"/>
              </w:rPr>
              <w:t>0.048</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794" w:type="dxa"/>
            <w:vAlign w:val="center"/>
          </w:tcPr>
          <w:p>
            <w:pPr>
              <w:pStyle w:val="Default"/>
              <w:jc w:val="right"/>
              <w:rPr>
                <w:b/>
                <w:noProof/>
                <w:sz w:val="20"/>
                <w:szCs w:val="20"/>
              </w:rPr>
            </w:pPr>
            <w:r>
              <w:rPr>
                <w:b/>
                <w:noProof/>
                <w:sz w:val="20"/>
              </w:rPr>
              <w:t>0.072</w:t>
            </w:r>
          </w:p>
        </w:tc>
        <w:tc>
          <w:tcPr>
            <w:tcW w:w="960" w:type="dxa"/>
            <w:vAlign w:val="center"/>
          </w:tcPr>
          <w:p>
            <w:pPr>
              <w:pStyle w:val="Default"/>
              <w:jc w:val="right"/>
              <w:rPr>
                <w:b/>
                <w:noProof/>
                <w:sz w:val="20"/>
                <w:szCs w:val="20"/>
              </w:rPr>
            </w:pPr>
            <w:r>
              <w:rPr>
                <w:b/>
                <w:noProof/>
                <w:sz w:val="20"/>
              </w:rPr>
              <w:t>0.024</w:t>
            </w:r>
          </w:p>
        </w:tc>
        <w:tc>
          <w:tcPr>
            <w:tcW w:w="1200" w:type="dxa"/>
            <w:vAlign w:val="center"/>
          </w:tcPr>
          <w:p>
            <w:pPr>
              <w:pStyle w:val="Default"/>
              <w:jc w:val="right"/>
              <w:rPr>
                <w:b/>
                <w:noProof/>
                <w:sz w:val="20"/>
                <w:szCs w:val="20"/>
              </w:rPr>
            </w:pPr>
            <w:r>
              <w:rPr>
                <w:b/>
                <w:noProof/>
                <w:sz w:val="20"/>
              </w:rPr>
              <w:t>0.360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794"/>
        <w:gridCol w:w="942"/>
        <w:gridCol w:w="1218"/>
      </w:tblGrid>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pStyle w:val="Default"/>
              <w:jc w:val="right"/>
              <w:rPr>
                <w:noProof/>
                <w:sz w:val="20"/>
                <w:szCs w:val="20"/>
              </w:rPr>
            </w:pPr>
            <w:r>
              <w:rPr>
                <w:b/>
                <w:noProof/>
                <w:sz w:val="20"/>
              </w:rPr>
              <w:t>0.048</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794" w:type="dxa"/>
            <w:vAlign w:val="center"/>
          </w:tcPr>
          <w:p>
            <w:pPr>
              <w:pStyle w:val="Default"/>
              <w:jc w:val="right"/>
              <w:rPr>
                <w:b/>
                <w:noProof/>
                <w:sz w:val="20"/>
                <w:szCs w:val="20"/>
              </w:rPr>
            </w:pPr>
            <w:r>
              <w:rPr>
                <w:b/>
                <w:noProof/>
                <w:sz w:val="20"/>
              </w:rPr>
              <w:t>0.072</w:t>
            </w:r>
          </w:p>
        </w:tc>
        <w:tc>
          <w:tcPr>
            <w:tcW w:w="942" w:type="dxa"/>
            <w:vAlign w:val="center"/>
          </w:tcPr>
          <w:p>
            <w:pPr>
              <w:pStyle w:val="Default"/>
              <w:jc w:val="right"/>
              <w:rPr>
                <w:b/>
                <w:noProof/>
                <w:sz w:val="20"/>
                <w:szCs w:val="20"/>
              </w:rPr>
            </w:pPr>
            <w:r>
              <w:rPr>
                <w:b/>
                <w:noProof/>
                <w:sz w:val="20"/>
              </w:rPr>
              <w:t>0.024</w:t>
            </w:r>
          </w:p>
        </w:tc>
        <w:tc>
          <w:tcPr>
            <w:tcW w:w="1218" w:type="dxa"/>
            <w:vAlign w:val="center"/>
          </w:tcPr>
          <w:p>
            <w:pPr>
              <w:pStyle w:val="Default"/>
              <w:jc w:val="right"/>
              <w:rPr>
                <w:b/>
                <w:noProof/>
                <w:sz w:val="20"/>
                <w:szCs w:val="20"/>
              </w:rPr>
            </w:pPr>
            <w:r>
              <w:rPr>
                <w:b/>
                <w:noProof/>
                <w:sz w:val="20"/>
              </w:rPr>
              <w:t>0.360</w:t>
            </w:r>
          </w:p>
        </w:tc>
      </w:tr>
      <w:tr>
        <w:tc>
          <w:tcPr>
            <w:tcW w:w="3960" w:type="dxa"/>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&lt;1a&gt;</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pStyle w:val="Default"/>
              <w:jc w:val="right"/>
              <w:rPr>
                <w:noProof/>
                <w:sz w:val="20"/>
                <w:szCs w:val="20"/>
              </w:rPr>
            </w:pPr>
            <w:r>
              <w:rPr>
                <w:b/>
                <w:noProof/>
                <w:sz w:val="20"/>
              </w:rPr>
              <w:t>0.048</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794" w:type="dxa"/>
            <w:vAlign w:val="center"/>
          </w:tcPr>
          <w:p>
            <w:pPr>
              <w:pStyle w:val="Default"/>
              <w:jc w:val="right"/>
              <w:rPr>
                <w:b/>
                <w:noProof/>
                <w:sz w:val="20"/>
                <w:szCs w:val="20"/>
              </w:rPr>
            </w:pPr>
            <w:r>
              <w:rPr>
                <w:b/>
                <w:noProof/>
                <w:sz w:val="20"/>
              </w:rPr>
              <w:t>0.072</w:t>
            </w:r>
          </w:p>
        </w:tc>
        <w:tc>
          <w:tcPr>
            <w:tcW w:w="942" w:type="dxa"/>
            <w:vAlign w:val="center"/>
          </w:tcPr>
          <w:p>
            <w:pPr>
              <w:pStyle w:val="Default"/>
              <w:jc w:val="right"/>
              <w:rPr>
                <w:b/>
                <w:noProof/>
                <w:sz w:val="20"/>
                <w:szCs w:val="20"/>
              </w:rPr>
            </w:pPr>
            <w:r>
              <w:rPr>
                <w:b/>
                <w:noProof/>
                <w:sz w:val="20"/>
              </w:rPr>
              <w:t>0.024</w:t>
            </w:r>
          </w:p>
        </w:tc>
        <w:tc>
          <w:tcPr>
            <w:tcW w:w="1218" w:type="dxa"/>
            <w:vAlign w:val="center"/>
          </w:tcPr>
          <w:p>
            <w:pPr>
              <w:pStyle w:val="Default"/>
              <w:jc w:val="right"/>
              <w:rPr>
                <w:b/>
                <w:noProof/>
                <w:sz w:val="20"/>
                <w:szCs w:val="20"/>
              </w:rPr>
            </w:pPr>
            <w:r>
              <w:rPr>
                <w:b/>
                <w:noProof/>
                <w:sz w:val="20"/>
              </w:rPr>
              <w:t>0.360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center"/>
          </w:tcPr>
          <w:p>
            <w:pPr>
              <w:pStyle w:val="Default"/>
              <w:jc w:val="right"/>
              <w:rPr>
                <w:noProof/>
                <w:sz w:val="20"/>
                <w:szCs w:val="20"/>
              </w:rPr>
            </w:pPr>
            <w:r>
              <w:rPr>
                <w:b/>
                <w:noProof/>
                <w:sz w:val="20"/>
              </w:rPr>
              <w:t>0.048</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794" w:type="dxa"/>
            <w:vAlign w:val="center"/>
          </w:tcPr>
          <w:p>
            <w:pPr>
              <w:pStyle w:val="Default"/>
              <w:jc w:val="right"/>
              <w:rPr>
                <w:b/>
                <w:noProof/>
                <w:sz w:val="20"/>
                <w:szCs w:val="20"/>
              </w:rPr>
            </w:pPr>
            <w:r>
              <w:rPr>
                <w:b/>
                <w:noProof/>
                <w:sz w:val="20"/>
              </w:rPr>
              <w:t>0.072</w:t>
            </w:r>
          </w:p>
        </w:tc>
        <w:tc>
          <w:tcPr>
            <w:tcW w:w="942" w:type="dxa"/>
            <w:vAlign w:val="center"/>
          </w:tcPr>
          <w:p>
            <w:pPr>
              <w:pStyle w:val="Default"/>
              <w:jc w:val="right"/>
              <w:rPr>
                <w:b/>
                <w:noProof/>
                <w:sz w:val="20"/>
                <w:szCs w:val="20"/>
              </w:rPr>
            </w:pPr>
            <w:r>
              <w:rPr>
                <w:b/>
                <w:noProof/>
                <w:sz w:val="20"/>
              </w:rPr>
              <w:t>0.024</w:t>
            </w:r>
          </w:p>
        </w:tc>
        <w:tc>
          <w:tcPr>
            <w:tcW w:w="1218" w:type="dxa"/>
            <w:vAlign w:val="center"/>
          </w:tcPr>
          <w:p>
            <w:pPr>
              <w:pStyle w:val="Default"/>
              <w:jc w:val="right"/>
              <w:rPr>
                <w:b/>
                <w:noProof/>
                <w:sz w:val="20"/>
                <w:szCs w:val="20"/>
              </w:rPr>
            </w:pPr>
            <w:r>
              <w:rPr>
                <w:b/>
                <w:noProof/>
                <w:sz w:val="20"/>
              </w:rPr>
              <w:t>0.360</w:t>
            </w:r>
          </w:p>
        </w:tc>
      </w:tr>
    </w:tbl>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Payments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EUR million (to three decimal places)</w:t>
      </w:r>
    </w:p>
    <w:tbl>
      <w:tblPr>
        <w:tblW w:w="142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707"/>
        <w:gridCol w:w="161"/>
        <w:gridCol w:w="868"/>
        <w:gridCol w:w="674"/>
        <w:gridCol w:w="840"/>
        <w:gridCol w:w="324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gridSpan w:val="2"/>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674" w:type="dxa"/>
          </w:tcPr>
          <w:p>
            <w:pPr>
              <w:jc w:val="center"/>
              <w:rPr>
                <w:b/>
                <w:noProof/>
                <w:sz w:val="20"/>
              </w:rPr>
            </w:pPr>
            <w:r>
              <w:rPr>
                <w:noProof/>
                <w:sz w:val="20"/>
              </w:rPr>
              <w:t>Year</w:t>
            </w:r>
            <w:r>
              <w:rPr>
                <w:b/>
                <w:noProof/>
                <w:sz w:val="20"/>
              </w:rPr>
              <w:t xml:space="preserve"> 2024</w:t>
            </w:r>
          </w:p>
        </w:tc>
        <w:tc>
          <w:tcPr>
            <w:tcW w:w="840" w:type="dxa"/>
          </w:tcPr>
          <w:p>
            <w:pPr>
              <w:jc w:val="center"/>
              <w:rPr>
                <w:b/>
                <w:noProof/>
                <w:sz w:val="20"/>
              </w:rPr>
            </w:pPr>
            <w:r>
              <w:rPr>
                <w:noProof/>
                <w:sz w:val="20"/>
              </w:rPr>
              <w:t xml:space="preserve">Year </w:t>
            </w:r>
            <w:r>
              <w:rPr>
                <w:b/>
                <w:noProof/>
                <w:sz w:val="20"/>
              </w:rPr>
              <w:t>2025</w:t>
            </w:r>
          </w:p>
        </w:tc>
        <w:tc>
          <w:tcPr>
            <w:tcW w:w="3240" w:type="dxa"/>
            <w:vAlign w:val="center"/>
          </w:tcPr>
          <w:p>
            <w:pPr>
              <w:jc w:val="center"/>
              <w:rPr>
                <w:b/>
                <w:noProof/>
                <w:sz w:val="20"/>
              </w:rPr>
            </w:pPr>
            <w:r>
              <w:rPr>
                <w:b/>
                <w:noProof/>
                <w:sz w:val="20"/>
              </w:rPr>
              <w:t>TOTAL</w:t>
            </w:r>
          </w:p>
        </w:tc>
      </w:tr>
      <w:tr>
        <w:trPr>
          <w:gridAfter w:val="5"/>
          <w:wAfter w:w="5783" w:type="dxa"/>
        </w:trPr>
        <w:tc>
          <w:tcPr>
            <w:tcW w:w="3960" w:type="dxa"/>
            <w:vAlign w:val="center"/>
          </w:tcPr>
          <w:p>
            <w:pPr>
              <w:spacing w:before="60" w:after="60"/>
              <w:jc w:val="center"/>
              <w:rPr>
                <w:noProof/>
                <w:sz w:val="22"/>
              </w:rPr>
            </w:pPr>
            <w:r>
              <w:rPr>
                <w:noProof/>
                <w:sz w:val="22"/>
              </w:rPr>
              <w:t>DG: RTD</w:t>
            </w:r>
          </w:p>
        </w:tc>
        <w:tc>
          <w:tcPr>
            <w:tcW w:w="4537" w:type="dxa"/>
            <w:gridSpan w:val="5"/>
            <w:tcBorders>
              <w:right w:val="nil"/>
            </w:tcBorders>
          </w:tcPr>
          <w:p>
            <w:pPr>
              <w:spacing w:before="60" w:after="60"/>
              <w:jc w:val="center"/>
              <w:rPr>
                <w:noProof/>
                <w:sz w:val="22"/>
              </w:rPr>
            </w:pP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674" w:type="dxa"/>
          </w:tcPr>
          <w:p>
            <w:pPr>
              <w:spacing w:before="20" w:after="20"/>
              <w:jc w:val="right"/>
              <w:rPr>
                <w:b/>
                <w:noProof/>
                <w:sz w:val="20"/>
              </w:rPr>
            </w:pPr>
          </w:p>
        </w:tc>
        <w:tc>
          <w:tcPr>
            <w:tcW w:w="840" w:type="dxa"/>
          </w:tcPr>
          <w:p>
            <w:pPr>
              <w:spacing w:before="20" w:after="20"/>
              <w:jc w:val="right"/>
              <w:rPr>
                <w:b/>
                <w:noProof/>
                <w:sz w:val="20"/>
              </w:rPr>
            </w:pPr>
          </w:p>
        </w:tc>
        <w:tc>
          <w:tcPr>
            <w:tcW w:w="3240"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gridSpan w:val="2"/>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674" w:type="dxa"/>
            <w:vAlign w:val="center"/>
          </w:tcPr>
          <w:p>
            <w:pPr>
              <w:spacing w:before="20" w:after="20"/>
              <w:jc w:val="center"/>
              <w:rPr>
                <w:b/>
                <w:noProof/>
                <w:sz w:val="20"/>
              </w:rPr>
            </w:pPr>
          </w:p>
        </w:tc>
        <w:tc>
          <w:tcPr>
            <w:tcW w:w="840" w:type="dxa"/>
            <w:vAlign w:val="center"/>
          </w:tcPr>
          <w:p>
            <w:pPr>
              <w:spacing w:before="20" w:after="20"/>
              <w:jc w:val="center"/>
              <w:rPr>
                <w:b/>
                <w:noProof/>
                <w:sz w:val="20"/>
              </w:rPr>
            </w:pPr>
          </w:p>
        </w:tc>
        <w:tc>
          <w:tcPr>
            <w:tcW w:w="3240"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TOTAL DG RTD</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gridSpan w:val="2"/>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674" w:type="dxa"/>
            <w:vAlign w:val="center"/>
          </w:tcPr>
          <w:p>
            <w:pPr>
              <w:spacing w:before="20" w:after="20"/>
              <w:jc w:val="center"/>
              <w:rPr>
                <w:b/>
                <w:noProof/>
                <w:sz w:val="20"/>
              </w:rPr>
            </w:pPr>
          </w:p>
        </w:tc>
        <w:tc>
          <w:tcPr>
            <w:tcW w:w="840" w:type="dxa"/>
            <w:vAlign w:val="center"/>
          </w:tcPr>
          <w:p>
            <w:pPr>
              <w:spacing w:before="20" w:after="20"/>
              <w:jc w:val="center"/>
              <w:rPr>
                <w:b/>
                <w:noProof/>
                <w:sz w:val="20"/>
              </w:rPr>
            </w:pPr>
          </w:p>
        </w:tc>
        <w:tc>
          <w:tcPr>
            <w:tcW w:w="3240"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674"/>
        <w:gridCol w:w="840"/>
        <w:gridCol w:w="3240"/>
      </w:tblGrid>
      <w:tr>
        <w:tc>
          <w:tcPr>
            <w:tcW w:w="396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sz w:val="22"/>
              </w:rPr>
            </w:pPr>
            <w:r>
              <w:rPr>
                <w:noProof/>
                <w:sz w:val="18"/>
              </w:rPr>
              <w:t>(Total commitments = Total payments)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674" w:type="dxa"/>
            <w:vAlign w:val="center"/>
          </w:tcPr>
          <w:p>
            <w:pPr>
              <w:spacing w:before="20" w:after="20"/>
              <w:jc w:val="center"/>
              <w:rPr>
                <w:b/>
                <w:noProof/>
                <w:sz w:val="20"/>
              </w:rPr>
            </w:pPr>
          </w:p>
        </w:tc>
        <w:tc>
          <w:tcPr>
            <w:tcW w:w="840" w:type="dxa"/>
            <w:vAlign w:val="center"/>
          </w:tcPr>
          <w:p>
            <w:pPr>
              <w:spacing w:before="20" w:after="20"/>
              <w:jc w:val="center"/>
              <w:rPr>
                <w:b/>
                <w:noProof/>
                <w:sz w:val="20"/>
              </w:rPr>
            </w:pPr>
          </w:p>
        </w:tc>
        <w:tc>
          <w:tcPr>
            <w:tcW w:w="3240"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142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27"/>
        <w:gridCol w:w="909"/>
        <w:gridCol w:w="868"/>
        <w:gridCol w:w="868"/>
        <w:gridCol w:w="899"/>
        <w:gridCol w:w="850"/>
        <w:gridCol w:w="3005"/>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27" w:type="dxa"/>
            <w:vAlign w:val="center"/>
          </w:tcPr>
          <w:p>
            <w:pPr>
              <w:jc w:val="center"/>
              <w:rPr>
                <w:noProof/>
                <w:sz w:val="20"/>
              </w:rPr>
            </w:pPr>
            <w:r>
              <w:rPr>
                <w:noProof/>
                <w:sz w:val="20"/>
              </w:rPr>
              <w:t>Year</w:t>
            </w:r>
            <w:r>
              <w:rPr>
                <w:noProof/>
                <w:sz w:val="22"/>
              </w:rPr>
              <w:br/>
            </w:r>
            <w:r>
              <w:rPr>
                <w:b/>
                <w:noProof/>
                <w:sz w:val="20"/>
              </w:rPr>
              <w:t>2020</w:t>
            </w:r>
            <w:r>
              <w:rPr>
                <w:rStyle w:val="FootnoteReference"/>
                <w:b/>
                <w:noProof/>
                <w:sz w:val="20"/>
              </w:rPr>
              <w:footnoteReference w:id="21"/>
            </w:r>
          </w:p>
        </w:tc>
        <w:tc>
          <w:tcPr>
            <w:tcW w:w="909"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99" w:type="dxa"/>
          </w:tcPr>
          <w:p>
            <w:pPr>
              <w:jc w:val="center"/>
              <w:rPr>
                <w:b/>
                <w:noProof/>
                <w:sz w:val="20"/>
              </w:rPr>
            </w:pPr>
            <w:r>
              <w:rPr>
                <w:noProof/>
                <w:sz w:val="20"/>
              </w:rPr>
              <w:t>Year</w:t>
            </w:r>
            <w:r>
              <w:rPr>
                <w:noProof/>
                <w:sz w:val="22"/>
              </w:rPr>
              <w:br/>
            </w:r>
            <w:r>
              <w:rPr>
                <w:b/>
                <w:noProof/>
                <w:sz w:val="20"/>
              </w:rPr>
              <w:t>2024</w:t>
            </w:r>
          </w:p>
        </w:tc>
        <w:tc>
          <w:tcPr>
            <w:tcW w:w="850" w:type="dxa"/>
          </w:tcPr>
          <w:p>
            <w:pPr>
              <w:jc w:val="center"/>
              <w:rPr>
                <w:b/>
                <w:noProof/>
                <w:sz w:val="20"/>
              </w:rPr>
            </w:pPr>
            <w:r>
              <w:rPr>
                <w:noProof/>
                <w:sz w:val="20"/>
              </w:rPr>
              <w:t>Year</w:t>
            </w:r>
            <w:r>
              <w:rPr>
                <w:noProof/>
                <w:sz w:val="22"/>
              </w:rPr>
              <w:br/>
            </w:r>
            <w:r>
              <w:rPr>
                <w:b/>
                <w:noProof/>
                <w:sz w:val="20"/>
              </w:rPr>
              <w:t>2025</w:t>
            </w:r>
          </w:p>
        </w:tc>
        <w:tc>
          <w:tcPr>
            <w:tcW w:w="3005"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27" w:type="dxa"/>
            <w:vAlign w:val="center"/>
          </w:tcPr>
          <w:p>
            <w:pPr>
              <w:spacing w:before="60" w:after="60"/>
              <w:jc w:val="right"/>
              <w:rPr>
                <w:b/>
                <w:noProof/>
                <w:sz w:val="20"/>
              </w:rPr>
            </w:pPr>
            <w:r>
              <w:rPr>
                <w:b/>
                <w:noProof/>
                <w:sz w:val="20"/>
              </w:rPr>
              <w:t>0.048</w:t>
            </w:r>
          </w:p>
        </w:tc>
        <w:tc>
          <w:tcPr>
            <w:tcW w:w="909" w:type="dxa"/>
            <w:vAlign w:val="center"/>
          </w:tcPr>
          <w:p>
            <w:pPr>
              <w:spacing w:before="60" w:after="60"/>
              <w:jc w:val="right"/>
              <w:rPr>
                <w:b/>
                <w:noProof/>
                <w:sz w:val="20"/>
              </w:rPr>
            </w:pPr>
            <w:r>
              <w:rPr>
                <w:b/>
                <w:noProof/>
                <w:sz w:val="20"/>
              </w:rPr>
              <w:t>0.072</w:t>
            </w:r>
          </w:p>
        </w:tc>
        <w:tc>
          <w:tcPr>
            <w:tcW w:w="868" w:type="dxa"/>
            <w:vAlign w:val="center"/>
          </w:tcPr>
          <w:p>
            <w:pPr>
              <w:spacing w:before="60" w:after="60"/>
              <w:jc w:val="right"/>
              <w:rPr>
                <w:b/>
                <w:noProof/>
                <w:sz w:val="20"/>
              </w:rPr>
            </w:pPr>
            <w:r>
              <w:rPr>
                <w:b/>
                <w:noProof/>
                <w:sz w:val="20"/>
              </w:rPr>
              <w:t>0.072</w:t>
            </w:r>
          </w:p>
        </w:tc>
        <w:tc>
          <w:tcPr>
            <w:tcW w:w="868" w:type="dxa"/>
            <w:vAlign w:val="center"/>
          </w:tcPr>
          <w:p>
            <w:pPr>
              <w:spacing w:before="60" w:after="60"/>
              <w:jc w:val="right"/>
              <w:rPr>
                <w:b/>
                <w:noProof/>
                <w:sz w:val="20"/>
              </w:rPr>
            </w:pPr>
            <w:r>
              <w:rPr>
                <w:b/>
                <w:noProof/>
                <w:sz w:val="20"/>
              </w:rPr>
              <w:t>0.072</w:t>
            </w:r>
          </w:p>
        </w:tc>
        <w:tc>
          <w:tcPr>
            <w:tcW w:w="899" w:type="dxa"/>
            <w:vAlign w:val="center"/>
          </w:tcPr>
          <w:p>
            <w:pPr>
              <w:spacing w:before="60" w:after="60"/>
              <w:jc w:val="right"/>
              <w:rPr>
                <w:b/>
                <w:noProof/>
                <w:sz w:val="20"/>
              </w:rPr>
            </w:pPr>
            <w:r>
              <w:rPr>
                <w:b/>
                <w:noProof/>
                <w:sz w:val="20"/>
              </w:rPr>
              <w:t>0.072</w:t>
            </w:r>
          </w:p>
        </w:tc>
        <w:tc>
          <w:tcPr>
            <w:tcW w:w="850" w:type="dxa"/>
            <w:vAlign w:val="center"/>
          </w:tcPr>
          <w:p>
            <w:pPr>
              <w:spacing w:before="60" w:after="60"/>
              <w:jc w:val="right"/>
              <w:rPr>
                <w:b/>
                <w:noProof/>
                <w:sz w:val="20"/>
              </w:rPr>
            </w:pPr>
            <w:r>
              <w:rPr>
                <w:b/>
                <w:noProof/>
                <w:sz w:val="20"/>
              </w:rPr>
              <w:t>0.024</w:t>
            </w:r>
          </w:p>
        </w:tc>
        <w:tc>
          <w:tcPr>
            <w:tcW w:w="3005" w:type="dxa"/>
            <w:vAlign w:val="center"/>
          </w:tcPr>
          <w:p>
            <w:pPr>
              <w:spacing w:before="60" w:after="60"/>
              <w:jc w:val="right"/>
              <w:rPr>
                <w:b/>
                <w:noProof/>
                <w:sz w:val="20"/>
              </w:rPr>
            </w:pPr>
            <w:r>
              <w:rPr>
                <w:b/>
                <w:noProof/>
                <w:sz w:val="20"/>
              </w:rPr>
              <w:t>0.360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27" w:type="dxa"/>
            <w:vAlign w:val="center"/>
          </w:tcPr>
          <w:p>
            <w:pPr>
              <w:spacing w:before="60" w:after="60"/>
              <w:jc w:val="right"/>
              <w:rPr>
                <w:b/>
                <w:noProof/>
                <w:sz w:val="20"/>
              </w:rPr>
            </w:pPr>
            <w:r>
              <w:rPr>
                <w:b/>
                <w:noProof/>
                <w:sz w:val="20"/>
              </w:rPr>
              <w:t>0.048</w:t>
            </w:r>
          </w:p>
        </w:tc>
        <w:tc>
          <w:tcPr>
            <w:tcW w:w="909" w:type="dxa"/>
            <w:vAlign w:val="center"/>
          </w:tcPr>
          <w:p>
            <w:pPr>
              <w:spacing w:before="60" w:after="60"/>
              <w:jc w:val="right"/>
              <w:rPr>
                <w:b/>
                <w:noProof/>
                <w:sz w:val="20"/>
              </w:rPr>
            </w:pPr>
            <w:r>
              <w:rPr>
                <w:b/>
                <w:noProof/>
                <w:sz w:val="20"/>
              </w:rPr>
              <w:t>0.072</w:t>
            </w:r>
          </w:p>
        </w:tc>
        <w:tc>
          <w:tcPr>
            <w:tcW w:w="868" w:type="dxa"/>
            <w:vAlign w:val="center"/>
          </w:tcPr>
          <w:p>
            <w:pPr>
              <w:spacing w:before="60" w:after="60"/>
              <w:jc w:val="right"/>
              <w:rPr>
                <w:b/>
                <w:noProof/>
                <w:sz w:val="20"/>
              </w:rPr>
            </w:pPr>
            <w:r>
              <w:rPr>
                <w:b/>
                <w:noProof/>
                <w:sz w:val="20"/>
              </w:rPr>
              <w:t>0.072</w:t>
            </w:r>
          </w:p>
        </w:tc>
        <w:tc>
          <w:tcPr>
            <w:tcW w:w="868" w:type="dxa"/>
            <w:vAlign w:val="center"/>
          </w:tcPr>
          <w:p>
            <w:pPr>
              <w:spacing w:before="60" w:after="60"/>
              <w:jc w:val="right"/>
              <w:rPr>
                <w:b/>
                <w:noProof/>
                <w:sz w:val="20"/>
              </w:rPr>
            </w:pPr>
            <w:r>
              <w:rPr>
                <w:b/>
                <w:noProof/>
                <w:sz w:val="20"/>
              </w:rPr>
              <w:t>0.072</w:t>
            </w:r>
          </w:p>
        </w:tc>
        <w:tc>
          <w:tcPr>
            <w:tcW w:w="899" w:type="dxa"/>
            <w:vAlign w:val="center"/>
          </w:tcPr>
          <w:p>
            <w:pPr>
              <w:spacing w:before="60" w:after="60"/>
              <w:jc w:val="right"/>
              <w:rPr>
                <w:b/>
                <w:noProof/>
                <w:sz w:val="20"/>
              </w:rPr>
            </w:pPr>
            <w:r>
              <w:rPr>
                <w:b/>
                <w:noProof/>
                <w:sz w:val="20"/>
              </w:rPr>
              <w:t>0.072</w:t>
            </w:r>
          </w:p>
        </w:tc>
        <w:tc>
          <w:tcPr>
            <w:tcW w:w="850" w:type="dxa"/>
            <w:vAlign w:val="center"/>
          </w:tcPr>
          <w:p>
            <w:pPr>
              <w:spacing w:before="60" w:after="60"/>
              <w:jc w:val="right"/>
              <w:rPr>
                <w:b/>
                <w:noProof/>
                <w:sz w:val="20"/>
              </w:rPr>
            </w:pPr>
            <w:r>
              <w:rPr>
                <w:b/>
                <w:noProof/>
                <w:sz w:val="20"/>
              </w:rPr>
              <w:t>0.024</w:t>
            </w:r>
          </w:p>
        </w:tc>
        <w:tc>
          <w:tcPr>
            <w:tcW w:w="3005" w:type="dxa"/>
            <w:vAlign w:val="center"/>
          </w:tcPr>
          <w:p>
            <w:pPr>
              <w:spacing w:before="60" w:after="60"/>
              <w:jc w:val="right"/>
              <w:rPr>
                <w:b/>
                <w:noProof/>
                <w:sz w:val="20"/>
              </w:rPr>
            </w:pPr>
            <w:r>
              <w:rPr>
                <w:b/>
                <w:noProof/>
                <w:sz w:val="20"/>
              </w:rPr>
              <w:t>0.360</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Estimated impact on operational appropriations </w:t>
      </w:r>
    </w:p>
    <w:p>
      <w:pPr>
        <w:pStyle w:val="ListDash1"/>
        <w:rPr>
          <w:noProof/>
        </w:rPr>
      </w:pPr>
      <w:r>
        <w:rPr>
          <w:noProof/>
        </w:rPr>
        <w:sym w:font="Wingdings" w:char="F0FE"/>
      </w:r>
      <w:r>
        <w:rPr>
          <w:noProof/>
        </w:rPr>
        <w:tab/>
        <w:t xml:space="preserve">The proposal/initiative does not require the use of operational appropriations </w:t>
      </w:r>
    </w:p>
    <w:p>
      <w:pPr>
        <w:rPr>
          <w:noProof/>
        </w:rPr>
      </w:pPr>
    </w:p>
    <w:p>
      <w:pPr>
        <w:jc w:val="center"/>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22"/>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23"/>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Estimated impact on appropriations of an administrative nature</w:t>
      </w:r>
    </w:p>
    <w:p>
      <w:pPr>
        <w:pStyle w:val="ManualHeading4"/>
        <w:rPr>
          <w:noProof/>
        </w:rPr>
      </w:pPr>
      <w:r>
        <w:rPr>
          <w:noProof/>
        </w:rPr>
        <w:t>3.2.3.1.</w:t>
      </w:r>
      <w:r>
        <w:rPr>
          <w:noProof/>
        </w:rPr>
        <w:tab/>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E"/>
      </w:r>
      <w:r>
        <w:rPr>
          <w:noProof/>
        </w:rPr>
        <w:tab/>
        <w:t>The proposal/initiative requires the use of appropriations of an administrative nature, as explained below:</w:t>
      </w:r>
    </w:p>
    <w:p>
      <w:pPr>
        <w:pStyle w:val="Text1"/>
        <w:rPr>
          <w:noProof/>
        </w:rPr>
      </w:pPr>
    </w:p>
    <w:p>
      <w:pPr>
        <w:jc w:val="center"/>
        <w:rPr>
          <w:noProof/>
          <w:sz w:val="20"/>
        </w:rPr>
      </w:pPr>
      <w:r>
        <w:rPr>
          <w:noProof/>
          <w:sz w:val="20"/>
        </w:rPr>
        <w:t>EUR million (to three decimal places)</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2020</w:t>
            </w:r>
            <w:r>
              <w:rPr>
                <w:rStyle w:val="FootnoteReference"/>
                <w:b/>
                <w:noProof/>
                <w:sz w:val="16"/>
              </w:rPr>
              <w:footnoteReference w:id="24"/>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2021</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2022</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2023</w:t>
            </w:r>
          </w:p>
        </w:tc>
        <w:tc>
          <w:tcPr>
            <w:tcW w:w="1080" w:type="dxa"/>
          </w:tcPr>
          <w:p>
            <w:pPr>
              <w:spacing w:before="60" w:after="60" w:line="200" w:lineRule="exact"/>
              <w:jc w:val="center"/>
              <w:rPr>
                <w:b/>
                <w:noProof/>
                <w:sz w:val="16"/>
              </w:rPr>
            </w:pPr>
            <w:r>
              <w:rPr>
                <w:noProof/>
                <w:sz w:val="16"/>
              </w:rPr>
              <w:t>Year</w:t>
            </w:r>
            <w:r>
              <w:rPr>
                <w:noProof/>
                <w:sz w:val="22"/>
              </w:rPr>
              <w:br/>
            </w:r>
            <w:r>
              <w:rPr>
                <w:b/>
                <w:noProof/>
                <w:sz w:val="16"/>
              </w:rPr>
              <w:t>2024</w:t>
            </w:r>
          </w:p>
        </w:tc>
        <w:tc>
          <w:tcPr>
            <w:tcW w:w="1080" w:type="dxa"/>
          </w:tcPr>
          <w:p>
            <w:pPr>
              <w:spacing w:before="60" w:after="60" w:line="200" w:lineRule="exact"/>
              <w:jc w:val="center"/>
              <w:rPr>
                <w:b/>
                <w:noProof/>
                <w:sz w:val="16"/>
              </w:rPr>
            </w:pPr>
            <w:r>
              <w:rPr>
                <w:noProof/>
                <w:sz w:val="16"/>
              </w:rPr>
              <w:t>Year</w:t>
            </w:r>
            <w:r>
              <w:rPr>
                <w:noProof/>
                <w:sz w:val="22"/>
              </w:rPr>
              <w:br/>
            </w:r>
            <w:r>
              <w:rPr>
                <w:b/>
                <w:noProof/>
                <w:sz w:val="16"/>
              </w:rPr>
              <w:t>2025</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25"/>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pStyle w:val="Default"/>
              <w:jc w:val="right"/>
              <w:rPr>
                <w:noProof/>
                <w:sz w:val="20"/>
                <w:szCs w:val="20"/>
              </w:rPr>
            </w:pPr>
            <w:r>
              <w:rPr>
                <w:b/>
                <w:bCs/>
                <w:noProof/>
                <w:sz w:val="20"/>
                <w:szCs w:val="20"/>
              </w:rPr>
              <w:t>0.040</w:t>
            </w:r>
          </w:p>
        </w:tc>
        <w:tc>
          <w:tcPr>
            <w:tcW w:w="1080" w:type="dxa"/>
            <w:vAlign w:val="center"/>
          </w:tcPr>
          <w:p>
            <w:pPr>
              <w:pStyle w:val="Default"/>
              <w:jc w:val="right"/>
              <w:rPr>
                <w:noProof/>
                <w:sz w:val="20"/>
                <w:szCs w:val="20"/>
              </w:rPr>
            </w:pPr>
            <w:r>
              <w:rPr>
                <w:b/>
                <w:bCs/>
                <w:noProof/>
                <w:sz w:val="20"/>
                <w:szCs w:val="20"/>
              </w:rPr>
              <w:t>0.060</w:t>
            </w:r>
          </w:p>
        </w:tc>
        <w:tc>
          <w:tcPr>
            <w:tcW w:w="1080" w:type="dxa"/>
            <w:vAlign w:val="center"/>
          </w:tcPr>
          <w:p>
            <w:pPr>
              <w:pStyle w:val="Default"/>
              <w:jc w:val="right"/>
              <w:rPr>
                <w:noProof/>
                <w:sz w:val="20"/>
                <w:szCs w:val="20"/>
              </w:rPr>
            </w:pPr>
            <w:r>
              <w:rPr>
                <w:b/>
                <w:bCs/>
                <w:noProof/>
                <w:sz w:val="20"/>
                <w:szCs w:val="20"/>
              </w:rPr>
              <w:t>0.060</w:t>
            </w:r>
          </w:p>
        </w:tc>
        <w:tc>
          <w:tcPr>
            <w:tcW w:w="1080" w:type="dxa"/>
            <w:vAlign w:val="center"/>
          </w:tcPr>
          <w:p>
            <w:pPr>
              <w:pStyle w:val="Default"/>
              <w:jc w:val="right"/>
              <w:rPr>
                <w:b/>
                <w:bCs/>
                <w:noProof/>
                <w:sz w:val="20"/>
                <w:szCs w:val="20"/>
              </w:rPr>
            </w:pPr>
            <w:r>
              <w:rPr>
                <w:b/>
                <w:bCs/>
                <w:noProof/>
                <w:sz w:val="20"/>
                <w:szCs w:val="20"/>
              </w:rPr>
              <w:t>0.060</w:t>
            </w:r>
          </w:p>
        </w:tc>
        <w:tc>
          <w:tcPr>
            <w:tcW w:w="1080" w:type="dxa"/>
            <w:vAlign w:val="center"/>
          </w:tcPr>
          <w:p>
            <w:pPr>
              <w:pStyle w:val="Default"/>
              <w:jc w:val="right"/>
              <w:rPr>
                <w:b/>
                <w:noProof/>
                <w:sz w:val="20"/>
                <w:szCs w:val="20"/>
              </w:rPr>
            </w:pPr>
            <w:r>
              <w:rPr>
                <w:b/>
                <w:noProof/>
                <w:sz w:val="20"/>
                <w:szCs w:val="20"/>
              </w:rPr>
              <w:t>0.060</w:t>
            </w:r>
          </w:p>
        </w:tc>
        <w:tc>
          <w:tcPr>
            <w:tcW w:w="1080" w:type="dxa"/>
            <w:vAlign w:val="center"/>
          </w:tcPr>
          <w:p>
            <w:pPr>
              <w:pStyle w:val="Default"/>
              <w:jc w:val="right"/>
              <w:rPr>
                <w:b/>
                <w:noProof/>
                <w:sz w:val="20"/>
                <w:szCs w:val="20"/>
              </w:rPr>
            </w:pPr>
            <w:r>
              <w:rPr>
                <w:b/>
                <w:noProof/>
                <w:sz w:val="20"/>
                <w:szCs w:val="20"/>
              </w:rPr>
              <w:t>0.020</w:t>
            </w:r>
          </w:p>
        </w:tc>
        <w:tc>
          <w:tcPr>
            <w:tcW w:w="1080" w:type="dxa"/>
            <w:vAlign w:val="center"/>
          </w:tcPr>
          <w:p>
            <w:pPr>
              <w:pStyle w:val="Default"/>
              <w:jc w:val="right"/>
              <w:rPr>
                <w:b/>
                <w:noProof/>
                <w:sz w:val="20"/>
                <w:szCs w:val="20"/>
              </w:rPr>
            </w:pPr>
            <w:r>
              <w:rPr>
                <w:b/>
                <w:noProof/>
                <w:sz w:val="20"/>
                <w:szCs w:val="20"/>
              </w:rPr>
              <w:t>0.300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r>
              <w:rPr>
                <w:b/>
                <w:noProof/>
                <w:sz w:val="20"/>
              </w:rPr>
              <w:t>0.008</w:t>
            </w:r>
          </w:p>
        </w:tc>
        <w:tc>
          <w:tcPr>
            <w:tcW w:w="1080" w:type="dxa"/>
            <w:vAlign w:val="center"/>
          </w:tcPr>
          <w:p>
            <w:pPr>
              <w:spacing w:before="60" w:after="60" w:line="200" w:lineRule="exact"/>
              <w:jc w:val="right"/>
              <w:rPr>
                <w:noProof/>
                <w:sz w:val="16"/>
                <w:szCs w:val="16"/>
              </w:rPr>
            </w:pPr>
            <w:r>
              <w:rPr>
                <w:b/>
                <w:noProof/>
                <w:sz w:val="20"/>
              </w:rPr>
              <w:t>0.012</w:t>
            </w:r>
          </w:p>
        </w:tc>
        <w:tc>
          <w:tcPr>
            <w:tcW w:w="1080" w:type="dxa"/>
            <w:vAlign w:val="center"/>
          </w:tcPr>
          <w:p>
            <w:pPr>
              <w:spacing w:before="60" w:after="60" w:line="200" w:lineRule="exact"/>
              <w:jc w:val="right"/>
              <w:rPr>
                <w:noProof/>
                <w:sz w:val="16"/>
                <w:szCs w:val="16"/>
              </w:rPr>
            </w:pPr>
            <w:r>
              <w:rPr>
                <w:b/>
                <w:noProof/>
                <w:sz w:val="20"/>
              </w:rPr>
              <w:t>0.012</w:t>
            </w:r>
          </w:p>
        </w:tc>
        <w:tc>
          <w:tcPr>
            <w:tcW w:w="1080" w:type="dxa"/>
            <w:vAlign w:val="center"/>
          </w:tcPr>
          <w:p>
            <w:pPr>
              <w:spacing w:before="60" w:after="60" w:line="200" w:lineRule="exact"/>
              <w:jc w:val="right"/>
              <w:rPr>
                <w:noProof/>
                <w:sz w:val="16"/>
                <w:szCs w:val="16"/>
              </w:rPr>
            </w:pPr>
            <w:r>
              <w:rPr>
                <w:b/>
                <w:noProof/>
                <w:sz w:val="20"/>
              </w:rPr>
              <w:t>0.012</w:t>
            </w:r>
          </w:p>
        </w:tc>
        <w:tc>
          <w:tcPr>
            <w:tcW w:w="1080" w:type="dxa"/>
            <w:vAlign w:val="center"/>
          </w:tcPr>
          <w:p>
            <w:pPr>
              <w:spacing w:before="60" w:after="60" w:line="200" w:lineRule="exact"/>
              <w:jc w:val="right"/>
              <w:rPr>
                <w:noProof/>
                <w:sz w:val="16"/>
                <w:szCs w:val="16"/>
              </w:rPr>
            </w:pPr>
            <w:r>
              <w:rPr>
                <w:b/>
                <w:noProof/>
                <w:sz w:val="20"/>
              </w:rPr>
              <w:t>0.012</w:t>
            </w:r>
          </w:p>
        </w:tc>
        <w:tc>
          <w:tcPr>
            <w:tcW w:w="1080" w:type="dxa"/>
            <w:vAlign w:val="center"/>
          </w:tcPr>
          <w:p>
            <w:pPr>
              <w:spacing w:before="60" w:after="60" w:line="200" w:lineRule="exact"/>
              <w:jc w:val="right"/>
              <w:rPr>
                <w:noProof/>
                <w:sz w:val="16"/>
                <w:szCs w:val="16"/>
              </w:rPr>
            </w:pPr>
            <w:r>
              <w:rPr>
                <w:b/>
                <w:noProof/>
                <w:sz w:val="20"/>
              </w:rPr>
              <w:t>0.004</w:t>
            </w:r>
          </w:p>
        </w:tc>
        <w:tc>
          <w:tcPr>
            <w:tcW w:w="1080" w:type="dxa"/>
            <w:vAlign w:val="center"/>
          </w:tcPr>
          <w:p>
            <w:pPr>
              <w:spacing w:before="60" w:after="60" w:line="200" w:lineRule="exact"/>
              <w:jc w:val="right"/>
              <w:rPr>
                <w:b/>
                <w:noProof/>
                <w:sz w:val="16"/>
                <w:szCs w:val="16"/>
              </w:rPr>
            </w:pPr>
            <w:r>
              <w:rPr>
                <w:b/>
                <w:noProof/>
                <w:sz w:val="20"/>
              </w:rPr>
              <w:t>0.060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pStyle w:val="Default"/>
              <w:jc w:val="right"/>
              <w:rPr>
                <w:noProof/>
                <w:sz w:val="20"/>
                <w:szCs w:val="20"/>
              </w:rPr>
            </w:pPr>
            <w:r>
              <w:rPr>
                <w:b/>
                <w:noProof/>
                <w:sz w:val="20"/>
              </w:rPr>
              <w:t>0.048</w:t>
            </w:r>
          </w:p>
        </w:tc>
        <w:tc>
          <w:tcPr>
            <w:tcW w:w="1080" w:type="dxa"/>
            <w:vAlign w:val="center"/>
          </w:tcPr>
          <w:p>
            <w:pPr>
              <w:pStyle w:val="Default"/>
              <w:jc w:val="right"/>
              <w:rPr>
                <w:noProof/>
                <w:sz w:val="20"/>
                <w:szCs w:val="20"/>
              </w:rPr>
            </w:pPr>
            <w:r>
              <w:rPr>
                <w:b/>
                <w:noProof/>
                <w:sz w:val="20"/>
              </w:rPr>
              <w:t>0.072</w:t>
            </w:r>
          </w:p>
        </w:tc>
        <w:tc>
          <w:tcPr>
            <w:tcW w:w="1080" w:type="dxa"/>
            <w:vAlign w:val="center"/>
          </w:tcPr>
          <w:p>
            <w:pPr>
              <w:pStyle w:val="Default"/>
              <w:jc w:val="right"/>
              <w:rPr>
                <w:noProof/>
                <w:sz w:val="20"/>
                <w:szCs w:val="20"/>
              </w:rPr>
            </w:pPr>
            <w:r>
              <w:rPr>
                <w:b/>
                <w:noProof/>
                <w:sz w:val="20"/>
              </w:rPr>
              <w:t>0.072</w:t>
            </w:r>
          </w:p>
        </w:tc>
        <w:tc>
          <w:tcPr>
            <w:tcW w:w="1080" w:type="dxa"/>
            <w:vAlign w:val="center"/>
          </w:tcPr>
          <w:p>
            <w:pPr>
              <w:pStyle w:val="Default"/>
              <w:jc w:val="right"/>
              <w:rPr>
                <w:b/>
                <w:bCs/>
                <w:noProof/>
                <w:sz w:val="20"/>
                <w:szCs w:val="20"/>
              </w:rPr>
            </w:pPr>
            <w:r>
              <w:rPr>
                <w:b/>
                <w:noProof/>
                <w:sz w:val="20"/>
              </w:rPr>
              <w:t>0.072</w:t>
            </w:r>
          </w:p>
        </w:tc>
        <w:tc>
          <w:tcPr>
            <w:tcW w:w="1080" w:type="dxa"/>
            <w:vAlign w:val="center"/>
          </w:tcPr>
          <w:p>
            <w:pPr>
              <w:pStyle w:val="Default"/>
              <w:jc w:val="right"/>
              <w:rPr>
                <w:b/>
                <w:noProof/>
                <w:sz w:val="20"/>
                <w:szCs w:val="20"/>
              </w:rPr>
            </w:pPr>
            <w:r>
              <w:rPr>
                <w:b/>
                <w:noProof/>
                <w:sz w:val="20"/>
              </w:rPr>
              <w:t>0.072</w:t>
            </w:r>
          </w:p>
        </w:tc>
        <w:tc>
          <w:tcPr>
            <w:tcW w:w="1080" w:type="dxa"/>
            <w:vAlign w:val="center"/>
          </w:tcPr>
          <w:p>
            <w:pPr>
              <w:pStyle w:val="Default"/>
              <w:jc w:val="right"/>
              <w:rPr>
                <w:b/>
                <w:noProof/>
                <w:sz w:val="20"/>
                <w:szCs w:val="20"/>
              </w:rPr>
            </w:pPr>
            <w:r>
              <w:rPr>
                <w:b/>
                <w:noProof/>
                <w:sz w:val="20"/>
              </w:rPr>
              <w:t>0.024</w:t>
            </w:r>
          </w:p>
        </w:tc>
        <w:tc>
          <w:tcPr>
            <w:tcW w:w="1080" w:type="dxa"/>
            <w:vAlign w:val="center"/>
          </w:tcPr>
          <w:p>
            <w:pPr>
              <w:pStyle w:val="Default"/>
              <w:jc w:val="right"/>
              <w:rPr>
                <w:b/>
                <w:noProof/>
                <w:sz w:val="20"/>
                <w:szCs w:val="20"/>
              </w:rPr>
            </w:pPr>
            <w:r>
              <w:rPr>
                <w:b/>
                <w:noProof/>
                <w:sz w:val="20"/>
              </w:rPr>
              <w:t>0.360</w:t>
            </w:r>
          </w:p>
        </w:tc>
      </w:tr>
    </w:tbl>
    <w:p>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0.048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0.024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highlight w:val="yellow"/>
              </w:rPr>
            </w:pPr>
            <w:r>
              <w:rPr>
                <w:b/>
                <w:noProof/>
                <w:sz w:val="20"/>
              </w:rPr>
              <w:t>0.360</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4"/>
        <w:rPr>
          <w:bCs/>
          <w:noProof/>
          <w:szCs w:val="24"/>
        </w:rPr>
      </w:pPr>
      <w:r>
        <w:rPr>
          <w:noProof/>
        </w:rPr>
        <w:t>3.2.3.2.</w:t>
      </w:r>
      <w:r>
        <w:rPr>
          <w:noProof/>
        </w:rPr>
        <w:tab/>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46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72"/>
        <w:gridCol w:w="2002"/>
        <w:gridCol w:w="601"/>
        <w:gridCol w:w="839"/>
        <w:gridCol w:w="841"/>
        <w:gridCol w:w="721"/>
        <w:gridCol w:w="636"/>
        <w:gridCol w:w="321"/>
        <w:gridCol w:w="956"/>
      </w:tblGrid>
      <w:tr>
        <w:trPr>
          <w:trHeight w:val="289"/>
          <w:jc w:val="center"/>
        </w:trPr>
        <w:tc>
          <w:tcPr>
            <w:tcW w:w="2171" w:type="pct"/>
            <w:gridSpan w:val="2"/>
            <w:shd w:val="clear" w:color="auto" w:fill="auto"/>
          </w:tcPr>
          <w:p>
            <w:pPr>
              <w:pStyle w:val="Text1"/>
              <w:spacing w:before="40" w:after="40"/>
              <w:ind w:left="0"/>
              <w:jc w:val="center"/>
              <w:rPr>
                <w:i/>
                <w:noProof/>
                <w:sz w:val="16"/>
                <w:szCs w:val="16"/>
              </w:rPr>
            </w:pPr>
          </w:p>
        </w:tc>
        <w:tc>
          <w:tcPr>
            <w:tcW w:w="346"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2020</w:t>
            </w:r>
          </w:p>
        </w:tc>
        <w:tc>
          <w:tcPr>
            <w:tcW w:w="483"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2021</w:t>
            </w:r>
          </w:p>
        </w:tc>
        <w:tc>
          <w:tcPr>
            <w:tcW w:w="484" w:type="pct"/>
            <w:shd w:val="clear" w:color="auto" w:fill="auto"/>
            <w:vAlign w:val="center"/>
          </w:tcPr>
          <w:p>
            <w:pPr>
              <w:spacing w:before="20" w:after="20"/>
              <w:jc w:val="center"/>
              <w:rPr>
                <w:noProof/>
                <w:sz w:val="16"/>
                <w:szCs w:val="16"/>
              </w:rPr>
            </w:pPr>
            <w:r>
              <w:rPr>
                <w:noProof/>
                <w:sz w:val="16"/>
                <w:szCs w:val="16"/>
              </w:rPr>
              <w:t>Year</w:t>
            </w:r>
          </w:p>
          <w:p>
            <w:pPr>
              <w:spacing w:before="20" w:after="20"/>
              <w:jc w:val="center"/>
              <w:rPr>
                <w:noProof/>
                <w:sz w:val="16"/>
                <w:szCs w:val="16"/>
              </w:rPr>
            </w:pPr>
            <w:r>
              <w:rPr>
                <w:b/>
                <w:noProof/>
                <w:sz w:val="16"/>
                <w:szCs w:val="16"/>
              </w:rPr>
              <w:t>2022</w:t>
            </w:r>
          </w:p>
        </w:tc>
        <w:tc>
          <w:tcPr>
            <w:tcW w:w="415" w:type="pct"/>
            <w:shd w:val="clear" w:color="auto" w:fill="auto"/>
            <w:vAlign w:val="center"/>
          </w:tcPr>
          <w:p>
            <w:pPr>
              <w:spacing w:before="20" w:after="20"/>
              <w:jc w:val="center"/>
              <w:rPr>
                <w:noProof/>
                <w:sz w:val="16"/>
                <w:szCs w:val="16"/>
              </w:rPr>
            </w:pPr>
            <w:r>
              <w:rPr>
                <w:noProof/>
                <w:sz w:val="16"/>
                <w:szCs w:val="16"/>
              </w:rPr>
              <w:t>Year</w:t>
            </w:r>
          </w:p>
          <w:p>
            <w:pPr>
              <w:spacing w:before="20" w:after="20"/>
              <w:jc w:val="center"/>
              <w:rPr>
                <w:noProof/>
                <w:sz w:val="16"/>
                <w:szCs w:val="16"/>
              </w:rPr>
            </w:pPr>
            <w:r>
              <w:rPr>
                <w:b/>
                <w:noProof/>
                <w:sz w:val="16"/>
                <w:szCs w:val="16"/>
              </w:rPr>
              <w:t>2023</w:t>
            </w:r>
          </w:p>
        </w:tc>
        <w:tc>
          <w:tcPr>
            <w:tcW w:w="551" w:type="pct"/>
            <w:gridSpan w:val="2"/>
            <w:vAlign w:val="center"/>
          </w:tcPr>
          <w:p>
            <w:pPr>
              <w:spacing w:before="20" w:after="20"/>
              <w:jc w:val="center"/>
              <w:rPr>
                <w:noProof/>
                <w:sz w:val="16"/>
                <w:szCs w:val="16"/>
              </w:rPr>
            </w:pPr>
            <w:r>
              <w:rPr>
                <w:noProof/>
                <w:sz w:val="16"/>
                <w:szCs w:val="16"/>
              </w:rPr>
              <w:t>Year</w:t>
            </w:r>
          </w:p>
          <w:p>
            <w:pPr>
              <w:jc w:val="center"/>
              <w:rPr>
                <w:b/>
                <w:noProof/>
                <w:sz w:val="16"/>
              </w:rPr>
            </w:pPr>
            <w:r>
              <w:rPr>
                <w:b/>
                <w:noProof/>
                <w:sz w:val="16"/>
                <w:szCs w:val="16"/>
              </w:rPr>
              <w:t>2024</w:t>
            </w:r>
          </w:p>
        </w:tc>
        <w:tc>
          <w:tcPr>
            <w:tcW w:w="551" w:type="pct"/>
            <w:shd w:val="clear" w:color="auto" w:fill="auto"/>
            <w:vAlign w:val="center"/>
          </w:tcPr>
          <w:p>
            <w:pPr>
              <w:spacing w:before="20" w:after="20"/>
              <w:jc w:val="center"/>
              <w:rPr>
                <w:noProof/>
                <w:sz w:val="16"/>
                <w:szCs w:val="16"/>
              </w:rPr>
            </w:pPr>
            <w:r>
              <w:rPr>
                <w:noProof/>
                <w:sz w:val="16"/>
                <w:szCs w:val="16"/>
              </w:rPr>
              <w:t>Year</w:t>
            </w:r>
          </w:p>
          <w:p>
            <w:pPr>
              <w:jc w:val="center"/>
              <w:rPr>
                <w:b/>
                <w:noProof/>
                <w:sz w:val="16"/>
                <w:szCs w:val="16"/>
              </w:rPr>
            </w:pPr>
            <w:r>
              <w:rPr>
                <w:b/>
                <w:noProof/>
                <w:sz w:val="16"/>
                <w:szCs w:val="16"/>
              </w:rPr>
              <w:t>2025</w:t>
            </w:r>
          </w:p>
        </w:tc>
      </w:tr>
      <w:tr>
        <w:trPr>
          <w:trHeight w:val="289"/>
          <w:jc w:val="center"/>
        </w:trPr>
        <w:tc>
          <w:tcPr>
            <w:tcW w:w="3483"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415" w:type="pct"/>
            <w:shd w:val="clear" w:color="auto" w:fill="auto"/>
            <w:vAlign w:val="center"/>
          </w:tcPr>
          <w:p>
            <w:pPr>
              <w:spacing w:before="20" w:after="20"/>
              <w:jc w:val="center"/>
              <w:rPr>
                <w:noProof/>
                <w:sz w:val="16"/>
                <w:szCs w:val="16"/>
              </w:rPr>
            </w:pPr>
          </w:p>
        </w:tc>
        <w:tc>
          <w:tcPr>
            <w:tcW w:w="551" w:type="pct"/>
            <w:gridSpan w:val="2"/>
          </w:tcPr>
          <w:p>
            <w:pPr>
              <w:jc w:val="center"/>
              <w:rPr>
                <w:noProof/>
                <w:sz w:val="16"/>
                <w:szCs w:val="16"/>
              </w:rPr>
            </w:pPr>
          </w:p>
        </w:tc>
        <w:tc>
          <w:tcPr>
            <w:tcW w:w="551" w:type="pct"/>
            <w:shd w:val="clear" w:color="auto" w:fill="auto"/>
            <w:vAlign w:val="center"/>
          </w:tcPr>
          <w:p>
            <w:pPr>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08 01 05 01 (Indirect research)</w:t>
            </w:r>
          </w:p>
        </w:tc>
        <w:tc>
          <w:tcPr>
            <w:tcW w:w="346" w:type="pct"/>
            <w:shd w:val="clear" w:color="auto" w:fill="auto"/>
            <w:vAlign w:val="center"/>
          </w:tcPr>
          <w:p>
            <w:pPr>
              <w:spacing w:beforeLines="20" w:before="48" w:afterLines="20" w:after="48"/>
              <w:jc w:val="center"/>
              <w:rPr>
                <w:noProof/>
                <w:sz w:val="16"/>
                <w:szCs w:val="16"/>
              </w:rPr>
            </w:pPr>
            <w:r>
              <w:rPr>
                <w:noProof/>
                <w:sz w:val="16"/>
                <w:szCs w:val="16"/>
              </w:rPr>
              <w:t>0.3</w:t>
            </w:r>
          </w:p>
        </w:tc>
        <w:tc>
          <w:tcPr>
            <w:tcW w:w="483" w:type="pct"/>
            <w:shd w:val="clear" w:color="auto" w:fill="auto"/>
            <w:vAlign w:val="center"/>
          </w:tcPr>
          <w:p>
            <w:pPr>
              <w:spacing w:beforeLines="20" w:before="48" w:afterLines="20" w:after="48"/>
              <w:jc w:val="center"/>
              <w:rPr>
                <w:noProof/>
                <w:sz w:val="16"/>
                <w:szCs w:val="16"/>
              </w:rPr>
            </w:pPr>
            <w:r>
              <w:rPr>
                <w:noProof/>
                <w:sz w:val="16"/>
                <w:szCs w:val="16"/>
              </w:rPr>
              <w:t>0.5</w:t>
            </w:r>
          </w:p>
        </w:tc>
        <w:tc>
          <w:tcPr>
            <w:tcW w:w="484" w:type="pct"/>
            <w:shd w:val="clear" w:color="auto" w:fill="auto"/>
            <w:vAlign w:val="center"/>
          </w:tcPr>
          <w:p>
            <w:pPr>
              <w:spacing w:beforeLines="20" w:before="48" w:afterLines="20" w:after="48"/>
              <w:jc w:val="center"/>
              <w:rPr>
                <w:noProof/>
                <w:sz w:val="16"/>
                <w:szCs w:val="16"/>
              </w:rPr>
            </w:pPr>
            <w:r>
              <w:rPr>
                <w:noProof/>
                <w:sz w:val="16"/>
                <w:szCs w:val="16"/>
              </w:rPr>
              <w:t>0.5</w:t>
            </w:r>
          </w:p>
        </w:tc>
        <w:tc>
          <w:tcPr>
            <w:tcW w:w="415" w:type="pct"/>
            <w:shd w:val="clear" w:color="auto" w:fill="auto"/>
            <w:vAlign w:val="center"/>
          </w:tcPr>
          <w:p>
            <w:pPr>
              <w:spacing w:beforeLines="20" w:before="48" w:afterLines="20" w:after="48"/>
              <w:jc w:val="center"/>
              <w:rPr>
                <w:noProof/>
                <w:sz w:val="16"/>
                <w:szCs w:val="16"/>
              </w:rPr>
            </w:pPr>
            <w:r>
              <w:rPr>
                <w:noProof/>
                <w:sz w:val="16"/>
                <w:szCs w:val="16"/>
              </w:rPr>
              <w:t>0.5</w:t>
            </w:r>
          </w:p>
        </w:tc>
        <w:tc>
          <w:tcPr>
            <w:tcW w:w="551" w:type="pct"/>
            <w:gridSpan w:val="2"/>
          </w:tcPr>
          <w:p>
            <w:pPr>
              <w:spacing w:beforeLines="20" w:before="48" w:afterLines="20" w:after="48"/>
              <w:jc w:val="center"/>
              <w:rPr>
                <w:noProof/>
                <w:sz w:val="16"/>
                <w:szCs w:val="16"/>
              </w:rPr>
            </w:pPr>
            <w:r>
              <w:rPr>
                <w:noProof/>
                <w:sz w:val="16"/>
                <w:szCs w:val="16"/>
              </w:rPr>
              <w:t>0.5</w:t>
            </w:r>
          </w:p>
        </w:tc>
        <w:tc>
          <w:tcPr>
            <w:tcW w:w="551" w:type="pct"/>
            <w:shd w:val="clear" w:color="auto" w:fill="auto"/>
            <w:vAlign w:val="center"/>
          </w:tcPr>
          <w:p>
            <w:pPr>
              <w:spacing w:beforeLines="20" w:before="48" w:afterLines="20" w:after="48"/>
              <w:jc w:val="center"/>
              <w:rPr>
                <w:noProof/>
                <w:sz w:val="16"/>
                <w:szCs w:val="16"/>
              </w:rPr>
            </w:pPr>
            <w:r>
              <w:rPr>
                <w:noProof/>
                <w:sz w:val="16"/>
                <w:szCs w:val="16"/>
              </w:rPr>
              <w:t>0.2</w:t>
            </w:r>
          </w:p>
        </w:tc>
      </w:tr>
      <w:tr>
        <w:trPr>
          <w:trHeight w:val="289"/>
          <w:jc w:val="center"/>
        </w:trPr>
        <w:tc>
          <w:tcPr>
            <w:tcW w:w="217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gridAfter w:val="2"/>
          <w:wAfter w:w="736" w:type="pct"/>
          <w:trHeight w:val="248"/>
          <w:jc w:val="center"/>
        </w:trPr>
        <w:tc>
          <w:tcPr>
            <w:tcW w:w="3483" w:type="pct"/>
            <w:gridSpan w:val="5"/>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26"/>
            </w:r>
          </w:p>
          <w:p>
            <w:pPr>
              <w:pStyle w:val="Text1"/>
              <w:spacing w:before="0" w:after="0"/>
              <w:ind w:left="0"/>
              <w:jc w:val="left"/>
              <w:rPr>
                <w:noProof/>
                <w:sz w:val="16"/>
                <w:szCs w:val="16"/>
              </w:rPr>
            </w:pPr>
          </w:p>
        </w:tc>
        <w:tc>
          <w:tcPr>
            <w:tcW w:w="781" w:type="pct"/>
            <w:gridSpan w:val="2"/>
          </w:tcPr>
          <w:p>
            <w:pPr>
              <w:pStyle w:val="Text1"/>
              <w:spacing w:before="60" w:after="60"/>
              <w:ind w:left="0"/>
              <w:jc w:val="left"/>
              <w:rPr>
                <w:b/>
                <w:noProof/>
                <w:sz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1019"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7"/>
            </w:r>
          </w:p>
          <w:p>
            <w:pPr>
              <w:pStyle w:val="Text1"/>
              <w:spacing w:beforeLines="20" w:before="48" w:afterLines="20" w:after="48"/>
              <w:ind w:left="136"/>
              <w:jc w:val="left"/>
              <w:rPr>
                <w:b/>
                <w:noProof/>
                <w:sz w:val="16"/>
                <w:szCs w:val="16"/>
              </w:rPr>
            </w:pPr>
          </w:p>
        </w:tc>
        <w:tc>
          <w:tcPr>
            <w:tcW w:w="1151"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46" w:type="pct"/>
            <w:shd w:val="clear" w:color="auto" w:fill="auto"/>
            <w:vAlign w:val="center"/>
          </w:tcPr>
          <w:p>
            <w:pPr>
              <w:pStyle w:val="Text1"/>
              <w:spacing w:beforeLines="20" w:before="48" w:afterLines="20" w:after="48"/>
              <w:ind w:left="0"/>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1019" w:type="pct"/>
            <w:vMerge/>
            <w:shd w:val="clear" w:color="auto" w:fill="auto"/>
            <w:vAlign w:val="center"/>
          </w:tcPr>
          <w:p>
            <w:pPr>
              <w:pStyle w:val="Text1"/>
              <w:spacing w:beforeLines="20" w:before="48" w:afterLines="20" w:after="48"/>
              <w:ind w:left="136"/>
              <w:jc w:val="left"/>
              <w:rPr>
                <w:b/>
                <w:noProof/>
                <w:sz w:val="16"/>
                <w:szCs w:val="16"/>
              </w:rPr>
            </w:pPr>
          </w:p>
        </w:tc>
        <w:tc>
          <w:tcPr>
            <w:tcW w:w="1151"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46" w:type="pct"/>
            <w:shd w:val="clear" w:color="auto" w:fill="auto"/>
            <w:vAlign w:val="center"/>
          </w:tcPr>
          <w:p>
            <w:pPr>
              <w:pStyle w:val="Text1"/>
              <w:spacing w:beforeLines="20" w:before="48" w:afterLines="20" w:after="48"/>
              <w:ind w:left="0"/>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4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8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8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51" w:type="pct"/>
            <w:gridSpan w:val="2"/>
            <w:tcBorders>
              <w:bottom w:val="double" w:sz="4" w:space="0" w:color="auto"/>
            </w:tcBorders>
          </w:tcPr>
          <w:p>
            <w:pPr>
              <w:spacing w:beforeLines="20" w:before="48" w:afterLines="20" w:after="48"/>
              <w:jc w:val="center"/>
              <w:rPr>
                <w:noProof/>
                <w:sz w:val="16"/>
                <w:szCs w:val="16"/>
              </w:rPr>
            </w:pPr>
          </w:p>
        </w:tc>
        <w:tc>
          <w:tcPr>
            <w:tcW w:w="551"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46"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0.3</w:t>
            </w:r>
          </w:p>
        </w:tc>
        <w:tc>
          <w:tcPr>
            <w:tcW w:w="483"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0.5</w:t>
            </w:r>
          </w:p>
        </w:tc>
        <w:tc>
          <w:tcPr>
            <w:tcW w:w="484"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0.5</w:t>
            </w:r>
          </w:p>
        </w:tc>
        <w:tc>
          <w:tcPr>
            <w:tcW w:w="415"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0.5</w:t>
            </w:r>
          </w:p>
        </w:tc>
        <w:tc>
          <w:tcPr>
            <w:tcW w:w="551" w:type="pct"/>
            <w:gridSpan w:val="2"/>
            <w:tcBorders>
              <w:top w:val="double" w:sz="4" w:space="0" w:color="auto"/>
            </w:tcBorders>
          </w:tcPr>
          <w:p>
            <w:pPr>
              <w:spacing w:beforeLines="20" w:before="48" w:afterLines="20" w:after="48"/>
              <w:jc w:val="center"/>
              <w:rPr>
                <w:b/>
                <w:noProof/>
                <w:sz w:val="16"/>
                <w:szCs w:val="16"/>
              </w:rPr>
            </w:pPr>
            <w:r>
              <w:rPr>
                <w:noProof/>
                <w:sz w:val="16"/>
                <w:szCs w:val="16"/>
              </w:rPr>
              <w:t>0.5</w:t>
            </w:r>
          </w:p>
        </w:tc>
        <w:tc>
          <w:tcPr>
            <w:tcW w:w="551"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0.2</w:t>
            </w: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sz w:val="20"/>
              </w:rPr>
              <w:t>Preparation and management of meetings of the Joint Consultative Group established under Art. 6(b) of the Agreement, as well as follow –up of the functioning and implementation of the Agreement.</w:t>
            </w:r>
          </w:p>
          <w:p>
            <w:pPr>
              <w:rPr>
                <w:noProof/>
                <w:sz w:val="20"/>
              </w:rPr>
            </w:pPr>
            <w:r>
              <w:rPr>
                <w:noProof/>
                <w:sz w:val="20"/>
              </w:rPr>
              <w:t>Calculations are done proportionally considering the duration of the Agreement.</w:t>
            </w: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Compatibility with the current multiannual financial framework </w:t>
      </w:r>
    </w:p>
    <w:p>
      <w:pPr>
        <w:pStyle w:val="ListDash1"/>
        <w:rPr>
          <w:noProof/>
        </w:rPr>
      </w:pPr>
      <w:r>
        <w:rPr>
          <w:noProof/>
        </w:rPr>
        <w:sym w:font="Wingdings" w:char="F0FE"/>
      </w:r>
      <w:r>
        <w:rPr>
          <w:noProof/>
        </w:rPr>
        <w:tab/>
        <w:t>The proposal/initiative is compatible the current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Multiannual Financial Framework 2021-2027 is still to be adopted by the European Parliament and Council.</w:t>
      </w:r>
    </w:p>
    <w:p>
      <w:pPr>
        <w:rPr>
          <w:noProof/>
        </w:rPr>
      </w:pPr>
    </w:p>
    <w:p>
      <w:pPr>
        <w:pStyle w:val="ManualHeading3"/>
        <w:rPr>
          <w:bCs/>
          <w:noProof/>
          <w:szCs w:val="24"/>
        </w:rPr>
      </w:pPr>
      <w:r>
        <w:rPr>
          <w:noProof/>
        </w:rPr>
        <w:t>3.2.5.</w:t>
      </w:r>
      <w:r>
        <w:rPr>
          <w:noProof/>
        </w:rPr>
        <w:tab/>
        <w:t xml:space="preserve">Third-party contributions </w:t>
      </w:r>
    </w:p>
    <w:p>
      <w:pPr>
        <w:pStyle w:val="ListDash1"/>
        <w:rPr>
          <w:noProof/>
        </w:rPr>
      </w:pPr>
      <w:r>
        <w:rPr>
          <w:noProof/>
        </w:rPr>
        <w:sym w:font="Wingdings" w:char="F0FE"/>
      </w:r>
      <w:r>
        <w:rPr>
          <w:noProof/>
        </w:rPr>
        <w:t xml:space="preserve"> The proposal/initiative does not provide for co-financing by third parties. </w:t>
      </w:r>
    </w:p>
    <w:p>
      <w:pPr>
        <w:rPr>
          <w:noProof/>
        </w:rPr>
      </w:pP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t>3.3.</w:t>
      </w:r>
      <w:r>
        <w:rPr>
          <w:noProof/>
        </w:rPr>
        <w:tab/>
        <w:t xml:space="preserve">Estimated impact on revenue </w:t>
      </w:r>
    </w:p>
    <w:p>
      <w:pPr>
        <w:pStyle w:val="ListDash1"/>
        <w:rPr>
          <w:noProof/>
        </w:rPr>
      </w:pPr>
      <w:r>
        <w:rPr>
          <w:noProof/>
        </w:rPr>
        <w:sym w:font="Wingdings" w:char="F0FE"/>
      </w:r>
      <w:r>
        <w:rPr>
          <w:noProof/>
        </w:rPr>
        <w:tab/>
        <w:t>The proposal/initiative has no financial impact on revenue.</w:t>
      </w:r>
    </w:p>
    <w:p>
      <w:pPr>
        <w:rPr>
          <w:noProof/>
        </w:rPr>
      </w:pPr>
    </w:p>
    <w:p>
      <w:pPr>
        <w:jc w:val="center"/>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L213, 09.08.2002, p. 30.</w:t>
      </w:r>
    </w:p>
  </w:footnote>
  <w:footnote w:id="2">
    <w:p>
      <w:pPr>
        <w:pStyle w:val="FootnoteText"/>
        <w:rPr>
          <w:lang w:val="en-IE"/>
        </w:rPr>
      </w:pPr>
      <w:r>
        <w:rPr>
          <w:rStyle w:val="FootnoteReference"/>
        </w:rPr>
        <w:footnoteRef/>
      </w:r>
      <w:r>
        <w:tab/>
        <w:t>Council Decision 2009/501/EC (OJ L 171, 01.07.2009, p. 17).</w:t>
      </w:r>
    </w:p>
  </w:footnote>
  <w:footnote w:id="3">
    <w:p>
      <w:pPr>
        <w:pStyle w:val="FootnoteText"/>
      </w:pPr>
      <w:r>
        <w:rPr>
          <w:rStyle w:val="FootnoteReference"/>
        </w:rPr>
        <w:footnoteRef/>
      </w:r>
      <w:r>
        <w:tab/>
        <w:t xml:space="preserve">Council Decision </w:t>
      </w:r>
      <w:r>
        <w:rPr>
          <w:noProof/>
        </w:rPr>
        <w:t>2015/1788/EU (</w:t>
      </w:r>
      <w:r>
        <w:t>OJ L 260, 07.10.2015, p. 18).</w:t>
      </w:r>
    </w:p>
  </w:footnote>
  <w:footnote w:id="4">
    <w:p>
      <w:pPr>
        <w:pStyle w:val="FootnoteText"/>
      </w:pPr>
      <w:r>
        <w:rPr>
          <w:rStyle w:val="FootnoteReference"/>
        </w:rPr>
        <w:footnoteRef/>
      </w:r>
      <w:r>
        <w:tab/>
        <w:t>Regulation (EU) No 1291/2013 of the European Parliament and of the Council of 11 December 2013 establishing Horizon 2020 — the Framework Programme for Research and Innovation (2014-2020) and repealing Decision No 1982/2006/EC (OJ L 347, 20.12.2013, p. 104).</w:t>
      </w:r>
    </w:p>
  </w:footnote>
  <w:footnote w:id="5">
    <w:p>
      <w:pPr>
        <w:pStyle w:val="FootnoteText"/>
        <w:ind w:left="142" w:hanging="142"/>
        <w:jc w:val="left"/>
      </w:pPr>
      <w:r>
        <w:rPr>
          <w:rStyle w:val="FootnoteReference"/>
        </w:rPr>
        <w:footnoteRef/>
      </w:r>
      <w:r>
        <w:tab/>
      </w:r>
      <w:r>
        <w:rPr>
          <w:i/>
          <w:iCs/>
        </w:rPr>
        <w:t>Enhancing and focusing EU international cooperation in research and innovation: a strategic approach</w:t>
      </w:r>
      <w:r>
        <w:t xml:space="preserve">, COM(2012) 497. </w:t>
      </w:r>
    </w:p>
  </w:footnote>
  <w:footnote w:id="6">
    <w:p>
      <w:pPr>
        <w:pStyle w:val="FootnoteText"/>
        <w:ind w:left="142" w:hanging="142"/>
      </w:pPr>
      <w:r>
        <w:rPr>
          <w:rStyle w:val="FootnoteReference"/>
        </w:rPr>
        <w:footnoteRef/>
      </w:r>
      <w:r>
        <w:tab/>
        <w:t>Joint Communication to the European Parliament and the Council JOIN(2018) 28 - ‘Elements for an EU strategy on India’.</w:t>
      </w:r>
    </w:p>
  </w:footnote>
  <w:footnote w:id="7">
    <w:p>
      <w:pPr>
        <w:pStyle w:val="FootnoteText"/>
        <w:ind w:left="142" w:hanging="142"/>
      </w:pPr>
      <w:r>
        <w:rPr>
          <w:rStyle w:val="FootnoteReference"/>
        </w:rPr>
        <w:footnoteRef/>
      </w:r>
      <w:r>
        <w:tab/>
        <w:t>EU Strategy on India – Council conclusions 14634/18 (10 December 2018, p.3).</w:t>
      </w:r>
    </w:p>
  </w:footnote>
  <w:footnote w:id="8">
    <w:p>
      <w:pPr>
        <w:pStyle w:val="FootnoteText"/>
        <w:rPr>
          <w:lang w:val="pl-PL"/>
        </w:rPr>
      </w:pPr>
      <w:r>
        <w:rPr>
          <w:rStyle w:val="FootnoteReference"/>
        </w:rPr>
        <w:footnoteRef/>
      </w:r>
      <w:r>
        <w:rPr>
          <w:lang w:val="pl-PL"/>
        </w:rPr>
        <w:tab/>
        <w:t>OJ C , , p. .</w:t>
      </w:r>
    </w:p>
  </w:footnote>
  <w:footnote w:id="9">
    <w:p>
      <w:pPr>
        <w:pStyle w:val="FootnoteText"/>
      </w:pPr>
      <w:r>
        <w:rPr>
          <w:rStyle w:val="FootnoteReference"/>
        </w:rPr>
        <w:footnoteRef/>
      </w:r>
      <w:r>
        <w:tab/>
        <w:t>Council Decision 2002/648/EC of 25 June 2002 concerning the conclusion of the Agreement for scientific and technological cooperation between the European Community and the Government of the Republic of India (OJ L 213, 9.8.2002, p. 29).</w:t>
      </w:r>
    </w:p>
  </w:footnote>
  <w:footnote w:id="10">
    <w:p>
      <w:pPr>
        <w:pStyle w:val="FootnoteText"/>
        <w:rPr>
          <w:lang w:val="en-US"/>
        </w:rPr>
      </w:pPr>
      <w:r>
        <w:rPr>
          <w:rStyle w:val="FootnoteReference"/>
        </w:rPr>
        <w:footnoteRef/>
      </w:r>
      <w:r>
        <w:tab/>
      </w:r>
      <w:r>
        <w:rPr>
          <w:lang w:val="en-US"/>
        </w:rPr>
        <w:t>Agreement for scientific and technological cooperation between the European Community and the Government of the Republic of India (OJ L 213, 9.8.2002, p. 30).</w:t>
      </w:r>
    </w:p>
  </w:footnote>
  <w:footnote w:id="11">
    <w:p>
      <w:pPr>
        <w:pStyle w:val="FootnoteText"/>
      </w:pPr>
      <w:r>
        <w:rPr>
          <w:rStyle w:val="FootnoteReference"/>
        </w:rPr>
        <w:footnoteRef/>
      </w:r>
      <w:r>
        <w:tab/>
        <w:t>Council Decision 2009/501/EC of 19 January 2009 concerning the conclusion of an Agreement renewing the Agreement for scientific and technological cooperation between the European Community and the Government of the Republic of India (OJ L 171, 01.07.2009, p. 17).</w:t>
      </w:r>
    </w:p>
  </w:footnote>
  <w:footnote w:id="12">
    <w:p>
      <w:pPr>
        <w:pStyle w:val="FootnoteText"/>
      </w:pPr>
      <w:r>
        <w:rPr>
          <w:rStyle w:val="FootnoteReference"/>
        </w:rPr>
        <w:footnoteRef/>
      </w:r>
      <w:r>
        <w:tab/>
        <w:t>Council Decision 2015/1788/EU of 1 October 2015 concerning the renewal of the Agreement for scientific and technological cooperation between the European Community and the Government of the Republic of India (OJ L 260, 07.10.2015, p. 18).</w:t>
      </w:r>
    </w:p>
  </w:footnote>
  <w:footnote w:id="13">
    <w:p>
      <w:pPr>
        <w:pStyle w:val="FootnoteText"/>
        <w:rPr>
          <w:szCs w:val="24"/>
        </w:rPr>
      </w:pPr>
      <w:r>
        <w:rPr>
          <w:rStyle w:val="FootnoteReference"/>
        </w:rPr>
        <w:footnoteRef/>
      </w:r>
      <w:r>
        <w:tab/>
        <w:t>ABM: activity-based management; ABB: activity-based budgeting.</w:t>
      </w:r>
    </w:p>
  </w:footnote>
  <w:footnote w:id="14">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15">
    <w:p>
      <w:pPr>
        <w:pStyle w:val="FootnoteText"/>
        <w:ind w:left="709" w:hanging="709"/>
        <w:rPr>
          <w:lang w:val="en-US"/>
        </w:rPr>
      </w:pPr>
      <w:r>
        <w:rPr>
          <w:rStyle w:val="FootnoteReference"/>
        </w:rPr>
        <w:footnoteRef/>
      </w:r>
      <w:r>
        <w:tab/>
        <w:t xml:space="preserve">Appropriations for the period 2021-2024 (Multiannual Financial Framework 2021-2027) and related legal basis are still to be adopted by the European Parliament and Council. </w:t>
      </w:r>
    </w:p>
  </w:footnote>
  <w:footnote w:id="16">
    <w:p>
      <w:pPr>
        <w:pStyle w:val="FootnoteText"/>
        <w:rPr>
          <w:szCs w:val="24"/>
        </w:rPr>
      </w:pPr>
      <w:r>
        <w:rPr>
          <w:rStyle w:val="FootnoteReference"/>
        </w:rPr>
        <w:footnoteRef/>
      </w:r>
      <w:r>
        <w:tab/>
        <w:t>Diff. = Differentiated appropriations / Non-diff. = Non-differentiated appropriations.</w:t>
      </w:r>
    </w:p>
  </w:footnote>
  <w:footnote w:id="17">
    <w:p>
      <w:pPr>
        <w:pStyle w:val="FootnoteText"/>
        <w:rPr>
          <w:szCs w:val="24"/>
        </w:rPr>
      </w:pPr>
      <w:r>
        <w:rPr>
          <w:rStyle w:val="FootnoteReference"/>
        </w:rPr>
        <w:footnoteRef/>
      </w:r>
      <w:r>
        <w:tab/>
        <w:t xml:space="preserve">EFTA: European Free Trade Association. </w:t>
      </w:r>
    </w:p>
  </w:footnote>
  <w:footnote w:id="18">
    <w:p>
      <w:pPr>
        <w:pStyle w:val="FootnoteText"/>
        <w:rPr>
          <w:szCs w:val="24"/>
        </w:rPr>
      </w:pPr>
      <w:r>
        <w:rPr>
          <w:rStyle w:val="FootnoteReference"/>
        </w:rPr>
        <w:footnoteRef/>
      </w:r>
      <w:r>
        <w:tab/>
        <w:t>Candidate countries and, where applicable, potential candidate countries from the Western Balkans.</w:t>
      </w:r>
    </w:p>
  </w:footnote>
  <w:footnote w:id="19">
    <w:p>
      <w:pPr>
        <w:pStyle w:val="FootnoteText"/>
        <w:rPr>
          <w:szCs w:val="24"/>
        </w:rPr>
      </w:pPr>
      <w:r>
        <w:rPr>
          <w:rStyle w:val="FootnoteReference"/>
        </w:rPr>
        <w:footnoteRef/>
      </w:r>
      <w:r>
        <w:tab/>
        <w:t>Year 2020 is the year in which implementation of the proposal/initiative starts.Amounts for 2020 and 2025 correspond to seven months and five months respectively.</w:t>
      </w:r>
    </w:p>
  </w:footnote>
  <w:footnote w:id="20">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1">
    <w:p>
      <w:pPr>
        <w:pStyle w:val="FootnoteText"/>
        <w:rPr>
          <w:szCs w:val="24"/>
        </w:rPr>
      </w:pPr>
      <w:r>
        <w:rPr>
          <w:rStyle w:val="FootnoteReference"/>
        </w:rPr>
        <w:footnoteRef/>
      </w:r>
      <w:r>
        <w:tab/>
        <w:t>Year 2020 is the year in which implementation of the proposal/initiative starts. Amounts for 2020 and 2025 correspond to seven months and five months respectively.</w:t>
      </w:r>
    </w:p>
  </w:footnote>
  <w:footnote w:id="22">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23">
    <w:p>
      <w:pPr>
        <w:pStyle w:val="FootnoteText"/>
        <w:rPr>
          <w:szCs w:val="24"/>
        </w:rPr>
      </w:pPr>
      <w:r>
        <w:rPr>
          <w:rStyle w:val="FootnoteReference"/>
        </w:rPr>
        <w:footnoteRef/>
      </w:r>
      <w:r>
        <w:tab/>
        <w:t xml:space="preserve">As described in point 1.4.2. ‘Specific objective(s)…’ </w:t>
      </w:r>
    </w:p>
  </w:footnote>
  <w:footnote w:id="24">
    <w:p>
      <w:pPr>
        <w:pStyle w:val="FootnoteText"/>
        <w:rPr>
          <w:szCs w:val="24"/>
        </w:rPr>
      </w:pPr>
      <w:r>
        <w:rPr>
          <w:rStyle w:val="FootnoteReference"/>
        </w:rPr>
        <w:footnoteRef/>
      </w:r>
      <w:r>
        <w:tab/>
        <w:t>Year 2020 is the year in which implementation of the proposal/initiative starts. Amounts for 2020 and 2025 correspond to seven months and five months respectively.</w:t>
      </w:r>
    </w:p>
  </w:footnote>
  <w:footnote w:id="25">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6">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27">
    <w:p>
      <w:pPr>
        <w:pStyle w:val="FootnoteText"/>
        <w:rPr>
          <w:szCs w:val="24"/>
        </w:rPr>
      </w:pPr>
      <w:r>
        <w:rPr>
          <w:rStyle w:val="FootnoteReference"/>
        </w:rPr>
        <w:footnoteRef/>
      </w:r>
      <w:r>
        <w:tab/>
        <w:t>Sub-ceiling for external staff covered by operational appropriations (former ‘BA’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B40A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5623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4C29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DBC70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454A2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012C2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5"/>
  </w:num>
  <w:num w:numId="7">
    <w:abstractNumId w:val="4"/>
  </w:num>
  <w:num w:numId="8">
    <w:abstractNumId w:val="3"/>
  </w:num>
  <w:num w:numId="9">
    <w:abstractNumId w:val="2"/>
  </w:num>
  <w:num w:numId="10">
    <w:abstractNumId w:val="1"/>
  </w:num>
  <w:num w:numId="11">
    <w:abstractNumId w:val="0"/>
  </w:num>
  <w:num w:numId="12">
    <w:abstractNumId w:val="19"/>
  </w:num>
  <w:num w:numId="13">
    <w:abstractNumId w:val="11"/>
  </w:num>
  <w:num w:numId="14">
    <w:abstractNumId w:val="22"/>
  </w:num>
  <w:num w:numId="15">
    <w:abstractNumId w:val="10"/>
  </w:num>
  <w:num w:numId="16">
    <w:abstractNumId w:val="12"/>
  </w:num>
  <w:num w:numId="17">
    <w:abstractNumId w:val="8"/>
  </w:num>
  <w:num w:numId="18">
    <w:abstractNumId w:val="21"/>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4"/>
  </w:num>
  <w:num w:numId="26">
    <w:abstractNumId w:val="19"/>
  </w:num>
  <w:num w:numId="27">
    <w:abstractNumId w:val="11"/>
  </w:num>
  <w:num w:numId="28">
    <w:abstractNumId w:val="22"/>
  </w:num>
  <w:num w:numId="29">
    <w:abstractNumId w:val="10"/>
  </w:num>
  <w:num w:numId="30">
    <w:abstractNumId w:val="12"/>
  </w:num>
  <w:num w:numId="31">
    <w:abstractNumId w:val="8"/>
  </w:num>
  <w:num w:numId="32">
    <w:abstractNumId w:val="21"/>
  </w:num>
  <w:num w:numId="33">
    <w:abstractNumId w:val="7"/>
  </w:num>
  <w:num w:numId="34">
    <w:abstractNumId w:val="13"/>
  </w:num>
  <w:num w:numId="35">
    <w:abstractNumId w:val="17"/>
  </w:num>
  <w:num w:numId="36">
    <w:abstractNumId w:val="18"/>
  </w:num>
  <w:num w:numId="37">
    <w:abstractNumId w:val="9"/>
  </w:num>
  <w:num w:numId="38">
    <w:abstractNumId w:val="16"/>
  </w:num>
  <w:num w:numId="3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1-23 15:35: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0"/>
    <w:docVar w:name="DQCResult_StructureCheck" w:val="0;0"/>
    <w:docVar w:name="DQCResult_SuperfluousWhitespace" w:val="0;29"/>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CB37DE2C-EB33-429B-BA61-F99B385B647F"/>
    <w:docVar w:name="LW_COVERPAGE_TYPE" w:val="1"/>
    <w:docVar w:name="LW_CROSSREFERENCE" w:val="&lt;UNUSED&gt;"/>
    <w:docVar w:name="LW_DocType" w:val="COM"/>
    <w:docVar w:name="LW_EMISSION" w:val="30.1.2020"/>
    <w:docVar w:name="LW_EMISSION_ISODATE" w:val="2020-01-30"/>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15"/>
    <w:docVar w:name="LW_REF.II.NEW.CP_YEAR" w:val="2020"/>
    <w:docVar w:name="LW_REF.INST.NEW" w:val="COM"/>
    <w:docVar w:name="LW_REF.INST.NEW_ADOPTED" w:val="final"/>
    <w:docVar w:name="LW_REF.INST.NEW_TEXT" w:val="(2020) 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renewal of the Agreement for scientific and technological cooperation between the European Community and the Government of the Republic of Indi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21178">
      <w:bodyDiv w:val="1"/>
      <w:marLeft w:val="0"/>
      <w:marRight w:val="0"/>
      <w:marTop w:val="0"/>
      <w:marBottom w:val="0"/>
      <w:divBdr>
        <w:top w:val="none" w:sz="0" w:space="0" w:color="auto"/>
        <w:left w:val="none" w:sz="0" w:space="0" w:color="auto"/>
        <w:bottom w:val="none" w:sz="0" w:space="0" w:color="auto"/>
        <w:right w:val="none" w:sz="0" w:space="0" w:color="auto"/>
      </w:divBdr>
      <w:divsChild>
        <w:div w:id="1120030894">
          <w:marLeft w:val="0"/>
          <w:marRight w:val="0"/>
          <w:marTop w:val="0"/>
          <w:marBottom w:val="0"/>
          <w:divBdr>
            <w:top w:val="none" w:sz="0" w:space="0" w:color="auto"/>
            <w:left w:val="none" w:sz="0" w:space="0" w:color="auto"/>
            <w:bottom w:val="none" w:sz="0" w:space="0" w:color="auto"/>
            <w:right w:val="none" w:sz="0" w:space="0" w:color="auto"/>
          </w:divBdr>
          <w:divsChild>
            <w:div w:id="1186215024">
              <w:marLeft w:val="0"/>
              <w:marRight w:val="0"/>
              <w:marTop w:val="0"/>
              <w:marBottom w:val="0"/>
              <w:divBdr>
                <w:top w:val="none" w:sz="0" w:space="0" w:color="auto"/>
                <w:left w:val="none" w:sz="0" w:space="0" w:color="auto"/>
                <w:bottom w:val="none" w:sz="0" w:space="0" w:color="auto"/>
                <w:right w:val="none" w:sz="0" w:space="0" w:color="auto"/>
              </w:divBdr>
              <w:divsChild>
                <w:div w:id="1346325678">
                  <w:marLeft w:val="0"/>
                  <w:marRight w:val="0"/>
                  <w:marTop w:val="0"/>
                  <w:marBottom w:val="0"/>
                  <w:divBdr>
                    <w:top w:val="none" w:sz="0" w:space="0" w:color="auto"/>
                    <w:left w:val="none" w:sz="0" w:space="0" w:color="auto"/>
                    <w:bottom w:val="none" w:sz="0" w:space="0" w:color="auto"/>
                    <w:right w:val="none" w:sz="0" w:space="0" w:color="auto"/>
                  </w:divBdr>
                  <w:divsChild>
                    <w:div w:id="2143842657">
                      <w:marLeft w:val="-150"/>
                      <w:marRight w:val="-150"/>
                      <w:marTop w:val="0"/>
                      <w:marBottom w:val="0"/>
                      <w:divBdr>
                        <w:top w:val="none" w:sz="0" w:space="0" w:color="auto"/>
                        <w:left w:val="none" w:sz="0" w:space="0" w:color="auto"/>
                        <w:bottom w:val="none" w:sz="0" w:space="0" w:color="auto"/>
                        <w:right w:val="none" w:sz="0" w:space="0" w:color="auto"/>
                      </w:divBdr>
                      <w:divsChild>
                        <w:div w:id="1626623261">
                          <w:marLeft w:val="0"/>
                          <w:marRight w:val="0"/>
                          <w:marTop w:val="0"/>
                          <w:marBottom w:val="0"/>
                          <w:divBdr>
                            <w:top w:val="none" w:sz="0" w:space="0" w:color="auto"/>
                            <w:left w:val="none" w:sz="0" w:space="0" w:color="auto"/>
                            <w:bottom w:val="none" w:sz="0" w:space="0" w:color="auto"/>
                            <w:right w:val="none" w:sz="0" w:space="0" w:color="auto"/>
                          </w:divBdr>
                          <w:divsChild>
                            <w:div w:id="1792240737">
                              <w:marLeft w:val="0"/>
                              <w:marRight w:val="0"/>
                              <w:marTop w:val="0"/>
                              <w:marBottom w:val="0"/>
                              <w:divBdr>
                                <w:top w:val="none" w:sz="0" w:space="0" w:color="auto"/>
                                <w:left w:val="none" w:sz="0" w:space="0" w:color="auto"/>
                                <w:bottom w:val="none" w:sz="0" w:space="0" w:color="auto"/>
                                <w:right w:val="none" w:sz="0" w:space="0" w:color="auto"/>
                              </w:divBdr>
                              <w:divsChild>
                                <w:div w:id="582835216">
                                  <w:marLeft w:val="0"/>
                                  <w:marRight w:val="0"/>
                                  <w:marTop w:val="0"/>
                                  <w:marBottom w:val="300"/>
                                  <w:divBdr>
                                    <w:top w:val="none" w:sz="0" w:space="0" w:color="auto"/>
                                    <w:left w:val="none" w:sz="0" w:space="0" w:color="auto"/>
                                    <w:bottom w:val="none" w:sz="0" w:space="0" w:color="auto"/>
                                    <w:right w:val="none" w:sz="0" w:space="0" w:color="auto"/>
                                  </w:divBdr>
                                  <w:divsChild>
                                    <w:div w:id="1452018803">
                                      <w:marLeft w:val="0"/>
                                      <w:marRight w:val="0"/>
                                      <w:marTop w:val="0"/>
                                      <w:marBottom w:val="0"/>
                                      <w:divBdr>
                                        <w:top w:val="none" w:sz="0" w:space="0" w:color="auto"/>
                                        <w:left w:val="none" w:sz="0" w:space="0" w:color="auto"/>
                                        <w:bottom w:val="none" w:sz="0" w:space="0" w:color="auto"/>
                                        <w:right w:val="none" w:sz="0" w:space="0" w:color="auto"/>
                                      </w:divBdr>
                                      <w:divsChild>
                                        <w:div w:id="1772044905">
                                          <w:marLeft w:val="0"/>
                                          <w:marRight w:val="0"/>
                                          <w:marTop w:val="0"/>
                                          <w:marBottom w:val="0"/>
                                          <w:divBdr>
                                            <w:top w:val="none" w:sz="0" w:space="0" w:color="auto"/>
                                            <w:left w:val="none" w:sz="0" w:space="0" w:color="auto"/>
                                            <w:bottom w:val="none" w:sz="0" w:space="0" w:color="auto"/>
                                            <w:right w:val="none" w:sz="0" w:space="0" w:color="auto"/>
                                          </w:divBdr>
                                          <w:divsChild>
                                            <w:div w:id="11999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B4497-68A8-4C66-AC15-452AD7C8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20</Pages>
  <Words>4270</Words>
  <Characters>23958</Characters>
  <Application>Microsoft Office Word</Application>
  <DocSecurity>0</DocSecurity>
  <Lines>1331</Lines>
  <Paragraphs>613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2019-12-12T13:29:00Z</cp:lastPrinted>
  <dcterms:created xsi:type="dcterms:W3CDTF">2019-12-13T08:44:00Z</dcterms:created>
  <dcterms:modified xsi:type="dcterms:W3CDTF">2020-01-23T14:35:00Z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