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C3BAD59-3EC9-43B9-A2C5-D56DD9B4E190"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rFonts w:eastAsia="Arial Unicode MS"/>
          <w:noProof/>
        </w:rPr>
      </w:pPr>
      <w:r>
        <w:rPr>
          <w:noProof/>
        </w:rPr>
        <w:t>С настоящата препоръка Европейската комисия приканва Съвета на Европейския съюз да разреши започването на преговори за ново партньорство с Обединеното кралство Великобритания и Северна Ирландия, да определи Комисията за преговарящ от името на Съюза и да ѝ отправи указания, както и да определи специален комитет, с който тя да се консултира при воденето на преговорите.</w:t>
      </w:r>
    </w:p>
    <w:p>
      <w:pPr>
        <w:pStyle w:val="ManualHeading1"/>
        <w:rPr>
          <w:noProof/>
        </w:rPr>
      </w:pPr>
      <w:r>
        <w:rPr>
          <w:noProof/>
        </w:rPr>
        <w:t>2.</w:t>
      </w:r>
      <w:r>
        <w:rPr>
          <w:noProof/>
        </w:rPr>
        <w:tab/>
        <w:t>КОНТЕКСТ</w:t>
      </w:r>
    </w:p>
    <w:p>
      <w:pPr>
        <w:pBdr>
          <w:top w:val="nil"/>
          <w:left w:val="nil"/>
          <w:bottom w:val="nil"/>
          <w:right w:val="nil"/>
          <w:between w:val="nil"/>
          <w:bar w:val="nil"/>
        </w:pBdr>
        <w:spacing w:before="0" w:after="240"/>
        <w:rPr>
          <w:noProof/>
        </w:rPr>
      </w:pPr>
      <w:r>
        <w:rPr>
          <w:noProof/>
        </w:rPr>
        <w:t>На 1 февруари 2020 г. Обединеното кралство се оттегли от Европейския съюз и от Европейската общност за атомна енергия (Евратом).</w:t>
      </w:r>
    </w:p>
    <w:p>
      <w:pPr>
        <w:pBdr>
          <w:top w:val="nil"/>
          <w:left w:val="nil"/>
          <w:bottom w:val="nil"/>
          <w:right w:val="nil"/>
          <w:between w:val="nil"/>
          <w:bar w:val="nil"/>
        </w:pBdr>
        <w:spacing w:before="0" w:after="240"/>
        <w:rPr>
          <w:noProof/>
        </w:rPr>
      </w:pPr>
      <w:r>
        <w:rPr>
          <w:noProof/>
        </w:rPr>
        <w:t>Договореностите за оттеглянето са посочени в Споразумението за оттегляне на Обединеното кралство Великобритания и Северна Ирландия („Обединеното кралство“) от Европейския съюз и Европейската общност за атомна енергия („Споразумението за оттегляне“)</w:t>
      </w:r>
      <w:r>
        <w:rPr>
          <w:rStyle w:val="FootnoteReference"/>
          <w:noProof/>
        </w:rPr>
        <w:footnoteReference w:id="1"/>
      </w:r>
      <w:r>
        <w:rPr>
          <w:noProof/>
        </w:rPr>
        <w:t xml:space="preserve">. </w:t>
      </w:r>
    </w:p>
    <w:p>
      <w:pPr>
        <w:pBdr>
          <w:top w:val="nil"/>
          <w:left w:val="nil"/>
          <w:bottom w:val="nil"/>
          <w:right w:val="nil"/>
          <w:between w:val="nil"/>
          <w:bar w:val="nil"/>
        </w:pBdr>
        <w:spacing w:before="0" w:after="240"/>
        <w:rPr>
          <w:noProof/>
        </w:rPr>
      </w:pPr>
      <w:r>
        <w:rPr>
          <w:noProof/>
        </w:rPr>
        <w:t>Споразумението за оттегляне влезе в сила на 1 февруари 2020 г. и предвижда преходен период, през който правото на Съюза се прилага спрямо Обединеното кралство и в него в съответствие с посоченото споразумение. Този срок изтича на 31 декември 2020 г., освен ако Съвместният комитет, създаден съгласно Споразумението за оттегляне, приеме преди 1 юли 2020 г. единно решение за удължаване на преходния период с не повече от 1 или 2 години.</w:t>
      </w:r>
    </w:p>
    <w:p>
      <w:pPr>
        <w:pBdr>
          <w:top w:val="nil"/>
          <w:left w:val="nil"/>
          <w:bottom w:val="nil"/>
          <w:right w:val="nil"/>
          <w:between w:val="nil"/>
          <w:bar w:val="nil"/>
        </w:pBdr>
        <w:spacing w:before="0" w:after="240"/>
        <w:rPr>
          <w:noProof/>
        </w:rPr>
      </w:pPr>
      <w:r>
        <w:rPr>
          <w:noProof/>
        </w:rPr>
        <w:t>В насоките от 23 март 2018 г. Европейският съвет потвърди решимостта на Съюза да поддържа в бъдеще възможно най-близко партньорство с Обединеното кралство. Според тези насоки партньорството следва да обхваща търговското и икономическото сътрудничество, както и други области, по-специално борбата срещу тероризма и международната престъпност, както и сигурността, отбраната и външната политика. Европейският съвет определи тези насоки с оглед на цялостното разбиране на рамката за бъдещите отношения, която трябваше да бъде разработена в политическа декларация, придружаваща Споразумението за оттегляне и упомената в него.</w:t>
      </w:r>
    </w:p>
    <w:p>
      <w:pPr>
        <w:pBdr>
          <w:top w:val="nil"/>
          <w:left w:val="nil"/>
          <w:bottom w:val="nil"/>
          <w:right w:val="nil"/>
          <w:between w:val="nil"/>
          <w:bar w:val="nil"/>
        </w:pBdr>
        <w:spacing w:before="0" w:after="240"/>
        <w:rPr>
          <w:noProof/>
        </w:rPr>
      </w:pPr>
      <w:r>
        <w:rPr>
          <w:noProof/>
        </w:rPr>
        <w:t>Политическата декларация, придружаваща Споразумението за оттегляне, определя рамката за бъдещите отношения между Европейския съюз и Обединеното кралство („Политическа декларация“)</w:t>
      </w:r>
      <w:r>
        <w:rPr>
          <w:rStyle w:val="FootnoteReference"/>
          <w:noProof/>
        </w:rPr>
        <w:footnoteReference w:id="2"/>
      </w:r>
      <w:r>
        <w:rPr>
          <w:noProof/>
        </w:rPr>
        <w:t>. Тя установява параметрите на „амбициозно, широко, задълбочено и гъвкаво партньорство по отношение на търговското и икономическото сътрудничество, в чиято основа е залегнало всеобхватно и балансирано споразумение за свободна търговия, по отношение на правоприлагането и наказателното правосъдие, външната политика, сигурността и отбраната и по-широки области на сътрудничество.“</w:t>
      </w:r>
    </w:p>
    <w:p>
      <w:pPr>
        <w:pBdr>
          <w:top w:val="nil"/>
          <w:left w:val="nil"/>
          <w:bottom w:val="nil"/>
          <w:right w:val="nil"/>
          <w:between w:val="nil"/>
          <w:bar w:val="nil"/>
        </w:pBdr>
        <w:spacing w:before="0" w:after="240"/>
        <w:rPr>
          <w:noProof/>
        </w:rPr>
      </w:pPr>
      <w:r>
        <w:rPr>
          <w:noProof/>
        </w:rPr>
        <w:t xml:space="preserve">Член 184 от Споразумението за оттегляне предвижда: „Европейският съюз и Обединеното кралство полагат всички усилия, добросъвестно и при пълно зачитане на съответния им правен ред, да предприемат необходимите стъпки за договаряне във възможно най-кратък срок на споразуменията относно бъдещите им отношения, посочени в политическата декларация от 17 октомври 2018 г., и за провеждане на </w:t>
      </w:r>
      <w:r>
        <w:rPr>
          <w:noProof/>
        </w:rPr>
        <w:lastRenderedPageBreak/>
        <w:t>съответните процедури за ратифициране или сключване на тези споразумения с цел да се гарантира, че тези споразумения се прилагат, доколкото е възможно, считано от края на преходния период.“</w:t>
      </w:r>
    </w:p>
    <w:p>
      <w:pPr>
        <w:pBdr>
          <w:top w:val="nil"/>
          <w:left w:val="nil"/>
          <w:bottom w:val="nil"/>
          <w:right w:val="nil"/>
          <w:between w:val="nil"/>
          <w:bar w:val="nil"/>
        </w:pBdr>
        <w:spacing w:before="0" w:after="240"/>
        <w:rPr>
          <w:rFonts w:eastAsia="Arial Unicode MS"/>
          <w:noProof/>
        </w:rPr>
      </w:pPr>
      <w:r>
        <w:rPr>
          <w:noProof/>
        </w:rPr>
        <w:t>В заключенията си от 13 декември 2019 г. Европейският съвет потвърди желанието си да установи възможно най-близки бъдещи отношения с Обединеното кралство в съответствие с Политическата декларация и при спазване на договорените по-рано насоки на Европейския съвет, както и изявленията и декларациите, по-специално тези от 25 ноември 2018 г. Европейският съвет специално припомни, че бъдещите отношения с Обединеното кралство ще трябва да се основават на баланс между правата и задълженията и да гарантират равни условия. Европейският съвет прикани Комисията да представи на Съвета „проект за цялостен мандат за бъдещите отношения с Обединеното кралство веднага след оттеглянето му“.</w:t>
      </w:r>
    </w:p>
    <w:p>
      <w:pPr>
        <w:pStyle w:val="ManualHeading1"/>
        <w:rPr>
          <w:noProof/>
        </w:rPr>
      </w:pPr>
      <w:r>
        <w:rPr>
          <w:noProof/>
        </w:rPr>
        <w:t>3.</w:t>
      </w:r>
      <w:r>
        <w:rPr>
          <w:noProof/>
        </w:rPr>
        <w:tab/>
        <w:t>НОВОТО ПАРТНЬОРСТВО</w:t>
      </w:r>
    </w:p>
    <w:p>
      <w:pPr>
        <w:pBdr>
          <w:top w:val="nil"/>
          <w:left w:val="nil"/>
          <w:bottom w:val="nil"/>
          <w:right w:val="nil"/>
          <w:between w:val="nil"/>
          <w:bar w:val="nil"/>
        </w:pBdr>
        <w:spacing w:before="0" w:after="240"/>
        <w:rPr>
          <w:noProof/>
        </w:rPr>
      </w:pPr>
      <w:r>
        <w:rPr>
          <w:noProof/>
        </w:rPr>
        <w:t xml:space="preserve">Амбициозното и всеобхватно ново партньорство, предвидено в настоящата препоръка, отразява заключенията и насоките на Европейския съвет и се основава на Политическата декларация. </w:t>
      </w:r>
    </w:p>
    <w:p>
      <w:pPr>
        <w:pBdr>
          <w:top w:val="nil"/>
          <w:left w:val="nil"/>
          <w:bottom w:val="nil"/>
          <w:right w:val="nil"/>
          <w:between w:val="nil"/>
          <w:bar w:val="nil"/>
        </w:pBdr>
        <w:spacing w:before="0" w:after="240"/>
        <w:rPr>
          <w:noProof/>
          <w:spacing w:val="-4"/>
        </w:rPr>
      </w:pPr>
      <w:r>
        <w:rPr>
          <w:noProof/>
          <w:spacing w:val="-4"/>
        </w:rPr>
        <w:t>Предвиденото партньорство е единен пакет, който се състои от три основни компонента:</w:t>
      </w:r>
    </w:p>
    <w:p>
      <w:pPr>
        <w:pStyle w:val="Tiret1"/>
        <w:numPr>
          <w:ilvl w:val="0"/>
          <w:numId w:val="10"/>
        </w:numPr>
        <w:rPr>
          <w:noProof/>
        </w:rPr>
      </w:pPr>
      <w:r>
        <w:rPr>
          <w:noProof/>
        </w:rPr>
        <w:t>общи договорености (включително разпоредби относно основните ценности и принципи и относно управлението);</w:t>
      </w:r>
    </w:p>
    <w:p>
      <w:pPr>
        <w:pStyle w:val="Tiret1"/>
        <w:numPr>
          <w:ilvl w:val="0"/>
          <w:numId w:val="11"/>
        </w:numPr>
        <w:rPr>
          <w:noProof/>
        </w:rPr>
      </w:pPr>
      <w:r>
        <w:rPr>
          <w:noProof/>
        </w:rPr>
        <w:t>икономически договорености (включително разпоредби относно търговията и гаранциите за равни условия); както и</w:t>
      </w:r>
    </w:p>
    <w:p>
      <w:pPr>
        <w:pStyle w:val="Tiret1"/>
        <w:numPr>
          <w:ilvl w:val="0"/>
          <w:numId w:val="11"/>
        </w:numPr>
        <w:rPr>
          <w:noProof/>
        </w:rPr>
      </w:pPr>
      <w:r>
        <w:rPr>
          <w:noProof/>
        </w:rPr>
        <w:t>договорености за сигурност (включително разпоредби относно сътрудничеството в областта на правоприлагането и съдебното сътрудничество по наказателноправни въпроси, както и относно външната политика, сигурността и отбраната).</w:t>
      </w:r>
    </w:p>
    <w:p>
      <w:pPr>
        <w:pBdr>
          <w:top w:val="nil"/>
          <w:left w:val="nil"/>
          <w:bottom w:val="nil"/>
          <w:right w:val="nil"/>
          <w:between w:val="nil"/>
          <w:bar w:val="nil"/>
        </w:pBdr>
        <w:spacing w:before="0" w:after="240"/>
        <w:rPr>
          <w:noProof/>
        </w:rPr>
      </w:pPr>
      <w:r>
        <w:rPr>
          <w:noProof/>
        </w:rPr>
        <w:t>Предвиденото партньорство следва да се основава на убеждението, че просперитетът и сигурността се повишават благодарение на основания на правила международен ред, който защитава индивидуалните права и принципите на правовата държава, високите стандарти за защита на правата на работниците и потребителите и на околната среда, борбата срещу изменението на климата и свободната и справедлива търговия;</w:t>
      </w:r>
    </w:p>
    <w:p>
      <w:pPr>
        <w:pStyle w:val="Text1"/>
        <w:ind w:left="0"/>
        <w:rPr>
          <w:noProof/>
        </w:rPr>
      </w:pPr>
      <w:r>
        <w:rPr>
          <w:noProof/>
        </w:rPr>
        <w:t>Приложното поле на партньорството, предвидено в настоящата препоръка, е всеобхватно, в съответствие със заключенията на Европейския съвет от 13 декември 2019 г. То включва всички области на интерес, посочени в Политическата декларация: търговско и икономическо сътрудничество, правоприлагане и съдебно сътрудничество по наказателноправни въпроси, външна политика, сигурност и отбрана, участие в програми на Съюза и тематични области на сътрудничество. Комисията има готовност да постигне колкото се може повече през преходния период и да продължи преговорите по всички оставащи въпроси след края на преходния период.</w:t>
      </w:r>
    </w:p>
    <w:p>
      <w:pPr>
        <w:pBdr>
          <w:top w:val="nil"/>
          <w:left w:val="nil"/>
          <w:bottom w:val="nil"/>
          <w:right w:val="nil"/>
          <w:between w:val="nil"/>
          <w:bar w:val="nil"/>
        </w:pBdr>
        <w:spacing w:before="0" w:after="240"/>
        <w:rPr>
          <w:noProof/>
        </w:rPr>
      </w:pPr>
      <w:r>
        <w:rPr>
          <w:noProof/>
        </w:rPr>
        <w:t xml:space="preserve">Предвиденото партньорство зачита автономното вземане на решения от Съюза и неговия правен ред, целостта на неговия единен пазар и митнически съюз и неделимостта на четирите свободи. То следва да гарантира защитата на финансовите интереси на Съюза и да отразява статуса на Обединеното кралство като трета държава извън Шенгенското пространство, която не може да има същите права и да се ползва със същите предимства като държава членка. Предвиденото партньорство следва да се </w:t>
      </w:r>
      <w:r>
        <w:rPr>
          <w:noProof/>
        </w:rPr>
        <w:lastRenderedPageBreak/>
        <w:t xml:space="preserve">основава на цялостна рамка за управление, която обхваща всички области на сътрудничество. </w:t>
      </w:r>
    </w:p>
    <w:p>
      <w:pPr>
        <w:pBdr>
          <w:top w:val="nil"/>
          <w:left w:val="nil"/>
          <w:bottom w:val="nil"/>
          <w:right w:val="nil"/>
          <w:between w:val="nil"/>
          <w:bar w:val="nil"/>
        </w:pBdr>
        <w:spacing w:before="0" w:after="240"/>
        <w:rPr>
          <w:noProof/>
        </w:rPr>
      </w:pPr>
      <w:r>
        <w:rPr>
          <w:noProof/>
        </w:rPr>
        <w:t>Що се отнася до териториалния обхват на предвиденото партньорство, припомня се, че в изявленията към протокола от заседанието на Европейския съвет от 25 ноември 2018 г. беше включена следната декларация на Европейския съвет и на Комисията: „След като Обединеното кралство напусне Съюза, Гибралтар няма да бъде включен в териториалния обхват на споразуменията, които ще бъдат сключени между Съюза и Обединеното кралство. Това обаче не изключва възможността за отделни споразумения между Съюза и Обединеното кралство по отношение на Гибралтар. Без да се засяга компетентността на Съюза и при пълно зачитане на териториалната цялост на неговите държави членки, гарантирана от член 4, параграф 2 от Договора за Европейския съюз, за тези отделни споразумения ще е необходимо предварителното съгласие на Кралство Испания“.</w:t>
      </w:r>
    </w:p>
    <w:p>
      <w:pPr>
        <w:pStyle w:val="ManualHeading1"/>
        <w:rPr>
          <w:noProof/>
        </w:rPr>
      </w:pPr>
      <w:r>
        <w:rPr>
          <w:noProof/>
        </w:rPr>
        <w:t>4.</w:t>
      </w:r>
      <w:r>
        <w:rPr>
          <w:noProof/>
        </w:rPr>
        <w:tab/>
        <w:t>ПРЕГОВОРИТЕ</w:t>
      </w:r>
    </w:p>
    <w:p>
      <w:pPr>
        <w:rPr>
          <w:noProof/>
        </w:rPr>
      </w:pPr>
      <w:r>
        <w:rPr>
          <w:noProof/>
        </w:rPr>
        <w:t>Комисията ще води преговорите в съответствие с указанията за водене на преговори, съдържащи се в приложението към решението, и като се консултира със специален комитет, назначен от Съвета.</w:t>
      </w:r>
    </w:p>
    <w:p>
      <w:pPr>
        <w:rPr>
          <w:noProof/>
        </w:rPr>
      </w:pPr>
      <w:r>
        <w:rPr>
          <w:noProof/>
        </w:rPr>
        <w:t xml:space="preserve">Комисията ще води преговорите в непрекъсната координация със Съвета и неговите подготвителни органи, като своевременно ще се консултира с тях, ще им докладва и ще предоставя своевременно цялата необходима информация и документи, свързани с преговорите. </w:t>
      </w:r>
    </w:p>
    <w:p>
      <w:pPr>
        <w:rPr>
          <w:noProof/>
        </w:rPr>
      </w:pPr>
      <w:r>
        <w:rPr>
          <w:noProof/>
        </w:rPr>
        <w:t>Комисията ще информира своевременно и изчерпателно Европейския парламент за преговорите.</w:t>
      </w:r>
    </w:p>
    <w:p>
      <w:pPr>
        <w:rPr>
          <w:noProof/>
        </w:rPr>
      </w:pPr>
      <w:r>
        <w:rPr>
          <w:noProof/>
        </w:rPr>
        <w:t>Комисията ще води преговорите в сътрудничество с върховния представител на Съюза по въпросите на външните работи и политиката на сигурност и в съгласие с него по въпросите на общата политика за сигурност и отбрана.</w:t>
      </w:r>
    </w:p>
    <w:p>
      <w:pPr>
        <w:pStyle w:val="ManualHeading1"/>
        <w:rPr>
          <w:noProof/>
        </w:rPr>
      </w:pPr>
      <w:r>
        <w:rPr>
          <w:noProof/>
        </w:rPr>
        <w:t>5.</w:t>
      </w:r>
      <w:r>
        <w:rPr>
          <w:noProof/>
        </w:rPr>
        <w:tab/>
        <w:t>ПРАВНО ОСНОВАНИЕ</w:t>
      </w:r>
    </w:p>
    <w:p>
      <w:pPr>
        <w:rPr>
          <w:noProof/>
          <w:szCs w:val="24"/>
        </w:rPr>
      </w:pPr>
      <w:r>
        <w:rPr>
          <w:noProof/>
        </w:rPr>
        <w:t>Процесуалноправното основание за решение за разрешаване на започването на преговори и за отправянето на указания до преговарящия е член 218, параграфи 3 и 4 от ДФЕС. На този етап, поради цялостния обхват на предвиденото партньорство и амбициозните и дългосрочни отношения, които то цели да установи, подходящото материалноправно основание за решението за разрешаване на започването на преговори и за отправянето на указания до преговарящия е член 217 от ДФЕС. Освен това, доколкото в приложението към решението се съдържат указания за водене на преговори по въпроси, попадащи в обхвата на Договора за Евратом, правното основание за решението следва да включва член 101 от Договора за ЕОАЕ. Поради това правното основание за препоръчаното решение следва да бъдат член 218, параграфи 3 и 4 от ДФЕС и член 101 от Договора за ЕОАЕ. Материалноправното основание за подписването и сключването на новото партньорство може да бъде определено едва в края на преговорите.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ново партньорство с Обединеното кралство Великобритания и Северна Ирландия</w:t>
      </w:r>
    </w:p>
    <w:p>
      <w:pPr>
        <w:pStyle w:val="Institutionquiagit"/>
        <w:rPr>
          <w:noProof/>
        </w:rPr>
      </w:pPr>
      <w:r>
        <w:rPr>
          <w:noProof/>
        </w:rPr>
        <w:t>СЪВЕТЪТ НА ЕВРОПЕЙСКИЯ СЪЮЗ,</w:t>
      </w:r>
    </w:p>
    <w:p>
      <w:pPr>
        <w:spacing w:line="360" w:lineRule="auto"/>
        <w:rPr>
          <w:noProof/>
        </w:rPr>
      </w:pPr>
      <w:r>
        <w:rPr>
          <w:noProof/>
        </w:rPr>
        <w:t xml:space="preserve">като взе предвид Договора за функционирането на Европейския съюз, и по-специално член 217 във връзка с член 218, параграфи 3 и 4 от него, </w:t>
      </w:r>
    </w:p>
    <w:p>
      <w:pPr>
        <w:spacing w:line="360" w:lineRule="auto"/>
        <w:rPr>
          <w:noProof/>
          <w:szCs w:val="24"/>
        </w:rPr>
      </w:pPr>
      <w:r>
        <w:rPr>
          <w:noProof/>
        </w:rPr>
        <w:t>като взе предвид Договора за създаване на Европейската общност за атомна енергия, по-специално член 101 от него,</w:t>
      </w:r>
    </w:p>
    <w:p>
      <w:pPr>
        <w:spacing w:line="360" w:lineRule="auto"/>
        <w:rPr>
          <w:noProof/>
        </w:rPr>
      </w:pPr>
      <w:r>
        <w:rPr>
          <w:noProof/>
        </w:rPr>
        <w:t>като взе предвид препоръката на Европейската комисия,</w:t>
      </w:r>
    </w:p>
    <w:p>
      <w:pPr>
        <w:spacing w:line="360" w:lineRule="auto"/>
        <w:rPr>
          <w:noProof/>
        </w:rPr>
      </w:pPr>
      <w:r>
        <w:rPr>
          <w:noProof/>
        </w:rPr>
        <w:t>като има предвид, че:</w:t>
      </w:r>
    </w:p>
    <w:p>
      <w:pPr>
        <w:pStyle w:val="ManualConsidrant"/>
        <w:rPr>
          <w:noProof/>
        </w:rPr>
      </w:pPr>
      <w:r>
        <w:rPr>
          <w:noProof/>
        </w:rPr>
        <w:t>(1)</w:t>
      </w:r>
      <w:r>
        <w:rPr>
          <w:noProof/>
        </w:rPr>
        <w:tab/>
        <w:t xml:space="preserve">На 1 февруари 2020 г. Обединено кралство Великобритания и Северна Ирландия (наричано по-нататък „Обединеното кралство“) се оттегли от Европейския съюз. </w:t>
      </w:r>
    </w:p>
    <w:p>
      <w:pPr>
        <w:pStyle w:val="ManualConsidrant"/>
        <w:rPr>
          <w:noProof/>
        </w:rPr>
      </w:pPr>
      <w:r>
        <w:rPr>
          <w:noProof/>
        </w:rPr>
        <w:t>(2)</w:t>
      </w:r>
      <w:r>
        <w:rPr>
          <w:noProof/>
        </w:rPr>
        <w:tab/>
        <w:t xml:space="preserve">Договореностите за оттеглянето са посочени в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 договорено и сключено в съответствие с член 50 от Договора за Европейския съюз </w:t>
      </w:r>
      <w:r>
        <w:rPr>
          <w:rStyle w:val="FootnoteReference"/>
          <w:noProof/>
        </w:rPr>
        <w:footnoteReference w:id="3"/>
      </w:r>
      <w:r>
        <w:rPr>
          <w:noProof/>
        </w:rPr>
        <w:t xml:space="preserve">. </w:t>
      </w:r>
    </w:p>
    <w:p>
      <w:pPr>
        <w:pStyle w:val="ManualConsidrant"/>
        <w:rPr>
          <w:noProof/>
        </w:rPr>
      </w:pPr>
      <w:r>
        <w:rPr>
          <w:noProof/>
        </w:rPr>
        <w:t>(3)</w:t>
      </w:r>
      <w:r>
        <w:rPr>
          <w:noProof/>
        </w:rPr>
        <w:tab/>
        <w:t>Споразумението за оттегляне влезе в сила на 1 февруари 2020 г. и предвижда преходен период, през който правото на Съюза се прилага спрямо Обединеното кралство и в него в съответствие с посоченото споразумение. Този срок изтича на 31 декември 2020 г., освен ако Съвместният комитет, създаден съгласно Споразумението за оттегляне, приеме преди 1 юли 2020 г. единно решение за удължаване на преходния период с не повече от 1 или 2 години.</w:t>
      </w:r>
    </w:p>
    <w:p>
      <w:pPr>
        <w:pStyle w:val="ManualConsidrant"/>
        <w:rPr>
          <w:noProof/>
        </w:rPr>
      </w:pPr>
      <w:r>
        <w:rPr>
          <w:noProof/>
        </w:rPr>
        <w:t>(4)</w:t>
      </w:r>
      <w:r>
        <w:rPr>
          <w:noProof/>
        </w:rPr>
        <w:tab/>
        <w:t>В насоките от 23 март 2018 г. Европейският съвет потвърди решимостта на Съюза да поддържа в бъдеще възможно най-близко партньорство с Обединеното кралство. Според тези насоки партньорството следва да обхваща търговското и икономическото сътрудничество, както и други области, по-специално борбата срещу тероризма и международната престъпност, както и сигурността, отбраната и външната политика. Европейският съвет определи тези насоки с оглед на цялостното разбиране на рамката за бъдещите отношения, която трябваше да бъде разработена в политическа декларация, придружаваща Споразумението за оттегляне и упомената в него.</w:t>
      </w:r>
    </w:p>
    <w:p>
      <w:pPr>
        <w:pStyle w:val="ManualConsidrant"/>
        <w:rPr>
          <w:noProof/>
        </w:rPr>
      </w:pPr>
      <w:r>
        <w:rPr>
          <w:noProof/>
        </w:rPr>
        <w:t>(5)</w:t>
      </w:r>
      <w:r>
        <w:rPr>
          <w:noProof/>
        </w:rPr>
        <w:tab/>
        <w:t xml:space="preserve">Политическата декларация, придружаваща Споразумението за оттегляне, определя рамката за бъдещите отношения между Европейския съюз и </w:t>
      </w:r>
      <w:r>
        <w:rPr>
          <w:noProof/>
        </w:rPr>
        <w:lastRenderedPageBreak/>
        <w:t>Обединеното кралство („Политическа декларация“)</w:t>
      </w:r>
      <w:r>
        <w:rPr>
          <w:rStyle w:val="FootnoteReference"/>
          <w:noProof/>
        </w:rPr>
        <w:footnoteReference w:id="4"/>
      </w:r>
      <w:r>
        <w:rPr>
          <w:noProof/>
        </w:rPr>
        <w:t xml:space="preserve">. Тя установява параметрите на амбициозно, широко, задълбочено и гъвкаво партньорство по отношение на търговското и икономическото сътрудничество, в чиято основа е залегнало всеобхватно и балансирано споразумение за свободна търговия, по отношение на правоприлагането и наказателното правосъдие, външната политика, сигурността и отбраната и по-широки области на сътрудничество. </w:t>
      </w:r>
    </w:p>
    <w:p>
      <w:pPr>
        <w:pStyle w:val="ManualConsidrant"/>
        <w:rPr>
          <w:noProof/>
        </w:rPr>
      </w:pPr>
      <w:r>
        <w:rPr>
          <w:noProof/>
        </w:rPr>
        <w:t>(6)</w:t>
      </w:r>
      <w:r>
        <w:rPr>
          <w:noProof/>
        </w:rPr>
        <w:tab/>
        <w:t>В член 185 от Споразумението за оттегляне се предвижда Европейският съюз и Обединеното кралство да полагат всички усилия, добросъвестно и при пълно зачитане на съответния им правен ред, да предприемат необходимите стъпки за договаряне във възможно най-кратък срок на споразуменията относно бъдещите им отношения, посочени в Политическата декларация, и за провеждане на съответните процедури за ратифициране или сключване на тези споразумения с цел да се гарантира, че тези споразумения се прилагат, доколкото е възможно, считано от края на преходния период.</w:t>
      </w:r>
    </w:p>
    <w:p>
      <w:pPr>
        <w:pStyle w:val="ManualConsidrant"/>
        <w:rPr>
          <w:noProof/>
        </w:rPr>
      </w:pPr>
      <w:r>
        <w:rPr>
          <w:noProof/>
        </w:rPr>
        <w:t>(7)</w:t>
      </w:r>
      <w:r>
        <w:rPr>
          <w:noProof/>
        </w:rPr>
        <w:tab/>
        <w:t>В заключенията си от 13 декември 2019 г. Европейският съвет потвърди желанието си да установи възможно най-близки бъдещи отношения с Обединеното кралство в съответствие с Политическата декларация и при спазване на договорените по-рано насоки на Европейския съвет, както и изявленията и декларациите, по-специално тези от 25 ноември 2018 г. Европейският съвет специално припомни, че бъдещите отношения с Обединеното кралство ще трябва да се основават на баланс между правата и задълженията и да гарантират равни условия. Европейският съвет прикани Комисията да представи на Съвета „проект за цялостен мандат за бъдещите отношения с Обединеното кралство веднага след оттеглянето му“. Европейският съвет заяви, че ще следи отблизо преговорите и при необходимост ще предостави допълнителни общи политически насоки.</w:t>
      </w:r>
    </w:p>
    <w:p>
      <w:pPr>
        <w:pStyle w:val="ManualConsidrant"/>
        <w:rPr>
          <w:noProof/>
        </w:rPr>
      </w:pPr>
      <w:r>
        <w:rPr>
          <w:noProof/>
        </w:rPr>
        <w:t>(8)</w:t>
      </w:r>
      <w:r>
        <w:rPr>
          <w:noProof/>
        </w:rPr>
        <w:tab/>
        <w:t>Поради това следва да бъдат започнати преговори за установяването на ново партньорство с Обединеното кралство Великобритания и Северна Ирландия. Комисията следва да бъде определена за преговарящ от страна на Съюза. По въпросите на общата външна политика и политика на сигурност Комисията следва да води преговорите в съгласие с върховния представител на Съюза по въпросите на външните работи и политиката на сигурност.</w:t>
      </w:r>
    </w:p>
    <w:p>
      <w:pPr>
        <w:pStyle w:val="Formuledadoption"/>
        <w:rPr>
          <w:noProof/>
        </w:rPr>
      </w:pPr>
      <w:r>
        <w:rPr>
          <w:noProof/>
        </w:rPr>
        <w:t xml:space="preserve">ПРИЕ НАСТОЯЩОТО РЕШЕНИЕ: </w:t>
      </w:r>
    </w:p>
    <w:p>
      <w:pPr>
        <w:pStyle w:val="Titrearticle"/>
        <w:spacing w:line="360" w:lineRule="auto"/>
        <w:rPr>
          <w:noProof/>
        </w:rPr>
      </w:pPr>
      <w:r>
        <w:rPr>
          <w:noProof/>
        </w:rPr>
        <w:t>Член 1</w:t>
      </w:r>
    </w:p>
    <w:p>
      <w:pPr>
        <w:spacing w:before="0" w:after="200" w:line="360" w:lineRule="auto"/>
        <w:contextualSpacing/>
        <w:rPr>
          <w:noProof/>
        </w:rPr>
      </w:pPr>
      <w:r>
        <w:rPr>
          <w:noProof/>
        </w:rPr>
        <w:t>Комисията се упълномощава да започне преговори за ново партньорство с Обединеното кралство Великобритания и Северна Ирландия.</w:t>
      </w:r>
    </w:p>
    <w:p>
      <w:pPr>
        <w:pStyle w:val="Titrearticle"/>
        <w:spacing w:line="360" w:lineRule="auto"/>
        <w:rPr>
          <w:noProof/>
        </w:rPr>
      </w:pPr>
      <w:r>
        <w:rPr>
          <w:noProof/>
        </w:rPr>
        <w:t>Член 2</w:t>
      </w:r>
    </w:p>
    <w:p>
      <w:pPr>
        <w:spacing w:before="0" w:after="200" w:line="360" w:lineRule="auto"/>
        <w:contextualSpacing/>
        <w:rPr>
          <w:noProof/>
          <w:szCs w:val="24"/>
        </w:rPr>
      </w:pPr>
      <w:r>
        <w:rPr>
          <w:noProof/>
        </w:rPr>
        <w:t>Комисията се определя за преговарящ от страна на Съюза.</w:t>
      </w:r>
    </w:p>
    <w:p>
      <w:pPr>
        <w:pStyle w:val="Titrearticle"/>
        <w:spacing w:line="360" w:lineRule="auto"/>
        <w:rPr>
          <w:noProof/>
        </w:rPr>
      </w:pPr>
      <w:r>
        <w:rPr>
          <w:noProof/>
        </w:rPr>
        <w:lastRenderedPageBreak/>
        <w:t>Член 3</w:t>
      </w:r>
    </w:p>
    <w:p>
      <w:pPr>
        <w:spacing w:before="0" w:after="200" w:line="360" w:lineRule="auto"/>
        <w:contextualSpacing/>
        <w:rPr>
          <w:noProof/>
          <w:szCs w:val="24"/>
        </w:rPr>
      </w:pPr>
      <w:r>
        <w:rPr>
          <w:noProof/>
        </w:rPr>
        <w:t>Комисията води преговорите, като се консултира с [name of the special committee] и въз основа на указанията, съдържащи се в приложението.</w:t>
      </w:r>
    </w:p>
    <w:p>
      <w:pPr>
        <w:pStyle w:val="Titrearticle"/>
        <w:spacing w:line="360" w:lineRule="auto"/>
        <w:rPr>
          <w:noProof/>
        </w:rPr>
      </w:pPr>
      <w:r>
        <w:rPr>
          <w:noProof/>
        </w:rPr>
        <w:t>Член 4</w:t>
      </w:r>
    </w:p>
    <w:p>
      <w:pPr>
        <w:spacing w:line="360" w:lineRule="auto"/>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w:t>
      </w:r>
      <w:r>
        <w:rPr>
          <w:lang w:val="en-US"/>
        </w:rPr>
        <w:t>L</w:t>
      </w:r>
      <w:r>
        <w:t xml:space="preserve"> </w:t>
      </w:r>
      <w:r>
        <w:rPr>
          <w:lang w:val="en-US"/>
        </w:rPr>
        <w:t>29</w:t>
      </w:r>
      <w:r>
        <w:t xml:space="preserve">, </w:t>
      </w:r>
      <w:r>
        <w:rPr>
          <w:lang w:val="en-US"/>
        </w:rPr>
        <w:t>31.1.2020</w:t>
      </w:r>
      <w:r>
        <w:t xml:space="preserve"> г., стр. </w:t>
      </w:r>
      <w:r>
        <w:rPr>
          <w:lang w:val="en-US"/>
        </w:rPr>
        <w:t>7</w:t>
      </w:r>
      <w:r>
        <w:t>.</w:t>
      </w:r>
    </w:p>
  </w:footnote>
  <w:footnote w:id="2">
    <w:p>
      <w:pPr>
        <w:pStyle w:val="FootnoteText"/>
      </w:pPr>
      <w:r>
        <w:rPr>
          <w:rStyle w:val="FootnoteReference"/>
        </w:rPr>
        <w:footnoteRef/>
      </w:r>
      <w:r>
        <w:tab/>
        <w:t>ОВ C 34, 31.1.2020 г., стр. 1.</w:t>
      </w:r>
    </w:p>
  </w:footnote>
  <w:footnote w:id="3">
    <w:p>
      <w:pPr>
        <w:pStyle w:val="FootnoteText"/>
      </w:pPr>
      <w:r>
        <w:rPr>
          <w:rStyle w:val="FootnoteReference"/>
        </w:rPr>
        <w:footnoteRef/>
      </w:r>
      <w:r>
        <w:tab/>
        <w:t xml:space="preserve">ОВ </w:t>
      </w:r>
      <w:r>
        <w:rPr>
          <w:lang w:val="en-US"/>
        </w:rPr>
        <w:t>L</w:t>
      </w:r>
      <w:r>
        <w:t xml:space="preserve"> 29, 31.1.2020 г., стр. 7.</w:t>
      </w:r>
    </w:p>
  </w:footnote>
  <w:footnote w:id="4">
    <w:p>
      <w:pPr>
        <w:pStyle w:val="FootnoteText"/>
      </w:pPr>
      <w:r>
        <w:rPr>
          <w:rStyle w:val="FootnoteReference"/>
        </w:rPr>
        <w:footnoteRef/>
      </w:r>
      <w:r>
        <w:tab/>
        <w:t xml:space="preserve">ОВ C 34, </w:t>
      </w:r>
      <w:r>
        <w:rPr>
          <w:lang w:val="en-US"/>
        </w:rPr>
        <w:t>31</w:t>
      </w:r>
      <w:r>
        <w:t>.1.20</w:t>
      </w:r>
      <w:r>
        <w:rPr>
          <w:lang w:val="en-US"/>
        </w:rPr>
        <w:t>20</w:t>
      </w:r>
      <w:r>
        <w:t xml:space="preserve">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322D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CE71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C848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C8A3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02C2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943F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5AA72A"/>
    <w:lvl w:ilvl="0">
      <w:start w:val="1"/>
      <w:numFmt w:val="decimal"/>
      <w:pStyle w:val="ListNumber"/>
      <w:lvlText w:val="%1."/>
      <w:lvlJc w:val="left"/>
      <w:pPr>
        <w:tabs>
          <w:tab w:val="num" w:pos="360"/>
        </w:tabs>
        <w:ind w:left="360" w:hanging="360"/>
      </w:pPr>
    </w:lvl>
  </w:abstractNum>
  <w:abstractNum w:abstractNumId="7">
    <w:nsid w:val="FFFFFF89"/>
    <w:multiLevelType w:val="singleLevel"/>
    <w:tmpl w:val="C712B5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2"/>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31 15:40: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C3BAD59-3EC9-43B9-A2C5-D56DD9B4E190"/>
    <w:docVar w:name="LW_COVERPAGE_TYPE" w:val="1"/>
    <w:docVar w:name="LW_CROSSREFERENCE" w:val="&lt;UNUSED&gt;"/>
    <w:docVar w:name="LW_DocType" w:val="COM"/>
    <w:docVar w:name="LW_EMISSION" w:val="3.2.2020"/>
    <w:docVar w:name="LW_EMISSION_ISODATE" w:val="2020-02-03"/>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79?\u1072? \u1088?\u1072?\u1079?\u1088?\u1077?\u1096?\u1072?\u1074?\u1072?\u1085?\u1077? \u1085?\u1072? \u1079?\u1072?\u1087?\u1086?\u1095?\u1074?\u1072?\u1085?\u1077?\u1090?\u1086? \u1085?\u1072? \u1087?\u1088?\u1077?\u1075?\u1086?\u1074?\u1086?\u1088?\u1080? \u1079?\u1072? \u1085?\u1086?\u1074?\u1086? \u1087?\u1072?\u1088?\u1090?\u1085?\u1100?\u1086?\u1088?\u1089?\u1090?\u1074?\u1086? \u1089? \u1054?\u1073?\u1077?\u1076?\u1080?\u1085?\u1077?\u1085?\u1086?\u1090?\u1086? \u1082?\u1088?\u1072?\u1083?\u1089?\u1090?\u1074?\u1086? \u1042?\u1077?\u1083?\u1080?\u1082?\u1086?\u1073?\u1088?\u1080?\u1090?\u1072?\u1085?\u1080?\u1103? \u1080? \u1057?\u1077?\u1074?\u1077?\u1088?\u1085?\u1072? \u1048?\u1088?\u1083?\u1072?\u1085?\u1076?\u1080?\u1103?&lt;/FMT&gt;_x000b_"/>
    <w:docVar w:name="LW_TITRE.OBJ.CP" w:val="&lt;FMT:Bold&gt;\u1079?\u1072? \u1088?\u1072?\u1079?\u1088?\u1077?\u1096?\u1072?\u1074?\u1072?\u1085?\u1077? \u1085?\u1072? \u1079?\u1072?\u1087?\u1086?\u1095?\u1074?\u1072?\u1085?\u1077?\u1090?\u1086? \u1085?\u1072? \u1087?\u1088?\u1077?\u1075?\u1086?\u1074?\u1086?\u1088?\u1080? \u1079?\u1072? \u1085?\u1086?\u1074?\u1086? \u1087?\u1072?\u1088?\u1090?\u1085?\u1100?\u1086?\u1088?\u1089?\u1090?\u1074?\u1086? \u1089? \u1054?\u1073?\u1077?\u1076?\u1080?\u1085?\u1077?\u1085?\u1086?\u1090?\u1086? \u1082?\u1088?\u1072?\u1083?\u1089?\u1090?\u1074?\u1086? \u1042?\u1077?\u1083?\u1080?\u1082?\u1086?\u1073?\u1088?\u1080?\u1090?\u1072?\u1085?\u1080?\u1103? \u1080? \u1057?\u1077?\u1074?\u1077?\u1088?\u1085?\u1072? \u1048?\u1088?\u1083?\u1072?\u1085?\u1076?\u1080?\u1103?&lt;/FMT&gt;_x000b_"/>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3346">
      <w:bodyDiv w:val="1"/>
      <w:marLeft w:val="0"/>
      <w:marRight w:val="0"/>
      <w:marTop w:val="0"/>
      <w:marBottom w:val="0"/>
      <w:divBdr>
        <w:top w:val="none" w:sz="0" w:space="0" w:color="auto"/>
        <w:left w:val="none" w:sz="0" w:space="0" w:color="auto"/>
        <w:bottom w:val="none" w:sz="0" w:space="0" w:color="auto"/>
        <w:right w:val="none" w:sz="0" w:space="0" w:color="auto"/>
      </w:divBdr>
    </w:div>
    <w:div w:id="14069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455F-2C42-43C7-8C8C-82FDF0A1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1894</Words>
  <Characters>11555</Characters>
  <Application>Microsoft Office Word</Application>
  <DocSecurity>0</DocSecurity>
  <Lines>210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2020-01-31T12:04:00Z</dcterms:created>
  <dcterms:modified xsi:type="dcterms:W3CDTF">2020-01-31T14:40:00Z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SG-001</vt:lpwstr>
  </property>
  <property fmtid="{D5CDD505-2E9C-101B-9397-08002B2CF9AE}" pid="7" name="Category">
    <vt:lpwstr>COM/PL/ORG/NOEEA</vt:lpwstr>
  </property>
  <property fmtid="{D5CDD505-2E9C-101B-9397-08002B2CF9AE}" pid="8" name="DQCStatus">
    <vt:lpwstr>Green (DQC version 03)</vt:lpwstr>
  </property>
</Properties>
</file>