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45EA075-5D72-4816-B4F2-C1FFE08FDCC2" style="width:450.8pt;height:434.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spacing w:after="360"/>
        <w:jc w:val="center"/>
        <w:outlineLvl w:val="0"/>
        <w:rPr>
          <w:b/>
          <w:noProof/>
          <w:sz w:val="28"/>
          <w:szCs w:val="28"/>
          <w:u w:val="single"/>
        </w:rPr>
      </w:pPr>
      <w:bookmarkStart w:id="1" w:name="_GoBack"/>
      <w:bookmarkEnd w:id="1"/>
      <w:r>
        <w:rPr>
          <w:b/>
          <w:bCs/>
          <w:noProof/>
          <w:sz w:val="28"/>
          <w:szCs w:val="28"/>
          <w:u w:val="single"/>
        </w:rPr>
        <w:lastRenderedPageBreak/>
        <w:t xml:space="preserve">Приложение I: </w:t>
      </w:r>
      <w:r>
        <w:rPr>
          <w:b/>
          <w:noProof/>
          <w:u w:val="single"/>
        </w:rPr>
        <w:t>Нови инициативи</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4252"/>
        <w:gridCol w:w="10064"/>
      </w:tblGrid>
      <w:tr>
        <w:trPr>
          <w:cantSplit/>
          <w:tblHeader/>
        </w:trPr>
        <w:tc>
          <w:tcPr>
            <w:tcW w:w="511"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rPr>
                <w:b/>
                <w:bCs/>
                <w:noProof/>
                <w:sz w:val="20"/>
              </w:rPr>
            </w:pPr>
            <w:r>
              <w:rPr>
                <w:b/>
                <w:bCs/>
                <w:noProof/>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99CCFF"/>
            <w:vAlign w:val="center"/>
          </w:tcPr>
          <w:p>
            <w:pPr>
              <w:spacing w:before="60" w:after="60"/>
              <w:jc w:val="center"/>
              <w:rPr>
                <w:b/>
                <w:bCs/>
                <w:noProof/>
                <w:sz w:val="20"/>
              </w:rPr>
            </w:pPr>
            <w:r>
              <w:rPr>
                <w:b/>
                <w:bCs/>
                <w:noProof/>
                <w:sz w:val="20"/>
              </w:rPr>
              <w:t>Цел на политиката</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pPr>
              <w:spacing w:after="0"/>
              <w:jc w:val="center"/>
              <w:rPr>
                <w:b/>
                <w:bCs/>
                <w:noProof/>
                <w:sz w:val="20"/>
              </w:rPr>
            </w:pPr>
            <w:r>
              <w:rPr>
                <w:b/>
                <w:bCs/>
                <w:noProof/>
                <w:sz w:val="20"/>
              </w:rPr>
              <w:t>Инициативи</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jc w:val="left"/>
              <w:rPr>
                <w:b/>
                <w:bCs/>
                <w:noProof/>
                <w:color w:val="FFFFFF" w:themeColor="background1"/>
                <w:sz w:val="20"/>
              </w:rPr>
            </w:pPr>
            <w:r>
              <w:rPr>
                <w:b/>
                <w:bCs/>
                <w:noProof/>
                <w:color w:val="FFFFFF" w:themeColor="background1"/>
                <w:sz w:val="20"/>
              </w:rPr>
              <w:t>Европейски зелен пакт</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jc w:val="left"/>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sz w:val="20"/>
              </w:rPr>
              <w:t>Европейският зелен пакт</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sz w:val="20"/>
              </w:rPr>
              <w:t>Съобщение относно Европейския зелен пакт</w:t>
            </w:r>
            <w:r>
              <w:rPr>
                <w:noProof/>
                <w:sz w:val="20"/>
              </w:rPr>
              <w:t xml:space="preserve"> (незаконодателна инициатива; четвърто тримесечие на 2019 г.); </w:t>
            </w:r>
            <w:r>
              <w:rPr>
                <w:noProof/>
                <w:sz w:val="20"/>
              </w:rPr>
              <w:br/>
            </w:r>
            <w:r>
              <w:rPr>
                <w:b/>
                <w:bCs/>
                <w:noProof/>
                <w:sz w:val="20"/>
              </w:rPr>
              <w:t>Европейски законодателен акт в областта на климата, в който ще бъде заложена целта за неутралност по отношение на климата до 2050 г.</w:t>
            </w:r>
            <w:r>
              <w:rPr>
                <w:noProof/>
                <w:sz w:val="20"/>
              </w:rPr>
              <w:t xml:space="preserve"> (законодателна инициатива, член 192, параграф 1 от ДФЕС; първо тримесечие на 2020 г.); </w:t>
            </w:r>
            <w:r>
              <w:rPr>
                <w:noProof/>
                <w:sz w:val="20"/>
              </w:rPr>
              <w:br/>
            </w:r>
            <w:r>
              <w:rPr>
                <w:b/>
                <w:bCs/>
                <w:noProof/>
                <w:sz w:val="20"/>
              </w:rPr>
              <w:t>Европейски пакт за климата</w:t>
            </w:r>
            <w:r>
              <w:rPr>
                <w:noProof/>
                <w:sz w:val="20"/>
              </w:rPr>
              <w:t xml:space="preserve"> (незаконодателна инициатива; трето тримесечие на 2020 г.)</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noProof/>
                <w:sz w:val="20"/>
              </w:rPr>
            </w:pPr>
            <w:r>
              <w:rPr>
                <w:b/>
                <w:noProof/>
                <w:sz w:val="20"/>
              </w:rPr>
              <w:t>Финансиране на устойчивия преход</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noProof/>
                <w:sz w:val="20"/>
              </w:rPr>
            </w:pPr>
            <w:r>
              <w:rPr>
                <w:b/>
                <w:bCs/>
                <w:noProof/>
                <w:sz w:val="20"/>
              </w:rPr>
              <w:t>План за инвестиции към Европейския зелен пакт</w:t>
            </w:r>
            <w:r>
              <w:rPr>
                <w:noProof/>
                <w:sz w:val="20"/>
              </w:rPr>
              <w:t xml:space="preserve"> (незаконодателна инициатива; първо тримесечие на 2020 г.); </w:t>
            </w:r>
            <w:r>
              <w:rPr>
                <w:noProof/>
                <w:sz w:val="20"/>
              </w:rPr>
              <w:br/>
            </w:r>
            <w:r>
              <w:rPr>
                <w:b/>
                <w:bCs/>
                <w:noProof/>
                <w:sz w:val="20"/>
              </w:rPr>
              <w:t>Фонд за справедлив преход</w:t>
            </w:r>
            <w:r>
              <w:rPr>
                <w:noProof/>
                <w:sz w:val="20"/>
              </w:rPr>
              <w:t xml:space="preserve"> (законодателна инициатива, член 175 от ДФЕС; първо тримесечие на 2020 г.); </w:t>
            </w:r>
            <w:r>
              <w:rPr>
                <w:noProof/>
                <w:sz w:val="20"/>
              </w:rPr>
              <w:br/>
            </w:r>
            <w:r>
              <w:rPr>
                <w:b/>
                <w:bCs/>
                <w:noProof/>
                <w:sz w:val="20"/>
              </w:rPr>
              <w:t>Обновена стратегия за устойчиво финансиране</w:t>
            </w:r>
            <w:r>
              <w:rPr>
                <w:noProof/>
                <w:sz w:val="20"/>
              </w:rPr>
              <w:t xml:space="preserve"> ( незаконодателна инициатива; трето тримесечие на 2020 г.); </w:t>
            </w:r>
          </w:p>
          <w:p>
            <w:pPr>
              <w:spacing w:after="0"/>
              <w:jc w:val="left"/>
              <w:rPr>
                <w:noProof/>
                <w:sz w:val="20"/>
              </w:rPr>
            </w:pPr>
            <w:r>
              <w:rPr>
                <w:b/>
                <w:bCs/>
                <w:noProof/>
                <w:sz w:val="20"/>
              </w:rPr>
              <w:t>Преглед на Директивата относно оповестяването на нефинансова информация</w:t>
            </w:r>
            <w:r>
              <w:rPr>
                <w:noProof/>
                <w:sz w:val="20"/>
              </w:rPr>
              <w:t xml:space="preserve"> (законодателна инициатива, вкл. оценка на въздействието, член 114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bCs/>
                <w:noProof/>
                <w:sz w:val="20"/>
              </w:rPr>
              <w:t>Принос на Комисията за конференцията на страните по РКООНИК (СОР 26) в Глазгоу</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sz w:val="20"/>
              </w:rPr>
              <w:t>План за целевите стойности в областта на климата до 2030 г.</w:t>
            </w:r>
            <w:r>
              <w:rPr>
                <w:noProof/>
                <w:sz w:val="20"/>
              </w:rPr>
              <w:t xml:space="preserve"> (незаконодателна инициатива, вкл. оценка на въздействието; трето тримесечие на 2020 г.); </w:t>
            </w:r>
            <w:r>
              <w:rPr>
                <w:noProof/>
                <w:sz w:val="20"/>
              </w:rPr>
              <w:br/>
            </w:r>
            <w:r>
              <w:rPr>
                <w:b/>
                <w:bCs/>
                <w:noProof/>
                <w:sz w:val="20"/>
              </w:rPr>
              <w:t>Нова стратегия на ЕС за адаптиране към изменението на климата</w:t>
            </w:r>
            <w:r>
              <w:rPr>
                <w:noProof/>
                <w:sz w:val="20"/>
              </w:rPr>
              <w:t xml:space="preserve"> (незаконодателна инициатива; четвърто тримесечие на 2020 г.);</w:t>
            </w:r>
          </w:p>
          <w:p>
            <w:pPr>
              <w:spacing w:after="0"/>
              <w:jc w:val="left"/>
              <w:rPr>
                <w:noProof/>
                <w:sz w:val="20"/>
              </w:rPr>
            </w:pPr>
            <w:r>
              <w:rPr>
                <w:b/>
                <w:bCs/>
                <w:noProof/>
                <w:sz w:val="20"/>
              </w:rPr>
              <w:t>Нова стратегия на ЕС за горите</w:t>
            </w:r>
            <w:r>
              <w:rPr>
                <w:noProof/>
                <w:sz w:val="20"/>
              </w:rPr>
              <w:t xml:space="preserve"> (незаконодателна инициатива;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noProof/>
                <w:color w:val="000000"/>
                <w:sz w:val="20"/>
              </w:rPr>
            </w:pPr>
            <w:r>
              <w:rPr>
                <w:b/>
                <w:noProof/>
                <w:sz w:val="20"/>
              </w:rPr>
              <w:t>Устойчивост на продоволствените системи</w:t>
            </w:r>
          </w:p>
        </w:tc>
        <w:tc>
          <w:tcPr>
            <w:tcW w:w="10064" w:type="dxa"/>
            <w:tcBorders>
              <w:bottom w:val="single" w:sz="4" w:space="0" w:color="auto"/>
            </w:tcBorders>
            <w:tcMar>
              <w:top w:w="85" w:type="dxa"/>
              <w:bottom w:w="85" w:type="dxa"/>
            </w:tcMar>
          </w:tcPr>
          <w:p>
            <w:pPr>
              <w:spacing w:after="0"/>
              <w:jc w:val="left"/>
              <w:rPr>
                <w:noProof/>
                <w:color w:val="FF0000"/>
                <w:sz w:val="20"/>
              </w:rPr>
            </w:pPr>
            <w:r>
              <w:rPr>
                <w:b/>
                <w:bCs/>
                <w:noProof/>
                <w:sz w:val="20"/>
              </w:rPr>
              <w:t>Стратегия „От фермата до трапезата“</w:t>
            </w:r>
            <w:r>
              <w:rPr>
                <w:noProof/>
                <w:sz w:val="20"/>
              </w:rPr>
              <w:t xml:space="preserve"> (незаконодателна инициатива; първо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Декарбонизация на енергетиката</w:t>
            </w:r>
          </w:p>
        </w:tc>
        <w:tc>
          <w:tcPr>
            <w:tcW w:w="10064" w:type="dxa"/>
            <w:tcBorders>
              <w:bottom w:val="single" w:sz="4" w:space="0" w:color="auto"/>
            </w:tcBorders>
            <w:tcMar>
              <w:top w:w="85" w:type="dxa"/>
              <w:bottom w:w="85" w:type="dxa"/>
            </w:tcMar>
          </w:tcPr>
          <w:p>
            <w:pPr>
              <w:spacing w:after="0"/>
              <w:jc w:val="left"/>
              <w:rPr>
                <w:noProof/>
                <w:sz w:val="20"/>
              </w:rPr>
            </w:pPr>
            <w:r>
              <w:rPr>
                <w:b/>
                <w:bCs/>
                <w:noProof/>
                <w:sz w:val="20"/>
              </w:rPr>
              <w:t>Стратегия за интелигентна секторна интеграция</w:t>
            </w:r>
            <w:r>
              <w:rPr>
                <w:noProof/>
                <w:sz w:val="20"/>
              </w:rPr>
              <w:t xml:space="preserve"> (незаконодателна инициатива; второ тримесечие на 2020 г.);</w:t>
            </w:r>
          </w:p>
          <w:p>
            <w:pPr>
              <w:spacing w:after="0"/>
              <w:jc w:val="left"/>
              <w:rPr>
                <w:noProof/>
                <w:sz w:val="20"/>
              </w:rPr>
            </w:pPr>
            <w:r>
              <w:rPr>
                <w:b/>
                <w:noProof/>
                <w:sz w:val="20"/>
              </w:rPr>
              <w:t>„Вълна на саниране“</w:t>
            </w:r>
            <w:r>
              <w:rPr>
                <w:noProof/>
                <w:sz w:val="20"/>
              </w:rPr>
              <w:t xml:space="preserve"> (незаконодателна инициатива; трето тримесечие на 2020 г.);</w:t>
            </w:r>
          </w:p>
          <w:p>
            <w:pPr>
              <w:spacing w:after="0"/>
              <w:jc w:val="left"/>
              <w:rPr>
                <w:noProof/>
                <w:sz w:val="20"/>
              </w:rPr>
            </w:pPr>
            <w:r>
              <w:rPr>
                <w:b/>
                <w:noProof/>
                <w:sz w:val="20"/>
              </w:rPr>
              <w:t>Производство на енергия от възобновяеми източници в морето</w:t>
            </w:r>
            <w:r>
              <w:rPr>
                <w:noProof/>
                <w:sz w:val="20"/>
              </w:rPr>
              <w:t xml:space="preserve"> (незаконодателна инициатива;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jc w:val="left"/>
              <w:rPr>
                <w:b/>
                <w:bCs/>
                <w:noProof/>
                <w:color w:val="000000"/>
                <w:sz w:val="20"/>
              </w:rPr>
            </w:pPr>
            <w:r>
              <w:rPr>
                <w:b/>
                <w:bCs/>
                <w:noProof/>
                <w:sz w:val="20"/>
              </w:rPr>
              <w:t>Устойчиво производство и потребление</w:t>
            </w:r>
          </w:p>
        </w:tc>
        <w:tc>
          <w:tcPr>
            <w:tcW w:w="10064" w:type="dxa"/>
            <w:tcBorders>
              <w:bottom w:val="single" w:sz="4" w:space="0" w:color="auto"/>
            </w:tcBorders>
            <w:tcMar>
              <w:top w:w="85" w:type="dxa"/>
              <w:bottom w:w="85" w:type="dxa"/>
            </w:tcMar>
          </w:tcPr>
          <w:p>
            <w:pPr>
              <w:spacing w:after="0"/>
              <w:jc w:val="left"/>
              <w:rPr>
                <w:noProof/>
                <w:sz w:val="20"/>
              </w:rPr>
            </w:pPr>
            <w:r>
              <w:rPr>
                <w:b/>
                <w:bCs/>
                <w:noProof/>
                <w:sz w:val="20"/>
              </w:rPr>
              <w:t>Нов план за действие за кръговата икономика</w:t>
            </w:r>
            <w:r>
              <w:rPr>
                <w:noProof/>
                <w:sz w:val="20"/>
              </w:rPr>
              <w:t xml:space="preserve"> (незаконодателна инициатива; първо тримесечие на 2020 г.);</w:t>
            </w:r>
          </w:p>
          <w:p>
            <w:pPr>
              <w:spacing w:after="0"/>
              <w:jc w:val="left"/>
              <w:rPr>
                <w:b/>
                <w:bCs/>
                <w:noProof/>
                <w:sz w:val="20"/>
              </w:rPr>
            </w:pPr>
            <w:r>
              <w:rPr>
                <w:b/>
                <w:bCs/>
                <w:noProof/>
                <w:sz w:val="20"/>
              </w:rPr>
              <w:t>Предоставяне на възможности на потребителите да предприемат действия във връзка с екологичния преход</w:t>
            </w:r>
            <w:r>
              <w:rPr>
                <w:noProof/>
                <w:sz w:val="20"/>
              </w:rPr>
              <w:t xml:space="preserve"> (законодателна инициатива, вкл. оценка на въздействието, член 114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Опазване на околната среда</w:t>
            </w:r>
          </w:p>
        </w:tc>
        <w:tc>
          <w:tcPr>
            <w:tcW w:w="10064" w:type="dxa"/>
            <w:tcBorders>
              <w:bottom w:val="single" w:sz="4" w:space="0" w:color="auto"/>
            </w:tcBorders>
            <w:tcMar>
              <w:top w:w="85" w:type="dxa"/>
              <w:bottom w:w="85" w:type="dxa"/>
            </w:tcMar>
          </w:tcPr>
          <w:p>
            <w:pPr>
              <w:spacing w:after="0"/>
              <w:jc w:val="left"/>
              <w:rPr>
                <w:b/>
                <w:bCs/>
                <w:noProof/>
                <w:sz w:val="20"/>
              </w:rPr>
            </w:pPr>
            <w:r>
              <w:rPr>
                <w:b/>
                <w:bCs/>
                <w:noProof/>
                <w:sz w:val="20"/>
              </w:rPr>
              <w:t>Стратегия на ЕС за биологичното разнообразие до 2030 г.</w:t>
            </w:r>
            <w:r>
              <w:rPr>
                <w:noProof/>
                <w:sz w:val="20"/>
              </w:rPr>
              <w:t xml:space="preserve"> (незаконодателна инициатива; първо тримесечие на 2020 г.);</w:t>
            </w:r>
            <w:r>
              <w:rPr>
                <w:b/>
                <w:bCs/>
                <w:noProof/>
                <w:sz w:val="20"/>
              </w:rPr>
              <w:t xml:space="preserve"> </w:t>
            </w:r>
          </w:p>
          <w:p>
            <w:pPr>
              <w:spacing w:after="0"/>
              <w:jc w:val="left"/>
              <w:rPr>
                <w:noProof/>
                <w:sz w:val="20"/>
              </w:rPr>
            </w:pPr>
            <w:r>
              <w:rPr>
                <w:b/>
                <w:bCs/>
                <w:noProof/>
                <w:sz w:val="20"/>
              </w:rPr>
              <w:t>Осма програма за действие за околната среда</w:t>
            </w:r>
            <w:r>
              <w:rPr>
                <w:noProof/>
                <w:sz w:val="20"/>
              </w:rPr>
              <w:t xml:space="preserve"> (законодателна инициатива, член 192, параграф 3 от ДФЕС; второ тримесечие на 2020 г.);</w:t>
            </w:r>
            <w:r>
              <w:rPr>
                <w:b/>
                <w:bCs/>
                <w:noProof/>
                <w:sz w:val="20"/>
              </w:rPr>
              <w:br/>
            </w:r>
            <w:r>
              <w:rPr>
                <w:b/>
                <w:noProof/>
                <w:sz w:val="20"/>
              </w:rPr>
              <w:t>Стратегия за химикалите с цел постигане на устойчивост</w:t>
            </w:r>
            <w:r>
              <w:rPr>
                <w:noProof/>
                <w:sz w:val="20"/>
              </w:rPr>
              <w:t xml:space="preserve"> (незаконодателна инициатива; трето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Устойчива и интелигентна мобилност</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sz w:val="20"/>
              </w:rPr>
              <w:t>Стратегия за устойчива и интелигентна мобилност</w:t>
            </w:r>
            <w:r>
              <w:rPr>
                <w:noProof/>
                <w:sz w:val="20"/>
              </w:rPr>
              <w:t xml:space="preserve"> (незаконодателна инициатива; четвърто тримесечие на 2020 г.);</w:t>
            </w:r>
          </w:p>
          <w:p>
            <w:pPr>
              <w:spacing w:after="0"/>
              <w:jc w:val="left"/>
              <w:rPr>
                <w:noProof/>
                <w:sz w:val="20"/>
              </w:rPr>
            </w:pPr>
            <w:r>
              <w:rPr>
                <w:b/>
                <w:bCs/>
                <w:noProof/>
                <w:sz w:val="20"/>
              </w:rPr>
              <w:t>ReFuelEU — сектор „Авиация“ — Устойчиви авиационни горива</w:t>
            </w:r>
            <w:r>
              <w:rPr>
                <w:noProof/>
                <w:sz w:val="20"/>
              </w:rPr>
              <w:t xml:space="preserve"> (законодателна инициатива, вкл. оценка на въздействието, член 100, параграф 2 от ДФЕС и/или член 192</w:t>
            </w:r>
            <w:r>
              <w:rPr>
                <w:noProof/>
                <w:sz w:val="20"/>
              </w:rPr>
              <w:tab/>
              <w:t xml:space="preserve"> параграф 1 от ДФЕС; четвърто тримесечие на 2020 г.);</w:t>
            </w:r>
          </w:p>
          <w:p>
            <w:pPr>
              <w:spacing w:after="0"/>
              <w:jc w:val="left"/>
              <w:rPr>
                <w:noProof/>
                <w:sz w:val="20"/>
              </w:rPr>
            </w:pPr>
            <w:r>
              <w:rPr>
                <w:b/>
                <w:bCs/>
                <w:noProof/>
                <w:sz w:val="20"/>
              </w:rPr>
              <w:t xml:space="preserve">FuelEU — сектор „Морско пространство“ — Зелено европейско морско пространство </w:t>
            </w:r>
            <w:r>
              <w:rPr>
                <w:noProof/>
                <w:sz w:val="20"/>
              </w:rPr>
              <w:t>(законодателна инициатива, вкл. оценка на въздействието, член 100, параграф 2 от ДФЕС и/или член 192, параграф 1 от ДФЕС; четвърто тримесечие на 2020 г.)</w:t>
            </w:r>
          </w:p>
        </w:tc>
      </w:tr>
      <w:tr>
        <w:trPr>
          <w:cantSplit/>
        </w:trPr>
        <w:tc>
          <w:tcPr>
            <w:tcW w:w="14827" w:type="dxa"/>
            <w:gridSpan w:val="3"/>
            <w:tcBorders>
              <w:bottom w:val="single" w:sz="4" w:space="0" w:color="auto"/>
            </w:tcBorders>
            <w:shd w:val="clear" w:color="auto" w:fill="18BAA8" w:themeFill="accent2"/>
          </w:tcPr>
          <w:p>
            <w:pPr>
              <w:keepNext/>
              <w:spacing w:before="60" w:after="60"/>
              <w:rPr>
                <w:b/>
                <w:bCs/>
                <w:noProof/>
                <w:sz w:val="20"/>
              </w:rPr>
            </w:pPr>
            <w:r>
              <w:rPr>
                <w:b/>
                <w:bCs/>
                <w:noProof/>
                <w:color w:val="FFFFFF" w:themeColor="background1"/>
                <w:sz w:val="20"/>
              </w:rPr>
              <w:t>Европа, подготвена за цифровата ера</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Европа, подготвена за цифровата ера</w:t>
            </w:r>
          </w:p>
        </w:tc>
        <w:tc>
          <w:tcPr>
            <w:tcW w:w="10064" w:type="dxa"/>
            <w:tcBorders>
              <w:bottom w:val="single" w:sz="4" w:space="0" w:color="auto"/>
            </w:tcBorders>
            <w:tcMar>
              <w:top w:w="85" w:type="dxa"/>
              <w:bottom w:w="85" w:type="dxa"/>
            </w:tcMar>
          </w:tcPr>
          <w:p>
            <w:pPr>
              <w:spacing w:after="0"/>
              <w:jc w:val="left"/>
              <w:rPr>
                <w:b/>
                <w:bCs/>
                <w:noProof/>
                <w:color w:val="000000" w:themeColor="text1"/>
                <w:sz w:val="20"/>
              </w:rPr>
            </w:pPr>
            <w:r>
              <w:rPr>
                <w:b/>
                <w:bCs/>
                <w:noProof/>
                <w:sz w:val="20"/>
              </w:rPr>
              <w:t>Стратегия за Европа — Подготвеност за цифровата ера</w:t>
            </w:r>
            <w:r>
              <w:rPr>
                <w:noProof/>
                <w:sz w:val="20"/>
              </w:rPr>
              <w:t xml:space="preserve"> (незаконодателна инициатива; първо тримесечие на 2020 г.);</w:t>
            </w:r>
            <w:r>
              <w:rPr>
                <w:b/>
                <w:bCs/>
                <w:noProof/>
                <w:sz w:val="20"/>
              </w:rPr>
              <w:t xml:space="preserve"> </w:t>
            </w:r>
          </w:p>
          <w:p>
            <w:pPr>
              <w:spacing w:after="0"/>
              <w:jc w:val="left"/>
              <w:rPr>
                <w:noProof/>
                <w:color w:val="000000" w:themeColor="text1"/>
                <w:sz w:val="20"/>
              </w:rPr>
            </w:pPr>
            <w:r>
              <w:rPr>
                <w:b/>
                <w:bCs/>
                <w:noProof/>
                <w:sz w:val="20"/>
              </w:rPr>
              <w:t>План за действие в областта на цифровото образование</w:t>
            </w:r>
            <w:r>
              <w:rPr>
                <w:noProof/>
                <w:sz w:val="20"/>
              </w:rPr>
              <w:t xml:space="preserve"> </w:t>
            </w:r>
            <w:r>
              <w:rPr>
                <w:b/>
                <w:bCs/>
                <w:noProof/>
                <w:sz w:val="20"/>
              </w:rPr>
              <w:t>(актуализация)</w:t>
            </w:r>
            <w:r>
              <w:rPr>
                <w:noProof/>
                <w:sz w:val="20"/>
              </w:rPr>
              <w:t xml:space="preserve"> (незаконодателна инициатива; второ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bCs/>
                <w:noProof/>
                <w:sz w:val="20"/>
              </w:rPr>
              <w:t>Европейски подход към изкуствения интелект</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color w:val="000000" w:themeColor="text1"/>
                <w:sz w:val="20"/>
              </w:rPr>
            </w:pPr>
            <w:r>
              <w:rPr>
                <w:b/>
                <w:bCs/>
                <w:noProof/>
                <w:sz w:val="20"/>
              </w:rPr>
              <w:t>Бяла книга за изкуствения интелект</w:t>
            </w:r>
            <w:r>
              <w:rPr>
                <w:noProof/>
                <w:sz w:val="20"/>
              </w:rPr>
              <w:t xml:space="preserve"> (незаконодателна инициатива; първо тримесечие на 2020 г.);</w:t>
            </w:r>
          </w:p>
          <w:p>
            <w:pPr>
              <w:spacing w:after="0"/>
              <w:jc w:val="left"/>
              <w:rPr>
                <w:noProof/>
                <w:color w:val="000000" w:themeColor="text1"/>
                <w:sz w:val="20"/>
              </w:rPr>
            </w:pPr>
            <w:r>
              <w:rPr>
                <w:b/>
                <w:noProof/>
                <w:sz w:val="20"/>
              </w:rPr>
              <w:t xml:space="preserve">Европейска стратегия за данните </w:t>
            </w:r>
            <w:r>
              <w:rPr>
                <w:noProof/>
                <w:sz w:val="20"/>
              </w:rPr>
              <w:t>(незаконодателна инициатива; първо тримесечие на 2020 г.);</w:t>
            </w:r>
          </w:p>
          <w:p>
            <w:pPr>
              <w:spacing w:after="0"/>
              <w:jc w:val="left"/>
              <w:rPr>
                <w:noProof/>
                <w:sz w:val="20"/>
              </w:rPr>
            </w:pPr>
            <w:r>
              <w:rPr>
                <w:b/>
                <w:bCs/>
                <w:noProof/>
                <w:sz w:val="20"/>
              </w:rPr>
              <w:t>Последващи действия във връзка с Бялата книга за изкуствения интелект, включително във връзка с безопасността, отговорността, основните права и данните</w:t>
            </w:r>
            <w:r>
              <w:rPr>
                <w:noProof/>
                <w:sz w:val="20"/>
              </w:rPr>
              <w:t xml:space="preserve"> (законодателна инициатива, вкл. оценка на въздействието, член 114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Цифрови услуги</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bCs/>
                <w:noProof/>
                <w:sz w:val="20"/>
              </w:rPr>
              <w:t>Законодателен акт за цифровите услуги</w:t>
            </w:r>
            <w:r>
              <w:rPr>
                <w:noProof/>
                <w:sz w:val="20"/>
              </w:rPr>
              <w:t xml:space="preserve"> (законодателна инициатива, вкл. оценка на въздействието, член 114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Повишаване на киберсигурността</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b/>
                <w:bCs/>
                <w:noProof/>
                <w:color w:val="000000" w:themeColor="text1"/>
                <w:sz w:val="20"/>
              </w:rPr>
            </w:pPr>
            <w:r>
              <w:rPr>
                <w:b/>
                <w:bCs/>
                <w:noProof/>
                <w:sz w:val="20"/>
              </w:rPr>
              <w:t>Преразглеждане на Директивата за сигурност на мрежите и информационните системи (Директива за МИС)</w:t>
            </w:r>
            <w:r>
              <w:rPr>
                <w:noProof/>
                <w:sz w:val="20"/>
              </w:rPr>
              <w:t xml:space="preserve"> (законодателна инициатива, вкл. оценка на въздействието, член 114 от ДФЕС; четвърто тримесечие на 2020 г.)</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sz w:val="20"/>
              </w:rPr>
              <w:t>Цифровизацията в услуга на потребителите</w:t>
            </w:r>
          </w:p>
        </w:tc>
        <w:tc>
          <w:tcPr>
            <w:tcW w:w="10064" w:type="dxa"/>
            <w:shd w:val="clear" w:color="auto" w:fill="FFFFFF" w:themeFill="background1"/>
            <w:tcMar>
              <w:top w:w="85" w:type="dxa"/>
              <w:bottom w:w="85" w:type="dxa"/>
            </w:tcMar>
          </w:tcPr>
          <w:p>
            <w:pPr>
              <w:spacing w:after="0"/>
              <w:rPr>
                <w:noProof/>
                <w:sz w:val="20"/>
              </w:rPr>
            </w:pPr>
            <w:r>
              <w:rPr>
                <w:b/>
                <w:bCs/>
                <w:noProof/>
                <w:sz w:val="20"/>
              </w:rPr>
              <w:t>Общи зарядни устройства за мобилни телефони и подобни устройства</w:t>
            </w:r>
            <w:r>
              <w:rPr>
                <w:noProof/>
                <w:sz w:val="20"/>
              </w:rPr>
              <w:t xml:space="preserve"> (законодателна инициатива, вкл. оценка на въздействието, член 114 от ДФЕС; трето тримесечие на 2020 г.);</w:t>
            </w:r>
          </w:p>
          <w:p>
            <w:pPr>
              <w:spacing w:after="0"/>
              <w:rPr>
                <w:noProof/>
                <w:sz w:val="20"/>
              </w:rPr>
            </w:pPr>
            <w:r>
              <w:rPr>
                <w:b/>
                <w:bCs/>
                <w:noProof/>
                <w:sz w:val="20"/>
              </w:rPr>
              <w:t>Преглед на Регламента за роуминга</w:t>
            </w:r>
            <w:r>
              <w:rPr>
                <w:noProof/>
                <w:sz w:val="20"/>
              </w:rPr>
              <w:t xml:space="preserve"> (законодателна инициатива, вкл. оценка на въздействието, член 114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bCs/>
                <w:noProof/>
                <w:sz w:val="20"/>
              </w:rPr>
              <w:t>Нова стратегия за промишлеността за Европа</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sz w:val="20"/>
              </w:rPr>
              <w:t>Стратегия за промишлеността</w:t>
            </w:r>
            <w:r>
              <w:rPr>
                <w:noProof/>
                <w:sz w:val="20"/>
              </w:rPr>
              <w:t xml:space="preserve"> (незаконодателна инициатива; първо тримесечие на 2020 г.); </w:t>
            </w:r>
          </w:p>
          <w:p>
            <w:pPr>
              <w:spacing w:after="0"/>
              <w:jc w:val="left"/>
              <w:rPr>
                <w:b/>
                <w:bCs/>
                <w:noProof/>
                <w:sz w:val="20"/>
              </w:rPr>
            </w:pPr>
            <w:r>
              <w:rPr>
                <w:b/>
                <w:bCs/>
                <w:noProof/>
                <w:sz w:val="20"/>
              </w:rPr>
              <w:t>Доклад за пречките пред единния пазар</w:t>
            </w:r>
            <w:r>
              <w:rPr>
                <w:noProof/>
                <w:sz w:val="20"/>
              </w:rPr>
              <w:t xml:space="preserve"> (незаконодателна инициатива; първо тримесечие на 2020 г.);</w:t>
            </w:r>
            <w:r>
              <w:rPr>
                <w:b/>
                <w:bCs/>
                <w:noProof/>
                <w:sz w:val="20"/>
              </w:rPr>
              <w:t xml:space="preserve"> </w:t>
            </w:r>
          </w:p>
          <w:p>
            <w:pPr>
              <w:spacing w:after="0"/>
              <w:jc w:val="left"/>
              <w:rPr>
                <w:noProof/>
                <w:sz w:val="20"/>
              </w:rPr>
            </w:pPr>
            <w:r>
              <w:rPr>
                <w:b/>
                <w:bCs/>
                <w:noProof/>
                <w:sz w:val="20"/>
              </w:rPr>
              <w:t>План за действие за прилагане на законодателството в областта на единния пазар</w:t>
            </w:r>
            <w:r>
              <w:rPr>
                <w:noProof/>
                <w:sz w:val="20"/>
              </w:rPr>
              <w:t xml:space="preserve"> (незаконодателна инициатива; първо тримесечие на 2020 г.); </w:t>
            </w:r>
          </w:p>
          <w:p>
            <w:pPr>
              <w:spacing w:after="0"/>
              <w:jc w:val="left"/>
              <w:rPr>
                <w:noProof/>
                <w:sz w:val="20"/>
              </w:rPr>
            </w:pPr>
            <w:r>
              <w:rPr>
                <w:b/>
                <w:bCs/>
                <w:noProof/>
                <w:sz w:val="20"/>
              </w:rPr>
              <w:t>Стратегия за МСП</w:t>
            </w:r>
            <w:r>
              <w:rPr>
                <w:noProof/>
                <w:sz w:val="20"/>
              </w:rPr>
              <w:t xml:space="preserve"> (незаконодателна инициатива; първо тримесечие на 2020 г.); </w:t>
            </w:r>
          </w:p>
          <w:p>
            <w:pPr>
              <w:spacing w:after="0"/>
              <w:jc w:val="left"/>
              <w:rPr>
                <w:noProof/>
                <w:sz w:val="20"/>
              </w:rPr>
            </w:pPr>
            <w:r>
              <w:rPr>
                <w:b/>
                <w:bCs/>
                <w:noProof/>
                <w:sz w:val="20"/>
              </w:rPr>
              <w:t>Бяла книга във връзка с Инструмент за чуждестранните субсидии</w:t>
            </w:r>
            <w:r>
              <w:rPr>
                <w:noProof/>
                <w:sz w:val="20"/>
              </w:rPr>
              <w:t xml:space="preserve"> (незаконодателна инициатива; второ тримесечие на 2020 г.)</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bCs/>
                <w:noProof/>
                <w:sz w:val="20"/>
              </w:rPr>
              <w:t>Пакет от мерки за въздухоплавателните услуги</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jc w:val="left"/>
              <w:rPr>
                <w:noProof/>
                <w:sz w:val="20"/>
              </w:rPr>
            </w:pPr>
            <w:r>
              <w:rPr>
                <w:b/>
                <w:bCs/>
                <w:noProof/>
                <w:sz w:val="20"/>
              </w:rPr>
              <w:t>Преглед на летищните такси</w:t>
            </w:r>
            <w:r>
              <w:rPr>
                <w:noProof/>
                <w:sz w:val="20"/>
              </w:rPr>
              <w:t xml:space="preserve"> (законодателна инициатива, вкл. оценка на въздействието, член 100, параграф 2 от ДФЕС; четвърто тримесечие на 2020 г.); </w:t>
            </w:r>
            <w:r>
              <w:rPr>
                <w:b/>
                <w:bCs/>
                <w:noProof/>
                <w:sz w:val="20"/>
              </w:rPr>
              <w:t>Преглед на предоставянето на въздухоплавателни услуги</w:t>
            </w:r>
            <w:r>
              <w:rPr>
                <w:noProof/>
                <w:sz w:val="20"/>
              </w:rPr>
              <w:t xml:space="preserve"> (законодателна инициатива, вкл. оценка на въздействието, член 100, параграф 2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Към европейско научноизследователско пространство</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b/>
                <w:bCs/>
                <w:noProof/>
                <w:sz w:val="20"/>
              </w:rPr>
            </w:pPr>
            <w:r>
              <w:rPr>
                <w:b/>
                <w:bCs/>
                <w:noProof/>
                <w:sz w:val="20"/>
              </w:rPr>
              <w:t>Съобщение относно бъдещето на научните изследвания и иновациите и европейското научноизследователско пространство</w:t>
            </w:r>
            <w:r>
              <w:rPr>
                <w:noProof/>
                <w:sz w:val="20"/>
              </w:rPr>
              <w:t xml:space="preserve"> (незаконодателна инициатива; второ тримесечие на 2020 г.);</w:t>
            </w:r>
            <w:r>
              <w:rPr>
                <w:b/>
                <w:bCs/>
                <w:noProof/>
                <w:sz w:val="20"/>
              </w:rPr>
              <w:t xml:space="preserve"> </w:t>
            </w:r>
          </w:p>
          <w:p>
            <w:pPr>
              <w:spacing w:after="0"/>
              <w:jc w:val="left"/>
              <w:rPr>
                <w:noProof/>
                <w:sz w:val="20"/>
              </w:rPr>
            </w:pPr>
            <w:r>
              <w:rPr>
                <w:b/>
                <w:bCs/>
                <w:noProof/>
                <w:sz w:val="20"/>
              </w:rPr>
              <w:t>Съобщение относно мисиите за научни изследвания и иновации, провеждани в рамките на програма „Хоризонт Европа“</w:t>
            </w:r>
            <w:r>
              <w:rPr>
                <w:noProof/>
                <w:sz w:val="20"/>
              </w:rPr>
              <w:t xml:space="preserve"> (незаконодателна инициатива;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Цифрови финанси</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noProof/>
                <w:sz w:val="20"/>
              </w:rPr>
            </w:pPr>
            <w:r>
              <w:rPr>
                <w:b/>
                <w:bCs/>
                <w:noProof/>
                <w:sz w:val="20"/>
              </w:rPr>
              <w:t>План за действие в областта на финансовите технологии, включващ стратегия за интегриран пазар на плащанията в ЕС</w:t>
            </w:r>
            <w:r>
              <w:rPr>
                <w:noProof/>
                <w:sz w:val="20"/>
              </w:rPr>
              <w:t xml:space="preserve"> (незаконодателна инициатива; трето тримесечие на 2020 г.);</w:t>
            </w:r>
            <w:r>
              <w:rPr>
                <w:noProof/>
                <w:sz w:val="20"/>
              </w:rPr>
              <w:br/>
            </w:r>
            <w:r>
              <w:rPr>
                <w:b/>
                <w:bCs/>
                <w:noProof/>
                <w:sz w:val="20"/>
              </w:rPr>
              <w:t>Предложение за криптовалутите</w:t>
            </w:r>
            <w:r>
              <w:rPr>
                <w:noProof/>
                <w:sz w:val="20"/>
              </w:rPr>
              <w:t xml:space="preserve"> (законодателна инициатива, вкл. оценка на въздействието, член 114 от ДФЕС; трето тримесечие на 2020 г.); </w:t>
            </w:r>
          </w:p>
          <w:p>
            <w:pPr>
              <w:spacing w:after="0"/>
              <w:jc w:val="left"/>
              <w:rPr>
                <w:noProof/>
                <w:sz w:val="20"/>
              </w:rPr>
            </w:pPr>
            <w:r>
              <w:rPr>
                <w:b/>
                <w:bCs/>
                <w:noProof/>
                <w:sz w:val="20"/>
              </w:rPr>
              <w:t>Междусекторен акт в областта на финансовите услуги, отнасящ се до оперативната устойчивост и устойчивостта на киберпространството</w:t>
            </w:r>
            <w:r>
              <w:rPr>
                <w:noProof/>
                <w:sz w:val="20"/>
              </w:rPr>
              <w:t xml:space="preserve"> (законодателна инициатива, вкл. оценка на въздействието, член 114 от ДФЕС; трето тримесечие на 2020 г.)</w:t>
            </w:r>
          </w:p>
        </w:tc>
      </w:tr>
      <w:tr>
        <w:trPr>
          <w:cantSplit/>
        </w:trPr>
        <w:tc>
          <w:tcPr>
            <w:tcW w:w="14827" w:type="dxa"/>
            <w:gridSpan w:val="3"/>
            <w:tcBorders>
              <w:bottom w:val="single" w:sz="4" w:space="0" w:color="auto"/>
            </w:tcBorders>
            <w:shd w:val="clear" w:color="auto" w:fill="F68A42" w:themeFill="accent3"/>
          </w:tcPr>
          <w:p>
            <w:pPr>
              <w:keepNext/>
              <w:spacing w:before="60" w:after="60"/>
              <w:rPr>
                <w:b/>
                <w:bCs/>
                <w:noProof/>
                <w:sz w:val="20"/>
              </w:rPr>
            </w:pPr>
            <w:r>
              <w:rPr>
                <w:b/>
                <w:bCs/>
                <w:noProof/>
                <w:color w:val="FFFFFF" w:themeColor="background1"/>
                <w:sz w:val="20"/>
              </w:rPr>
              <w:t>Икономика в интерес на хората</w:t>
            </w:r>
          </w:p>
        </w:tc>
      </w:tr>
      <w:tr>
        <w:trPr>
          <w:cantSplit/>
        </w:trPr>
        <w:tc>
          <w:tcPr>
            <w:tcW w:w="511" w:type="dxa"/>
            <w:tcBorders>
              <w:right w:val="single" w:sz="4" w:space="0" w:color="auto"/>
            </w:tcBorders>
          </w:tcPr>
          <w:p>
            <w:pPr>
              <w:pStyle w:val="ListParagraph"/>
              <w:numPr>
                <w:ilvl w:val="0"/>
                <w:numId w:val="18"/>
              </w:numPr>
              <w:spacing w:after="0"/>
              <w:ind w:left="426"/>
              <w:rPr>
                <w:noProof/>
                <w:color w:val="FFFFFF" w:themeColor="background1"/>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Социална Европа</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jc w:val="left"/>
              <w:rPr>
                <w:b/>
                <w:bCs/>
                <w:noProof/>
                <w:sz w:val="20"/>
              </w:rPr>
            </w:pPr>
            <w:r>
              <w:rPr>
                <w:b/>
                <w:bCs/>
                <w:noProof/>
                <w:sz w:val="20"/>
              </w:rPr>
              <w:t>Силна социална Европа за справедлив преход</w:t>
            </w:r>
            <w:r>
              <w:rPr>
                <w:noProof/>
                <w:sz w:val="20"/>
              </w:rPr>
              <w:t xml:space="preserve"> (незаконодателна инициатива; първо тримесечие на 2020 г.); </w:t>
            </w:r>
            <w:r>
              <w:rPr>
                <w:noProof/>
                <w:sz w:val="20"/>
              </w:rPr>
              <w:br/>
            </w:r>
            <w:r>
              <w:rPr>
                <w:b/>
                <w:bCs/>
                <w:noProof/>
                <w:sz w:val="20"/>
              </w:rPr>
              <w:t>Справедливи минимални заплати за работниците в ЕС</w:t>
            </w:r>
            <w:r>
              <w:rPr>
                <w:noProof/>
                <w:sz w:val="20"/>
              </w:rPr>
              <w:t xml:space="preserve"> (член 153, параграф 1, буква б), член 153 , параграф 2 и член 154 от ДФЕС; първо/трето тримесечие на 2020 г.);</w:t>
            </w:r>
            <w:r>
              <w:rPr>
                <w:noProof/>
                <w:sz w:val="20"/>
              </w:rPr>
              <w:br/>
            </w:r>
            <w:r>
              <w:rPr>
                <w:b/>
                <w:bCs/>
                <w:noProof/>
                <w:sz w:val="20"/>
              </w:rPr>
              <w:t>Укрепване на схемата „Гаранция за младежта“</w:t>
            </w:r>
            <w:r>
              <w:rPr>
                <w:noProof/>
                <w:sz w:val="20"/>
              </w:rPr>
              <w:t xml:space="preserve"> (незаконодателна инициатива; второ тримесечие на 2020 г.);</w:t>
            </w:r>
            <w:r>
              <w:rPr>
                <w:noProof/>
                <w:sz w:val="20"/>
              </w:rPr>
              <w:br/>
            </w:r>
            <w:r>
              <w:rPr>
                <w:b/>
                <w:bCs/>
                <w:noProof/>
                <w:sz w:val="20"/>
              </w:rPr>
              <w:t>Европейска схема за презастраховане срещу безработица</w:t>
            </w:r>
            <w:r>
              <w:rPr>
                <w:noProof/>
                <w:sz w:val="20"/>
              </w:rPr>
              <w:t xml:space="preserve"> (законодателна инициатива, вкл. оценка на въздействието; четвърто тримесечие на 2020 г.)</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sz w:val="20"/>
              </w:rPr>
              <w:t>Икономическо управление</w:t>
            </w:r>
          </w:p>
        </w:tc>
        <w:tc>
          <w:tcPr>
            <w:tcW w:w="10064" w:type="dxa"/>
            <w:tcBorders>
              <w:bottom w:val="single" w:sz="4" w:space="0" w:color="auto"/>
            </w:tcBorders>
            <w:shd w:val="clear" w:color="auto" w:fill="auto"/>
            <w:tcMar>
              <w:top w:w="85" w:type="dxa"/>
              <w:bottom w:w="85" w:type="dxa"/>
            </w:tcMar>
          </w:tcPr>
          <w:p>
            <w:pPr>
              <w:spacing w:after="0"/>
              <w:rPr>
                <w:b/>
                <w:bCs/>
                <w:noProof/>
                <w:sz w:val="20"/>
              </w:rPr>
            </w:pPr>
            <w:r>
              <w:rPr>
                <w:b/>
                <w:bCs/>
                <w:noProof/>
                <w:sz w:val="20"/>
              </w:rPr>
              <w:t>Преглед на рамката за икономическо управление</w:t>
            </w:r>
            <w:r>
              <w:rPr>
                <w:noProof/>
                <w:sz w:val="20"/>
              </w:rPr>
              <w:t xml:space="preserve"> (незаконодателна инициатива; първо тримесечие на 2020 г.)</w:t>
            </w:r>
          </w:p>
        </w:tc>
      </w:tr>
      <w:tr>
        <w:trPr>
          <w:cantSplit/>
        </w:trPr>
        <w:tc>
          <w:tcPr>
            <w:tcW w:w="511" w:type="dxa"/>
            <w:tcBorders>
              <w:bottom w:val="single" w:sz="4" w:space="0" w:color="auto"/>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pPr>
              <w:spacing w:after="0"/>
              <w:rPr>
                <w:b/>
                <w:bCs/>
                <w:noProof/>
                <w:sz w:val="20"/>
              </w:rPr>
            </w:pPr>
            <w:r>
              <w:rPr>
                <w:b/>
                <w:bCs/>
                <w:noProof/>
                <w:sz w:val="20"/>
              </w:rPr>
              <w:t>Задълбочаване на съюза на капиталовите пазари</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pPr>
              <w:spacing w:after="0"/>
              <w:jc w:val="left"/>
              <w:rPr>
                <w:noProof/>
                <w:sz w:val="20"/>
              </w:rPr>
            </w:pPr>
            <w:r>
              <w:rPr>
                <w:b/>
                <w:bCs/>
                <w:noProof/>
                <w:sz w:val="20"/>
              </w:rPr>
              <w:t>План за действие за съюза на капиталовите пазари</w:t>
            </w:r>
            <w:r>
              <w:rPr>
                <w:noProof/>
                <w:sz w:val="20"/>
              </w:rPr>
              <w:t xml:space="preserve"> (незаконодателна инициатива; трето тримесечие на 2020 г.); </w:t>
            </w:r>
          </w:p>
          <w:p>
            <w:pPr>
              <w:spacing w:after="0"/>
              <w:jc w:val="left"/>
              <w:rPr>
                <w:noProof/>
                <w:sz w:val="20"/>
              </w:rPr>
            </w:pPr>
            <w:r>
              <w:rPr>
                <w:b/>
                <w:bCs/>
                <w:noProof/>
                <w:sz w:val="20"/>
              </w:rPr>
              <w:t xml:space="preserve">Преглед на нормативната уредба за инвестиционните посредници и пазарните оператори (ДПФИ II и РПФИ), включително създаване на система на ЕС с консолидирани данни </w:t>
            </w:r>
            <w:r>
              <w:rPr>
                <w:noProof/>
                <w:sz w:val="20"/>
              </w:rPr>
              <w:t xml:space="preserve">(законодателна инициатива, вкл. оценка на въздействието, член 53, параграф 1 и член 114, параграф 1 от ДФЕС, трето тримесечие на 2020 г.); </w:t>
            </w:r>
          </w:p>
          <w:p>
            <w:pPr>
              <w:spacing w:after="0"/>
              <w:jc w:val="left"/>
              <w:rPr>
                <w:noProof/>
                <w:sz w:val="20"/>
              </w:rPr>
            </w:pPr>
            <w:r>
              <w:rPr>
                <w:b/>
                <w:bCs/>
                <w:noProof/>
                <w:sz w:val="20"/>
              </w:rPr>
              <w:t>Преглед на Регламента за референтните показатели</w:t>
            </w:r>
            <w:r>
              <w:rPr>
                <w:noProof/>
                <w:sz w:val="20"/>
              </w:rPr>
              <w:t xml:space="preserve"> (законодателна инициатива, вкл. оценка на въздействието, член 114, параграф 1 от ДФЕС; трето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Приключване изграждането на банковия съюз</w:t>
            </w:r>
          </w:p>
        </w:tc>
        <w:tc>
          <w:tcPr>
            <w:tcW w:w="10064" w:type="dxa"/>
            <w:tcMar>
              <w:top w:w="85" w:type="dxa"/>
              <w:bottom w:w="85" w:type="dxa"/>
            </w:tcMar>
          </w:tcPr>
          <w:p>
            <w:pPr>
              <w:spacing w:after="0"/>
              <w:jc w:val="left"/>
              <w:rPr>
                <w:noProof/>
                <w:sz w:val="20"/>
              </w:rPr>
            </w:pPr>
            <w:r>
              <w:rPr>
                <w:b/>
                <w:bCs/>
                <w:noProof/>
                <w:sz w:val="20"/>
              </w:rPr>
              <w:t>План за действие за борбата срещу изпирането на пари</w:t>
            </w:r>
            <w:r>
              <w:rPr>
                <w:noProof/>
                <w:sz w:val="20"/>
              </w:rPr>
              <w:t xml:space="preserve"> (незаконодателна инициатива; първо тримесечие на 2020 г.); </w:t>
            </w:r>
          </w:p>
          <w:p>
            <w:pPr>
              <w:spacing w:after="0"/>
              <w:jc w:val="left"/>
              <w:rPr>
                <w:noProof/>
                <w:sz w:val="20"/>
              </w:rPr>
            </w:pPr>
            <w:r>
              <w:rPr>
                <w:b/>
                <w:bCs/>
                <w:noProof/>
                <w:sz w:val="20"/>
              </w:rPr>
              <w:t>Преглед на законодателството, уреждащо капиталовите изисквания</w:t>
            </w:r>
            <w:r>
              <w:rPr>
                <w:noProof/>
                <w:sz w:val="20"/>
              </w:rPr>
              <w:t xml:space="preserve"> (законодателна инициатива, вкл. оценка на въздействието, член 114 от ДФЕС (РКИ) и член 53 от ДФЕС (ДКИ); второ тримесечие на 2020 г.)</w:t>
            </w:r>
          </w:p>
        </w:tc>
      </w:tr>
      <w:tr>
        <w:trPr>
          <w:cantSplit/>
        </w:trPr>
        <w:tc>
          <w:tcPr>
            <w:tcW w:w="511" w:type="dxa"/>
            <w:tcBorders>
              <w:right w:val="single" w:sz="4" w:space="0" w:color="auto"/>
            </w:tcBorders>
            <w:shd w:val="clear" w:color="auto" w:fill="FFFFFF" w:themeFill="background1"/>
          </w:tcPr>
          <w:p>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pPr>
              <w:spacing w:after="0"/>
              <w:rPr>
                <w:b/>
                <w:bCs/>
                <w:noProof/>
                <w:color w:val="000000"/>
                <w:sz w:val="20"/>
              </w:rPr>
            </w:pPr>
            <w:r>
              <w:rPr>
                <w:b/>
                <w:bCs/>
                <w:noProof/>
                <w:sz w:val="20"/>
              </w:rPr>
              <w:t>Ефективно данъчно облагане</w:t>
            </w:r>
          </w:p>
        </w:tc>
        <w:tc>
          <w:tcPr>
            <w:tcW w:w="10064" w:type="dxa"/>
            <w:shd w:val="clear" w:color="auto" w:fill="FFFFFF" w:themeFill="background1"/>
            <w:tcMar>
              <w:top w:w="85" w:type="dxa"/>
              <w:bottom w:w="85" w:type="dxa"/>
            </w:tcMar>
          </w:tcPr>
          <w:p>
            <w:pPr>
              <w:pStyle w:val="Default"/>
              <w:rPr>
                <w:b/>
                <w:bCs/>
                <w:noProof/>
                <w:sz w:val="20"/>
                <w:szCs w:val="20"/>
              </w:rPr>
            </w:pPr>
            <w:r>
              <w:rPr>
                <w:b/>
                <w:bCs/>
                <w:noProof/>
                <w:sz w:val="20"/>
                <w:szCs w:val="20"/>
              </w:rPr>
              <w:t>Данъчно облагане на предприятията за 21-ви век</w:t>
            </w:r>
            <w:r>
              <w:rPr>
                <w:noProof/>
                <w:sz w:val="20"/>
                <w:szCs w:val="20"/>
              </w:rPr>
              <w:t xml:space="preserve"> (незаконодателна инициатива; второ тримесечие на 2020 г.);</w:t>
            </w:r>
            <w:r>
              <w:rPr>
                <w:b/>
                <w:bCs/>
                <w:noProof/>
                <w:sz w:val="20"/>
                <w:szCs w:val="20"/>
              </w:rPr>
              <w:t xml:space="preserve"> </w:t>
            </w:r>
          </w:p>
          <w:p>
            <w:pPr>
              <w:pStyle w:val="Default"/>
              <w:rPr>
                <w:noProof/>
                <w:sz w:val="20"/>
                <w:szCs w:val="20"/>
              </w:rPr>
            </w:pPr>
            <w:r>
              <w:rPr>
                <w:b/>
                <w:bCs/>
                <w:noProof/>
                <w:sz w:val="20"/>
                <w:szCs w:val="20"/>
              </w:rPr>
              <w:t>План за действие за борба с отклоняването от данъчно облагане и за опростяване и улесняване на данъчното облагане</w:t>
            </w:r>
            <w:r>
              <w:rPr>
                <w:noProof/>
                <w:sz w:val="20"/>
                <w:szCs w:val="20"/>
              </w:rPr>
              <w:t xml:space="preserve"> (законодателна и незаконодателна инициатива, вкл. оценка на въздействието, членове 113 и 115 от ДФЕС; второ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Пакет „Митнически съюз“</w:t>
            </w:r>
          </w:p>
        </w:tc>
        <w:tc>
          <w:tcPr>
            <w:tcW w:w="10064" w:type="dxa"/>
            <w:tcBorders>
              <w:bottom w:val="single" w:sz="4" w:space="0" w:color="auto"/>
            </w:tcBorders>
            <w:tcMar>
              <w:top w:w="85" w:type="dxa"/>
              <w:bottom w:w="85" w:type="dxa"/>
            </w:tcMar>
          </w:tcPr>
          <w:p>
            <w:pPr>
              <w:pStyle w:val="Default"/>
              <w:rPr>
                <w:noProof/>
                <w:sz w:val="20"/>
                <w:szCs w:val="20"/>
              </w:rPr>
            </w:pPr>
            <w:r>
              <w:rPr>
                <w:b/>
                <w:noProof/>
                <w:sz w:val="20"/>
                <w:szCs w:val="20"/>
              </w:rPr>
              <w:t>План за действие за Митническия съюз</w:t>
            </w:r>
            <w:r>
              <w:rPr>
                <w:noProof/>
                <w:sz w:val="20"/>
                <w:szCs w:val="20"/>
              </w:rPr>
              <w:t xml:space="preserve"> (незаконодателна инициатива; второ тримесечие на 2020 г.); </w:t>
            </w:r>
          </w:p>
          <w:p>
            <w:pPr>
              <w:pStyle w:val="Default"/>
              <w:rPr>
                <w:noProof/>
                <w:sz w:val="20"/>
                <w:szCs w:val="20"/>
              </w:rPr>
            </w:pPr>
            <w:r>
              <w:rPr>
                <w:b/>
                <w:bCs/>
                <w:noProof/>
                <w:sz w:val="20"/>
                <w:szCs w:val="20"/>
              </w:rPr>
              <w:t>Предложение за обслужване на едно гише в митниците</w:t>
            </w:r>
            <w:r>
              <w:rPr>
                <w:noProof/>
                <w:sz w:val="20"/>
                <w:szCs w:val="20"/>
              </w:rPr>
              <w:t xml:space="preserve"> (законодателна инициатива, вкл. оценка на въздействието, членове 33 и 114 от ДФЕС; трето тримесечие на 2020 г.)</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rPr>
            </w:pPr>
            <w:r>
              <w:rPr>
                <w:b/>
                <w:bCs/>
                <w:noProof/>
                <w:color w:val="FFFFFF" w:themeColor="background1"/>
                <w:sz w:val="20"/>
              </w:rPr>
              <w:t>По-силна Европа на световната сцена</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Международно сътрудничество</w:t>
            </w:r>
          </w:p>
        </w:tc>
        <w:tc>
          <w:tcPr>
            <w:tcW w:w="10064" w:type="dxa"/>
            <w:tcBorders>
              <w:bottom w:val="single" w:sz="4" w:space="0" w:color="auto"/>
            </w:tcBorders>
            <w:tcMar>
              <w:top w:w="85" w:type="dxa"/>
              <w:bottom w:w="85" w:type="dxa"/>
            </w:tcMar>
          </w:tcPr>
          <w:p>
            <w:pPr>
              <w:spacing w:after="0"/>
              <w:jc w:val="left"/>
              <w:rPr>
                <w:noProof/>
                <w:sz w:val="20"/>
              </w:rPr>
            </w:pPr>
            <w:r>
              <w:rPr>
                <w:b/>
                <w:noProof/>
                <w:sz w:val="20"/>
              </w:rPr>
              <w:t>Подписване и сключване на Споразумението между ЕС и държавите от Африка, Карибите и Тихоокеанския басейн</w:t>
            </w:r>
            <w:r>
              <w:rPr>
                <w:noProof/>
                <w:sz w:val="20"/>
              </w:rPr>
              <w:t xml:space="preserve"> (законодателна инициатива, членове 217 и 218 от ДФЕС; трето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color w:val="000000" w:themeColor="text1"/>
                <w:sz w:val="20"/>
              </w:rPr>
            </w:pPr>
            <w:r>
              <w:rPr>
                <w:b/>
                <w:bCs/>
                <w:noProof/>
                <w:sz w:val="20"/>
              </w:rPr>
              <w:t>Финансов суверенитет</w:t>
            </w:r>
          </w:p>
        </w:tc>
        <w:tc>
          <w:tcPr>
            <w:tcW w:w="10064" w:type="dxa"/>
            <w:tcBorders>
              <w:bottom w:val="single" w:sz="4" w:space="0" w:color="auto"/>
            </w:tcBorders>
            <w:tcMar>
              <w:top w:w="85" w:type="dxa"/>
              <w:bottom w:w="85" w:type="dxa"/>
            </w:tcMar>
          </w:tcPr>
          <w:p>
            <w:pPr>
              <w:spacing w:after="0"/>
              <w:jc w:val="left"/>
              <w:rPr>
                <w:noProof/>
                <w:sz w:val="20"/>
              </w:rPr>
            </w:pPr>
            <w:r>
              <w:rPr>
                <w:b/>
                <w:noProof/>
                <w:sz w:val="20"/>
              </w:rPr>
              <w:t>Укрепване на икономическия и финансовия суверенитет на Европа</w:t>
            </w:r>
            <w:r>
              <w:rPr>
                <w:noProof/>
                <w:sz w:val="20"/>
              </w:rPr>
              <w:t xml:space="preserve"> (незаконодателна инициатива; трето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Стратегия за Африка</w:t>
            </w:r>
          </w:p>
        </w:tc>
        <w:tc>
          <w:tcPr>
            <w:tcW w:w="10064" w:type="dxa"/>
            <w:tcMar>
              <w:top w:w="85" w:type="dxa"/>
              <w:bottom w:w="85" w:type="dxa"/>
            </w:tcMar>
          </w:tcPr>
          <w:p>
            <w:pPr>
              <w:spacing w:after="0"/>
              <w:jc w:val="left"/>
              <w:rPr>
                <w:noProof/>
                <w:sz w:val="20"/>
              </w:rPr>
            </w:pPr>
            <w:r>
              <w:rPr>
                <w:b/>
                <w:bCs/>
                <w:noProof/>
                <w:sz w:val="20"/>
              </w:rPr>
              <w:t>Към всеобхватна стратегия с Африка</w:t>
            </w:r>
            <w:r>
              <w:rPr>
                <w:noProof/>
                <w:sz w:val="20"/>
              </w:rPr>
              <w:t xml:space="preserve"> (незаконодателна инициатива; първо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Разширяване</w:t>
            </w:r>
          </w:p>
        </w:tc>
        <w:tc>
          <w:tcPr>
            <w:tcW w:w="10064" w:type="dxa"/>
            <w:tcMar>
              <w:top w:w="85" w:type="dxa"/>
              <w:bottom w:w="85" w:type="dxa"/>
            </w:tcMar>
          </w:tcPr>
          <w:p>
            <w:pPr>
              <w:spacing w:after="0"/>
              <w:jc w:val="left"/>
              <w:rPr>
                <w:b/>
                <w:noProof/>
                <w:sz w:val="20"/>
              </w:rPr>
            </w:pPr>
            <w:r>
              <w:rPr>
                <w:b/>
                <w:noProof/>
                <w:sz w:val="20"/>
              </w:rPr>
              <w:t>Подобряване на процеса на присъединяване — Надеждна перспектива за присъединяване на Западните Балкани към ЕС</w:t>
            </w:r>
            <w:r>
              <w:rPr>
                <w:noProof/>
                <w:sz w:val="20"/>
              </w:rPr>
              <w:t xml:space="preserve"> (незаконодателна инициатива; първо тримесечие на 2020 г.);</w:t>
            </w:r>
          </w:p>
          <w:p>
            <w:pPr>
              <w:spacing w:after="0"/>
              <w:jc w:val="left"/>
              <w:rPr>
                <w:b/>
                <w:bCs/>
                <w:noProof/>
                <w:sz w:val="20"/>
              </w:rPr>
            </w:pPr>
            <w:r>
              <w:rPr>
                <w:b/>
                <w:noProof/>
                <w:sz w:val="20"/>
              </w:rPr>
              <w:t>Засилване на ангажимента ни към Западните Балкани — Приносът на Комисията за срещата на върха между ЕС и Западните Балкани</w:t>
            </w:r>
            <w:r>
              <w:rPr>
                <w:noProof/>
                <w:sz w:val="20"/>
              </w:rPr>
              <w:t xml:space="preserve"> (незаконодателна инициатива; второ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 xml:space="preserve">Източно партньорство </w:t>
            </w:r>
          </w:p>
        </w:tc>
        <w:tc>
          <w:tcPr>
            <w:tcW w:w="10064" w:type="dxa"/>
            <w:tcMar>
              <w:top w:w="85" w:type="dxa"/>
              <w:bottom w:w="85" w:type="dxa"/>
            </w:tcMar>
          </w:tcPr>
          <w:p>
            <w:pPr>
              <w:spacing w:after="0"/>
              <w:jc w:val="left"/>
              <w:rPr>
                <w:b/>
                <w:bCs/>
                <w:noProof/>
                <w:sz w:val="20"/>
              </w:rPr>
            </w:pPr>
            <w:r>
              <w:rPr>
                <w:b/>
                <w:bCs/>
                <w:noProof/>
                <w:sz w:val="20"/>
              </w:rPr>
              <w:t>Източното партньорство след 2020 г.</w:t>
            </w:r>
            <w:r>
              <w:rPr>
                <w:noProof/>
                <w:sz w:val="20"/>
              </w:rPr>
              <w:t xml:space="preserve"> (незаконодателна инициатива; първо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sz w:val="20"/>
              </w:rPr>
            </w:pPr>
            <w:r>
              <w:rPr>
                <w:b/>
                <w:bCs/>
                <w:noProof/>
                <w:sz w:val="20"/>
              </w:rPr>
              <w:t>Права на човека, демокрация и равенство между половете</w:t>
            </w:r>
          </w:p>
        </w:tc>
        <w:tc>
          <w:tcPr>
            <w:tcW w:w="10064" w:type="dxa"/>
            <w:tcMar>
              <w:top w:w="85" w:type="dxa"/>
              <w:bottom w:w="85" w:type="dxa"/>
            </w:tcMar>
          </w:tcPr>
          <w:p>
            <w:pPr>
              <w:spacing w:after="0"/>
              <w:jc w:val="left"/>
              <w:rPr>
                <w:b/>
                <w:bCs/>
                <w:noProof/>
                <w:sz w:val="20"/>
              </w:rPr>
            </w:pPr>
            <w:r>
              <w:rPr>
                <w:b/>
                <w:bCs/>
                <w:noProof/>
                <w:sz w:val="20"/>
              </w:rPr>
              <w:t>План за действие за правата на човека и демокрацията (2020—2024 г.)</w:t>
            </w:r>
            <w:r>
              <w:rPr>
                <w:noProof/>
                <w:sz w:val="20"/>
              </w:rPr>
              <w:t xml:space="preserve"> (законодателна и незаконодателна инициатива; първо тримесечие на 2020 г.);</w:t>
            </w:r>
            <w:r>
              <w:rPr>
                <w:b/>
                <w:bCs/>
                <w:noProof/>
                <w:sz w:val="20"/>
              </w:rPr>
              <w:br/>
              <w:t>План за действие на ЕС относно равенството между половете и овластяването на жените във външните отношения за периода 2021—2025 г.</w:t>
            </w:r>
            <w:r>
              <w:rPr>
                <w:noProof/>
                <w:sz w:val="20"/>
              </w:rPr>
              <w:t xml:space="preserve"> (незаконодателна инициатива;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Реформа на СТО</w:t>
            </w:r>
          </w:p>
        </w:tc>
        <w:tc>
          <w:tcPr>
            <w:tcW w:w="10064" w:type="dxa"/>
            <w:tcBorders>
              <w:bottom w:val="single" w:sz="4" w:space="0" w:color="auto"/>
            </w:tcBorders>
            <w:tcMar>
              <w:top w:w="85" w:type="dxa"/>
              <w:bottom w:w="85" w:type="dxa"/>
            </w:tcMar>
          </w:tcPr>
          <w:p>
            <w:pPr>
              <w:spacing w:after="0"/>
              <w:jc w:val="left"/>
              <w:rPr>
                <w:noProof/>
                <w:sz w:val="20"/>
              </w:rPr>
            </w:pPr>
            <w:r>
              <w:rPr>
                <w:b/>
                <w:bCs/>
                <w:noProof/>
                <w:sz w:val="20"/>
              </w:rPr>
              <w:t>Инициатива за реформа на СТО</w:t>
            </w:r>
            <w:r>
              <w:rPr>
                <w:noProof/>
                <w:sz w:val="20"/>
              </w:rPr>
              <w:t xml:space="preserve"> (незаконодателна инициатива; четвърто тримесечие на 2020 г.)</w:t>
            </w:r>
          </w:p>
        </w:tc>
      </w:tr>
      <w:tr>
        <w:trPr>
          <w:cantSplit/>
        </w:trPr>
        <w:tc>
          <w:tcPr>
            <w:tcW w:w="14827" w:type="dxa"/>
            <w:gridSpan w:val="3"/>
            <w:tcBorders>
              <w:bottom w:val="single" w:sz="4" w:space="0" w:color="auto"/>
            </w:tcBorders>
            <w:shd w:val="clear" w:color="auto" w:fill="DA5C57" w:themeFill="accent6"/>
          </w:tcPr>
          <w:p>
            <w:pPr>
              <w:keepNext/>
              <w:spacing w:before="60" w:after="60"/>
              <w:rPr>
                <w:b/>
                <w:bCs/>
                <w:noProof/>
                <w:sz w:val="20"/>
              </w:rPr>
            </w:pPr>
            <w:r>
              <w:rPr>
                <w:b/>
                <w:bCs/>
                <w:noProof/>
                <w:color w:val="FFFFFF" w:themeColor="background1"/>
                <w:sz w:val="20"/>
              </w:rPr>
              <w:t>Утвърждаване на европейския начин на живот</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Насърчаване на уменията, образованието и приобщаването</w:t>
            </w:r>
          </w:p>
        </w:tc>
        <w:tc>
          <w:tcPr>
            <w:tcW w:w="10064" w:type="dxa"/>
            <w:tcMar>
              <w:top w:w="85" w:type="dxa"/>
              <w:bottom w:w="85" w:type="dxa"/>
            </w:tcMar>
          </w:tcPr>
          <w:p>
            <w:pPr>
              <w:spacing w:after="0"/>
              <w:jc w:val="left"/>
              <w:rPr>
                <w:noProof/>
                <w:sz w:val="20"/>
              </w:rPr>
            </w:pPr>
            <w:r>
              <w:rPr>
                <w:b/>
                <w:bCs/>
                <w:noProof/>
                <w:sz w:val="20"/>
              </w:rPr>
              <w:t>Актуализирана Европейска програма за умения</w:t>
            </w:r>
            <w:r>
              <w:rPr>
                <w:noProof/>
                <w:sz w:val="20"/>
              </w:rPr>
              <w:t xml:space="preserve"> (незаконодателна инициатива; първо тримесечие на 2020 г.);</w:t>
            </w:r>
            <w:r>
              <w:rPr>
                <w:noProof/>
                <w:sz w:val="20"/>
              </w:rPr>
              <w:br/>
            </w:r>
            <w:r>
              <w:rPr>
                <w:b/>
                <w:bCs/>
                <w:noProof/>
                <w:sz w:val="20"/>
              </w:rPr>
              <w:t>Изграждане на европейското пространство за образование</w:t>
            </w:r>
            <w:r>
              <w:rPr>
                <w:noProof/>
                <w:sz w:val="20"/>
              </w:rPr>
              <w:t xml:space="preserve"> (незаконодателна инициатива; трето тримесечие на 2020 г.); </w:t>
            </w:r>
          </w:p>
          <w:p>
            <w:pPr>
              <w:spacing w:after="0"/>
              <w:jc w:val="left"/>
              <w:rPr>
                <w:noProof/>
                <w:sz w:val="20"/>
              </w:rPr>
            </w:pPr>
            <w:r>
              <w:rPr>
                <w:b/>
                <w:bCs/>
                <w:noProof/>
                <w:sz w:val="20"/>
              </w:rPr>
              <w:t>План за действие за интеграция и приобщаване</w:t>
            </w:r>
            <w:r>
              <w:rPr>
                <w:noProof/>
                <w:sz w:val="20"/>
              </w:rPr>
              <w:t xml:space="preserve"> (незаконодателна инициатива;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b/>
                <w:bCs/>
                <w:noProof/>
                <w:color w:val="000000"/>
                <w:sz w:val="20"/>
              </w:rPr>
            </w:pPr>
            <w:r>
              <w:rPr>
                <w:b/>
                <w:bCs/>
                <w:noProof/>
                <w:sz w:val="20"/>
              </w:rPr>
              <w:t>Нов пакт за миграцията и убежището</w:t>
            </w:r>
          </w:p>
        </w:tc>
        <w:tc>
          <w:tcPr>
            <w:tcW w:w="10064" w:type="dxa"/>
            <w:tcBorders>
              <w:bottom w:val="single" w:sz="4" w:space="0" w:color="auto"/>
            </w:tcBorders>
            <w:tcMar>
              <w:top w:w="85" w:type="dxa"/>
              <w:bottom w:w="85" w:type="dxa"/>
            </w:tcMar>
          </w:tcPr>
          <w:p>
            <w:pPr>
              <w:spacing w:after="0"/>
              <w:jc w:val="left"/>
              <w:rPr>
                <w:noProof/>
                <w:sz w:val="20"/>
              </w:rPr>
            </w:pPr>
            <w:r>
              <w:rPr>
                <w:b/>
                <w:bCs/>
                <w:noProof/>
                <w:sz w:val="20"/>
              </w:rPr>
              <w:t>Нов пакт за миграцията и убежището и придружаващи го законодателни предложения</w:t>
            </w:r>
            <w:r>
              <w:rPr>
                <w:noProof/>
                <w:sz w:val="20"/>
              </w:rPr>
              <w:t xml:space="preserve"> (незаконодателни и законодателни инициативи, членове 78 и 79 от ДФЕС; първо тримесечие на 2020 г.)</w:t>
            </w:r>
            <w:r>
              <w:rPr>
                <w:b/>
                <w:bCs/>
                <w:noProof/>
                <w:sz w:val="20"/>
              </w:rPr>
              <w:br/>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noProof/>
                <w:sz w:val="20"/>
              </w:rPr>
            </w:pPr>
            <w:r>
              <w:rPr>
                <w:b/>
                <w:bCs/>
                <w:noProof/>
                <w:sz w:val="20"/>
              </w:rPr>
              <w:t>Повишаване на сигурността на Европа</w:t>
            </w:r>
          </w:p>
        </w:tc>
        <w:tc>
          <w:tcPr>
            <w:tcW w:w="10064" w:type="dxa"/>
            <w:tcMar>
              <w:top w:w="85" w:type="dxa"/>
              <w:bottom w:w="85" w:type="dxa"/>
            </w:tcMar>
          </w:tcPr>
          <w:p>
            <w:pPr>
              <w:spacing w:after="0"/>
              <w:jc w:val="left"/>
              <w:rPr>
                <w:noProof/>
                <w:sz w:val="20"/>
              </w:rPr>
            </w:pPr>
            <w:r>
              <w:rPr>
                <w:b/>
                <w:bCs/>
                <w:noProof/>
                <w:sz w:val="20"/>
              </w:rPr>
              <w:t>Нова стратегия на ЕС за Съюза на сигурност</w:t>
            </w:r>
            <w:r>
              <w:rPr>
                <w:noProof/>
                <w:sz w:val="20"/>
              </w:rPr>
              <w:t xml:space="preserve"> (незаконодателна инициатива; второ тримесечие на 2020 г.); </w:t>
            </w:r>
          </w:p>
          <w:p>
            <w:pPr>
              <w:spacing w:after="0"/>
              <w:jc w:val="left"/>
              <w:rPr>
                <w:noProof/>
                <w:sz w:val="20"/>
              </w:rPr>
            </w:pPr>
            <w:r>
              <w:rPr>
                <w:b/>
                <w:bCs/>
                <w:noProof/>
                <w:sz w:val="20"/>
              </w:rPr>
              <w:t>Укрепване на мандата на Европол</w:t>
            </w:r>
            <w:r>
              <w:rPr>
                <w:noProof/>
                <w:sz w:val="20"/>
              </w:rPr>
              <w:t xml:space="preserve"> (законодателна инициатива, вкл. оценка на въздействието, член 88 от ДФЕС; четвърто тримесечие на 2020 г.); </w:t>
            </w:r>
            <w:r>
              <w:rPr>
                <w:noProof/>
                <w:sz w:val="20"/>
              </w:rPr>
              <w:br/>
            </w:r>
            <w:r>
              <w:rPr>
                <w:b/>
                <w:bCs/>
                <w:noProof/>
                <w:sz w:val="20"/>
              </w:rPr>
              <w:t>Предложение за допълнителни мерки във връзка със защитата на критичната инфраструктура</w:t>
            </w:r>
            <w:r>
              <w:rPr>
                <w:noProof/>
                <w:sz w:val="20"/>
              </w:rPr>
              <w:t xml:space="preserve"> (законодателна инициатива, вкл. оценка на въздействието; четвърто тримесечие на 2020 г.);</w:t>
            </w:r>
          </w:p>
          <w:p>
            <w:pPr>
              <w:spacing w:after="0"/>
              <w:jc w:val="left"/>
              <w:rPr>
                <w:noProof/>
                <w:sz w:val="20"/>
              </w:rPr>
            </w:pPr>
            <w:r>
              <w:rPr>
                <w:b/>
                <w:bCs/>
                <w:noProof/>
                <w:sz w:val="20"/>
              </w:rPr>
              <w:t>Нова стратегия на ЕС за премахване на трафика на хора</w:t>
            </w:r>
            <w:r>
              <w:rPr>
                <w:noProof/>
                <w:sz w:val="20"/>
              </w:rPr>
              <w:t xml:space="preserve"> (незаконодателна инициатива; четвърто тримесечие на 2020 г.);</w:t>
            </w:r>
          </w:p>
          <w:p>
            <w:pPr>
              <w:spacing w:after="0"/>
              <w:jc w:val="left"/>
              <w:rPr>
                <w:noProof/>
                <w:sz w:val="20"/>
              </w:rPr>
            </w:pPr>
            <w:r>
              <w:rPr>
                <w:b/>
                <w:bCs/>
                <w:noProof/>
                <w:sz w:val="20"/>
              </w:rPr>
              <w:t>Стратегия на ЕС за по-ефективна борба срещу сексуалното насилие над деца</w:t>
            </w:r>
            <w:r>
              <w:rPr>
                <w:noProof/>
                <w:sz w:val="20"/>
              </w:rPr>
              <w:t xml:space="preserve"> (незаконодателна инициатива; второ тримесечие на 2020 г.) </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Опазване на здравето</w:t>
            </w:r>
          </w:p>
        </w:tc>
        <w:tc>
          <w:tcPr>
            <w:tcW w:w="10064" w:type="dxa"/>
            <w:tcBorders>
              <w:bottom w:val="single" w:sz="4" w:space="0" w:color="auto"/>
            </w:tcBorders>
            <w:tcMar>
              <w:top w:w="85" w:type="dxa"/>
              <w:bottom w:w="85" w:type="dxa"/>
            </w:tcMar>
          </w:tcPr>
          <w:p>
            <w:pPr>
              <w:spacing w:after="0"/>
              <w:jc w:val="left"/>
              <w:rPr>
                <w:noProof/>
                <w:sz w:val="20"/>
              </w:rPr>
            </w:pPr>
            <w:r>
              <w:rPr>
                <w:b/>
                <w:bCs/>
                <w:noProof/>
                <w:sz w:val="20"/>
              </w:rPr>
              <w:t>Европейски план за борба с рака</w:t>
            </w:r>
            <w:r>
              <w:rPr>
                <w:noProof/>
                <w:sz w:val="20"/>
              </w:rPr>
              <w:t xml:space="preserve"> (незаконодателна инициатива; четвърто тримесечие на 2020 г.);</w:t>
            </w:r>
            <w:r>
              <w:rPr>
                <w:noProof/>
                <w:sz w:val="20"/>
              </w:rPr>
              <w:br/>
            </w:r>
            <w:r>
              <w:rPr>
                <w:b/>
                <w:bCs/>
                <w:noProof/>
                <w:sz w:val="20"/>
              </w:rPr>
              <w:t>Фармацевтична стратегия за Европа</w:t>
            </w:r>
            <w:r>
              <w:rPr>
                <w:noProof/>
                <w:sz w:val="20"/>
              </w:rPr>
              <w:t xml:space="preserve"> (незаконодателна инициатива; четвърто тримесечие на 2020 г.)</w:t>
            </w:r>
          </w:p>
        </w:tc>
      </w:tr>
      <w:tr>
        <w:trPr>
          <w:cantSplit/>
        </w:trPr>
        <w:tc>
          <w:tcPr>
            <w:tcW w:w="14827" w:type="dxa"/>
            <w:gridSpan w:val="3"/>
            <w:tcBorders>
              <w:bottom w:val="single" w:sz="4" w:space="0" w:color="auto"/>
            </w:tcBorders>
            <w:shd w:val="clear" w:color="auto" w:fill="00ADDC" w:themeFill="accent5"/>
          </w:tcPr>
          <w:p>
            <w:pPr>
              <w:keepNext/>
              <w:spacing w:before="60" w:after="60"/>
              <w:rPr>
                <w:b/>
                <w:bCs/>
                <w:noProof/>
                <w:sz w:val="20"/>
              </w:rPr>
            </w:pPr>
            <w:r>
              <w:rPr>
                <w:b/>
                <w:bCs/>
                <w:noProof/>
                <w:color w:val="FFFFFF" w:themeColor="background1"/>
                <w:sz w:val="20"/>
              </w:rPr>
              <w:t>Нов тласък за европейската демокрация</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Програма за потребителите</w:t>
            </w:r>
          </w:p>
        </w:tc>
        <w:tc>
          <w:tcPr>
            <w:tcW w:w="10064" w:type="dxa"/>
            <w:tcBorders>
              <w:bottom w:val="single" w:sz="4" w:space="0" w:color="auto"/>
            </w:tcBorders>
            <w:tcMar>
              <w:top w:w="85" w:type="dxa"/>
              <w:bottom w:w="85" w:type="dxa"/>
            </w:tcMar>
          </w:tcPr>
          <w:p>
            <w:pPr>
              <w:spacing w:after="0"/>
              <w:rPr>
                <w:noProof/>
                <w:sz w:val="20"/>
              </w:rPr>
            </w:pPr>
            <w:r>
              <w:rPr>
                <w:b/>
                <w:noProof/>
                <w:sz w:val="20"/>
              </w:rPr>
              <w:t>Нова програма за потребителите</w:t>
            </w:r>
            <w:r>
              <w:rPr>
                <w:noProof/>
                <w:sz w:val="20"/>
              </w:rPr>
              <w:t xml:space="preserve"> (незаконодателна инициатива; четвърто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noProof/>
                <w:sz w:val="20"/>
              </w:rPr>
            </w:pPr>
            <w:r>
              <w:rPr>
                <w:b/>
                <w:bCs/>
                <w:noProof/>
                <w:sz w:val="20"/>
              </w:rPr>
              <w:t>Мерки във връзка с въздействието на демографските промени</w:t>
            </w:r>
          </w:p>
        </w:tc>
        <w:tc>
          <w:tcPr>
            <w:tcW w:w="10064" w:type="dxa"/>
            <w:tcMar>
              <w:top w:w="85" w:type="dxa"/>
              <w:bottom w:w="85" w:type="dxa"/>
            </w:tcMar>
          </w:tcPr>
          <w:p>
            <w:pPr>
              <w:spacing w:after="0"/>
              <w:jc w:val="left"/>
              <w:rPr>
                <w:b/>
                <w:bCs/>
                <w:noProof/>
                <w:sz w:val="20"/>
              </w:rPr>
            </w:pPr>
            <w:r>
              <w:rPr>
                <w:b/>
                <w:noProof/>
                <w:sz w:val="20"/>
              </w:rPr>
              <w:t xml:space="preserve">Доклад за въздействието на демографските промени </w:t>
            </w:r>
            <w:r>
              <w:rPr>
                <w:noProof/>
                <w:sz w:val="20"/>
              </w:rPr>
              <w:t>(незаконодателна инициатива; първо тримесечие на 2020 г.);</w:t>
            </w:r>
            <w:r>
              <w:rPr>
                <w:b/>
                <w:bCs/>
                <w:noProof/>
                <w:sz w:val="20"/>
              </w:rPr>
              <w:br/>
              <w:t>Зелена книга относно застаряването</w:t>
            </w:r>
            <w:r>
              <w:rPr>
                <w:noProof/>
                <w:sz w:val="20"/>
              </w:rPr>
              <w:t xml:space="preserve"> (незаконодателна инициатива; четвърто тримесечие на 2020 г.) </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jc w:val="left"/>
              <w:rPr>
                <w:noProof/>
                <w:sz w:val="20"/>
              </w:rPr>
            </w:pPr>
            <w:r>
              <w:rPr>
                <w:b/>
                <w:bCs/>
                <w:noProof/>
                <w:sz w:val="20"/>
              </w:rPr>
              <w:t>Инициативи в областта на равенството и недискриминацията</w:t>
            </w:r>
          </w:p>
        </w:tc>
        <w:tc>
          <w:tcPr>
            <w:tcW w:w="10064" w:type="dxa"/>
            <w:tcMar>
              <w:top w:w="85" w:type="dxa"/>
              <w:bottom w:w="85" w:type="dxa"/>
            </w:tcMar>
          </w:tcPr>
          <w:p>
            <w:pPr>
              <w:spacing w:after="0"/>
              <w:jc w:val="left"/>
              <w:rPr>
                <w:noProof/>
                <w:sz w:val="20"/>
              </w:rPr>
            </w:pPr>
            <w:r>
              <w:rPr>
                <w:b/>
                <w:bCs/>
                <w:noProof/>
                <w:sz w:val="20"/>
              </w:rPr>
              <w:t>Европейска стратегия за равенство между половете</w:t>
            </w:r>
            <w:r>
              <w:rPr>
                <w:noProof/>
                <w:sz w:val="20"/>
              </w:rPr>
              <w:t xml:space="preserve"> (незаконодателна инициатива; първо тримесечие на 2020 г.), </w:t>
            </w:r>
            <w:r>
              <w:rPr>
                <w:b/>
                <w:bCs/>
                <w:noProof/>
                <w:sz w:val="20"/>
              </w:rPr>
              <w:t>последвана от задължителни мерки за прозрачност при заплащането</w:t>
            </w:r>
            <w:r>
              <w:rPr>
                <w:noProof/>
                <w:sz w:val="20"/>
              </w:rPr>
              <w:t xml:space="preserve"> (законодателна инициатива, вкл. оценка на въздействието, член 157 от ДФЕС; четвърто тримесечие на 2020 г.);</w:t>
            </w:r>
            <w:r>
              <w:rPr>
                <w:noProof/>
                <w:sz w:val="20"/>
              </w:rPr>
              <w:br/>
            </w:r>
            <w:r>
              <w:rPr>
                <w:b/>
                <w:bCs/>
                <w:noProof/>
                <w:sz w:val="20"/>
              </w:rPr>
              <w:t>Стратегия за равенството на лесбийките, гейовете, бисексуалните, трансполовите и интерсексуалните лица</w:t>
            </w:r>
            <w:r>
              <w:rPr>
                <w:noProof/>
                <w:sz w:val="20"/>
              </w:rPr>
              <w:t xml:space="preserve"> (незаконодателна инициатива; четвърто тримесечие на 2020 г.);</w:t>
            </w:r>
            <w:r>
              <w:rPr>
                <w:noProof/>
                <w:sz w:val="20"/>
              </w:rPr>
              <w:br/>
            </w:r>
            <w:r>
              <w:rPr>
                <w:b/>
                <w:bCs/>
                <w:noProof/>
                <w:sz w:val="20"/>
              </w:rPr>
              <w:t>Рамка на ЕС за периода след 2020 г. за стратегиите за равенство и приобщаване на ромите</w:t>
            </w:r>
            <w:r>
              <w:rPr>
                <w:noProof/>
                <w:sz w:val="20"/>
              </w:rPr>
              <w:t xml:space="preserve"> (незаконодателна инициатива;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pPr>
              <w:spacing w:after="0"/>
              <w:rPr>
                <w:b/>
                <w:bCs/>
                <w:noProof/>
                <w:sz w:val="20"/>
              </w:rPr>
            </w:pPr>
            <w:r>
              <w:rPr>
                <w:b/>
                <w:bCs/>
                <w:noProof/>
                <w:sz w:val="20"/>
              </w:rPr>
              <w:t>Демокрация</w:t>
            </w:r>
          </w:p>
        </w:tc>
        <w:tc>
          <w:tcPr>
            <w:tcW w:w="10064" w:type="dxa"/>
            <w:tcBorders>
              <w:left w:val="single" w:sz="4" w:space="0" w:color="auto"/>
              <w:bottom w:val="single" w:sz="4" w:space="0" w:color="auto"/>
              <w:right w:val="single" w:sz="4" w:space="0" w:color="auto"/>
            </w:tcBorders>
            <w:tcMar>
              <w:top w:w="85" w:type="dxa"/>
              <w:bottom w:w="85" w:type="dxa"/>
            </w:tcMar>
          </w:tcPr>
          <w:p>
            <w:pPr>
              <w:spacing w:after="0"/>
              <w:rPr>
                <w:noProof/>
                <w:sz w:val="20"/>
              </w:rPr>
            </w:pPr>
            <w:r>
              <w:rPr>
                <w:b/>
                <w:bCs/>
                <w:noProof/>
                <w:sz w:val="20"/>
              </w:rPr>
              <w:t>План за действие за европейската демокрация</w:t>
            </w:r>
            <w:r>
              <w:rPr>
                <w:noProof/>
                <w:sz w:val="20"/>
              </w:rPr>
              <w:t xml:space="preserve"> (незаконодателна и законодателна инициативи, вкл. оценка на въздействието, членове 224 и 114 от ДФЕС; четвърто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Бъдещето на Европа</w:t>
            </w:r>
          </w:p>
        </w:tc>
        <w:tc>
          <w:tcPr>
            <w:tcW w:w="10064" w:type="dxa"/>
            <w:tcBorders>
              <w:bottom w:val="single" w:sz="4" w:space="0" w:color="auto"/>
            </w:tcBorders>
            <w:tcMar>
              <w:top w:w="85" w:type="dxa"/>
              <w:bottom w:w="85" w:type="dxa"/>
            </w:tcMar>
          </w:tcPr>
          <w:p>
            <w:pPr>
              <w:spacing w:after="0"/>
              <w:rPr>
                <w:noProof/>
                <w:sz w:val="20"/>
              </w:rPr>
            </w:pPr>
            <w:r>
              <w:rPr>
                <w:b/>
                <w:noProof/>
                <w:sz w:val="20"/>
              </w:rPr>
              <w:t>Подготовка на Конференцията за бъдещето на Европа</w:t>
            </w:r>
            <w:r>
              <w:rPr>
                <w:noProof/>
                <w:sz w:val="20"/>
              </w:rPr>
              <w:t xml:space="preserve"> (незаконодателна инициатива; първо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Върховенство на закона</w:t>
            </w:r>
          </w:p>
        </w:tc>
        <w:tc>
          <w:tcPr>
            <w:tcW w:w="10064" w:type="dxa"/>
            <w:tcBorders>
              <w:bottom w:val="single" w:sz="4" w:space="0" w:color="auto"/>
            </w:tcBorders>
            <w:tcMar>
              <w:top w:w="85" w:type="dxa"/>
              <w:bottom w:w="85" w:type="dxa"/>
            </w:tcMar>
          </w:tcPr>
          <w:p>
            <w:pPr>
              <w:spacing w:after="0"/>
              <w:rPr>
                <w:noProof/>
                <w:sz w:val="20"/>
              </w:rPr>
            </w:pPr>
            <w:r>
              <w:rPr>
                <w:b/>
                <w:bCs/>
                <w:noProof/>
                <w:sz w:val="20"/>
              </w:rPr>
              <w:t xml:space="preserve">Годишен доклад за 2020 г. относно върховенството на закона </w:t>
            </w:r>
            <w:r>
              <w:rPr>
                <w:noProof/>
                <w:sz w:val="20"/>
              </w:rPr>
              <w:t>(незаконодателна инициатива; трето тримесечие на 2020 г.)</w:t>
            </w:r>
          </w:p>
        </w:tc>
      </w:tr>
      <w:tr>
        <w:trPr>
          <w:cantSplit/>
        </w:trPr>
        <w:tc>
          <w:tcPr>
            <w:tcW w:w="511" w:type="dxa"/>
            <w:tcBorders>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pPr>
              <w:spacing w:after="0"/>
              <w:rPr>
                <w:b/>
                <w:bCs/>
                <w:noProof/>
                <w:color w:val="000000"/>
                <w:sz w:val="20"/>
              </w:rPr>
            </w:pPr>
            <w:r>
              <w:rPr>
                <w:b/>
                <w:bCs/>
                <w:noProof/>
                <w:sz w:val="20"/>
              </w:rPr>
              <w:t>Основни права</w:t>
            </w:r>
          </w:p>
        </w:tc>
        <w:tc>
          <w:tcPr>
            <w:tcW w:w="10064" w:type="dxa"/>
            <w:tcMar>
              <w:top w:w="85" w:type="dxa"/>
              <w:bottom w:w="85" w:type="dxa"/>
            </w:tcMar>
          </w:tcPr>
          <w:p>
            <w:pPr>
              <w:spacing w:after="0"/>
              <w:jc w:val="left"/>
              <w:rPr>
                <w:noProof/>
                <w:sz w:val="20"/>
              </w:rPr>
            </w:pPr>
            <w:r>
              <w:rPr>
                <w:b/>
                <w:bCs/>
                <w:noProof/>
                <w:sz w:val="20"/>
              </w:rPr>
              <w:t>Нова стратегия за прилагането на Хартата на основните права</w:t>
            </w:r>
            <w:r>
              <w:rPr>
                <w:noProof/>
                <w:sz w:val="20"/>
              </w:rPr>
              <w:t xml:space="preserve"> (незаконодателна инициатива; четвърто тримесечие на 2020 г.);</w:t>
            </w:r>
            <w:r>
              <w:rPr>
                <w:noProof/>
                <w:sz w:val="20"/>
              </w:rPr>
              <w:br/>
            </w:r>
            <w:r>
              <w:rPr>
                <w:b/>
                <w:bCs/>
                <w:noProof/>
                <w:sz w:val="20"/>
              </w:rPr>
              <w:t xml:space="preserve">Стратегия на ЕС за правата на жертвите </w:t>
            </w:r>
            <w:r>
              <w:rPr>
                <w:noProof/>
                <w:sz w:val="20"/>
              </w:rPr>
              <w:t xml:space="preserve">(незаконодателна инициатива; второ тримесечие на 2020 г.); </w:t>
            </w:r>
          </w:p>
          <w:p>
            <w:pPr>
              <w:spacing w:after="0"/>
              <w:jc w:val="left"/>
              <w:rPr>
                <w:noProof/>
                <w:sz w:val="20"/>
              </w:rPr>
            </w:pPr>
            <w:r>
              <w:rPr>
                <w:b/>
                <w:bCs/>
                <w:noProof/>
                <w:sz w:val="20"/>
              </w:rPr>
              <w:t>Доклад за прилагането на Общия регламент относно защитата на данните (ОРЗД)</w:t>
            </w:r>
            <w:r>
              <w:rPr>
                <w:noProof/>
                <w:sz w:val="20"/>
              </w:rPr>
              <w:t xml:space="preserve"> (незаконодателна инициатива; второ тримесечие на 2020 г.);</w:t>
            </w:r>
            <w:r>
              <w:rPr>
                <w:noProof/>
                <w:sz w:val="20"/>
              </w:rPr>
              <w:br/>
            </w:r>
            <w:r>
              <w:rPr>
                <w:b/>
                <w:bCs/>
                <w:noProof/>
                <w:sz w:val="20"/>
              </w:rPr>
              <w:t>Привеждане в съответствие на релевантните разпоредби на Съюза в областта на правоприлагането от гледна точка на защитата на данните</w:t>
            </w:r>
            <w:r>
              <w:rPr>
                <w:noProof/>
                <w:sz w:val="20"/>
              </w:rPr>
              <w:t xml:space="preserve"> (незаконодателна инициатива; второ тримесечие на 2020 г.)</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pPr>
              <w:spacing w:after="0"/>
              <w:rPr>
                <w:noProof/>
                <w:sz w:val="20"/>
              </w:rPr>
            </w:pPr>
            <w:r>
              <w:rPr>
                <w:b/>
                <w:bCs/>
                <w:noProof/>
                <w:sz w:val="20"/>
              </w:rPr>
              <w:t>По-добро законотворчество</w:t>
            </w:r>
          </w:p>
        </w:tc>
        <w:tc>
          <w:tcPr>
            <w:tcW w:w="10064" w:type="dxa"/>
            <w:tcBorders>
              <w:bottom w:val="single" w:sz="4" w:space="0" w:color="auto"/>
            </w:tcBorders>
            <w:tcMar>
              <w:top w:w="85" w:type="dxa"/>
              <w:bottom w:w="85" w:type="dxa"/>
            </w:tcMar>
          </w:tcPr>
          <w:p>
            <w:pPr>
              <w:spacing w:after="0"/>
              <w:rPr>
                <w:noProof/>
                <w:sz w:val="20"/>
              </w:rPr>
            </w:pPr>
            <w:r>
              <w:rPr>
                <w:b/>
                <w:noProof/>
                <w:sz w:val="20"/>
              </w:rPr>
              <w:t>Съобщение относно по-доброто законотворчество</w:t>
            </w:r>
            <w:r>
              <w:rPr>
                <w:noProof/>
                <w:sz w:val="20"/>
              </w:rPr>
              <w:t xml:space="preserve"> (незаконодателна инициатива; второ тримесечие на 2020 г.) </w:t>
            </w:r>
          </w:p>
        </w:tc>
      </w:tr>
      <w:tr>
        <w:trPr>
          <w:cantSplit/>
        </w:trPr>
        <w:tc>
          <w:tcPr>
            <w:tcW w:w="511" w:type="dxa"/>
            <w:tcBorders>
              <w:bottom w:val="single" w:sz="4" w:space="0" w:color="auto"/>
              <w:right w:val="single" w:sz="4" w:space="0" w:color="auto"/>
            </w:tcBorders>
          </w:tcPr>
          <w:p>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vAlign w:val="center"/>
          </w:tcPr>
          <w:p>
            <w:pPr>
              <w:spacing w:after="0"/>
              <w:rPr>
                <w:noProof/>
                <w:sz w:val="20"/>
              </w:rPr>
            </w:pPr>
            <w:r>
              <w:rPr>
                <w:b/>
                <w:bCs/>
                <w:noProof/>
                <w:sz w:val="20"/>
              </w:rPr>
              <w:t>Перспективи</w:t>
            </w:r>
          </w:p>
        </w:tc>
        <w:tc>
          <w:tcPr>
            <w:tcW w:w="10064" w:type="dxa"/>
            <w:tcMar>
              <w:top w:w="85" w:type="dxa"/>
              <w:bottom w:w="85" w:type="dxa"/>
            </w:tcMar>
            <w:vAlign w:val="center"/>
          </w:tcPr>
          <w:p>
            <w:pPr>
              <w:spacing w:after="0"/>
              <w:rPr>
                <w:noProof/>
                <w:sz w:val="20"/>
              </w:rPr>
            </w:pPr>
            <w:r>
              <w:rPr>
                <w:b/>
                <w:noProof/>
                <w:sz w:val="20"/>
              </w:rPr>
              <w:t>Годишен доклад за перспективите, 2020 г.</w:t>
            </w:r>
            <w:r>
              <w:rPr>
                <w:noProof/>
                <w:sz w:val="20"/>
              </w:rPr>
              <w:t xml:space="preserve"> (незаконодателна инициатива; второ тримесечие на 2020 г.)</w:t>
            </w:r>
          </w:p>
        </w:tc>
      </w:tr>
    </w:tbl>
    <w:p>
      <w:pPr>
        <w:spacing w:after="0"/>
        <w:rPr>
          <w:noProof/>
          <w:sz w:val="20"/>
        </w:rPr>
      </w:pPr>
    </w:p>
    <w:p>
      <w:pPr>
        <w:spacing w:after="0"/>
        <w:jc w:val="left"/>
        <w:rPr>
          <w:noProof/>
          <w:sz w:val="20"/>
        </w:rPr>
      </w:pPr>
      <w:r>
        <w:rPr>
          <w:noProof/>
        </w:rPr>
        <w:br w:type="page"/>
      </w:r>
    </w:p>
    <w:p>
      <w:pPr>
        <w:keepNext/>
        <w:tabs>
          <w:tab w:val="left" w:pos="651"/>
          <w:tab w:val="left" w:pos="2054"/>
          <w:tab w:val="left" w:pos="4893"/>
        </w:tabs>
        <w:spacing w:after="600" w:line="276" w:lineRule="auto"/>
        <w:jc w:val="center"/>
        <w:rPr>
          <w:b/>
          <w:noProof/>
          <w:sz w:val="28"/>
          <w:szCs w:val="28"/>
          <w:u w:val="single"/>
        </w:rPr>
      </w:pPr>
      <w:r>
        <w:rPr>
          <w:b/>
          <w:bCs/>
          <w:noProof/>
          <w:sz w:val="28"/>
          <w:szCs w:val="28"/>
          <w:u w:val="single"/>
        </w:rPr>
        <w:t>Приложение II: Инициативи по REFIT</w:t>
      </w:r>
      <w:r>
        <w:rPr>
          <w:rStyle w:val="FootnoteReference"/>
          <w:b/>
          <w:bCs/>
          <w:noProof/>
          <w:sz w:val="28"/>
          <w:szCs w:val="28"/>
          <w:u w:val="singl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47"/>
        <w:gridCol w:w="4400"/>
        <w:gridCol w:w="9780"/>
      </w:tblGrid>
      <w:tr>
        <w:trPr>
          <w:cantSplit/>
          <w:tblHeader/>
        </w:trPr>
        <w:tc>
          <w:tcPr>
            <w:tcW w:w="647"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bCs/>
                <w:noProof/>
                <w:sz w:val="20"/>
              </w:rPr>
              <w:t>№</w:t>
            </w:r>
          </w:p>
        </w:tc>
        <w:tc>
          <w:tcPr>
            <w:tcW w:w="440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noProof/>
                <w:sz w:val="20"/>
              </w:rPr>
              <w:t>Заглавие</w:t>
            </w:r>
          </w:p>
        </w:tc>
        <w:tc>
          <w:tcPr>
            <w:tcW w:w="9780" w:type="dxa"/>
            <w:tcBorders>
              <w:bottom w:val="single" w:sz="4" w:space="0" w:color="auto"/>
            </w:tcBorders>
            <w:shd w:val="clear" w:color="auto" w:fill="99CCFF"/>
            <w:vAlign w:val="center"/>
          </w:tcPr>
          <w:p>
            <w:pPr>
              <w:keepNext/>
              <w:spacing w:after="0" w:line="276" w:lineRule="auto"/>
              <w:jc w:val="center"/>
              <w:rPr>
                <w:rFonts w:eastAsiaTheme="minorHAnsi" w:cstheme="minorBidi"/>
                <w:b/>
                <w:noProof/>
                <w:sz w:val="20"/>
              </w:rPr>
            </w:pPr>
            <w:r>
              <w:rPr>
                <w:b/>
                <w:noProof/>
                <w:sz w:val="20"/>
              </w:rPr>
              <w:t>Цел на опростяването/потенциал за опростяване</w:t>
            </w:r>
            <w:r>
              <w:rPr>
                <w:noProof/>
                <w:sz w:val="20"/>
              </w:rPr>
              <w:t xml:space="preserve"> (кратко обяснение на целта на REFIT, към която са насочени преразглежданията, и на потенциала за опростяване при оценките и проверките за пригодност)</w:t>
            </w:r>
          </w:p>
        </w:tc>
      </w:tr>
      <w:tr>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pPr>
              <w:keepNext/>
              <w:spacing w:before="60" w:after="60"/>
              <w:rPr>
                <w:b/>
                <w:bCs/>
                <w:noProof/>
                <w:sz w:val="20"/>
              </w:rPr>
            </w:pPr>
            <w:r>
              <w:rPr>
                <w:b/>
                <w:bCs/>
                <w:noProof/>
                <w:color w:val="FFFFFF" w:themeColor="background1"/>
                <w:sz w:val="20"/>
              </w:rPr>
              <w:t>Европейски зелен пакт</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Оценка на пазарните стандарти (съдържащи се в Регламента за единната обща организация на пазарите (ООП), в т. нар. „Директиви за закуските“ и във вторичното законодателство за ООП)</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Оценката на пазарните стандарти ще спомогне за оценяването на съгласуваността между различните законодателни актове и за определянето на потенциала за опростяване. Резултатите от оценката могат да послужат като основа за обмисляне на необходимостта от регулаторни промени във връзка с пазарните стандарти.</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Оценка на географските указания и храните с традиционно специфичен характер, защитени в ЕС</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Оценката на географските указания и храните с традиционно специфичен характер ще помогне за оценяването на съгласуваността между различните актове от нормативната уредба на схемите за качество на ЕС и ще даде възможност да се разгледа необходимостта от подобряване на тази уредба (модернизиране, опростяване и рационализиране). Резултатите от оценката могат да послужат като основа за обмисляне на необходимостта от регулаторни промени във връзка със схемите за качество на ЕС.</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 xml:space="preserve">Преразглеждане на Насоките относно определени мерки за държавна помощ в контекста на схемата за търговия с квоти за емисии на парников газ след 2020 година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Държавите членки могат да компенсират някои потребители с интензивно електропотребление за част от по-високите разходи за електроенергия, произтичащи от схемата на ЕС за търговия с емисии. Целта на тази компенсация е да се сведе до минимум рискът от изместване на въглеродни емисии, който възниква, когато разходите във връзка с емисиите станат причина за преместване от ЕС в трети държави, в които няма подобни ограничения. Действащите правила, даващи възможност за компенсация, ще бъдат преразгледани, за да се гарантира, че са адаптирани към новата схема за търговия с емисии за периода 2021—2030 г. (незаконодателна инициатива, вкл. оценка на въздействието; четвърто тримесечие на 2020 г.)</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 xml:space="preserve">Преразглеждане на Регламента за трансевропейските енергийни мрежи (TEN-E)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i/>
                <w:iCs/>
                <w:noProof/>
                <w:sz w:val="20"/>
              </w:rPr>
            </w:pPr>
            <w:r>
              <w:rPr>
                <w:noProof/>
                <w:sz w:val="20"/>
              </w:rPr>
              <w:t>Тази инициатива ще гарантира, че Регламентът за TEN-E е в пълно съответствие с Европейския зелен пакт и с дългосрочните цели на Съюза за декарбонизация, като същевременно допринася за интеграцията, сигурността на доставките и конкуренцията на този сектор и пазар. (законодателна инициатива, вкл. оценка на въздействието, членове 170—171 от ДФЕС; четвърто тримесечие на 2020 г.)</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Оценка на Директива 2011/65/ЕС относно ограничението за употребата на определени опасни вещества в електрическото и електронното оборудване (ООВ)</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При оценката на Директивата относно ООВ ще бъдат разгледани нейната ефективност и ефикасност що се отнася до процедурата за приемане на ограничения за веществата и освобождаването от ограниченията. Наред с това ще бъдат оценени нейната съгласуваност и целесъобразност спрямо други законодателни актове на ЕС, по-специално в контекста на оценките на REACH и на Директивата за екодизайна.</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 xml:space="preserve">Оценка на Директива 2000/53/ЕС относно излезлите от употреба превозни средства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При оценката на Директивата относно излезлите от употреба превозни средства ще бъдат оценени нейната ефективност, ефикасност, съгласуваност с други законодателни актове и целесъобразност с оглед на по-широките цели на политиката във връзка с кръговата икономика, пластмасите, ефективността на ресурсите, суровините и т.н.</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Оценка на Директива 2010/75/ЕС относно емисиите от промишлеността</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При оценката на Директивата относно емисиите от промишлеността ще бъдат оценени нейната ефективност, ефикасност, добавена стойност от ЕС, съгласуваност с други законодателни актове и целесъобразността ѝ във връзка с третирането на важни (селскостопански) промишлени източници на замърсяване на въздуха, водите и почвата.</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Проверка за пригодност на правилата на ЕС за борба с незаконния дърводобив (Регламент (ЕС) № 995/2010 относно дървения материал и Регламент (ЕО) № 2173/2005 за схемата на разрешителни FLEGT)</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При проверката за пригодност ще бъдат оценени ефективността, ефикасността, съгласуваността, целесъобразността и добавената стойност от ЕС на двата регламента при приноса към борбата с незаконния дърводобив в световен мащаб. Поуките от проверката за пригодност ще бъдат от полза при оценяване на мерките, насочени спрямо търсенето, отнасящи се до други суровини.</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 xml:space="preserve">Преразглеждане на Директивата на ЕС относно батериите </w:t>
            </w:r>
          </w:p>
        </w:tc>
        <w:tc>
          <w:tcPr>
            <w:tcW w:w="9780" w:type="dxa"/>
            <w:tcBorders>
              <w:top w:val="single" w:sz="4" w:space="0" w:color="auto"/>
              <w:left w:val="single" w:sz="4" w:space="0" w:color="auto"/>
              <w:bottom w:val="single" w:sz="4" w:space="0" w:color="auto"/>
            </w:tcBorders>
            <w:vAlign w:val="center"/>
          </w:tcPr>
          <w:p>
            <w:pPr>
              <w:keepNext/>
              <w:spacing w:after="0"/>
              <w:rPr>
                <w:rFonts w:eastAsiaTheme="minorEastAsia" w:cstheme="minorBidi"/>
                <w:noProof/>
                <w:sz w:val="20"/>
              </w:rPr>
            </w:pPr>
            <w:r>
              <w:rPr>
                <w:noProof/>
                <w:sz w:val="20"/>
              </w:rPr>
              <w:t>Както беше заключено в докладите за оценка и прилагане на Директивата относно батериите, при преразглеждането следва да се цели по-добро отчитане на кръговостта, повишаване на устойчивостта и следване на темповете на технологичното развитие. Това е предвидено и в Стратегическия план за действие в сектора на батериите. Вследствие на заключенията от докладите във връзка с Директивата, инициативата ще измени Директивата или ще бъде изготвено предложение за нов регламент за отмяна на Директивата, по-специално за да бъдат обхванати изискванията относно края на жизнения цикъл и устойчивостта. (законодателна инициатива, вкл. оценка на въздействието; четвърто тримесечие на 2020 г.)</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rPr>
                <w:rFonts w:eastAsiaTheme="minorEastAsia" w:cstheme="minorBidi"/>
                <w:b/>
                <w:bCs/>
                <w:noProof/>
                <w:sz w:val="20"/>
              </w:rPr>
            </w:pPr>
            <w:r>
              <w:rPr>
                <w:b/>
                <w:bCs/>
                <w:noProof/>
                <w:sz w:val="20"/>
              </w:rPr>
              <w:t>Проверка за пригодност на съответното законодателство на ЕС относно ендокринните нарушители</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Ендокринните нарушители са вещества, които променят функционирането на ендокринната (хормоналната) система и оказват отрицателно въздействие върху здравето на човека или животните. Тези вещества са регулирани чрез редица мерки на ЕС. Проверката за пригодност ще оцени дали тези мерки постигат общата цел за защита на човешкото здраве и околната среда. При нея ще бъде направена оценка на съгласуваността, ефективността, ефикасността, целесъобразността и европейската добавена стойност на законодателството на ЕС, като се наблегне на съгласуваността между достиженията на правото на ЕС в областта на химичните вещества.</w:t>
            </w:r>
          </w:p>
        </w:tc>
      </w:tr>
      <w:tr>
        <w:trPr>
          <w:cantSplit/>
        </w:trPr>
        <w:tc>
          <w:tcPr>
            <w:tcW w:w="647" w:type="dxa"/>
            <w:tcBorders>
              <w:bottom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bottom w:val="single" w:sz="4" w:space="0" w:color="auto"/>
            </w:tcBorders>
          </w:tcPr>
          <w:p>
            <w:pPr>
              <w:keepNext/>
              <w:spacing w:after="0"/>
              <w:rPr>
                <w:rFonts w:eastAsiaTheme="minorEastAsia" w:cstheme="minorBidi"/>
                <w:b/>
                <w:bCs/>
                <w:noProof/>
                <w:sz w:val="20"/>
              </w:rPr>
            </w:pPr>
            <w:r>
              <w:rPr>
                <w:b/>
                <w:bCs/>
                <w:noProof/>
                <w:sz w:val="20"/>
              </w:rPr>
              <w:t>Преразглеждане на Регламента относно пазарните стандарти, приложим за продуктите от риболов и аквакултури в ЕС</w:t>
            </w:r>
          </w:p>
        </w:tc>
        <w:tc>
          <w:tcPr>
            <w:tcW w:w="9780" w:type="dxa"/>
            <w:tcBorders>
              <w:bottom w:val="single" w:sz="4" w:space="0" w:color="auto"/>
            </w:tcBorders>
          </w:tcPr>
          <w:p>
            <w:pPr>
              <w:keepNext/>
              <w:spacing w:after="0"/>
              <w:rPr>
                <w:rFonts w:eastAsiaTheme="minorEastAsia" w:cstheme="minorBidi"/>
                <w:noProof/>
                <w:sz w:val="20"/>
              </w:rPr>
            </w:pPr>
            <w:r>
              <w:rPr>
                <w:noProof/>
                <w:sz w:val="20"/>
              </w:rPr>
              <w:t>Това преразглеждане ще опрости правната уредба: един регламент (на ЕС) ще замени три регламента, които понастоящем обхващат и продуктите от аквакултури, прозрачността и информацията за потребителите. (законодателна инициатива, вкл. оценка на въздействието, член 43 от ДФЕС, Обща политика в областта на рибарството; четвърто тримесечие на 2020 г.)</w:t>
            </w:r>
          </w:p>
        </w:tc>
      </w:tr>
      <w:tr>
        <w:trPr>
          <w:cantSplit/>
        </w:trPr>
        <w:tc>
          <w:tcPr>
            <w:tcW w:w="647" w:type="dxa"/>
            <w:tcBorders>
              <w:bottom w:val="single" w:sz="4" w:space="0" w:color="auto"/>
            </w:tcBorders>
            <w:shd w:val="clear" w:color="auto" w:fill="auto"/>
          </w:tcPr>
          <w:p>
            <w:pPr>
              <w:keepNext/>
              <w:numPr>
                <w:ilvl w:val="0"/>
                <w:numId w:val="23"/>
              </w:numPr>
              <w:spacing w:after="0" w:line="276" w:lineRule="auto"/>
              <w:jc w:val="left"/>
              <w:rPr>
                <w:rFonts w:eastAsiaTheme="minorHAnsi" w:cstheme="minorBidi"/>
                <w:noProof/>
                <w:color w:val="000000"/>
                <w:sz w:val="20"/>
              </w:rPr>
            </w:pPr>
          </w:p>
        </w:tc>
        <w:tc>
          <w:tcPr>
            <w:tcW w:w="4400" w:type="dxa"/>
            <w:tcBorders>
              <w:bottom w:val="single" w:sz="4" w:space="0" w:color="auto"/>
            </w:tcBorders>
          </w:tcPr>
          <w:p>
            <w:pPr>
              <w:keepNext/>
              <w:spacing w:after="0"/>
              <w:jc w:val="left"/>
              <w:rPr>
                <w:rFonts w:eastAsiaTheme="minorEastAsia" w:cstheme="minorBidi"/>
                <w:b/>
                <w:bCs/>
                <w:noProof/>
                <w:sz w:val="20"/>
              </w:rPr>
            </w:pPr>
            <w:r>
              <w:rPr>
                <w:b/>
                <w:bCs/>
                <w:noProof/>
                <w:sz w:val="20"/>
              </w:rPr>
              <w:t>Оценка на Регламент 913/2010 относно европейска железопътна мрежа за конкурентоспособен товарен превоз</w:t>
            </w:r>
            <w:r>
              <w:rPr>
                <w:b/>
                <w:noProof/>
                <w:sz w:val="20"/>
              </w:rPr>
              <w:br/>
            </w:r>
            <w:r>
              <w:rPr>
                <w:b/>
                <w:bCs/>
                <w:noProof/>
                <w:sz w:val="20"/>
              </w:rPr>
              <w:t>(Регламент относно коридорите за железопътен товарен превоз)</w:t>
            </w:r>
          </w:p>
        </w:tc>
        <w:tc>
          <w:tcPr>
            <w:tcW w:w="9780" w:type="dxa"/>
            <w:tcBorders>
              <w:bottom w:val="single" w:sz="4" w:space="0" w:color="auto"/>
            </w:tcBorders>
          </w:tcPr>
          <w:p>
            <w:pPr>
              <w:keepNext/>
              <w:spacing w:after="0"/>
              <w:jc w:val="left"/>
              <w:rPr>
                <w:rFonts w:eastAsiaTheme="minorEastAsia" w:cstheme="minorBidi"/>
                <w:noProof/>
                <w:sz w:val="20"/>
              </w:rPr>
            </w:pPr>
            <w:r>
              <w:rPr>
                <w:noProof/>
                <w:sz w:val="20"/>
              </w:rPr>
              <w:t>Увеличаването на превозите на товари с железопътен транспорт е ключов елемент от политиката на ЕС за намаляване на емисиите на CO</w:t>
            </w:r>
            <w:r>
              <w:rPr>
                <w:noProof/>
                <w:sz w:val="20"/>
                <w:vertAlign w:val="subscript"/>
              </w:rPr>
              <w:t>2</w:t>
            </w:r>
            <w:r>
              <w:rPr>
                <w:noProof/>
                <w:sz w:val="20"/>
              </w:rPr>
              <w:t xml:space="preserve"> от транспорта, но среща трудности. Регламентът относно коридорите за железопътен товарен превоз има за цел да подобри сътрудничеството и координацията по протежение на редица коридори, които имат особен потенциал за развиване на международните железопътни товарни превози.</w:t>
            </w:r>
            <w:r>
              <w:rPr>
                <w:noProof/>
                <w:sz w:val="20"/>
              </w:rPr>
              <w:br/>
              <w:t>Регламент (ЕС) № 913/2010 относно европейска железопътна мрежа за конкурентоспособен товарен превоз влезе в сила през 2010 г., като бяха създадени девет коридора за железопътен товарен превоз, а впоследствие бяха добавени още два. Целта на тази оценка е да се направи пълен преглед на прилагането на Регламента, както и оценка на последиците от него. Ще бъде полезно да се определи какви допълнителни действия на равнище ЕС са необходими за насърчаване на железопътните товарни превози.</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 xml:space="preserve">Оценка на Директива 2009/128/ЕО относно устойчивата употреба на пестициди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При оценката ще бъдат разгледани наред с другото постигнатият чрез Директивата напредък за намаляване на зависимостта от пестицидите и за стимулиране на използването на нискорискови и нехимични алтернативи на пестицидите. Ще бъде разгледан и потенциалът за опростяване, например що се отнася до правилата за проверка на оборудването за прилагане на пестициди и новите правила за официален контрол.</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 xml:space="preserve">Оценка на Стратегията на ЕС за хуманно отношение към животните (2012—2015 г.) </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b/>
                <w:bCs/>
                <w:noProof/>
                <w:sz w:val="20"/>
              </w:rPr>
            </w:pPr>
            <w:r>
              <w:rPr>
                <w:noProof/>
                <w:sz w:val="20"/>
              </w:rPr>
              <w:t>При тази оценка ще се разгледа доколко Стратегията на ЕС за хуманно отношение към животните е допринесла за опростяване на правната уредба на ЕС за хуманно отношение към животните и какви са оставащите възможности за опростяване, като се вземе предвид развитието на потребностите в тази област.</w:t>
            </w:r>
          </w:p>
        </w:tc>
      </w:tr>
      <w:tr>
        <w:trPr>
          <w:cantSplit/>
          <w:trHeight w:val="2027"/>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Оценка на разрешаването на продукти за растителна защита и на максимално допустимите граници на остатъчни вещества от пестициди</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Тази оценка обхваща прилагането и функционирането на Регламент (ЕО) № 1107/2009 относно продуктите за растителна защита и Регламент (ЕО) № 396/2005 относно максимално допустимите граници на остатъчни вещества във всички държави членки от момента, в който тези регламенти са започнали да се прилагат, съответно през юни 2011 г. и септември 2008 г. В нея се предлагат възможни начини за подобряване на прилагането на регламентите, за да се опрости или укрепи настоящата регулаторна рамка, напр. за да се премахнат забавянията и да се увеличи прозрачността, да се подобри системата на зониране за целите на издаването и взаимното признаване на разрешенията, да се насърчават устойчивата растителна защита, решенията с нисък риск и ефикасно намаляване на риска, както и да се повишат съгласуваността и последователността между регламентите и останалото законодателство на ЕС.</w:t>
            </w:r>
          </w:p>
          <w:p>
            <w:pPr>
              <w:keepNext/>
              <w:spacing w:after="0"/>
              <w:rPr>
                <w:rFonts w:eastAsiaTheme="minorEastAsia" w:cstheme="minorBidi"/>
                <w:noProof/>
                <w:sz w:val="20"/>
              </w:rPr>
            </w:pPr>
            <w:r>
              <w:rPr>
                <w:noProof/>
                <w:sz w:val="20"/>
              </w:rPr>
              <w:t xml:space="preserve">В оценката се разглеждат и въпросите, повдигнати в </w:t>
            </w:r>
            <w:hyperlink r:id="rId22" w:history="1">
              <w:r>
                <w:rPr>
                  <w:noProof/>
                  <w:color w:val="0000FF" w:themeColor="hyperlink"/>
                  <w:sz w:val="20"/>
                  <w:u w:val="single"/>
                </w:rPr>
                <w:t>становище XI.10.a на платформата REFIT</w:t>
              </w:r>
            </w:hyperlink>
            <w:r>
              <w:rPr>
                <w:noProof/>
                <w:sz w:val="20"/>
              </w:rPr>
              <w:t xml:space="preserve"> относно многократното използване/наличието на няколко изходни вещества — хлорат, прието на 7.6.2017 г., и в </w:t>
            </w:r>
            <w:hyperlink r:id="rId23" w:history="1">
              <w:r>
                <w:rPr>
                  <w:noProof/>
                  <w:color w:val="0000FF" w:themeColor="hyperlink"/>
                  <w:sz w:val="20"/>
                  <w:u w:val="single"/>
                </w:rPr>
                <w:t>становище XI.22.a на платформата REFIT</w:t>
              </w:r>
            </w:hyperlink>
            <w:r>
              <w:rPr>
                <w:noProof/>
                <w:sz w:val="20"/>
              </w:rPr>
              <w:t xml:space="preserve"> относно регистрацията на продукти за растителна защита, прието на 14.3.2019 г.</w:t>
            </w:r>
          </w:p>
        </w:tc>
      </w:tr>
      <w:tr>
        <w:trPr>
          <w:cantSplit/>
          <w:trHeight w:val="1336"/>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Оценка на Регламент (ЕО) № 1924/2006 относно хранителни и здравни претенции за храните, що се отнася до профилите на хранителните съставки и здравните претенции за растенията и препаратите от тях, както и на общата регулаторна рамка за тяхното използване в храни</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 xml:space="preserve">В оценката се разглежда въпросът, повдигнат в </w:t>
            </w:r>
            <w:hyperlink r:id="rId24" w:history="1">
              <w:r>
                <w:rPr>
                  <w:noProof/>
                  <w:color w:val="0000FF" w:themeColor="hyperlink"/>
                  <w:sz w:val="20"/>
                  <w:u w:val="single"/>
                </w:rPr>
                <w:t>становище XI.11.a-b на платформата REFIT</w:t>
              </w:r>
            </w:hyperlink>
            <w:r>
              <w:rPr>
                <w:noProof/>
                <w:sz w:val="20"/>
              </w:rPr>
              <w:t xml:space="preserve">, относно установяването на профили на хранителните съставки. В нея бе направена оценка на въздействието на настоящата ситуация (липса на профили на хранителните съставки на равнище ЕС). Разгледан е въпросът дали профилите на хранителните съставки продължават да са пригодни за целта, дали са основателни и подходящи за гарантиране постигането на целите на Регламента за хранителните и здравните претенции. Очаква се също така резултатите от тази оценка да дадат отговор на въпросите, повдигнати от предприятията във връзка с Директивата относно традиционните растителни лекарствени продукти, включени в </w:t>
            </w:r>
            <w:hyperlink r:id="rId25" w:history="1">
              <w:r>
                <w:rPr>
                  <w:noProof/>
                  <w:color w:val="0000FF" w:themeColor="hyperlink"/>
                  <w:sz w:val="20"/>
                  <w:u w:val="single"/>
                </w:rPr>
                <w:t>становище XI.6.a-b на платформата REFIT</w:t>
              </w:r>
            </w:hyperlink>
            <w:r>
              <w:rPr>
                <w:noProof/>
                <w:sz w:val="20"/>
              </w:rPr>
              <w:t>.</w:t>
            </w:r>
          </w:p>
        </w:tc>
      </w:tr>
      <w:tr>
        <w:trPr>
          <w:cantSplit/>
          <w:trHeight w:val="1380"/>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Оценка на материалите, предназначени за контакт с храни</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 xml:space="preserve">Тази оценка разглежда подробно всички аспекти на действащото законодателство на ЕС в областта на материалите, предназначени за контакт с храни, включително ефективността на декларацията за съответствие, която се изисква понастоящем за определени мерки на равнище ЕС. Въз основа на тази оценка Комисията ще обмисли дали са необходими допълнителни мерки на равнище ЕС и ще бъдат разгледани различни въпроси, като например повдигнатия в </w:t>
            </w:r>
            <w:hyperlink r:id="rId26" w:history="1">
              <w:r>
                <w:rPr>
                  <w:noProof/>
                  <w:color w:val="0000FF" w:themeColor="hyperlink"/>
                  <w:sz w:val="20"/>
                  <w:u w:val="single"/>
                </w:rPr>
                <w:t>становище XI.1a на платформата REFIT</w:t>
              </w:r>
            </w:hyperlink>
            <w:r>
              <w:rPr>
                <w:noProof/>
                <w:sz w:val="20"/>
              </w:rPr>
              <w:t>, в което се препоръчва въвеждане на общо европейско изискване за декларация за съответствие за всички видове материали, предназначени за контакт с храни.</w:t>
            </w:r>
          </w:p>
        </w:tc>
      </w:tr>
      <w:tr>
        <w:trPr>
          <w:cantSplit/>
          <w:trHeight w:val="1380"/>
        </w:trPr>
        <w:tc>
          <w:tcPr>
            <w:tcW w:w="647" w:type="dxa"/>
            <w:tcBorders>
              <w:top w:val="single" w:sz="4" w:space="0" w:color="auto"/>
              <w:left w:val="single" w:sz="4" w:space="0" w:color="auto"/>
              <w:bottom w:val="single" w:sz="4" w:space="0" w:color="auto"/>
              <w:right w:val="single" w:sz="4" w:space="0" w:color="auto"/>
            </w:tcBorders>
            <w:shd w:val="clear" w:color="auto" w:fill="auto"/>
          </w:tcPr>
          <w:p>
            <w:pPr>
              <w:keepNext/>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keepNext/>
              <w:spacing w:after="0"/>
              <w:jc w:val="left"/>
              <w:rPr>
                <w:rFonts w:eastAsiaTheme="minorEastAsia" w:cstheme="minorBidi"/>
                <w:b/>
                <w:bCs/>
                <w:noProof/>
                <w:sz w:val="20"/>
              </w:rPr>
            </w:pPr>
            <w:r>
              <w:rPr>
                <w:b/>
                <w:bCs/>
                <w:noProof/>
                <w:sz w:val="20"/>
              </w:rPr>
              <w:t>Оценка на Директива 2005/44/ЕО относно хармонизираните речни информационни услуги (РИУ) относно вътрешните водни пътища на Общността</w:t>
            </w:r>
          </w:p>
        </w:tc>
        <w:tc>
          <w:tcPr>
            <w:tcW w:w="9780" w:type="dxa"/>
            <w:tcBorders>
              <w:top w:val="single" w:sz="4" w:space="0" w:color="auto"/>
              <w:left w:val="single" w:sz="4" w:space="0" w:color="auto"/>
              <w:bottom w:val="single" w:sz="4" w:space="0" w:color="auto"/>
            </w:tcBorders>
          </w:tcPr>
          <w:p>
            <w:pPr>
              <w:keepNext/>
              <w:spacing w:after="0"/>
              <w:rPr>
                <w:rFonts w:eastAsiaTheme="minorEastAsia" w:cstheme="minorBidi"/>
                <w:noProof/>
                <w:sz w:val="20"/>
              </w:rPr>
            </w:pPr>
            <w:r>
              <w:rPr>
                <w:noProof/>
                <w:sz w:val="20"/>
              </w:rPr>
              <w:t>Речните информационни услуги (РИУ) използват информационни и комуникационни технологии (ИКТ) за поддържане на безопасността, ефикасността и екологосъобразността на транспорта по вътрешните водни пътища. Директивата относно РИУ предвижда рамка за минималните изисквания и технически спецификации за предоставянето и въвеждането на речните информационни услуги, за да се гарантират хармонизация, оперативна съвместимост и трансгранична съвместимост на системите за РИУ на държавите членки за водните пътища от клас IV или по-висок. В оценката се разглеждат прилагането на Директивата и последните организационни и технологични развития в сектора, особено във връзка с цифровите технологии. В нея се оценяват и потенциалните области, в които може да бъде извършено опростяване на процеса, чрез който се разработват актуализации на техническите спецификации съгласно Директивата.</w:t>
            </w:r>
          </w:p>
        </w:tc>
      </w:tr>
      <w:tr>
        <w:trPr>
          <w:cantSplit/>
        </w:trPr>
        <w:tc>
          <w:tcPr>
            <w:tcW w:w="14827" w:type="dxa"/>
            <w:gridSpan w:val="3"/>
            <w:shd w:val="clear" w:color="auto" w:fill="18BAA8" w:themeFill="accent2"/>
          </w:tcPr>
          <w:p>
            <w:pPr>
              <w:keepNext/>
              <w:spacing w:before="60" w:after="60"/>
              <w:rPr>
                <w:b/>
                <w:bCs/>
                <w:noProof/>
                <w:sz w:val="20"/>
              </w:rPr>
            </w:pPr>
            <w:r>
              <w:rPr>
                <w:b/>
                <w:bCs/>
                <w:noProof/>
                <w:color w:val="FFFFFF" w:themeColor="background1"/>
                <w:sz w:val="20"/>
              </w:rPr>
              <w:t>Европа, подготвена за цифровата ера</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color w:val="000000" w:themeColor="text1"/>
                <w:sz w:val="20"/>
              </w:rPr>
            </w:pPr>
            <w:r>
              <w:rPr>
                <w:b/>
                <w:bCs/>
                <w:noProof/>
                <w:sz w:val="20"/>
              </w:rPr>
              <w:t>Доклад на Комисията до Европейския парламент и Съвета за прилагането на Регламент (ЕС) № 910/2014 относно електронната идентификация и удостоверителните услуги при електронни трансакции на вътрешния пазар (Регламент относно електронната идентификация и удостоверителните услуги)</w:t>
            </w:r>
          </w:p>
        </w:tc>
        <w:tc>
          <w:tcPr>
            <w:tcW w:w="9780" w:type="dxa"/>
          </w:tcPr>
          <w:p>
            <w:pPr>
              <w:spacing w:after="0"/>
              <w:rPr>
                <w:rFonts w:eastAsiaTheme="minorEastAsia" w:cstheme="minorBidi"/>
                <w:noProof/>
                <w:color w:val="000000" w:themeColor="text1"/>
                <w:sz w:val="20"/>
              </w:rPr>
            </w:pPr>
            <w:r>
              <w:rPr>
                <w:noProof/>
                <w:sz w:val="20"/>
              </w:rPr>
              <w:t xml:space="preserve">В изпълнение на изискването на член 49 от Регламент (ЕС) № 910/2014 Комисията ще докладва на Европейския парламент и на Съвета за прилагането на регламента в срок до 1 юли 2020 г. В доклада ще бъде направена оценка на това доколко рамката на електронната идентификация и удостоверителните услуги продължава да е пригодна за постигане на желаните резултати и въздействия и може да бъдат набелязани евентуални по-нататъшни действия за подобряване на резултатите от прилагането на нормативната уредба. Комисията ще извърши оценка в съответствие с насоките за по-добро регулиране, като ще извърши и обществена и целева консултация със заинтересованите страни.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color w:val="000000" w:themeColor="text1"/>
                <w:sz w:val="20"/>
              </w:rPr>
            </w:pPr>
            <w:r>
              <w:rPr>
                <w:b/>
                <w:bCs/>
                <w:noProof/>
                <w:sz w:val="20"/>
              </w:rPr>
              <w:t>Преразглеждане на Директивата за намаляване на разходите за високоскоростни мрежи (Директива 2014/61/ЕС)</w:t>
            </w:r>
          </w:p>
        </w:tc>
        <w:tc>
          <w:tcPr>
            <w:tcW w:w="9780" w:type="dxa"/>
          </w:tcPr>
          <w:p>
            <w:pPr>
              <w:spacing w:after="0"/>
              <w:rPr>
                <w:rFonts w:eastAsiaTheme="minorEastAsia" w:cstheme="minorBidi"/>
                <w:noProof/>
                <w:color w:val="000000" w:themeColor="text1"/>
                <w:sz w:val="20"/>
              </w:rPr>
            </w:pPr>
            <w:r>
              <w:rPr>
                <w:noProof/>
                <w:sz w:val="20"/>
              </w:rPr>
              <w:t xml:space="preserve">Целта на преразглеждането е да се намали ненужната и скъпоструваща административна тежест, която може значително да задържи и забави разгръщането на мрежите. Преразглеждането има за цел да се подобри настоящата мярка чрез опростяване на разрешенията и процедурите или чрез повишаване на гъвкавостта на инженерните дейности посредством подобряване на координацията с други инфраструктури (пътища, енергетиката и др.). Това може да представлява добра възможност за ново законодателство за намаляване на общата административна тежест в сектора.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color w:val="000000" w:themeColor="text1"/>
                <w:sz w:val="20"/>
              </w:rPr>
            </w:pPr>
            <w:r>
              <w:rPr>
                <w:b/>
                <w:bCs/>
                <w:noProof/>
                <w:sz w:val="20"/>
              </w:rPr>
              <w:t>Преразглеждане на Регламента относно вътрешния пазар и трансграничната електронна търговия (геоблокиране)</w:t>
            </w:r>
          </w:p>
        </w:tc>
        <w:tc>
          <w:tcPr>
            <w:tcW w:w="9780" w:type="dxa"/>
          </w:tcPr>
          <w:p>
            <w:pPr>
              <w:spacing w:after="0"/>
              <w:rPr>
                <w:rFonts w:eastAsiaTheme="minorEastAsia" w:cstheme="minorBidi"/>
                <w:noProof/>
                <w:color w:val="000000" w:themeColor="text1"/>
                <w:sz w:val="20"/>
              </w:rPr>
            </w:pPr>
            <w:r>
              <w:rPr>
                <w:noProof/>
                <w:sz w:val="20"/>
              </w:rPr>
              <w:t xml:space="preserve">В изпълнение на изискването на член 9 от Регламент (ЕС) 2018/302 Комисията ще докладва на Европейския парламент, Съвета и Европейския икономически и социален комитет за оценката на Регламента в срок до 23 март 2020 г. Комисията ще вземе под внимание цялостното въздействие на Регламента върху вътрешния пазар и трансграничната електронна търговия, включително по-специално потенциалната допълнителна административна и финансова тежест за търговците, произтичаща от наличието на различни приложими регулаторни режими в областта на потребителското договорно право.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color w:val="000000" w:themeColor="text1"/>
                <w:sz w:val="20"/>
              </w:rPr>
            </w:pPr>
            <w:r>
              <w:rPr>
                <w:b/>
                <w:bCs/>
                <w:noProof/>
                <w:sz w:val="20"/>
              </w:rPr>
              <w:t xml:space="preserve">Преразглеждане на Препоръката относно цифровизацията и предоставянето чрез Интернет на материали в областта на културата, както и за съхранението на материали в цифров вид (2011/711/ЕС) </w:t>
            </w:r>
          </w:p>
        </w:tc>
        <w:tc>
          <w:tcPr>
            <w:tcW w:w="9780" w:type="dxa"/>
          </w:tcPr>
          <w:p>
            <w:pPr>
              <w:spacing w:after="0"/>
              <w:rPr>
                <w:rFonts w:eastAsiaTheme="minorEastAsia" w:cstheme="minorBidi"/>
                <w:noProof/>
                <w:color w:val="000000" w:themeColor="text1"/>
                <w:sz w:val="20"/>
              </w:rPr>
            </w:pPr>
            <w:r>
              <w:rPr>
                <w:noProof/>
                <w:sz w:val="20"/>
              </w:rPr>
              <w:t xml:space="preserve">Извършваната понастоящем оценка разглежда един от основните инструменти на политиката относно цифровизацията, онлайн достъпа и цифровото съхранение на материали в областта на културното наследство с цел да се съберат мненията на заинтересованите страни за евентуалното му актуализиране, така че да се отразят по-добре настоящите обществени нужди в тази област и да се увеличи потенциалът на европейското културно наследство в полза на гражданите. </w:t>
            </w:r>
            <w:r>
              <w:rPr>
                <w:noProof/>
                <w:sz w:val="20"/>
              </w:rPr>
              <w:br/>
              <w:t xml:space="preserve">При преразглеждането тези аспекти ще бъдат анализирани в съответствие с настоящите технологични тенденции и нуждите на сектора.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Проверка за пригодност на пакета от мерки за модернизиране на държавната помощ от 2012 г., насоките за железопътния транспорт и застраховането на краткосрочни експортни кредити</w:t>
            </w:r>
          </w:p>
        </w:tc>
        <w:tc>
          <w:tcPr>
            <w:tcW w:w="9780" w:type="dxa"/>
          </w:tcPr>
          <w:p>
            <w:pPr>
              <w:spacing w:after="0"/>
              <w:rPr>
                <w:rFonts w:eastAsiaTheme="minorEastAsia" w:cstheme="minorBidi"/>
                <w:noProof/>
                <w:spacing w:val="-2"/>
                <w:sz w:val="20"/>
              </w:rPr>
            </w:pPr>
            <w:r>
              <w:rPr>
                <w:noProof/>
                <w:sz w:val="20"/>
              </w:rPr>
              <w:t>Благодарение на модернизирането на държавната помощ днес 96 % от новоприложените мерки за помощ са в ръцете на националните органи. Това позволява по-бързо прилагане от страна на държавите членки, както и придържане в по-голяма степен към подхода „да се действа мащабно по важните въпроси и скромно по маловажните“ при контрола върху държавната помощ. Текущата проверка за пригодност има за цел, наред с другото, да оцени до каква степен настоящият режим е допринесъл за намаляване на административната тежест и дали има допълнителен потенциал за рационализиране и опростяване на правилата за държавната помощ.</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Оценка на Регламента за групово освобождаване на вертикални споразумения</w:t>
            </w:r>
          </w:p>
        </w:tc>
        <w:tc>
          <w:tcPr>
            <w:tcW w:w="9780" w:type="dxa"/>
          </w:tcPr>
          <w:p>
            <w:pPr>
              <w:spacing w:after="0"/>
              <w:rPr>
                <w:rFonts w:eastAsiaTheme="minorEastAsia" w:cstheme="minorBidi"/>
                <w:noProof/>
                <w:spacing w:val="-2"/>
                <w:sz w:val="20"/>
              </w:rPr>
            </w:pPr>
            <w:r>
              <w:rPr>
                <w:noProof/>
                <w:sz w:val="20"/>
              </w:rPr>
              <w:t>Целта на текущата оценка на Регламента за групово освобождаване на вертикални споразумения и Насоките относно вертикалните ограничения е да се прецени до каква степен настоящият режим е постигнал целта си да осигури защита на вертикалните споразумения, които в крайна сметка повишават ефикасността, като по този начин е създал правна сигурност и е намалил разходите на заинтересованите страни за постигане на съответствие. Това включва установяване на областите, в които настоящият режим може да не отразява правилно новите пазарни развития, както и възможните пропуски, които може да са довели до правна несигурност и несъгласуваност в прилагането на вертикалните правила в различните държави — членки на ЕС, и следователно да са увеличили разходите за осигуряване на съответствие за заинтересованите страни.</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Оценка на процедурните аспекти и аспектите, свързани с компетентността, на контрола върху сливанията в ЕС</w:t>
            </w:r>
          </w:p>
        </w:tc>
        <w:tc>
          <w:tcPr>
            <w:tcW w:w="9780" w:type="dxa"/>
          </w:tcPr>
          <w:p>
            <w:pPr>
              <w:spacing w:after="0"/>
              <w:rPr>
                <w:rFonts w:eastAsiaTheme="minorEastAsia" w:cstheme="minorBidi"/>
                <w:noProof/>
                <w:spacing w:val="-2"/>
                <w:sz w:val="20"/>
              </w:rPr>
            </w:pPr>
            <w:r>
              <w:rPr>
                <w:noProof/>
                <w:sz w:val="20"/>
              </w:rPr>
              <w:t>Извършваната понастоящем оценка е съсредоточена върху опростяването и намаляването на бюрократичната тежест, където е целесъобразно, рационализиране на системата за сезиране и други подобрения от техническо естество. Освен това, с оглед на неотдавнашния дебат относно ефективността на основаните само на оборота прагове на компетентност в Регламента на ЕС за сливанията, оценката има за цел също така да се прецени дали те позволяват да се обхванат всички сделки, които потенциално могат да окажат въздействие върху вътрешния пазар.</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Целево изменение на Общия регламент за групово освобождаване във връзка с програмите на ЕС за финансиране</w:t>
            </w:r>
          </w:p>
        </w:tc>
        <w:tc>
          <w:tcPr>
            <w:tcW w:w="9780" w:type="dxa"/>
            <w:shd w:val="clear" w:color="auto" w:fill="auto"/>
          </w:tcPr>
          <w:p>
            <w:pPr>
              <w:spacing w:after="0"/>
              <w:rPr>
                <w:rFonts w:eastAsiaTheme="minorEastAsia" w:cstheme="minorBidi"/>
                <w:noProof/>
                <w:spacing w:val="-2"/>
                <w:sz w:val="20"/>
              </w:rPr>
            </w:pPr>
            <w:r>
              <w:rPr>
                <w:noProof/>
                <w:sz w:val="20"/>
              </w:rPr>
              <w:t>Комисията има за цел да измени целево Общия регламент за групово освобождаване, за да съпровожда следващата многогодишна финансова рамка. Предложението ще гарантира, че в изброените по-долу области може безпроблемно да се комбинират, от една страна, национално финансиране със средства на държавите членки или средства от европейските структурни и инвестиционни фондове, управлявани на национално равнище, и от друга страна, централно управлявани средства на ЕС. Тези области са: финансови продукти, които се подкрепят от фонд InvestEU; проекти за НИРДИ, отличени с печат за високи постижения по линия на „Хоризонт 2020“ или „Хоризонт Европа“, както и съвместно финансирани проекти и сформиране на екипи по линия на „Хоризонт 2020“ или „Хоризонт Европа“; и проекти по цел „Европейско териториално сътрудничество“. (трето тримесечие на 2020 г.)</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autoSpaceDE w:val="0"/>
              <w:autoSpaceDN w:val="0"/>
              <w:adjustRightInd w:val="0"/>
              <w:spacing w:after="0"/>
              <w:rPr>
                <w:rFonts w:eastAsiaTheme="minorEastAsia"/>
                <w:b/>
                <w:bCs/>
                <w:noProof/>
                <w:color w:val="000000"/>
                <w:sz w:val="20"/>
              </w:rPr>
            </w:pPr>
            <w:r>
              <w:rPr>
                <w:b/>
                <w:bCs/>
                <w:noProof/>
                <w:sz w:val="20"/>
              </w:rPr>
              <w:t xml:space="preserve">Регламент за групово освобождаване на консорциуми (освобождаване от член 101 от ДФЕС за някои видове споразумения за сътрудничество между операторите на контейнерни превози) </w:t>
            </w:r>
          </w:p>
        </w:tc>
        <w:tc>
          <w:tcPr>
            <w:tcW w:w="9780" w:type="dxa"/>
            <w:shd w:val="clear" w:color="auto" w:fill="auto"/>
          </w:tcPr>
          <w:p>
            <w:pPr>
              <w:spacing w:after="0"/>
              <w:rPr>
                <w:rFonts w:eastAsiaTheme="minorEastAsia" w:cstheme="minorBidi"/>
                <w:noProof/>
                <w:spacing w:val="-2"/>
                <w:sz w:val="20"/>
              </w:rPr>
            </w:pPr>
            <w:r>
              <w:rPr>
                <w:noProof/>
                <w:sz w:val="20"/>
              </w:rPr>
              <w:t>Удължаването с още четири години на срока на действие на настоящия регламент за групово освобождаване на консорциуми ще продължи да улеснява анализа на спазването от страна на консорциумите на правилата за конкуренция, ще ограничи зависимостта от външни консултанти и ще намали правните разходи. (второ тримесечие на 2020 г.)</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autoSpaceDE w:val="0"/>
              <w:autoSpaceDN w:val="0"/>
              <w:adjustRightInd w:val="0"/>
              <w:spacing w:after="0"/>
              <w:rPr>
                <w:rFonts w:eastAsiaTheme="minorEastAsia"/>
                <w:b/>
                <w:bCs/>
                <w:noProof/>
                <w:color w:val="000000"/>
                <w:sz w:val="20"/>
              </w:rPr>
            </w:pPr>
            <w:r>
              <w:rPr>
                <w:b/>
                <w:bCs/>
                <w:noProof/>
                <w:sz w:val="20"/>
              </w:rPr>
              <w:t>Оценка на Директива 2014/35/ЕС за ниското напрежение</w:t>
            </w:r>
          </w:p>
        </w:tc>
        <w:tc>
          <w:tcPr>
            <w:tcW w:w="9780" w:type="dxa"/>
            <w:shd w:val="clear" w:color="auto" w:fill="auto"/>
          </w:tcPr>
          <w:p>
            <w:pPr>
              <w:spacing w:after="0"/>
              <w:rPr>
                <w:rFonts w:eastAsiaTheme="minorEastAsia" w:cstheme="minorBidi"/>
                <w:noProof/>
                <w:spacing w:val="-2"/>
                <w:sz w:val="20"/>
              </w:rPr>
            </w:pPr>
            <w:r>
              <w:rPr>
                <w:noProof/>
                <w:sz w:val="20"/>
              </w:rPr>
              <w:t xml:space="preserve">Директивата за ниското напрежение гарантира, че електрическите съоръжения, работещи в определени граници на напрежението, осигуряват високо равнище на защита за европейските граждани и се възползват в пълна степен от единния пазар. Тя се прилага от 20 април 2016 г. Целта на оценката е да се прецени дали директивата е подходяща за целта си от гледна точка на своята ефективност, ефикасност, целесъобразност, съгласуваност, европейска добавена стойност. Въз основа на заключенията относно резултатите от директивата Комисията ще прецени какви следващи стъпки може да са необходими за подобряването на действието ѝ.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autoSpaceDE w:val="0"/>
              <w:autoSpaceDN w:val="0"/>
              <w:adjustRightInd w:val="0"/>
              <w:spacing w:after="0"/>
              <w:rPr>
                <w:rFonts w:eastAsiaTheme="minorEastAsia"/>
                <w:b/>
                <w:bCs/>
                <w:noProof/>
                <w:color w:val="000000"/>
                <w:sz w:val="20"/>
              </w:rPr>
            </w:pPr>
            <w:r>
              <w:rPr>
                <w:b/>
                <w:bCs/>
                <w:noProof/>
                <w:sz w:val="20"/>
              </w:rPr>
              <w:t>Оценка на Директива 97/67/ЕО за пощенските услуги</w:t>
            </w:r>
          </w:p>
        </w:tc>
        <w:tc>
          <w:tcPr>
            <w:tcW w:w="9780" w:type="dxa"/>
            <w:shd w:val="clear" w:color="auto" w:fill="auto"/>
          </w:tcPr>
          <w:p>
            <w:pPr>
              <w:spacing w:after="0"/>
              <w:rPr>
                <w:rFonts w:eastAsiaTheme="minorEastAsia" w:cstheme="minorBidi"/>
                <w:noProof/>
                <w:spacing w:val="-2"/>
                <w:sz w:val="20"/>
              </w:rPr>
            </w:pPr>
            <w:r>
              <w:rPr>
                <w:noProof/>
                <w:sz w:val="20"/>
              </w:rPr>
              <w:t>В сектора на пощенските услуги настъпват значителни промени, дължащи се на цифровизацията. Директивата за пощенските услуги (97/67/ЕО) датира от 1997 г. и беше преразгледана през 2002 г. и 2008 г.Докладът относно прилагането на директивата ще бъде придружен от оценка, която ще разгледа дали директивата продължава да е подходяща за целта си и съобразена с бъдещите предизвикателства.</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 xml:space="preserve">Оценка на определението за МСП </w:t>
            </w:r>
          </w:p>
        </w:tc>
        <w:tc>
          <w:tcPr>
            <w:tcW w:w="9780" w:type="dxa"/>
            <w:shd w:val="clear" w:color="auto" w:fill="auto"/>
          </w:tcPr>
          <w:p>
            <w:pPr>
              <w:spacing w:after="0"/>
              <w:rPr>
                <w:rFonts w:eastAsiaTheme="minorEastAsia" w:cstheme="minorBidi"/>
                <w:noProof/>
                <w:sz w:val="20"/>
              </w:rPr>
            </w:pPr>
            <w:r>
              <w:rPr>
                <w:noProof/>
                <w:sz w:val="20"/>
              </w:rPr>
              <w:t xml:space="preserve">Тази инициатива се отнася до Препоръката на Комисията относно определението за микро-, малки и средни предприятия (2003/361/ЕО). Тя установява критериите, с които се определя дали дадено предприятие е МСП (т.е. общ брой на персонала, оборот/обща сума на баланса и независимост), и се прилага от 1.1.2005 г., когато замени Препоръка 96/280/ЕО. Тъй като в над 100 правни акта на ЕС, обхващащи широк кръг от европейски политики, като например държавната помощ, се съдържа позоваване към тази Препоръка, трябва да се извърши замяна и на тези позовавания. </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Преразглеждане на Директива 2006/42/ЕО относно машините</w:t>
            </w:r>
          </w:p>
        </w:tc>
        <w:tc>
          <w:tcPr>
            <w:tcW w:w="9780" w:type="dxa"/>
            <w:shd w:val="clear" w:color="auto" w:fill="auto"/>
          </w:tcPr>
          <w:p>
            <w:pPr>
              <w:spacing w:after="0"/>
              <w:jc w:val="left"/>
              <w:rPr>
                <w:rFonts w:eastAsiaTheme="minorEastAsia" w:cstheme="minorBidi"/>
                <w:noProof/>
                <w:sz w:val="20"/>
              </w:rPr>
            </w:pPr>
            <w:r>
              <w:rPr>
                <w:noProof/>
                <w:sz w:val="20"/>
              </w:rPr>
              <w:t xml:space="preserve">Инициативата има за цел: </w:t>
            </w:r>
            <w:r>
              <w:rPr>
                <w:noProof/>
                <w:sz w:val="20"/>
              </w:rPr>
              <w:br/>
              <w:t xml:space="preserve">i) да се отстранят рисковете, произтичащи от новите технологии, като същевременно се даде възможност за технически прогрес, </w:t>
            </w:r>
            <w:r>
              <w:rPr>
                <w:noProof/>
                <w:sz w:val="20"/>
              </w:rPr>
              <w:br/>
              <w:t xml:space="preserve">ii) да се опростят изискванията за документиране, позволявайки използването на цифрови формати, като по този начин се намали административната тежест за икономическите оператори, което ще се отрази положително и върху екологичните разходи, </w:t>
            </w:r>
            <w:r>
              <w:rPr>
                <w:noProof/>
                <w:sz w:val="20"/>
              </w:rPr>
              <w:br/>
              <w:t>iii) да се подобри правната яснота на някои основни понятия и определения в настоящия текст на директивата,</w:t>
            </w:r>
            <w:r>
              <w:rPr>
                <w:noProof/>
                <w:sz w:val="20"/>
              </w:rPr>
              <w:br/>
              <w:t>iv) да се осигури съгласуваност с други директиви и регламенти за продуктите и да се подобри прилагането на законодателството чрез привеждане в съответствие с новата законодателна рамка,</w:t>
            </w:r>
            <w:r>
              <w:rPr>
                <w:noProof/>
                <w:sz w:val="20"/>
              </w:rPr>
              <w:br/>
              <w:t>v) да се намалят разходите за транспониране чрез превръщане на директивата в регламент.</w:t>
            </w:r>
            <w:r>
              <w:rPr>
                <w:noProof/>
                <w:sz w:val="20"/>
              </w:rPr>
              <w:br/>
              <w:t>(законодателна инициатива, вкл. оценка на въздействието, член 114 от ДФЕС, четвърто тримесечие на 2020 г.)</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jc w:val="left"/>
              <w:rPr>
                <w:rFonts w:eastAsiaTheme="minorEastAsia" w:cstheme="minorBidi"/>
                <w:b/>
                <w:bCs/>
                <w:noProof/>
                <w:sz w:val="20"/>
              </w:rPr>
            </w:pPr>
            <w:r>
              <w:rPr>
                <w:b/>
                <w:bCs/>
                <w:noProof/>
                <w:sz w:val="20"/>
              </w:rPr>
              <w:t xml:space="preserve">Оценка на законодателството на ЕС в областта на защитата на промишления дизайн </w:t>
            </w:r>
          </w:p>
        </w:tc>
        <w:tc>
          <w:tcPr>
            <w:tcW w:w="9780" w:type="dxa"/>
            <w:shd w:val="clear" w:color="auto" w:fill="auto"/>
          </w:tcPr>
          <w:p>
            <w:pPr>
              <w:spacing w:after="0"/>
              <w:rPr>
                <w:rFonts w:eastAsiaTheme="minorEastAsia" w:cstheme="minorBidi"/>
                <w:noProof/>
                <w:sz w:val="20"/>
              </w:rPr>
            </w:pPr>
            <w:r>
              <w:rPr>
                <w:noProof/>
                <w:sz w:val="20"/>
              </w:rPr>
              <w:t xml:space="preserve">Целта на оценката е да се анализира до каква степен действащото законодателство на ЕС в областта на защитата на промишления дизайн е постигнало своите цели от гледна точка на своята ефикасност, ефективност, уместност, съгласуваност и европейска добавена стойност; тя ще посочи ясно доколко това законодателство все още се счита за подходящо за целта. Оценката ще набележи възможности за рационализиране на процедурите за регистрация с цел да се улесни спазването на защитата на промишления дизайн в ЕС, което да доведе до потенциално намаляване на разходите и административната тежест за предприятията, проектантите и МСП. </w:t>
            </w:r>
          </w:p>
        </w:tc>
      </w:tr>
      <w:tr>
        <w:trPr>
          <w:cantSplit/>
        </w:trPr>
        <w:tc>
          <w:tcPr>
            <w:tcW w:w="647" w:type="dxa"/>
            <w:tcBorders>
              <w:bottom w:val="single" w:sz="4" w:space="0" w:color="auto"/>
            </w:tcBorders>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tcBorders>
              <w:bottom w:val="single" w:sz="4" w:space="0" w:color="auto"/>
            </w:tcBorders>
            <w:shd w:val="clear" w:color="auto" w:fill="auto"/>
          </w:tcPr>
          <w:p>
            <w:pPr>
              <w:spacing w:after="0"/>
              <w:jc w:val="left"/>
              <w:rPr>
                <w:rFonts w:eastAsiaTheme="minorEastAsia" w:cstheme="minorBidi"/>
                <w:b/>
                <w:bCs/>
                <w:noProof/>
                <w:sz w:val="20"/>
              </w:rPr>
            </w:pPr>
            <w:r>
              <w:rPr>
                <w:b/>
                <w:bCs/>
                <w:noProof/>
                <w:sz w:val="20"/>
              </w:rPr>
              <w:t>Оценка на Директива 2006/126/ЕО за свидетелствата за управление на превозни средства</w:t>
            </w:r>
          </w:p>
        </w:tc>
        <w:tc>
          <w:tcPr>
            <w:tcW w:w="9780" w:type="dxa"/>
            <w:tcBorders>
              <w:bottom w:val="single" w:sz="4" w:space="0" w:color="auto"/>
            </w:tcBorders>
          </w:tcPr>
          <w:p>
            <w:pPr>
              <w:spacing w:after="0"/>
              <w:rPr>
                <w:rFonts w:eastAsiaTheme="minorEastAsia" w:cstheme="minorBidi"/>
                <w:noProof/>
                <w:sz w:val="20"/>
              </w:rPr>
            </w:pPr>
            <w:r>
              <w:rPr>
                <w:noProof/>
                <w:sz w:val="20"/>
              </w:rPr>
              <w:t>Последващата оценка ще разгледа доколко директивата е допринесла за повишаване на пътната безопасност, улесняване на свободното движение и намаляване на възможностите за измами. Освен това тя ще обърне внимание на техническия напредък, например по отношение на превозните средства и цифровизацията (цифрови свидетелства).</w:t>
            </w:r>
          </w:p>
        </w:tc>
      </w:tr>
      <w:tr>
        <w:trPr>
          <w:cantSplit/>
        </w:trPr>
        <w:tc>
          <w:tcPr>
            <w:tcW w:w="14827" w:type="dxa"/>
            <w:gridSpan w:val="3"/>
            <w:shd w:val="clear" w:color="auto" w:fill="F68A42" w:themeFill="accent3"/>
          </w:tcPr>
          <w:p>
            <w:pPr>
              <w:keepNext/>
              <w:spacing w:before="60" w:after="60"/>
              <w:rPr>
                <w:rFonts w:eastAsiaTheme="minorEastAsia" w:cstheme="minorBidi"/>
                <w:noProof/>
                <w:sz w:val="20"/>
              </w:rPr>
            </w:pPr>
            <w:r>
              <w:rPr>
                <w:b/>
                <w:bCs/>
                <w:noProof/>
                <w:color w:val="FFFFFF" w:themeColor="background1"/>
                <w:sz w:val="20"/>
              </w:rPr>
              <w:t>Икономика в интерес на хората</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rPr>
            </w:pPr>
          </w:p>
        </w:tc>
        <w:tc>
          <w:tcPr>
            <w:tcW w:w="4400" w:type="dxa"/>
          </w:tcPr>
          <w:p>
            <w:pPr>
              <w:spacing w:after="0" w:line="276" w:lineRule="auto"/>
              <w:jc w:val="left"/>
              <w:rPr>
                <w:rFonts w:eastAsiaTheme="minorEastAsia" w:cstheme="minorBidi"/>
                <w:b/>
                <w:bCs/>
                <w:noProof/>
                <w:sz w:val="20"/>
              </w:rPr>
            </w:pPr>
            <w:r>
              <w:rPr>
                <w:b/>
                <w:bCs/>
                <w:noProof/>
                <w:sz w:val="20"/>
              </w:rPr>
              <w:t>Единни правила за закръгляване (последващо действие по Доклада относно наблюдаваното напоследък развитие във връзка с евромонетите, COM(2018) 787 final/2)</w:t>
            </w:r>
          </w:p>
        </w:tc>
        <w:tc>
          <w:tcPr>
            <w:tcW w:w="9780" w:type="dxa"/>
          </w:tcPr>
          <w:p>
            <w:pPr>
              <w:spacing w:after="0"/>
              <w:rPr>
                <w:rFonts w:eastAsiaTheme="minorEastAsia" w:cstheme="minorBidi"/>
                <w:noProof/>
                <w:sz w:val="20"/>
              </w:rPr>
            </w:pPr>
            <w:r>
              <w:rPr>
                <w:noProof/>
                <w:sz w:val="20"/>
              </w:rPr>
              <w:t>Оценка на използването на монетите от един и два евроцента и на възможността да се въведат общи правила за закръгляване. Евентуално предложение ще въведе общи правила за закръгляване, за да се отговори на предизвикателствата, свързани с използването на монети от един и два евроцента (законодателна инициатива, вкл. оценка на въздействието, член 133 от ДФЕС, четвърто тримесечие на 2020 г.)</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rPr>
            </w:pPr>
          </w:p>
        </w:tc>
        <w:tc>
          <w:tcPr>
            <w:tcW w:w="4400" w:type="dxa"/>
          </w:tcPr>
          <w:p>
            <w:pPr>
              <w:spacing w:after="0"/>
              <w:jc w:val="left"/>
              <w:rPr>
                <w:rFonts w:eastAsiaTheme="minorEastAsia" w:cstheme="minorBidi"/>
                <w:b/>
                <w:bCs/>
                <w:noProof/>
                <w:sz w:val="20"/>
              </w:rPr>
            </w:pPr>
            <w:r>
              <w:rPr>
                <w:b/>
                <w:bCs/>
                <w:noProof/>
                <w:sz w:val="20"/>
              </w:rPr>
              <w:t>Проверка за пригодност в областта на публичната корпоративна отчетност от страна на дружествата</w:t>
            </w:r>
          </w:p>
        </w:tc>
        <w:tc>
          <w:tcPr>
            <w:tcW w:w="9780" w:type="dxa"/>
          </w:tcPr>
          <w:p>
            <w:pPr>
              <w:spacing w:after="0"/>
              <w:rPr>
                <w:rFonts w:eastAsiaTheme="minorEastAsia" w:cstheme="minorBidi"/>
                <w:b/>
                <w:bCs/>
                <w:noProof/>
                <w:sz w:val="20"/>
              </w:rPr>
            </w:pPr>
            <w:r>
              <w:rPr>
                <w:noProof/>
                <w:sz w:val="20"/>
              </w:rPr>
              <w:t>Целта на тази проверка за пригодност е да се оцени дали законодателството на ЕС относно редовната и публична отчетност от страна на дружествата продължава да отговаря на нуждата на заинтересованите страни от информация за дейностите, резултатите, рисковете и въздействието на дружествата.</w:t>
            </w:r>
          </w:p>
        </w:tc>
      </w:tr>
      <w:tr>
        <w:trPr>
          <w:cantSplit/>
        </w:trPr>
        <w:tc>
          <w:tcPr>
            <w:tcW w:w="647" w:type="dxa"/>
            <w:shd w:val="clear" w:color="auto" w:fill="auto"/>
          </w:tcPr>
          <w:p>
            <w:pPr>
              <w:numPr>
                <w:ilvl w:val="0"/>
                <w:numId w:val="23"/>
              </w:numPr>
              <w:spacing w:after="0" w:line="276" w:lineRule="auto"/>
              <w:jc w:val="left"/>
              <w:rPr>
                <w:rFonts w:eastAsiaTheme="minorHAnsi" w:cstheme="minorBidi"/>
                <w:b/>
                <w:noProof/>
                <w:color w:val="000000"/>
                <w:sz w:val="20"/>
              </w:rPr>
            </w:pPr>
          </w:p>
        </w:tc>
        <w:tc>
          <w:tcPr>
            <w:tcW w:w="4400" w:type="dxa"/>
          </w:tcPr>
          <w:p>
            <w:pPr>
              <w:spacing w:after="0"/>
              <w:jc w:val="left"/>
              <w:rPr>
                <w:rFonts w:eastAsiaTheme="minorEastAsia" w:cstheme="minorBidi"/>
                <w:b/>
                <w:bCs/>
                <w:noProof/>
                <w:sz w:val="20"/>
              </w:rPr>
            </w:pPr>
            <w:r>
              <w:rPr>
                <w:b/>
                <w:bCs/>
                <w:noProof/>
                <w:sz w:val="20"/>
              </w:rPr>
              <w:t>Оценка на законодателството в областта на търговията с прекурсори на наркотични вещества</w:t>
            </w:r>
          </w:p>
        </w:tc>
        <w:tc>
          <w:tcPr>
            <w:tcW w:w="9780" w:type="dxa"/>
          </w:tcPr>
          <w:p>
            <w:pPr>
              <w:spacing w:after="0"/>
              <w:rPr>
                <w:rFonts w:eastAsiaTheme="minorEastAsia" w:cstheme="minorBidi"/>
                <w:noProof/>
                <w:color w:val="000000" w:themeColor="text1"/>
                <w:sz w:val="20"/>
              </w:rPr>
            </w:pPr>
            <w:r>
              <w:rPr>
                <w:noProof/>
                <w:sz w:val="20"/>
              </w:rPr>
              <w:t>Ще бъде направена оценка на Регламент (ЕО) № 273/2004 и Регламент (ЕО) № 111/2005 относно прекурсорите на наркотични вещества с оглед на тяхната цел, а именно да се създаде система за мониторинг и контрол на търговията с прекурсори на наркотични вещества, за да се предотврати отклоняването им от законната мрежа за доставки към производството на забранени наркотични вещества. Освен тези два регламента, оценката ще обхване свързаните с тях актове — Делегиран регламент 2015/1011 и Регламент за изпълнение 2015/1013.</w:t>
            </w:r>
          </w:p>
        </w:tc>
      </w:tr>
      <w:tr>
        <w:trPr>
          <w:cantSplit/>
        </w:trPr>
        <w:tc>
          <w:tcPr>
            <w:tcW w:w="647" w:type="dxa"/>
            <w:tcBorders>
              <w:bottom w:val="single" w:sz="4" w:space="0" w:color="auto"/>
            </w:tcBorders>
            <w:shd w:val="clear" w:color="auto" w:fill="auto"/>
          </w:tcPr>
          <w:p>
            <w:pPr>
              <w:numPr>
                <w:ilvl w:val="0"/>
                <w:numId w:val="23"/>
              </w:numPr>
              <w:spacing w:after="0" w:line="276" w:lineRule="auto"/>
              <w:jc w:val="left"/>
              <w:rPr>
                <w:rFonts w:eastAsiaTheme="minorHAnsi" w:cstheme="minorBidi"/>
                <w:b/>
                <w:noProof/>
                <w:color w:val="000000"/>
                <w:sz w:val="20"/>
              </w:rPr>
            </w:pPr>
          </w:p>
        </w:tc>
        <w:tc>
          <w:tcPr>
            <w:tcW w:w="4400" w:type="dxa"/>
            <w:tcBorders>
              <w:bottom w:val="single" w:sz="4" w:space="0" w:color="auto"/>
            </w:tcBorders>
          </w:tcPr>
          <w:p>
            <w:pPr>
              <w:spacing w:after="0"/>
              <w:jc w:val="left"/>
              <w:rPr>
                <w:rFonts w:eastAsiaTheme="minorEastAsia" w:cstheme="minorBidi"/>
                <w:b/>
                <w:bCs/>
                <w:noProof/>
                <w:sz w:val="20"/>
              </w:rPr>
            </w:pPr>
            <w:r>
              <w:rPr>
                <w:b/>
                <w:bCs/>
                <w:noProof/>
                <w:sz w:val="20"/>
              </w:rPr>
              <w:t xml:space="preserve">Оценка на Регламент (ЕО) № 515/97 относно взаимопомощта по митнически въпроси </w:t>
            </w:r>
          </w:p>
        </w:tc>
        <w:tc>
          <w:tcPr>
            <w:tcW w:w="9780" w:type="dxa"/>
            <w:tcBorders>
              <w:bottom w:val="single" w:sz="4" w:space="0" w:color="auto"/>
            </w:tcBorders>
          </w:tcPr>
          <w:p>
            <w:pPr>
              <w:spacing w:after="0"/>
              <w:rPr>
                <w:rFonts w:eastAsiaTheme="minorEastAsia" w:cstheme="minorBidi"/>
                <w:noProof/>
                <w:sz w:val="20"/>
              </w:rPr>
            </w:pPr>
            <w:r>
              <w:rPr>
                <w:noProof/>
                <w:sz w:val="20"/>
              </w:rPr>
              <w:t>Регламент (ЕО) № 515/97 гарантира правилното прилагане на митническото законодателство на ЕС. След преразглеждането през 2015 г. на Регламент (ЕО) № 515/97 бяха отбелязани нови развития (като например нов режим за защита на данните, нови рискове от измами). Оценката ще разгледа цялостното функциониране на Регламент (ЕО) № 515/97, като използва и целева консултация.</w:t>
            </w:r>
          </w:p>
        </w:tc>
      </w:tr>
      <w:tr>
        <w:trPr>
          <w:cantSplit/>
        </w:trPr>
        <w:tc>
          <w:tcPr>
            <w:tcW w:w="14827" w:type="dxa"/>
            <w:gridSpan w:val="3"/>
            <w:tcBorders>
              <w:bottom w:val="single" w:sz="4" w:space="0" w:color="auto"/>
            </w:tcBorders>
            <w:shd w:val="clear" w:color="auto" w:fill="585EAA" w:themeFill="accent4"/>
          </w:tcPr>
          <w:p>
            <w:pPr>
              <w:keepNext/>
              <w:spacing w:before="60" w:after="60"/>
              <w:rPr>
                <w:b/>
                <w:bCs/>
                <w:noProof/>
                <w:sz w:val="20"/>
              </w:rPr>
            </w:pPr>
            <w:r>
              <w:rPr>
                <w:b/>
                <w:bCs/>
                <w:noProof/>
                <w:color w:val="FFFFFF" w:themeColor="background1"/>
                <w:sz w:val="20"/>
              </w:rPr>
              <w:t>По-силна Европа на световната сцена</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rPr>
            </w:pPr>
            <w:r>
              <w:rPr>
                <w:b/>
                <w:noProof/>
                <w:sz w:val="20"/>
              </w:rPr>
              <w:t>Оценка на търговския стълб на шест споразумения за асоцииране между ЕС и държавите от Евромед (Тунис, Мароко, Египет, Йордания, Алжир и Ливан)</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rPr>
            </w:pPr>
            <w:r>
              <w:rPr>
                <w:noProof/>
                <w:sz w:val="20"/>
              </w:rPr>
              <w:t>Тази оценка може да набележи възможности за рационализиране на процедурите, което евентуално да доведе до намаляване на разходите и административната тежест и опростяване на процесите. Освен това тези потенциални ползи могат да се използват при бъдещо предоговаряне на тези споразумения или при договарянето на споразумения с други държави.</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noProof/>
                <w:sz w:val="20"/>
              </w:rPr>
            </w:pPr>
            <w:r>
              <w:rPr>
                <w:b/>
                <w:noProof/>
                <w:sz w:val="20"/>
              </w:rPr>
              <w:t>Оценка на прилагането на Споразумението за икономическо партньорство между ЕС и КАРИФОРУМ</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rPr>
            </w:pPr>
            <w:r>
              <w:rPr>
                <w:noProof/>
                <w:sz w:val="20"/>
              </w:rPr>
              <w:t>Тази оценка може да набележи възможности за рационализиране на процедурите, което евентуално да доведе до намаляване на разходите и административната тежест и опростяване на процесите. Освен това тези потенциални ползи могат да се използват при бъдещо предоговаряне на това споразумение или при договарянето на споразумения с други държави.</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bCs/>
                <w:noProof/>
                <w:sz w:val="20"/>
              </w:rPr>
            </w:pPr>
            <w:r>
              <w:rPr>
                <w:b/>
                <w:bCs/>
                <w:noProof/>
                <w:sz w:val="20"/>
              </w:rPr>
              <w:t>Срещу търговията със стоки, използвани с цел изтезания</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rPr>
            </w:pPr>
            <w:r>
              <w:rPr>
                <w:noProof/>
                <w:sz w:val="20"/>
              </w:rPr>
              <w:t>Преглед на Регламент (ЕС) 2019/125 на Съвета относно търговията с някои стоки, които биха могли да бъдат използвани с цел изпълнение на смъртно наказание, изтезания или други форми на жестоко, нечовешко или унизително отношение или наказание (Регламент за борба с изтезанията).</w:t>
            </w:r>
            <w:r>
              <w:rPr>
                <w:noProof/>
                <w:sz w:val="20"/>
              </w:rPr>
              <w:br/>
              <w:t>Съгласно член 32 от Регламента за борба с изтезанията до 31 юли 2020 г. и на всеки пет години след това Комисията следва да извършва преглед на прилагането на регламента. Въз основа на доклада от прегледа, който трябва да бъде приет до юли 2020 г., Комисията ще реши дали да предложи изменения на регламента. Без да се засягат резултатите от прегледа и като се гарантира, че съответните стоки остават предмет на ефективни ограничения, могат да бъдат разгледани евентуални възможности за опростяване, например във връзка с изискванията за докладване или обмена на информация.</w:t>
            </w:r>
          </w:p>
        </w:tc>
      </w:tr>
      <w:tr>
        <w:trPr>
          <w:cantSplit/>
        </w:trPr>
        <w:tc>
          <w:tcPr>
            <w:tcW w:w="14827" w:type="dxa"/>
            <w:gridSpan w:val="3"/>
            <w:shd w:val="clear" w:color="auto" w:fill="DA5C57" w:themeFill="accent6"/>
          </w:tcPr>
          <w:p>
            <w:pPr>
              <w:keepNext/>
              <w:spacing w:before="60" w:after="60"/>
              <w:rPr>
                <w:b/>
                <w:bCs/>
                <w:noProof/>
                <w:sz w:val="20"/>
              </w:rPr>
            </w:pPr>
            <w:r>
              <w:rPr>
                <w:b/>
                <w:bCs/>
                <w:noProof/>
                <w:color w:val="FFFFFF" w:themeColor="background1"/>
                <w:sz w:val="20"/>
              </w:rPr>
              <w:t>Утвърждаване на европейския начин на живот</w:t>
            </w:r>
          </w:p>
        </w:tc>
      </w:tr>
      <w:tr>
        <w:trPr>
          <w:cantSplit/>
        </w:trPr>
        <w:tc>
          <w:tcPr>
            <w:tcW w:w="647" w:type="dxa"/>
            <w:tcBorders>
              <w:bottom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rPr>
            </w:pPr>
          </w:p>
        </w:tc>
        <w:tc>
          <w:tcPr>
            <w:tcW w:w="4400" w:type="dxa"/>
            <w:tcBorders>
              <w:bottom w:val="single" w:sz="4" w:space="0" w:color="auto"/>
            </w:tcBorders>
          </w:tcPr>
          <w:p>
            <w:pPr>
              <w:spacing w:after="0"/>
              <w:jc w:val="left"/>
              <w:rPr>
                <w:rFonts w:eastAsiaTheme="minorEastAsia" w:cstheme="minorBidi"/>
                <w:b/>
                <w:bCs/>
                <w:noProof/>
                <w:sz w:val="20"/>
              </w:rPr>
            </w:pPr>
            <w:r>
              <w:rPr>
                <w:b/>
                <w:bCs/>
                <w:noProof/>
                <w:sz w:val="20"/>
              </w:rPr>
              <w:t xml:space="preserve">Оценка на Регламент (ЕО) № 1901/2006 относно лекарствените продукти за педиатрична употреба и Регламент (ЕО) № 141/2000 за лекарствата сираци </w:t>
            </w:r>
          </w:p>
        </w:tc>
        <w:tc>
          <w:tcPr>
            <w:tcW w:w="9780" w:type="dxa"/>
            <w:tcBorders>
              <w:bottom w:val="single" w:sz="4" w:space="0" w:color="auto"/>
            </w:tcBorders>
          </w:tcPr>
          <w:p>
            <w:pPr>
              <w:spacing w:after="0"/>
              <w:rPr>
                <w:rFonts w:eastAsiaTheme="minorEastAsia" w:cstheme="minorBidi"/>
                <w:noProof/>
                <w:sz w:val="20"/>
              </w:rPr>
            </w:pPr>
            <w:r>
              <w:rPr>
                <w:noProof/>
                <w:sz w:val="20"/>
              </w:rPr>
              <w:t>Тази оценка ще осигури съдържателен принос за бъдещата стратегия на ЕС във фармацевтичната област. Въз основа на наличните доказателства оценката разглежда силните и слабите страни на регламентите за лекарствата сираци и за лекарствените продукти за педиатрична употреба поотделно и заедно. В оценката се поставя акцент, наред с другото, върху продуктите, които отговарят на неудовлетворени медицински потребности, и върху начина, по който са използвани стимулите, предвидени в действащото законодателство.</w:t>
            </w:r>
          </w:p>
        </w:tc>
      </w:tr>
      <w:tr>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pPr>
              <w:keepNext/>
              <w:spacing w:before="60" w:after="60"/>
              <w:rPr>
                <w:b/>
                <w:bCs/>
                <w:noProof/>
                <w:sz w:val="20"/>
              </w:rPr>
            </w:pPr>
            <w:r>
              <w:rPr>
                <w:b/>
                <w:bCs/>
                <w:noProof/>
                <w:color w:val="FFFFFF" w:themeColor="background1"/>
                <w:sz w:val="20"/>
              </w:rPr>
              <w:t>Нов тласък за европейската демокрация</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bCs/>
                <w:noProof/>
                <w:sz w:val="20"/>
              </w:rPr>
            </w:pPr>
            <w:r>
              <w:rPr>
                <w:b/>
                <w:bCs/>
                <w:noProof/>
                <w:sz w:val="20"/>
              </w:rPr>
              <w:t>Предложение на Комисията за преразглеждане на Директива 2008/48/ЕО относно договорите за потребителски кредити</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rPr>
            </w:pPr>
            <w:r>
              <w:rPr>
                <w:noProof/>
                <w:sz w:val="20"/>
              </w:rPr>
              <w:t>Текущата оценка на директивата ще се съсредоточи върху постигнатия напредък, разходите и ползите от нея. Освен това оценката ще разгледа дали първоначалните цели и инструменти на директивата съответстват на актуалните нужди, как директивата работи в съчетание с други законодателни актове и дали намесата на ЕС е донесла ползи. Въз основа на резултатите от оценката прегледът ще осигури по-добра информация за потребителите и по-добро разбиране на потребителските кредити, като се отчита цифровизацията при предоставянето на такива продукти. Той ще цели да се осигури по-добра защита на потребителите от безотговорни практики по отпускане на заеми, особено тези, които се разпространяват онлайн. (законодателна инициатива, вкл. оценка на въздействието, член 114 от ДФЕС, четвърто тримесечие на 2020 г.)</w:t>
            </w:r>
          </w:p>
        </w:tc>
      </w:tr>
      <w:tr>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pPr>
              <w:numPr>
                <w:ilvl w:val="0"/>
                <w:numId w:val="23"/>
              </w:numPr>
              <w:spacing w:after="0" w:line="276" w:lineRule="auto"/>
              <w:jc w:val="left"/>
              <w:rPr>
                <w:rFonts w:eastAsiaTheme="minorHAnsi" w:cstheme="minorBidi"/>
                <w:b/>
                <w:noProof/>
                <w:color w:val="000000" w:themeColor="text1"/>
                <w:sz w:val="20"/>
              </w:rPr>
            </w:pPr>
          </w:p>
        </w:tc>
        <w:tc>
          <w:tcPr>
            <w:tcW w:w="440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b/>
                <w:bCs/>
                <w:noProof/>
                <w:sz w:val="20"/>
              </w:rPr>
            </w:pPr>
            <w:r>
              <w:rPr>
                <w:b/>
                <w:bCs/>
                <w:noProof/>
                <w:sz w:val="20"/>
              </w:rPr>
              <w:t>Предложение на Комисията за преразглеждане на Директива 2002/65/ЕО относно дистанционна търговия на потребителски финансови услуги</w:t>
            </w:r>
          </w:p>
        </w:tc>
        <w:tc>
          <w:tcPr>
            <w:tcW w:w="9780" w:type="dxa"/>
            <w:tcBorders>
              <w:top w:val="single" w:sz="4" w:space="0" w:color="auto"/>
              <w:left w:val="single" w:sz="4" w:space="0" w:color="auto"/>
              <w:bottom w:val="single" w:sz="4" w:space="0" w:color="auto"/>
              <w:right w:val="single" w:sz="4" w:space="0" w:color="auto"/>
            </w:tcBorders>
          </w:tcPr>
          <w:p>
            <w:pPr>
              <w:spacing w:after="0"/>
              <w:jc w:val="left"/>
              <w:rPr>
                <w:rFonts w:eastAsiaTheme="minorEastAsia" w:cstheme="minorBidi"/>
                <w:noProof/>
                <w:sz w:val="20"/>
              </w:rPr>
            </w:pPr>
            <w:r>
              <w:rPr>
                <w:noProof/>
                <w:sz w:val="20"/>
              </w:rPr>
              <w:t>Извършваната понастоящем оценка ще разгледа дали са постигнати първоначалните цели, как функционира директивата от гледна точка на съотношението между разходите и ползите, намаляването на тежестта и опростяването, както и как директивата си взаимодейства с други законодателни актове в областта на финансовите услуги на дребно, защитата на потребителите и защитата на данните. Анализът ще оцени дали инструментите на директивата съответстват на първоначалните и настоящите нужди, както и нейната европейска добавена стойност. Въз основа на резултатите от оценката прегледът ще осигури по-добро разбиране на финансовите услуги на дребно, като се отчита цифровизацията при предоставянето на такива продукти. Той ще цели да се осигури по-добра защита на потребителите от безотговорни практики по отпускане на заеми, особено тези, които се разпространяват онлайн. (законодателна инициатива, вкл. оценка на въздействието, член 114 от ДФЕС, четвърто тримесечие на 2020 г.)</w:t>
            </w:r>
          </w:p>
        </w:tc>
      </w:tr>
      <w:tr>
        <w:trPr>
          <w:cantSplit/>
        </w:trPr>
        <w:tc>
          <w:tcPr>
            <w:tcW w:w="647" w:type="dxa"/>
            <w:shd w:val="clear" w:color="auto" w:fill="auto"/>
          </w:tcPr>
          <w:p>
            <w:pPr>
              <w:numPr>
                <w:ilvl w:val="0"/>
                <w:numId w:val="23"/>
              </w:numPr>
              <w:tabs>
                <w:tab w:val="num" w:pos="709"/>
              </w:tabs>
              <w:spacing w:after="0" w:line="276" w:lineRule="auto"/>
              <w:jc w:val="left"/>
              <w:rPr>
                <w:rFonts w:eastAsiaTheme="minorHAnsi" w:cstheme="minorBidi"/>
                <w:b/>
                <w:noProof/>
                <w:color w:val="000000"/>
                <w:sz w:val="20"/>
              </w:rPr>
            </w:pPr>
          </w:p>
        </w:tc>
        <w:tc>
          <w:tcPr>
            <w:tcW w:w="4400" w:type="dxa"/>
            <w:shd w:val="clear" w:color="auto" w:fill="auto"/>
          </w:tcPr>
          <w:p>
            <w:pPr>
              <w:spacing w:after="0"/>
              <w:rPr>
                <w:rFonts w:eastAsiaTheme="minorEastAsia" w:cstheme="minorBidi"/>
                <w:b/>
                <w:bCs/>
                <w:noProof/>
                <w:sz w:val="20"/>
              </w:rPr>
            </w:pPr>
            <w:r>
              <w:rPr>
                <w:b/>
                <w:bCs/>
                <w:noProof/>
                <w:sz w:val="20"/>
              </w:rPr>
              <w:t xml:space="preserve">Преразглеждане на Директива 2001/95/ЕО относно общата безопасност на продуктите </w:t>
            </w:r>
            <w:r>
              <w:rPr>
                <w:b/>
                <w:bCs/>
                <w:noProof/>
                <w:sz w:val="20"/>
              </w:rPr>
              <w:br/>
              <w:t>(регламент; правно основание — член 114 от ДФЕС)</w:t>
            </w:r>
          </w:p>
        </w:tc>
        <w:tc>
          <w:tcPr>
            <w:tcW w:w="9780" w:type="dxa"/>
          </w:tcPr>
          <w:p>
            <w:pPr>
              <w:spacing w:after="0"/>
              <w:rPr>
                <w:rFonts w:eastAsiaTheme="minorEastAsia" w:cstheme="minorBidi"/>
                <w:noProof/>
                <w:sz w:val="20"/>
              </w:rPr>
            </w:pPr>
            <w:r>
              <w:rPr>
                <w:noProof/>
                <w:sz w:val="20"/>
              </w:rPr>
              <w:t>Инициативата ще се занимае с породените от новите технологии проблемни въпроси, свързани с безопасността на продуктите; ще разгледа необходимостта от по-конкретни действия във връзка с онлайн продажбите; ще актуализира общата нормативна уредба за безопасността на продуктите; и с оглед на новия Регламент (ЕС) 2019/1020 относно надзора на пазара и съответствието на продуктите — ще запълни съществуващите пропуски между продуктите, за които надзорът на пазара е хармонизиран, и тези, за които не е. Преразглеждането ще доведе и до по-добра ефективност при изтеглянето на продукти от пазара и по-широк обхват на новите рискове за безопасността на продуктите. То следва да засили правомощията на държавите членки в областта на правоприлагането, по-специално във връзка с контрола на вноса. (законодателна инициатива, вкл. оценка на въздействието, член 114 от ДФЕС, четвърто тримесечие на 2020 г.)</w:t>
            </w:r>
          </w:p>
        </w:tc>
      </w:tr>
    </w:tbl>
    <w:p>
      <w:pPr>
        <w:spacing w:after="0"/>
        <w:jc w:val="left"/>
        <w:rPr>
          <w:noProof/>
          <w:sz w:val="20"/>
        </w:rPr>
      </w:pPr>
      <w:r>
        <w:rPr>
          <w:noProof/>
        </w:rPr>
        <w:br w:type="page"/>
      </w:r>
    </w:p>
    <w:p>
      <w:pPr>
        <w:spacing w:after="600"/>
        <w:jc w:val="center"/>
        <w:rPr>
          <w:b/>
          <w:noProof/>
          <w:sz w:val="28"/>
          <w:szCs w:val="28"/>
          <w:u w:val="single"/>
        </w:rPr>
      </w:pPr>
      <w:r>
        <w:rPr>
          <w:b/>
          <w:bCs/>
          <w:noProof/>
          <w:sz w:val="28"/>
          <w:szCs w:val="28"/>
          <w:u w:val="single"/>
        </w:rPr>
        <w:t>Приложение III: Приоритетни внесени предложения</w:t>
      </w:r>
      <w:r>
        <w:rPr>
          <w:rStyle w:val="FootnoteReference"/>
          <w:noProof/>
          <w:sz w:val="28"/>
          <w:szCs w:val="28"/>
        </w:rPr>
        <w:footnoteReference w:id="4"/>
      </w:r>
    </w:p>
    <w:tbl>
      <w:tblPr>
        <w:tblStyle w:val="TableGrid"/>
        <w:tblW w:w="14850" w:type="dxa"/>
        <w:tblLayout w:type="fixed"/>
        <w:tblLook w:val="04A0" w:firstRow="1" w:lastRow="0" w:firstColumn="1" w:lastColumn="0" w:noHBand="0" w:noVBand="1"/>
      </w:tblPr>
      <w:tblGrid>
        <w:gridCol w:w="652"/>
        <w:gridCol w:w="12072"/>
        <w:gridCol w:w="2126"/>
      </w:tblGrid>
      <w:tr>
        <w:trPr>
          <w:cantSplit/>
          <w:tblHeader/>
        </w:trPr>
        <w:tc>
          <w:tcPr>
            <w:tcW w:w="652" w:type="dxa"/>
            <w:tcBorders>
              <w:bottom w:val="single" w:sz="4" w:space="0" w:color="auto"/>
            </w:tcBorders>
            <w:shd w:val="clear" w:color="auto" w:fill="99CCFF"/>
            <w:tcMar>
              <w:top w:w="85" w:type="dxa"/>
              <w:left w:w="85" w:type="dxa"/>
              <w:bottom w:w="85" w:type="dxa"/>
              <w:right w:w="85" w:type="dxa"/>
            </w:tcMar>
          </w:tcPr>
          <w:p>
            <w:pPr>
              <w:spacing w:before="60" w:after="60"/>
              <w:rPr>
                <w:b/>
                <w:bCs/>
                <w:noProof/>
                <w:sz w:val="20"/>
              </w:rPr>
            </w:pPr>
            <w:r>
              <w:rPr>
                <w:b/>
                <w:bCs/>
                <w:noProof/>
                <w:sz w:val="20"/>
              </w:rPr>
              <w:t>№</w:t>
            </w:r>
          </w:p>
        </w:tc>
        <w:tc>
          <w:tcPr>
            <w:tcW w:w="12072"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Пълно наименование</w:t>
            </w:r>
          </w:p>
        </w:tc>
        <w:tc>
          <w:tcPr>
            <w:tcW w:w="2126" w:type="dxa"/>
            <w:tcBorders>
              <w:bottom w:val="single" w:sz="4" w:space="0" w:color="auto"/>
            </w:tcBorders>
            <w:shd w:val="clear" w:color="auto" w:fill="99CCFF"/>
            <w:tcMar>
              <w:top w:w="85" w:type="dxa"/>
              <w:left w:w="85" w:type="dxa"/>
              <w:bottom w:w="85" w:type="dxa"/>
              <w:right w:w="85" w:type="dxa"/>
            </w:tcMar>
          </w:tcPr>
          <w:p>
            <w:pPr>
              <w:spacing w:before="60" w:after="60"/>
              <w:jc w:val="center"/>
              <w:rPr>
                <w:b/>
                <w:bCs/>
                <w:noProof/>
                <w:sz w:val="20"/>
              </w:rPr>
            </w:pPr>
            <w:r>
              <w:rPr>
                <w:b/>
                <w:bCs/>
                <w:noProof/>
                <w:sz w:val="20"/>
              </w:rPr>
              <w:t>Референтен номер</w:t>
            </w:r>
          </w:p>
        </w:tc>
      </w:tr>
      <w:tr>
        <w:trPr>
          <w:cantSplit/>
        </w:trPr>
        <w:tc>
          <w:tcPr>
            <w:tcW w:w="14850" w:type="dxa"/>
            <w:gridSpan w:val="3"/>
            <w:shd w:val="clear" w:color="auto" w:fill="9ACA3C" w:themeFill="accent1"/>
            <w:tcMar>
              <w:top w:w="85" w:type="dxa"/>
              <w:left w:w="85" w:type="dxa"/>
              <w:bottom w:w="85" w:type="dxa"/>
              <w:right w:w="85" w:type="dxa"/>
            </w:tcMar>
          </w:tcPr>
          <w:p>
            <w:pPr>
              <w:keepNext/>
              <w:spacing w:before="60" w:after="60"/>
              <w:rPr>
                <w:b/>
                <w:bCs/>
                <w:noProof/>
                <w:sz w:val="20"/>
              </w:rPr>
            </w:pPr>
            <w:r>
              <w:rPr>
                <w:b/>
                <w:bCs/>
                <w:noProof/>
                <w:color w:val="FFFFFF" w:themeColor="background1"/>
                <w:sz w:val="20"/>
              </w:rPr>
              <w:t>Европейски зелен пакт</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2015/757 с цел подходящо съобразяване с глобалната система за събиране на данни за консумацията на гориво от корабите</w:t>
            </w:r>
            <w:r>
              <w:rPr>
                <w:b/>
                <w:bCs/>
                <w:noProof/>
                <w:sz w:val="20"/>
              </w:rPr>
              <w:t xml:space="preserve"> </w:t>
            </w:r>
          </w:p>
        </w:tc>
        <w:tc>
          <w:tcPr>
            <w:tcW w:w="2126" w:type="dxa"/>
            <w:tcMar>
              <w:top w:w="85" w:type="dxa"/>
              <w:left w:w="85" w:type="dxa"/>
              <w:bottom w:w="85" w:type="dxa"/>
            </w:tcMar>
          </w:tcPr>
          <w:p>
            <w:pPr>
              <w:spacing w:after="0"/>
              <w:jc w:val="left"/>
              <w:rPr>
                <w:noProof/>
                <w:sz w:val="20"/>
              </w:rPr>
            </w:pPr>
            <w:r>
              <w:rPr>
                <w:noProof/>
                <w:sz w:val="20"/>
              </w:rPr>
              <w:t>COM(2019)38 final</w:t>
            </w:r>
            <w:r>
              <w:rPr>
                <w:noProof/>
                <w:sz w:val="20"/>
              </w:rPr>
              <w:br/>
              <w:t>2019/0017 (COD)</w:t>
            </w:r>
            <w:r>
              <w:rPr>
                <w:noProof/>
                <w:sz w:val="20"/>
              </w:rPr>
              <w:br/>
              <w:t>4.2.2019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w:t>
            </w:r>
          </w:p>
        </w:tc>
        <w:tc>
          <w:tcPr>
            <w:tcW w:w="2126" w:type="dxa"/>
            <w:tcMar>
              <w:top w:w="85" w:type="dxa"/>
              <w:left w:w="85" w:type="dxa"/>
              <w:bottom w:w="85" w:type="dxa"/>
            </w:tcMar>
          </w:tcPr>
          <w:p>
            <w:pPr>
              <w:spacing w:after="0"/>
              <w:jc w:val="left"/>
              <w:rPr>
                <w:noProof/>
                <w:sz w:val="20"/>
              </w:rPr>
            </w:pPr>
            <w:r>
              <w:rPr>
                <w:noProof/>
                <w:sz w:val="20"/>
              </w:rPr>
              <w:t>COM(2018)368 final</w:t>
            </w:r>
            <w:r>
              <w:rPr>
                <w:noProof/>
                <w:sz w:val="20"/>
              </w:rPr>
              <w:br/>
              <w:t>2018/0193 (COD)</w:t>
            </w:r>
            <w:r>
              <w:rPr>
                <w:noProof/>
                <w:sz w:val="20"/>
              </w:rPr>
              <w:b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оптимизирането на мерките за постигане на напредък по осъществяването на трансевропейската транспортна мрежа</w:t>
            </w:r>
          </w:p>
        </w:tc>
        <w:tc>
          <w:tcPr>
            <w:tcW w:w="2126" w:type="dxa"/>
            <w:tcMar>
              <w:top w:w="85" w:type="dxa"/>
              <w:left w:w="85" w:type="dxa"/>
              <w:bottom w:w="85" w:type="dxa"/>
            </w:tcMar>
          </w:tcPr>
          <w:p>
            <w:pPr>
              <w:spacing w:after="0"/>
              <w:jc w:val="left"/>
              <w:rPr>
                <w:noProof/>
                <w:sz w:val="20"/>
              </w:rPr>
            </w:pPr>
            <w:r>
              <w:rPr>
                <w:noProof/>
                <w:sz w:val="20"/>
              </w:rPr>
              <w:t>COM(2018)277 final</w:t>
            </w:r>
            <w:r>
              <w:rPr>
                <w:noProof/>
                <w:sz w:val="20"/>
              </w:rPr>
              <w:br/>
              <w:t>2018/0138 (COD)</w:t>
            </w:r>
            <w:r>
              <w:rPr>
                <w:noProof/>
                <w:sz w:val="20"/>
              </w:rPr>
              <w:br/>
              <w:t>17.5.2018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изменение на Директива 1999/62/EО относно заплащането на такси от тежкотоварни автомобили за ползване на определени инфраструктури</w:t>
            </w:r>
          </w:p>
        </w:tc>
        <w:tc>
          <w:tcPr>
            <w:tcW w:w="2126" w:type="dxa"/>
            <w:tcMar>
              <w:top w:w="85" w:type="dxa"/>
              <w:left w:w="85" w:type="dxa"/>
              <w:bottom w:w="85" w:type="dxa"/>
            </w:tcMar>
          </w:tcPr>
          <w:p>
            <w:pPr>
              <w:spacing w:after="0"/>
              <w:jc w:val="left"/>
              <w:rPr>
                <w:noProof/>
                <w:sz w:val="20"/>
              </w:rPr>
            </w:pPr>
            <w:r>
              <w:rPr>
                <w:noProof/>
                <w:sz w:val="20"/>
              </w:rPr>
              <w:t>COM(2017)275 final</w:t>
            </w:r>
            <w:r>
              <w:rPr>
                <w:noProof/>
                <w:sz w:val="20"/>
              </w:rPr>
              <w:br/>
              <w:t>2017/0114 (COD)</w:t>
            </w:r>
            <w:r>
              <w:rPr>
                <w:noProof/>
                <w:sz w:val="20"/>
              </w:rPr>
              <w:br/>
              <w:t>31.5.2017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СЪВЕТА за изменение на Регламент (ЕО) № 866/2004 относно режим съгласно член 2 от Протокол № 10 от Акта за присъединяване по отношение на стоките, обхванати от схеми за качество на селскостопанските продукти и храни</w:t>
            </w:r>
          </w:p>
        </w:tc>
        <w:tc>
          <w:tcPr>
            <w:tcW w:w="2126" w:type="dxa"/>
            <w:tcMar>
              <w:top w:w="85" w:type="dxa"/>
              <w:left w:w="85" w:type="dxa"/>
              <w:bottom w:w="85" w:type="dxa"/>
            </w:tcMar>
          </w:tcPr>
          <w:p>
            <w:pPr>
              <w:spacing w:after="0"/>
              <w:jc w:val="left"/>
              <w:rPr>
                <w:noProof/>
                <w:sz w:val="20"/>
              </w:rPr>
            </w:pPr>
            <w:r>
              <w:rPr>
                <w:noProof/>
                <w:sz w:val="20"/>
              </w:rPr>
              <w:t>COM(2015)380 final</w:t>
            </w:r>
            <w:r>
              <w:rPr>
                <w:noProof/>
                <w:sz w:val="20"/>
              </w:rPr>
              <w:br/>
              <w:t>2015/0165 (NLE)</w:t>
            </w:r>
            <w:r>
              <w:rPr>
                <w:noProof/>
                <w:sz w:val="20"/>
              </w:rPr>
              <w:br/>
              <w:t>28.7.2015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1829/2003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w:t>
            </w:r>
          </w:p>
        </w:tc>
        <w:tc>
          <w:tcPr>
            <w:tcW w:w="2126" w:type="dxa"/>
            <w:tcMar>
              <w:top w:w="85" w:type="dxa"/>
              <w:left w:w="85" w:type="dxa"/>
              <w:bottom w:w="85" w:type="dxa"/>
            </w:tcMar>
          </w:tcPr>
          <w:p>
            <w:pPr>
              <w:spacing w:after="0"/>
              <w:jc w:val="left"/>
              <w:rPr>
                <w:noProof/>
                <w:sz w:val="20"/>
              </w:rPr>
            </w:pPr>
            <w:r>
              <w:rPr>
                <w:noProof/>
                <w:sz w:val="20"/>
              </w:rPr>
              <w:t>COM(2015)177 final</w:t>
            </w:r>
            <w:r>
              <w:rPr>
                <w:noProof/>
                <w:sz w:val="20"/>
              </w:rPr>
              <w:br/>
              <w:t>2015/0093 (COD)</w:t>
            </w:r>
            <w:r>
              <w:rPr>
                <w:noProof/>
                <w:sz w:val="20"/>
              </w:rPr>
              <w:br/>
              <w:t>22.4.2015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програмата InvestEU</w:t>
            </w:r>
          </w:p>
        </w:tc>
        <w:tc>
          <w:tcPr>
            <w:tcW w:w="2126" w:type="dxa"/>
            <w:tcMar>
              <w:top w:w="85" w:type="dxa"/>
              <w:left w:w="85" w:type="dxa"/>
              <w:bottom w:w="85" w:type="dxa"/>
            </w:tcMar>
          </w:tcPr>
          <w:p>
            <w:pPr>
              <w:spacing w:after="0"/>
              <w:jc w:val="left"/>
              <w:rPr>
                <w:noProof/>
                <w:sz w:val="20"/>
              </w:rPr>
            </w:pPr>
            <w:r>
              <w:rPr>
                <w:noProof/>
                <w:sz w:val="20"/>
              </w:rPr>
              <w:t>COM(2018)439 final</w:t>
            </w:r>
            <w:r>
              <w:rPr>
                <w:noProof/>
                <w:sz w:val="20"/>
              </w:rPr>
              <w:br/>
              <w:t>2018/0229 (COD)</w:t>
            </w:r>
            <w:r>
              <w:rPr>
                <w:noProof/>
                <w:sz w:val="20"/>
              </w:rPr>
              <w:br/>
              <w:t>8.6.2018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създаване на програма за подпомагане на извеждането от експлоатация на ядрената централа „Игналина“ в Литва (програма „Игналина“); и за отмяна на Регламент (ЕС) № 1369/2013 на Съвета</w:t>
            </w:r>
          </w:p>
        </w:tc>
        <w:tc>
          <w:tcPr>
            <w:tcW w:w="2126" w:type="dxa"/>
            <w:tcMar>
              <w:top w:w="85" w:type="dxa"/>
              <w:left w:w="85" w:type="dxa"/>
              <w:bottom w:w="85" w:type="dxa"/>
            </w:tcMar>
          </w:tcPr>
          <w:p>
            <w:pPr>
              <w:spacing w:after="0"/>
              <w:jc w:val="left"/>
              <w:rPr>
                <w:noProof/>
                <w:sz w:val="20"/>
              </w:rPr>
            </w:pPr>
            <w:r>
              <w:rPr>
                <w:noProof/>
                <w:sz w:val="20"/>
              </w:rPr>
              <w:t>COM(2018)466 final</w:t>
            </w:r>
            <w:r>
              <w:rPr>
                <w:noProof/>
                <w:sz w:val="20"/>
              </w:rPr>
              <w:br/>
              <w:t>2018/0251 (NLE)</w:t>
            </w:r>
            <w:r>
              <w:rPr>
                <w:noProof/>
                <w:sz w:val="20"/>
              </w:rPr>
              <w:br/>
              <w:t>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създаване на специална финансова програма за извеждане от експлоатация на ядрени съоръжения и управление на радиоактивни отпадъци и за отмяна на Регламент (Евратом) № 1368/2013 на Съвета</w:t>
            </w:r>
          </w:p>
        </w:tc>
        <w:tc>
          <w:tcPr>
            <w:tcW w:w="2126" w:type="dxa"/>
            <w:tcMar>
              <w:top w:w="85" w:type="dxa"/>
              <w:left w:w="85" w:type="dxa"/>
              <w:bottom w:w="85" w:type="dxa"/>
            </w:tcMar>
          </w:tcPr>
          <w:p>
            <w:pPr>
              <w:spacing w:after="0"/>
              <w:jc w:val="left"/>
              <w:rPr>
                <w:noProof/>
                <w:sz w:val="20"/>
              </w:rPr>
            </w:pPr>
            <w:r>
              <w:rPr>
                <w:noProof/>
                <w:sz w:val="20"/>
              </w:rPr>
              <w:t>COM(2018)467 final</w:t>
            </w:r>
            <w:r>
              <w:rPr>
                <w:noProof/>
                <w:sz w:val="20"/>
              </w:rPr>
              <w:br/>
              <w:t>2018/0252 (NLE)</w:t>
            </w:r>
            <w:r>
              <w:rPr>
                <w:noProof/>
                <w:sz w:val="20"/>
              </w:rPr>
              <w:br/>
              <w:t>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РЕШЕНИЕ НА СЪВЕТА за изменение на Решение 2007/198/Евратом за създаване на Европейско съвместно предприятие за „ITER“ и развитието на термоядрената енергия и за предоставяне на предимства на същото</w:t>
            </w:r>
          </w:p>
        </w:tc>
        <w:tc>
          <w:tcPr>
            <w:tcW w:w="2126" w:type="dxa"/>
            <w:tcMar>
              <w:top w:w="85" w:type="dxa"/>
              <w:left w:w="85" w:type="dxa"/>
              <w:bottom w:w="85" w:type="dxa"/>
            </w:tcMar>
          </w:tcPr>
          <w:p>
            <w:pPr>
              <w:spacing w:after="0"/>
              <w:jc w:val="left"/>
              <w:rPr>
                <w:noProof/>
                <w:sz w:val="20"/>
              </w:rPr>
            </w:pPr>
            <w:r>
              <w:rPr>
                <w:noProof/>
                <w:sz w:val="20"/>
              </w:rPr>
              <w:t>COM(2018)445 final</w:t>
            </w:r>
            <w:r>
              <w:rPr>
                <w:noProof/>
                <w:sz w:val="20"/>
              </w:rPr>
              <w:br/>
              <w:t>2018/0235 (NLE)</w:t>
            </w:r>
            <w:r>
              <w:rPr>
                <w:noProof/>
                <w:sz w:val="20"/>
              </w:rPr>
              <w:br/>
              <w:t>7.6.2018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за околната среда и действията по климата (LIFE) и за отмяна на Регламент (ЕС) № 1293/2013</w:t>
            </w:r>
          </w:p>
        </w:tc>
        <w:tc>
          <w:tcPr>
            <w:tcW w:w="2126" w:type="dxa"/>
            <w:tcMar>
              <w:top w:w="85" w:type="dxa"/>
              <w:left w:w="85" w:type="dxa"/>
              <w:bottom w:w="85" w:type="dxa"/>
            </w:tcMar>
          </w:tcPr>
          <w:p>
            <w:pPr>
              <w:spacing w:after="0"/>
              <w:jc w:val="left"/>
              <w:rPr>
                <w:noProof/>
                <w:sz w:val="20"/>
              </w:rPr>
            </w:pPr>
            <w:r>
              <w:rPr>
                <w:noProof/>
                <w:sz w:val="20"/>
              </w:rPr>
              <w:t>COM(2018)385 final</w:t>
            </w:r>
            <w:r>
              <w:rPr>
                <w:noProof/>
                <w:sz w:val="20"/>
              </w:rPr>
              <w:br/>
              <w:t>2018/0209 (COD)</w:t>
            </w:r>
            <w:r>
              <w:rPr>
                <w:noProof/>
                <w:sz w:val="20"/>
              </w:rPr>
              <w:br/>
              <w:t>1.6.2018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Европейския фонд за морско дело и рибарство и за отмяна на Регламент (ЕС) № 508/2014 на Европейския парламент и на Съвета</w:t>
            </w:r>
          </w:p>
        </w:tc>
        <w:tc>
          <w:tcPr>
            <w:tcW w:w="2126" w:type="dxa"/>
            <w:tcMar>
              <w:top w:w="85" w:type="dxa"/>
              <w:left w:w="85" w:type="dxa"/>
              <w:bottom w:w="85" w:type="dxa"/>
            </w:tcMar>
          </w:tcPr>
          <w:p>
            <w:pPr>
              <w:spacing w:after="0"/>
              <w:jc w:val="left"/>
              <w:rPr>
                <w:noProof/>
                <w:sz w:val="20"/>
              </w:rPr>
            </w:pPr>
            <w:r>
              <w:rPr>
                <w:noProof/>
                <w:sz w:val="20"/>
              </w:rPr>
              <w:t>COM(2018)390 final</w:t>
            </w:r>
            <w:r>
              <w:rPr>
                <w:noProof/>
                <w:sz w:val="20"/>
              </w:rPr>
              <w:br/>
              <w:t>2018/0210 (COD) 12.6.2018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финансирането, управлението и мониторинга на общата селскостопанска политика и за отмяна на Регламент (ЕС) № 1306/2013</w:t>
            </w:r>
          </w:p>
        </w:tc>
        <w:tc>
          <w:tcPr>
            <w:tcW w:w="2126" w:type="dxa"/>
            <w:tcMar>
              <w:top w:w="85" w:type="dxa"/>
              <w:left w:w="85" w:type="dxa"/>
              <w:bottom w:w="85" w:type="dxa"/>
            </w:tcMar>
          </w:tcPr>
          <w:p>
            <w:pPr>
              <w:spacing w:after="0"/>
              <w:jc w:val="left"/>
              <w:rPr>
                <w:noProof/>
                <w:sz w:val="20"/>
              </w:rPr>
            </w:pPr>
            <w:r>
              <w:rPr>
                <w:noProof/>
                <w:sz w:val="20"/>
              </w:rPr>
              <w:t>COM(2018)393 final</w:t>
            </w:r>
            <w:r>
              <w:rPr>
                <w:noProof/>
                <w:sz w:val="20"/>
              </w:rPr>
              <w:br/>
              <w:t>2018/0217 (COD)</w:t>
            </w:r>
            <w:r>
              <w:rPr>
                <w:noProof/>
                <w:sz w:val="20"/>
              </w:rPr>
              <w:br/>
              <w:t>1.6.2018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острови в Егейско море</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COM(2018)394 final</w:t>
            </w:r>
            <w:r>
              <w:rPr>
                <w:noProof/>
                <w:sz w:val="20"/>
              </w:rPr>
              <w:br/>
              <w:t>2018/0218 (COD)</w:t>
            </w:r>
            <w:r>
              <w:rPr>
                <w:noProof/>
                <w:sz w:val="20"/>
              </w:rPr>
              <w:br/>
              <w:t>23.4.2018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COM(2018)392 final</w:t>
            </w:r>
            <w:r>
              <w:rPr>
                <w:noProof/>
                <w:sz w:val="20"/>
              </w:rPr>
              <w:br/>
              <w:t>2018/0216 (COD)</w:t>
            </w:r>
            <w:r>
              <w:rPr>
                <w:noProof/>
                <w:sz w:val="20"/>
              </w:rPr>
              <w:br/>
              <w:t>1.6.2018 г.</w:t>
            </w:r>
          </w:p>
        </w:tc>
      </w:tr>
      <w:tr>
        <w:trPr>
          <w:cantSplit/>
        </w:trPr>
        <w:tc>
          <w:tcPr>
            <w:tcW w:w="652" w:type="dxa"/>
            <w:tcBorders>
              <w:bottom w:val="single" w:sz="4" w:space="0" w:color="auto"/>
              <w:right w:val="nil"/>
            </w:tcBorders>
            <w:shd w:val="clear" w:color="auto" w:fill="auto"/>
            <w:tcMar>
              <w:top w:w="85" w:type="dxa"/>
              <w:left w:w="85" w:type="dxa"/>
              <w:bottom w:w="85" w:type="dxa"/>
              <w:right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определяне на някои преходни разпоредби във връзка с подпомагането от Европейския земеделски фонд за развитие на селските райони (ЕЗФРСР) и от Европейския фонд за гарантиране на земеделието (ЕФГЗ) през 2021 г. и за изменение на регламенти (ЕС) № 228/2013, (ЕС) № 229/2013 и (ЕС) № 1308/2013 по отношение на ресурсите и тяхното разпределение за 2021 г., както и на регламенти (ЕС) № 1305/2013, (ЕС) № 1306/2013 и (ЕС) № 1307/2013 по отношение на ресурсите и на прилагането им през 2021 г.</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COM(2019)581 final</w:t>
            </w:r>
            <w:r>
              <w:rPr>
                <w:noProof/>
                <w:sz w:val="20"/>
              </w:rPr>
              <w:br/>
              <w:t>2019/0254 (COD)</w:t>
            </w:r>
            <w:r>
              <w:rPr>
                <w:noProof/>
                <w:sz w:val="20"/>
              </w:rPr>
              <w:br/>
              <w:t>31.10.2019 г.</w:t>
            </w:r>
          </w:p>
        </w:tc>
      </w:tr>
      <w:tr>
        <w:trPr>
          <w:cantSplit/>
        </w:trPr>
        <w:tc>
          <w:tcPr>
            <w:tcW w:w="14850" w:type="dxa"/>
            <w:gridSpan w:val="3"/>
            <w:shd w:val="clear" w:color="auto" w:fill="18BAA8" w:themeFill="accent2"/>
            <w:tcMar>
              <w:top w:w="85" w:type="dxa"/>
              <w:left w:w="85" w:type="dxa"/>
              <w:bottom w:w="85" w:type="dxa"/>
              <w:right w:w="85" w:type="dxa"/>
            </w:tcMar>
          </w:tcPr>
          <w:p>
            <w:pPr>
              <w:spacing w:before="60" w:after="60"/>
              <w:rPr>
                <w:noProof/>
                <w:sz w:val="20"/>
              </w:rPr>
            </w:pPr>
            <w:r>
              <w:rPr>
                <w:b/>
                <w:bCs/>
                <w:noProof/>
                <w:color w:val="FFFFFF" w:themeColor="background1"/>
                <w:sz w:val="20"/>
              </w:rPr>
              <w:t>Европа, подготвена за цифровата ера</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правата и задълженията на пътниците, използващи железопътен транспорт (преработен текст)</w:t>
            </w:r>
            <w:r>
              <w:rPr>
                <w:b/>
                <w:bCs/>
                <w:noProof/>
                <w:sz w:val="20"/>
              </w:rPr>
              <w:t xml:space="preserve"> </w:t>
            </w:r>
          </w:p>
        </w:tc>
        <w:tc>
          <w:tcPr>
            <w:tcW w:w="2126" w:type="dxa"/>
            <w:tcMar>
              <w:top w:w="85" w:type="dxa"/>
              <w:left w:w="85" w:type="dxa"/>
              <w:bottom w:w="85" w:type="dxa"/>
            </w:tcMar>
          </w:tcPr>
          <w:p>
            <w:pPr>
              <w:spacing w:after="0"/>
              <w:jc w:val="left"/>
              <w:rPr>
                <w:noProof/>
                <w:sz w:val="20"/>
              </w:rPr>
            </w:pPr>
            <w:r>
              <w:rPr>
                <w:noProof/>
                <w:sz w:val="20"/>
              </w:rPr>
              <w:t>COM(2017)548 final</w:t>
            </w:r>
            <w:r>
              <w:rPr>
                <w:noProof/>
                <w:sz w:val="20"/>
              </w:rPr>
              <w:br/>
              <w:t>2017/0237 (COD)</w:t>
            </w:r>
            <w:r>
              <w:rPr>
                <w:noProof/>
                <w:sz w:val="20"/>
              </w:rPr>
              <w:br/>
              <w:t>27.9.2017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261/2004 относно създаване на общи правила за обезщетяване и помощ на пътниците при отказан достъп на борда и отмяна или голямо закъснение на полети и на Регламент (ЕО) № 2027/97 относно отговорността на въздушните превозвачи при въздушния превоз на пътници и техния багаж</w:t>
            </w:r>
          </w:p>
        </w:tc>
        <w:tc>
          <w:tcPr>
            <w:tcW w:w="2126" w:type="dxa"/>
            <w:tcMar>
              <w:top w:w="85" w:type="dxa"/>
              <w:left w:w="85" w:type="dxa"/>
              <w:bottom w:w="85" w:type="dxa"/>
            </w:tcMar>
          </w:tcPr>
          <w:p>
            <w:pPr>
              <w:spacing w:after="0"/>
              <w:jc w:val="left"/>
              <w:rPr>
                <w:noProof/>
                <w:sz w:val="20"/>
              </w:rPr>
            </w:pPr>
            <w:r>
              <w:rPr>
                <w:noProof/>
                <w:sz w:val="20"/>
              </w:rPr>
              <w:t>COM(2013)130 final</w:t>
            </w:r>
            <w:r>
              <w:rPr>
                <w:noProof/>
                <w:sz w:val="20"/>
              </w:rPr>
              <w:br/>
              <w:t>2013/0072 (COD)</w:t>
            </w:r>
            <w:r>
              <w:rPr>
                <w:noProof/>
                <w:sz w:val="20"/>
              </w:rPr>
              <w:br/>
              <w:t>13.3.2013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прилагането на Единното европейско небе (преработен текст)</w:t>
            </w:r>
          </w:p>
        </w:tc>
        <w:tc>
          <w:tcPr>
            <w:tcW w:w="2126" w:type="dxa"/>
            <w:tcMar>
              <w:top w:w="85" w:type="dxa"/>
              <w:left w:w="85" w:type="dxa"/>
              <w:bottom w:w="85" w:type="dxa"/>
            </w:tcMar>
          </w:tcPr>
          <w:p>
            <w:pPr>
              <w:spacing w:after="0"/>
              <w:jc w:val="left"/>
              <w:rPr>
                <w:noProof/>
                <w:sz w:val="20"/>
              </w:rPr>
            </w:pPr>
            <w:r>
              <w:rPr>
                <w:noProof/>
                <w:sz w:val="20"/>
              </w:rPr>
              <w:t>COM(2013)410 final</w:t>
            </w:r>
            <w:r>
              <w:rPr>
                <w:noProof/>
                <w:sz w:val="20"/>
              </w:rPr>
              <w:br/>
              <w:t>2013/0186 (COD)</w:t>
            </w:r>
            <w:r>
              <w:rPr>
                <w:noProof/>
                <w:sz w:val="20"/>
              </w:rPr>
              <w:br/>
              <w:t>11.6.2013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общите правила за разпределяне на слотовете на летищата в Европейския съюз</w:t>
            </w:r>
          </w:p>
        </w:tc>
        <w:tc>
          <w:tcPr>
            <w:tcW w:w="2126" w:type="dxa"/>
            <w:tcMar>
              <w:top w:w="85" w:type="dxa"/>
              <w:left w:w="85" w:type="dxa"/>
              <w:bottom w:w="85" w:type="dxa"/>
            </w:tcMar>
          </w:tcPr>
          <w:p>
            <w:pPr>
              <w:spacing w:after="0"/>
              <w:jc w:val="left"/>
              <w:rPr>
                <w:noProof/>
                <w:sz w:val="20"/>
              </w:rPr>
            </w:pPr>
            <w:r>
              <w:rPr>
                <w:noProof/>
                <w:sz w:val="20"/>
              </w:rPr>
              <w:t>COM(2011)827 final</w:t>
            </w:r>
            <w:r>
              <w:rPr>
                <w:noProof/>
                <w:sz w:val="20"/>
              </w:rPr>
              <w:br/>
              <w:t>2011/0391 (COD)</w:t>
            </w:r>
            <w:r>
              <w:rPr>
                <w:noProof/>
                <w:sz w:val="20"/>
              </w:rPr>
              <w:br/>
              <w:t>1.12.2011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изменение на Директива 2006/1/EО относно използването на превозни средства, наети без шофьори, за автомобилен превоз на товари</w:t>
            </w:r>
          </w:p>
        </w:tc>
        <w:tc>
          <w:tcPr>
            <w:tcW w:w="2126" w:type="dxa"/>
            <w:tcMar>
              <w:top w:w="85" w:type="dxa"/>
              <w:left w:w="85" w:type="dxa"/>
              <w:bottom w:w="85" w:type="dxa"/>
            </w:tcMar>
          </w:tcPr>
          <w:p>
            <w:pPr>
              <w:spacing w:after="0"/>
              <w:jc w:val="left"/>
              <w:rPr>
                <w:noProof/>
                <w:sz w:val="20"/>
              </w:rPr>
            </w:pPr>
            <w:r>
              <w:rPr>
                <w:noProof/>
                <w:sz w:val="20"/>
              </w:rPr>
              <w:t>COM(2017)282 final</w:t>
            </w:r>
            <w:r>
              <w:rPr>
                <w:noProof/>
                <w:sz w:val="20"/>
              </w:rPr>
              <w:br/>
              <w:t>2017/0113 (COD)</w:t>
            </w:r>
            <w:r>
              <w:rPr>
                <w:noProof/>
                <w:sz w:val="20"/>
              </w:rPr>
              <w:br/>
              <w:t>31.5.2017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1073/2009 относно общите правила за достъп до международния пазар на автобусни превози</w:t>
            </w:r>
          </w:p>
        </w:tc>
        <w:tc>
          <w:tcPr>
            <w:tcW w:w="2126" w:type="dxa"/>
            <w:tcMar>
              <w:top w:w="85" w:type="dxa"/>
              <w:left w:w="85" w:type="dxa"/>
              <w:bottom w:w="85" w:type="dxa"/>
            </w:tcMar>
          </w:tcPr>
          <w:p>
            <w:pPr>
              <w:spacing w:after="0"/>
              <w:jc w:val="left"/>
              <w:rPr>
                <w:noProof/>
                <w:sz w:val="20"/>
              </w:rPr>
            </w:pPr>
            <w:r>
              <w:rPr>
                <w:noProof/>
                <w:sz w:val="20"/>
              </w:rPr>
              <w:t>COM(2017)647 final</w:t>
            </w:r>
            <w:r>
              <w:rPr>
                <w:noProof/>
                <w:sz w:val="20"/>
              </w:rPr>
              <w:br/>
              <w:t>2017/0288 (COD)</w:t>
            </w:r>
            <w:r>
              <w:rPr>
                <w:noProof/>
                <w:sz w:val="20"/>
              </w:rPr>
              <w:br/>
              <w:t>8.11.2017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преустановяване на сезонните промени на часовото време и за отмяна на Директива 2000/84/ЕО</w:t>
            </w:r>
          </w:p>
        </w:tc>
        <w:tc>
          <w:tcPr>
            <w:tcW w:w="2126" w:type="dxa"/>
            <w:tcMar>
              <w:top w:w="85" w:type="dxa"/>
              <w:left w:w="85" w:type="dxa"/>
              <w:bottom w:w="85" w:type="dxa"/>
            </w:tcMar>
          </w:tcPr>
          <w:p>
            <w:pPr>
              <w:spacing w:after="0"/>
              <w:jc w:val="left"/>
              <w:rPr>
                <w:noProof/>
                <w:sz w:val="20"/>
              </w:rPr>
            </w:pPr>
            <w:r>
              <w:rPr>
                <w:noProof/>
                <w:sz w:val="20"/>
              </w:rPr>
              <w:t>COM(2018)639 final</w:t>
            </w:r>
            <w:r>
              <w:rPr>
                <w:noProof/>
                <w:sz w:val="20"/>
              </w:rPr>
              <w:br/>
              <w:t>2018/0332 (COD)</w:t>
            </w:r>
            <w:r>
              <w:rPr>
                <w:noProof/>
                <w:sz w:val="20"/>
              </w:rPr>
              <w:br/>
              <w:t>12.9.2018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715/2007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p>
        </w:tc>
        <w:tc>
          <w:tcPr>
            <w:tcW w:w="2126" w:type="dxa"/>
            <w:tcMar>
              <w:top w:w="85" w:type="dxa"/>
              <w:left w:w="85" w:type="dxa"/>
              <w:bottom w:w="85" w:type="dxa"/>
            </w:tcMar>
          </w:tcPr>
          <w:p>
            <w:pPr>
              <w:spacing w:after="0"/>
              <w:jc w:val="left"/>
              <w:rPr>
                <w:noProof/>
                <w:sz w:val="20"/>
              </w:rPr>
            </w:pPr>
            <w:r>
              <w:rPr>
                <w:noProof/>
                <w:sz w:val="20"/>
              </w:rPr>
              <w:t>COM(2019)208 final</w:t>
            </w:r>
            <w:r>
              <w:rPr>
                <w:noProof/>
                <w:sz w:val="20"/>
              </w:rPr>
              <w:br/>
              <w:t>2019/0101 (COD)</w:t>
            </w:r>
            <w:r>
              <w:rPr>
                <w:noProof/>
                <w:sz w:val="20"/>
              </w:rPr>
              <w:br/>
              <w:t>14.6.2019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w:t>
            </w:r>
          </w:p>
        </w:tc>
        <w:tc>
          <w:tcPr>
            <w:tcW w:w="2126" w:type="dxa"/>
            <w:tcMar>
              <w:top w:w="85" w:type="dxa"/>
              <w:left w:w="85" w:type="dxa"/>
              <w:bottom w:w="85" w:type="dxa"/>
            </w:tcMar>
          </w:tcPr>
          <w:p>
            <w:pPr>
              <w:spacing w:after="0"/>
              <w:jc w:val="left"/>
              <w:rPr>
                <w:noProof/>
                <w:sz w:val="20"/>
              </w:rPr>
            </w:pPr>
            <w:r>
              <w:rPr>
                <w:noProof/>
                <w:sz w:val="20"/>
              </w:rPr>
              <w:t>COM(2017)10 final</w:t>
            </w:r>
            <w:r>
              <w:rPr>
                <w:noProof/>
                <w:sz w:val="20"/>
              </w:rPr>
              <w:br/>
              <w:t>2017/0003 (COD)</w:t>
            </w:r>
            <w:r>
              <w:rPr>
                <w:noProof/>
                <w:sz w:val="20"/>
              </w:rPr>
              <w:br/>
              <w:t>10.1.2017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 Принос на Европейската комисия към срещата на лидерите в Залцбург на 19—20 септември 2018 г.</w:t>
            </w:r>
          </w:p>
        </w:tc>
        <w:tc>
          <w:tcPr>
            <w:tcW w:w="2126" w:type="dxa"/>
            <w:tcMar>
              <w:top w:w="85" w:type="dxa"/>
              <w:left w:w="85" w:type="dxa"/>
              <w:bottom w:w="85" w:type="dxa"/>
            </w:tcMar>
          </w:tcPr>
          <w:p>
            <w:pPr>
              <w:spacing w:after="0"/>
              <w:jc w:val="left"/>
              <w:rPr>
                <w:noProof/>
                <w:sz w:val="20"/>
              </w:rPr>
            </w:pPr>
            <w:r>
              <w:rPr>
                <w:noProof/>
                <w:sz w:val="20"/>
              </w:rPr>
              <w:t>COM(2018)630 final</w:t>
            </w:r>
            <w:r>
              <w:rPr>
                <w:noProof/>
                <w:sz w:val="20"/>
              </w:rPr>
              <w:br/>
              <w:t>2018/0328 (COD)</w:t>
            </w:r>
            <w:r>
              <w:rPr>
                <w:noProof/>
                <w:sz w:val="20"/>
              </w:rPr>
              <w:br/>
              <w:t>12.9.2019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правната и оперативната рамка за европейската електронна карта за услуги, въведена с Регламент ... [Регламента за ЕEКУ]</w:t>
            </w:r>
          </w:p>
        </w:tc>
        <w:tc>
          <w:tcPr>
            <w:tcW w:w="2126" w:type="dxa"/>
            <w:tcMar>
              <w:top w:w="85" w:type="dxa"/>
              <w:left w:w="85" w:type="dxa"/>
              <w:bottom w:w="85" w:type="dxa"/>
            </w:tcMar>
          </w:tcPr>
          <w:p>
            <w:pPr>
              <w:spacing w:after="0"/>
              <w:jc w:val="left"/>
              <w:rPr>
                <w:noProof/>
                <w:sz w:val="20"/>
              </w:rPr>
            </w:pPr>
            <w:r>
              <w:rPr>
                <w:noProof/>
                <w:sz w:val="20"/>
              </w:rPr>
              <w:t>COM(2016)823 final</w:t>
            </w:r>
            <w:r>
              <w:rPr>
                <w:noProof/>
                <w:sz w:val="20"/>
              </w:rPr>
              <w:br/>
              <w:t>2016/0402 (COD)</w:t>
            </w:r>
            <w:r>
              <w:rPr>
                <w:noProof/>
                <w:sz w:val="20"/>
              </w:rPr>
              <w:br/>
              <w:t>10.1.2017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въвеждане на европейска електронна карта за услуги и свързаното с нея административно обслужване</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COM(2016)824 final</w:t>
            </w:r>
            <w:r>
              <w:rPr>
                <w:noProof/>
                <w:sz w:val="20"/>
              </w:rPr>
              <w:br/>
              <w:t>2016/0403 (COD)</w:t>
            </w:r>
            <w:r>
              <w:rPr>
                <w:noProof/>
                <w:sz w:val="20"/>
              </w:rPr>
              <w:br/>
              <w:t>10.1.2017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Механизъм за свързване на Европа и за отмяна на Регламент (ЕС) № 1316/2013 и Регламент (ЕС) № 283/2014</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COM(2018)438 final</w:t>
            </w:r>
            <w:r>
              <w:rPr>
                <w:noProof/>
                <w:sz w:val="20"/>
              </w:rPr>
              <w:br/>
              <w:t>2018/0228 (COD)</w:t>
            </w:r>
            <w:r>
              <w:rPr>
                <w:noProof/>
                <w:sz w:val="20"/>
              </w:rPr>
              <w:br/>
              <w:t>7.6.2018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за единния пазар, конкурентоспособността на предприятията, включително малките и средните предприятия, и европейската статистика и за отмяна на регламенти (ЕС) № 99/2013, (ЕС) № 1287/2013, (ЕС) № 254/2014, (ЕС) № 258/2014, (ЕС) № 652/2014 и (ЕС) 2017/826</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COM(2018)441 final</w:t>
            </w:r>
            <w:r>
              <w:rPr>
                <w:noProof/>
                <w:sz w:val="20"/>
              </w:rPr>
              <w:br/>
              <w:t>2018/0231 (COD)</w:t>
            </w:r>
            <w:r>
              <w:rPr>
                <w:noProof/>
                <w:sz w:val="20"/>
              </w:rPr>
              <w:br/>
              <w:t>7.6.2018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COM(2018)436 final</w:t>
            </w:r>
            <w:r>
              <w:rPr>
                <w:noProof/>
                <w:sz w:val="20"/>
              </w:rPr>
              <w:br/>
              <w:t>2018/0225 (COD)</w:t>
            </w:r>
            <w:r>
              <w:rPr>
                <w:noProof/>
                <w:sz w:val="20"/>
              </w:rPr>
              <w:br/>
              <w:t>7.6.2018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COM(2018)435 final</w:t>
            </w:r>
            <w:r>
              <w:rPr>
                <w:noProof/>
                <w:sz w:val="20"/>
              </w:rPr>
              <w:br/>
              <w:t>2018/0224 (COD)</w:t>
            </w:r>
            <w:r>
              <w:rPr>
                <w:noProof/>
                <w:sz w:val="20"/>
              </w:rPr>
              <w:br/>
              <w:t>7.6.2018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създаване на Програма за научни изследвания и обучение на Европейската общност за атомна енергия за периода 2021—2025 г. в допълнение към Рамковата програма за научни изследвания и иновации „Хоризонт Европа“</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COM(2018)437 final</w:t>
            </w:r>
            <w:r>
              <w:rPr>
                <w:noProof/>
                <w:sz w:val="20"/>
              </w:rPr>
              <w:br/>
              <w:t>2018/0226 (NLE)</w:t>
            </w:r>
            <w:r>
              <w:rPr>
                <w:noProof/>
                <w:sz w:val="20"/>
              </w:rPr>
              <w:br/>
              <w:t>7.6.2018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програмата „Цифрова Европа“ за периода 2021—2027 г.</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COM(2018)434 final</w:t>
            </w:r>
            <w:r>
              <w:rPr>
                <w:noProof/>
                <w:sz w:val="20"/>
              </w:rPr>
              <w:br/>
              <w:t>2018/0227 (COD)</w:t>
            </w:r>
            <w:r>
              <w:rPr>
                <w:noProof/>
                <w:sz w:val="20"/>
              </w:rPr>
              <w:br/>
              <w:t>8.6.2018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Европейски фонд за отбрана</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COM(2018)476 final</w:t>
            </w:r>
            <w:r>
              <w:rPr>
                <w:noProof/>
                <w:sz w:val="20"/>
              </w:rPr>
              <w:br/>
              <w:t>2018/0254 (COD)</w:t>
            </w:r>
            <w:r>
              <w:rPr>
                <w:noProof/>
                <w:sz w:val="20"/>
              </w:rPr>
              <w:br/>
              <w:t>13.6.2018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космическа програма на Съюза и на Агенция на Европейския съюз за космическата програма и за отмяна на регламенти (ЕС) № 912/2010, (ЕС) № 1285/2013 и (ЕС) № 377/2014 и на Решение 541/2014/ЕС</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COM(2018)447 final</w:t>
            </w:r>
            <w:r>
              <w:rPr>
                <w:noProof/>
                <w:sz w:val="20"/>
              </w:rPr>
              <w:br/>
              <w:t>2018/0236 (COD)</w:t>
            </w:r>
            <w:r>
              <w:rPr>
                <w:noProof/>
                <w:sz w:val="20"/>
              </w:rPr>
              <w:br/>
              <w:t>8.6.2018 г.</w:t>
            </w:r>
          </w:p>
        </w:tc>
      </w:tr>
      <w:tr>
        <w:trPr>
          <w:cantSplit/>
        </w:trPr>
        <w:tc>
          <w:tcPr>
            <w:tcW w:w="14850" w:type="dxa"/>
            <w:gridSpan w:val="3"/>
            <w:shd w:val="clear" w:color="auto" w:fill="F68A42" w:themeFill="accent3"/>
            <w:tcMar>
              <w:top w:w="85" w:type="dxa"/>
              <w:left w:w="85" w:type="dxa"/>
              <w:bottom w:w="85" w:type="dxa"/>
              <w:right w:w="85" w:type="dxa"/>
            </w:tcMar>
          </w:tcPr>
          <w:p>
            <w:pPr>
              <w:spacing w:before="60" w:after="60"/>
              <w:rPr>
                <w:noProof/>
                <w:sz w:val="20"/>
              </w:rPr>
            </w:pPr>
            <w:r>
              <w:rPr>
                <w:b/>
                <w:bCs/>
                <w:noProof/>
                <w:color w:val="FFFFFF" w:themeColor="background1"/>
                <w:sz w:val="20"/>
              </w:rPr>
              <w:t>Икономика в интерес на хората</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определяне на разпоредби за повишаване на фискалната отговорност и средносрочния бюджетен подход в държавите членки</w:t>
            </w:r>
            <w:r>
              <w:rPr>
                <w:b/>
                <w:bCs/>
                <w:noProof/>
                <w:sz w:val="20"/>
              </w:rPr>
              <w:t xml:space="preserve"> </w:t>
            </w:r>
          </w:p>
        </w:tc>
        <w:tc>
          <w:tcPr>
            <w:tcW w:w="2126" w:type="dxa"/>
            <w:tcMar>
              <w:top w:w="85" w:type="dxa"/>
              <w:left w:w="85" w:type="dxa"/>
              <w:bottom w:w="85" w:type="dxa"/>
            </w:tcMar>
          </w:tcPr>
          <w:p>
            <w:pPr>
              <w:spacing w:after="0"/>
              <w:jc w:val="left"/>
              <w:rPr>
                <w:noProof/>
                <w:sz w:val="20"/>
              </w:rPr>
            </w:pPr>
            <w:r>
              <w:rPr>
                <w:noProof/>
                <w:sz w:val="20"/>
              </w:rPr>
              <w:t>COM(2017)824 final</w:t>
            </w:r>
            <w:r>
              <w:rPr>
                <w:noProof/>
                <w:sz w:val="20"/>
              </w:rPr>
              <w:br/>
              <w:t>2017/0335 (CNS)</w:t>
            </w:r>
            <w:r>
              <w:rPr>
                <w:noProof/>
                <w:sz w:val="20"/>
              </w:rPr>
              <w:br/>
              <w:t>6.12.2017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 806/2014 с цел създаване на Европейска схема за застраховане на депозитите</w:t>
            </w:r>
          </w:p>
        </w:tc>
        <w:tc>
          <w:tcPr>
            <w:tcW w:w="2126" w:type="dxa"/>
            <w:tcMar>
              <w:top w:w="85" w:type="dxa"/>
              <w:left w:w="85" w:type="dxa"/>
              <w:bottom w:w="85" w:type="dxa"/>
            </w:tcMar>
          </w:tcPr>
          <w:p>
            <w:pPr>
              <w:spacing w:after="0"/>
              <w:jc w:val="left"/>
              <w:rPr>
                <w:noProof/>
                <w:sz w:val="20"/>
              </w:rPr>
            </w:pPr>
            <w:r>
              <w:rPr>
                <w:noProof/>
                <w:sz w:val="20"/>
              </w:rPr>
              <w:t>COM(2015)586 final</w:t>
            </w:r>
            <w:r>
              <w:rPr>
                <w:noProof/>
                <w:sz w:val="20"/>
              </w:rPr>
              <w:br/>
              <w:t>2015/0270 (COD)</w:t>
            </w:r>
            <w:r>
              <w:rPr>
                <w:noProof/>
                <w:sz w:val="20"/>
              </w:rPr>
              <w:br/>
              <w:t>24.11.2015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ценните книжа, обезпечени с държавни облигации</w:t>
            </w:r>
          </w:p>
        </w:tc>
        <w:tc>
          <w:tcPr>
            <w:tcW w:w="2126" w:type="dxa"/>
            <w:tcMar>
              <w:top w:w="85" w:type="dxa"/>
              <w:left w:w="85" w:type="dxa"/>
              <w:bottom w:w="85" w:type="dxa"/>
            </w:tcMar>
          </w:tcPr>
          <w:p>
            <w:pPr>
              <w:spacing w:after="0"/>
              <w:jc w:val="left"/>
              <w:rPr>
                <w:noProof/>
                <w:sz w:val="20"/>
              </w:rPr>
            </w:pPr>
            <w:r>
              <w:rPr>
                <w:noProof/>
                <w:sz w:val="20"/>
              </w:rPr>
              <w:t>COM(2018)339 final</w:t>
            </w:r>
            <w:r>
              <w:rPr>
                <w:noProof/>
                <w:sz w:val="20"/>
              </w:rPr>
              <w:br/>
              <w:t>2018/0171 (COD)</w:t>
            </w:r>
            <w:r>
              <w:rPr>
                <w:noProof/>
                <w:sz w:val="20"/>
              </w:rPr>
              <w:br/>
              <w:t>24.5.2018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лицата, обслужващи кредити, купувачите на кредити и събирането на обезпечения</w:t>
            </w:r>
          </w:p>
        </w:tc>
        <w:tc>
          <w:tcPr>
            <w:tcW w:w="2126" w:type="dxa"/>
            <w:tcMar>
              <w:top w:w="85" w:type="dxa"/>
              <w:left w:w="85" w:type="dxa"/>
              <w:bottom w:w="85" w:type="dxa"/>
            </w:tcMar>
          </w:tcPr>
          <w:p>
            <w:pPr>
              <w:spacing w:after="0"/>
              <w:jc w:val="left"/>
              <w:rPr>
                <w:noProof/>
                <w:sz w:val="20"/>
              </w:rPr>
            </w:pPr>
            <w:r>
              <w:rPr>
                <w:noProof/>
                <w:sz w:val="20"/>
              </w:rPr>
              <w:t>COM(2018)135 final</w:t>
            </w:r>
            <w:r>
              <w:rPr>
                <w:noProof/>
                <w:sz w:val="20"/>
              </w:rPr>
              <w:br/>
              <w:t>2018/0063 (COD)</w:t>
            </w:r>
            <w:r>
              <w:rPr>
                <w:noProof/>
                <w:sz w:val="20"/>
              </w:rPr>
              <w:br/>
              <w:t>14.3.2018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изменение на Директива 2013/34/ЕС по отношение на оповестяването на информация за корпоративния данък от страна на някои предприятия и клонове</w:t>
            </w:r>
          </w:p>
        </w:tc>
        <w:tc>
          <w:tcPr>
            <w:tcW w:w="2126" w:type="dxa"/>
            <w:tcMar>
              <w:top w:w="85" w:type="dxa"/>
              <w:left w:w="85" w:type="dxa"/>
              <w:bottom w:w="85" w:type="dxa"/>
            </w:tcMar>
          </w:tcPr>
          <w:p>
            <w:pPr>
              <w:spacing w:after="0"/>
              <w:jc w:val="left"/>
              <w:rPr>
                <w:noProof/>
                <w:sz w:val="20"/>
              </w:rPr>
            </w:pPr>
            <w:r>
              <w:rPr>
                <w:noProof/>
                <w:sz w:val="20"/>
              </w:rPr>
              <w:t>COM(2016)198 final</w:t>
            </w:r>
            <w:r>
              <w:rPr>
                <w:noProof/>
                <w:sz w:val="20"/>
              </w:rPr>
              <w:br/>
              <w:t>2016/0107 (COD)</w:t>
            </w:r>
            <w:r>
              <w:rPr>
                <w:noProof/>
                <w:sz w:val="20"/>
              </w:rPr>
              <w:br/>
              <w:t>13.4.2016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tc>
        <w:tc>
          <w:tcPr>
            <w:tcW w:w="2126" w:type="dxa"/>
            <w:tcMar>
              <w:top w:w="85" w:type="dxa"/>
              <w:left w:w="85" w:type="dxa"/>
              <w:bottom w:w="85" w:type="dxa"/>
            </w:tcMar>
          </w:tcPr>
          <w:p>
            <w:pPr>
              <w:spacing w:after="0"/>
              <w:jc w:val="left"/>
              <w:rPr>
                <w:noProof/>
                <w:sz w:val="20"/>
              </w:rPr>
            </w:pPr>
            <w:r>
              <w:rPr>
                <w:noProof/>
                <w:sz w:val="20"/>
              </w:rPr>
              <w:t>COM(2016)856 final</w:t>
            </w:r>
            <w:r>
              <w:rPr>
                <w:noProof/>
                <w:sz w:val="20"/>
              </w:rPr>
              <w:br/>
              <w:t>2016/0365 (COD)</w:t>
            </w:r>
            <w:r>
              <w:rPr>
                <w:noProof/>
                <w:sz w:val="20"/>
              </w:rPr>
              <w:br/>
              <w:t>28.11.2016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РЕШЕНИЕ НА СЪВЕТА за определяне на мерки за постепенно установяване на единно представителство на еврозоната в Международния валутен фонд</w:t>
            </w:r>
          </w:p>
        </w:tc>
        <w:tc>
          <w:tcPr>
            <w:tcW w:w="2126" w:type="dxa"/>
            <w:tcMar>
              <w:top w:w="85" w:type="dxa"/>
              <w:left w:w="85" w:type="dxa"/>
              <w:bottom w:w="85" w:type="dxa"/>
            </w:tcMar>
          </w:tcPr>
          <w:p>
            <w:pPr>
              <w:spacing w:after="0"/>
              <w:jc w:val="left"/>
              <w:rPr>
                <w:noProof/>
                <w:sz w:val="20"/>
              </w:rPr>
            </w:pPr>
            <w:r>
              <w:rPr>
                <w:noProof/>
                <w:sz w:val="20"/>
              </w:rPr>
              <w:t>COM(2015)603 final</w:t>
            </w:r>
            <w:r>
              <w:rPr>
                <w:noProof/>
                <w:sz w:val="20"/>
              </w:rPr>
              <w:br/>
              <w:t>2015/0250 (NLE)</w:t>
            </w:r>
            <w:r>
              <w:rPr>
                <w:noProof/>
                <w:sz w:val="20"/>
              </w:rPr>
              <w:br/>
              <w:t>21.10.2015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определяне на рамка за управление за бюджетния инструмент за сближаване и конкурентоспособност за еврозоната</w:t>
            </w:r>
          </w:p>
        </w:tc>
        <w:tc>
          <w:tcPr>
            <w:tcW w:w="2126" w:type="dxa"/>
            <w:tcMar>
              <w:top w:w="85" w:type="dxa"/>
              <w:left w:w="85" w:type="dxa"/>
              <w:bottom w:w="85" w:type="dxa"/>
            </w:tcMar>
          </w:tcPr>
          <w:p>
            <w:pPr>
              <w:spacing w:after="0"/>
              <w:jc w:val="left"/>
              <w:rPr>
                <w:noProof/>
                <w:sz w:val="20"/>
              </w:rPr>
            </w:pPr>
            <w:r>
              <w:rPr>
                <w:noProof/>
                <w:sz w:val="20"/>
              </w:rPr>
              <w:t>COM(2019)354 final</w:t>
            </w:r>
            <w:r>
              <w:rPr>
                <w:noProof/>
                <w:sz w:val="20"/>
              </w:rPr>
              <w:br/>
              <w:t>2019/0161 (COD)</w:t>
            </w:r>
            <w:r>
              <w:rPr>
                <w:noProof/>
                <w:sz w:val="20"/>
              </w:rPr>
              <w:br/>
              <w:t>24.7.2019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883/2004 за координация на системите за социална сигурност и на Регламент (ЕО) № 987/2009 за установяване процедурата за прилагане на Регламент (ЕО) № 883/2004 (текст от значение за ЕИП и за Швейцария)</w:t>
            </w:r>
          </w:p>
        </w:tc>
        <w:tc>
          <w:tcPr>
            <w:tcW w:w="2126" w:type="dxa"/>
            <w:tcMar>
              <w:top w:w="85" w:type="dxa"/>
              <w:left w:w="85" w:type="dxa"/>
              <w:bottom w:w="85" w:type="dxa"/>
            </w:tcMar>
          </w:tcPr>
          <w:p>
            <w:pPr>
              <w:spacing w:after="0"/>
              <w:jc w:val="left"/>
              <w:rPr>
                <w:noProof/>
                <w:sz w:val="20"/>
              </w:rPr>
            </w:pPr>
            <w:r>
              <w:rPr>
                <w:noProof/>
                <w:sz w:val="20"/>
              </w:rPr>
              <w:t>COM(2016)815 final</w:t>
            </w:r>
            <w:r>
              <w:rPr>
                <w:noProof/>
                <w:sz w:val="20"/>
              </w:rPr>
              <w:br/>
              <w:t>2016/0397 (COD)</w:t>
            </w:r>
            <w:r>
              <w:rPr>
                <w:noProof/>
                <w:sz w:val="20"/>
              </w:rPr>
              <w:br/>
              <w:t>14.12.2016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РЕШЕНИЕ НА ЕВРОПЕЙСКИЯ ПАРЛАМЕНТ И НА СЪВЕТА за изменение на Решение № 573/2014/ЕС за укрепване на сътрудничеството между публичните служби по заетостта (ПСЗ)</w:t>
            </w:r>
          </w:p>
        </w:tc>
        <w:tc>
          <w:tcPr>
            <w:tcW w:w="2126" w:type="dxa"/>
            <w:tcMar>
              <w:top w:w="85" w:type="dxa"/>
              <w:left w:w="85" w:type="dxa"/>
              <w:bottom w:w="85" w:type="dxa"/>
            </w:tcMar>
          </w:tcPr>
          <w:p>
            <w:pPr>
              <w:spacing w:after="0"/>
              <w:jc w:val="left"/>
              <w:rPr>
                <w:noProof/>
                <w:sz w:val="20"/>
              </w:rPr>
            </w:pPr>
            <w:r>
              <w:rPr>
                <w:noProof/>
                <w:sz w:val="20"/>
              </w:rPr>
              <w:t>COM(2019)620 final</w:t>
            </w:r>
            <w:r>
              <w:rPr>
                <w:noProof/>
                <w:sz w:val="20"/>
              </w:rPr>
              <w:br/>
              <w:t>2019/0188 (COD)</w:t>
            </w:r>
            <w:r>
              <w:rPr>
                <w:noProof/>
                <w:sz w:val="20"/>
              </w:rPr>
              <w:br/>
              <w:t>11.9.2019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СЪВЕТА за учредяване на Европейския паричен фонд</w:t>
            </w:r>
          </w:p>
        </w:tc>
        <w:tc>
          <w:tcPr>
            <w:tcW w:w="2126" w:type="dxa"/>
            <w:tcMar>
              <w:top w:w="85" w:type="dxa"/>
              <w:left w:w="85" w:type="dxa"/>
              <w:bottom w:w="85" w:type="dxa"/>
            </w:tcMar>
          </w:tcPr>
          <w:p>
            <w:pPr>
              <w:spacing w:after="0"/>
              <w:jc w:val="left"/>
              <w:rPr>
                <w:noProof/>
                <w:sz w:val="20"/>
              </w:rPr>
            </w:pPr>
            <w:r>
              <w:rPr>
                <w:noProof/>
                <w:sz w:val="20"/>
              </w:rPr>
              <w:t>COM(2017)827 final</w:t>
            </w:r>
            <w:r>
              <w:rPr>
                <w:noProof/>
                <w:sz w:val="20"/>
              </w:rPr>
              <w:br/>
              <w:t>2017/0333 (APP)</w:t>
            </w:r>
            <w:r>
              <w:rPr>
                <w:noProof/>
                <w:sz w:val="20"/>
              </w:rPr>
              <w:br/>
              <w:t>7.12.2017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СЪВЕТА за създаване на механизъм за предоставяне на финансова помощ на държави членки, чиято парична единица не е еврото</w:t>
            </w:r>
          </w:p>
        </w:tc>
        <w:tc>
          <w:tcPr>
            <w:tcW w:w="2126" w:type="dxa"/>
            <w:tcMar>
              <w:top w:w="85" w:type="dxa"/>
              <w:left w:w="85" w:type="dxa"/>
              <w:bottom w:w="85" w:type="dxa"/>
            </w:tcMar>
          </w:tcPr>
          <w:p>
            <w:pPr>
              <w:spacing w:after="0"/>
              <w:jc w:val="left"/>
              <w:rPr>
                <w:noProof/>
                <w:sz w:val="20"/>
              </w:rPr>
            </w:pPr>
            <w:r>
              <w:rPr>
                <w:noProof/>
                <w:sz w:val="20"/>
              </w:rPr>
              <w:t>COM(2012)336 final</w:t>
            </w:r>
            <w:r>
              <w:rPr>
                <w:noProof/>
                <w:sz w:val="20"/>
              </w:rPr>
              <w:br/>
              <w:t>2012/0164 (APP)</w:t>
            </w:r>
            <w:r>
              <w:rPr>
                <w:noProof/>
                <w:sz w:val="20"/>
              </w:rPr>
              <w:br/>
              <w:t>22.6.2012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относно обща консолидирана основа за облагане с корпоративен данък (ОКООКД)</w:t>
            </w:r>
          </w:p>
        </w:tc>
        <w:tc>
          <w:tcPr>
            <w:tcW w:w="2126" w:type="dxa"/>
            <w:tcMar>
              <w:top w:w="85" w:type="dxa"/>
              <w:left w:w="85" w:type="dxa"/>
              <w:bottom w:w="85" w:type="dxa"/>
            </w:tcMar>
          </w:tcPr>
          <w:p>
            <w:pPr>
              <w:spacing w:after="0"/>
              <w:jc w:val="left"/>
              <w:rPr>
                <w:noProof/>
                <w:sz w:val="20"/>
              </w:rPr>
            </w:pPr>
            <w:r>
              <w:rPr>
                <w:noProof/>
                <w:sz w:val="20"/>
              </w:rPr>
              <w:t>COM(2016)683 final</w:t>
            </w:r>
            <w:r>
              <w:rPr>
                <w:noProof/>
                <w:sz w:val="20"/>
              </w:rPr>
              <w:br/>
              <w:t>2016/0336 (CNS)</w:t>
            </w:r>
            <w:r>
              <w:rPr>
                <w:noProof/>
                <w:sz w:val="20"/>
              </w:rPr>
              <w:br/>
              <w:t>26.10.2016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относно обща основа за облагане с корпоративен данък</w:t>
            </w:r>
          </w:p>
        </w:tc>
        <w:tc>
          <w:tcPr>
            <w:tcW w:w="2126" w:type="dxa"/>
            <w:tcMar>
              <w:top w:w="85" w:type="dxa"/>
              <w:left w:w="85" w:type="dxa"/>
              <w:bottom w:w="85" w:type="dxa"/>
            </w:tcMar>
          </w:tcPr>
          <w:p>
            <w:pPr>
              <w:spacing w:after="0"/>
              <w:jc w:val="left"/>
              <w:rPr>
                <w:noProof/>
                <w:sz w:val="20"/>
              </w:rPr>
            </w:pPr>
            <w:r>
              <w:rPr>
                <w:noProof/>
                <w:sz w:val="20"/>
              </w:rPr>
              <w:t>COM(2016)685 final</w:t>
            </w:r>
            <w:r>
              <w:rPr>
                <w:noProof/>
                <w:sz w:val="20"/>
              </w:rPr>
              <w:br/>
              <w:t>2016/0337 (CNS)</w:t>
            </w:r>
            <w:r>
              <w:rPr>
                <w:noProof/>
                <w:sz w:val="20"/>
              </w:rPr>
              <w:br/>
              <w:t>26.10.2016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въвеждане на засилено сътрудничество в областта на данъка върху финансовите сделки</w:t>
            </w:r>
          </w:p>
        </w:tc>
        <w:tc>
          <w:tcPr>
            <w:tcW w:w="2126" w:type="dxa"/>
            <w:tcMar>
              <w:top w:w="85" w:type="dxa"/>
              <w:left w:w="85" w:type="dxa"/>
              <w:bottom w:w="85" w:type="dxa"/>
            </w:tcMar>
          </w:tcPr>
          <w:p>
            <w:pPr>
              <w:spacing w:after="0"/>
              <w:jc w:val="left"/>
              <w:rPr>
                <w:noProof/>
                <w:sz w:val="20"/>
              </w:rPr>
            </w:pPr>
            <w:r>
              <w:rPr>
                <w:noProof/>
                <w:sz w:val="20"/>
              </w:rPr>
              <w:t>COM(2013)71 final</w:t>
            </w:r>
            <w:r>
              <w:rPr>
                <w:noProof/>
                <w:sz w:val="20"/>
              </w:rPr>
              <w:br/>
              <w:t>2013/0045 (CNS)</w:t>
            </w:r>
            <w:r>
              <w:rPr>
                <w:noProof/>
                <w:sz w:val="20"/>
              </w:rPr>
              <w:br/>
              <w:t>14.2.2013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изменение на Директива 92/83/ЕИО за хармонизиране на структурата на акцизите върху алкохола и алкохолните напитки</w:t>
            </w:r>
          </w:p>
        </w:tc>
        <w:tc>
          <w:tcPr>
            <w:tcW w:w="2126" w:type="dxa"/>
            <w:tcMar>
              <w:top w:w="85" w:type="dxa"/>
              <w:left w:w="85" w:type="dxa"/>
              <w:bottom w:w="85" w:type="dxa"/>
            </w:tcMar>
          </w:tcPr>
          <w:p>
            <w:pPr>
              <w:spacing w:after="0"/>
              <w:jc w:val="left"/>
              <w:rPr>
                <w:noProof/>
                <w:sz w:val="20"/>
              </w:rPr>
            </w:pPr>
            <w:r>
              <w:rPr>
                <w:noProof/>
                <w:sz w:val="20"/>
              </w:rPr>
              <w:t>COM(2018)334 final</w:t>
            </w:r>
            <w:r>
              <w:rPr>
                <w:noProof/>
                <w:sz w:val="20"/>
              </w:rPr>
              <w:br/>
              <w:t>2018/0173 (CNS)</w:t>
            </w:r>
            <w:r>
              <w:rPr>
                <w:noProof/>
                <w:sz w:val="20"/>
              </w:rPr>
              <w:br/>
              <w:t>25.5.2018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изменение на Директива 2006/112/ЕО по отношение на въвеждането на подробни технически мерки за функционирането на окончателната система на ДДС за данъчно облагане на търговията между държавите членки</w:t>
            </w:r>
          </w:p>
        </w:tc>
        <w:tc>
          <w:tcPr>
            <w:tcW w:w="2126" w:type="dxa"/>
            <w:tcMar>
              <w:top w:w="85" w:type="dxa"/>
              <w:left w:w="85" w:type="dxa"/>
              <w:bottom w:w="85" w:type="dxa"/>
            </w:tcMar>
          </w:tcPr>
          <w:p>
            <w:pPr>
              <w:spacing w:after="0"/>
              <w:jc w:val="left"/>
              <w:rPr>
                <w:noProof/>
                <w:sz w:val="20"/>
              </w:rPr>
            </w:pPr>
            <w:r>
              <w:rPr>
                <w:noProof/>
                <w:sz w:val="20"/>
              </w:rPr>
              <w:t>COM(2018)329 final</w:t>
            </w:r>
            <w:r>
              <w:rPr>
                <w:noProof/>
                <w:sz w:val="20"/>
              </w:rPr>
              <w:br/>
              <w:t>2018/0164 (CNS)</w:t>
            </w:r>
            <w:r>
              <w:rPr>
                <w:noProof/>
                <w:sz w:val="20"/>
              </w:rPr>
              <w:br/>
              <w:t>25.5.2018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изменение на Директива 2006/112/ЕО по отношение на ставките на данъка върху добавената стойност</w:t>
            </w:r>
          </w:p>
        </w:tc>
        <w:tc>
          <w:tcPr>
            <w:tcW w:w="2126" w:type="dxa"/>
            <w:tcMar>
              <w:top w:w="85" w:type="dxa"/>
              <w:left w:w="85" w:type="dxa"/>
              <w:bottom w:w="85" w:type="dxa"/>
            </w:tcMar>
          </w:tcPr>
          <w:p>
            <w:pPr>
              <w:spacing w:after="0"/>
              <w:jc w:val="left"/>
              <w:rPr>
                <w:noProof/>
                <w:sz w:val="20"/>
              </w:rPr>
            </w:pPr>
            <w:r>
              <w:rPr>
                <w:noProof/>
                <w:sz w:val="20"/>
              </w:rPr>
              <w:t>COM(2018)20 final</w:t>
            </w:r>
            <w:r>
              <w:rPr>
                <w:noProof/>
                <w:sz w:val="20"/>
              </w:rPr>
              <w:br/>
              <w:t>2018/0005 (CNS)</w:t>
            </w:r>
            <w:r>
              <w:rPr>
                <w:noProof/>
                <w:sz w:val="20"/>
              </w:rPr>
              <w:br/>
              <w:t>18.1.2018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изменение на Директива 1999/62/ЕО относно заплащането на такси от тежкотоварни автомобили за използване на определени инфраструктури по отношение на някои разпоредби относно данъчното облагане на превозните средства</w:t>
            </w:r>
          </w:p>
        </w:tc>
        <w:tc>
          <w:tcPr>
            <w:tcW w:w="2126" w:type="dxa"/>
            <w:tcMar>
              <w:top w:w="85" w:type="dxa"/>
              <w:left w:w="85" w:type="dxa"/>
              <w:bottom w:w="85" w:type="dxa"/>
            </w:tcMar>
          </w:tcPr>
          <w:p>
            <w:pPr>
              <w:spacing w:after="0"/>
              <w:jc w:val="left"/>
              <w:rPr>
                <w:noProof/>
                <w:sz w:val="20"/>
              </w:rPr>
            </w:pPr>
            <w:r>
              <w:rPr>
                <w:noProof/>
                <w:sz w:val="20"/>
              </w:rPr>
              <w:t>COM(2017)276 final</w:t>
            </w:r>
            <w:r>
              <w:rPr>
                <w:noProof/>
                <w:sz w:val="20"/>
              </w:rPr>
              <w:br/>
              <w:t>2017/0115 (CNS)</w:t>
            </w:r>
            <w:r>
              <w:rPr>
                <w:noProof/>
                <w:sz w:val="20"/>
              </w:rPr>
              <w:br/>
              <w:t>31.5.2017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създаването на Програмата за подкрепа на реформите</w:t>
            </w:r>
          </w:p>
        </w:tc>
        <w:tc>
          <w:tcPr>
            <w:tcW w:w="2126" w:type="dxa"/>
            <w:tcMar>
              <w:top w:w="85" w:type="dxa"/>
              <w:left w:w="85" w:type="dxa"/>
              <w:bottom w:w="85" w:type="dxa"/>
            </w:tcMar>
          </w:tcPr>
          <w:p>
            <w:pPr>
              <w:spacing w:after="0"/>
              <w:jc w:val="left"/>
              <w:rPr>
                <w:noProof/>
                <w:sz w:val="20"/>
              </w:rPr>
            </w:pPr>
            <w:r>
              <w:rPr>
                <w:noProof/>
                <w:sz w:val="20"/>
              </w:rPr>
              <w:t>COM(2018)391 final.</w:t>
            </w:r>
            <w:r>
              <w:rPr>
                <w:noProof/>
                <w:sz w:val="20"/>
              </w:rPr>
              <w:br/>
              <w:t>2018/0213 (COD)</w:t>
            </w:r>
            <w:r>
              <w:rPr>
                <w:noProof/>
                <w:sz w:val="20"/>
              </w:rPr>
              <w:br/>
              <w:t>31.5.2018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създаването на Европейска функция за стабилизиране на инвестициите</w:t>
            </w:r>
          </w:p>
        </w:tc>
        <w:tc>
          <w:tcPr>
            <w:tcW w:w="2126" w:type="dxa"/>
            <w:tcMar>
              <w:top w:w="85" w:type="dxa"/>
              <w:left w:w="85" w:type="dxa"/>
              <w:bottom w:w="85" w:type="dxa"/>
            </w:tcMar>
          </w:tcPr>
          <w:p>
            <w:pPr>
              <w:spacing w:after="0"/>
              <w:jc w:val="left"/>
              <w:rPr>
                <w:noProof/>
                <w:sz w:val="20"/>
              </w:rPr>
            </w:pPr>
            <w:r>
              <w:rPr>
                <w:noProof/>
                <w:sz w:val="20"/>
              </w:rPr>
              <w:t>COM(2018)387 final.</w:t>
            </w:r>
            <w:r>
              <w:rPr>
                <w:noProof/>
                <w:sz w:val="20"/>
              </w:rPr>
              <w:br/>
              <w:t>2018/0212 (COD)</w:t>
            </w:r>
            <w:r>
              <w:rPr>
                <w:noProof/>
                <w:sz w:val="20"/>
              </w:rPr>
              <w:br/>
              <w:t>31.5.2018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изменение на Директива 2009/103/ЕО на Европейския парламент и на Съвета от 16 септември 2009 година относно застраховката „Гражданска отговорност“ при използването на моторни превозни средства и за контрол върху задължението за сключване на такава застраховка</w:t>
            </w:r>
          </w:p>
        </w:tc>
        <w:tc>
          <w:tcPr>
            <w:tcW w:w="2126" w:type="dxa"/>
            <w:tcMar>
              <w:top w:w="85" w:type="dxa"/>
              <w:left w:w="85" w:type="dxa"/>
              <w:bottom w:w="85" w:type="dxa"/>
            </w:tcMar>
          </w:tcPr>
          <w:p>
            <w:pPr>
              <w:spacing w:after="0"/>
              <w:jc w:val="left"/>
              <w:rPr>
                <w:noProof/>
                <w:sz w:val="20"/>
              </w:rPr>
            </w:pPr>
            <w:r>
              <w:rPr>
                <w:noProof/>
                <w:sz w:val="22"/>
                <w:szCs w:val="22"/>
              </w:rPr>
              <w:t>COM(2018)336 final 2018/0168 (COD) 24.5.2018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определяне на многогодишната финансова рамка за годините 2021—2027 г.</w:t>
            </w:r>
          </w:p>
        </w:tc>
        <w:tc>
          <w:tcPr>
            <w:tcW w:w="2126" w:type="dxa"/>
            <w:tcMar>
              <w:top w:w="85" w:type="dxa"/>
              <w:left w:w="85" w:type="dxa"/>
              <w:bottom w:w="85" w:type="dxa"/>
            </w:tcMar>
          </w:tcPr>
          <w:p>
            <w:pPr>
              <w:spacing w:after="0"/>
              <w:jc w:val="left"/>
              <w:rPr>
                <w:noProof/>
                <w:sz w:val="20"/>
              </w:rPr>
            </w:pPr>
            <w:r>
              <w:rPr>
                <w:noProof/>
                <w:sz w:val="20"/>
              </w:rPr>
              <w:t>COM(2018)322 final</w:t>
            </w:r>
            <w:r>
              <w:rPr>
                <w:noProof/>
                <w:sz w:val="20"/>
              </w:rPr>
              <w:br/>
              <w:t>2018/0132 (APP)</w:t>
            </w:r>
            <w:r>
              <w:rPr>
                <w:noProof/>
                <w:sz w:val="20"/>
              </w:rPr>
              <w:br/>
              <w:t>2.5.2018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определяне на мерки за прилагане на системата на собствените ресурси на Европейския съюз</w:t>
            </w:r>
          </w:p>
        </w:tc>
        <w:tc>
          <w:tcPr>
            <w:tcW w:w="2126" w:type="dxa"/>
            <w:tcMar>
              <w:top w:w="85" w:type="dxa"/>
              <w:left w:w="85" w:type="dxa"/>
              <w:bottom w:w="85" w:type="dxa"/>
            </w:tcMar>
          </w:tcPr>
          <w:p>
            <w:pPr>
              <w:spacing w:after="0"/>
              <w:jc w:val="left"/>
              <w:rPr>
                <w:noProof/>
                <w:sz w:val="20"/>
              </w:rPr>
            </w:pPr>
            <w:r>
              <w:rPr>
                <w:noProof/>
                <w:sz w:val="20"/>
              </w:rPr>
              <w:t>COM(2018)327 final</w:t>
            </w:r>
            <w:r>
              <w:rPr>
                <w:noProof/>
                <w:sz w:val="20"/>
              </w:rPr>
              <w:br/>
              <w:t>2018/0132 (APP)</w:t>
            </w:r>
            <w:r>
              <w:rPr>
                <w:noProof/>
                <w:sz w:val="20"/>
              </w:rPr>
              <w:br/>
              <w:t>2.5.2018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изменение на Регламент (ЕИО, Евратом) № 1553/89 за окончателни унифицирани схеми за събирането на собствените ресурси, набирани от данък добавена стойност</w:t>
            </w:r>
          </w:p>
        </w:tc>
        <w:tc>
          <w:tcPr>
            <w:tcW w:w="2126" w:type="dxa"/>
            <w:tcMar>
              <w:top w:w="85" w:type="dxa"/>
              <w:left w:w="85" w:type="dxa"/>
              <w:bottom w:w="85" w:type="dxa"/>
            </w:tcMar>
          </w:tcPr>
          <w:p>
            <w:pPr>
              <w:spacing w:after="0"/>
              <w:jc w:val="left"/>
              <w:rPr>
                <w:noProof/>
                <w:sz w:val="20"/>
              </w:rPr>
            </w:pPr>
            <w:r>
              <w:rPr>
                <w:noProof/>
                <w:sz w:val="20"/>
              </w:rPr>
              <w:t>COM(2018)328 final</w:t>
            </w:r>
            <w:r>
              <w:rPr>
                <w:noProof/>
                <w:sz w:val="20"/>
              </w:rPr>
              <w:br/>
              <w:t>2018/0133 (NLE)</w:t>
            </w:r>
            <w:r>
              <w:rPr>
                <w:noProof/>
                <w:sz w:val="20"/>
              </w:rPr>
              <w:br/>
              <w:t>3.5.2018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относно методите и процедурата за предоставяне на собствените ресурси на база общата консолидирана основа за облагане с корпоративен данък, схемата на Европейския съюз за търговия с емисии и нерециклираните отпадъци от опаковки от пластмаса, както и относно мерките за удовлетворяване на потребностите от парични средства</w:t>
            </w:r>
          </w:p>
        </w:tc>
        <w:tc>
          <w:tcPr>
            <w:tcW w:w="2126" w:type="dxa"/>
            <w:tcMar>
              <w:top w:w="85" w:type="dxa"/>
              <w:left w:w="85" w:type="dxa"/>
              <w:bottom w:w="85" w:type="dxa"/>
            </w:tcMar>
          </w:tcPr>
          <w:p>
            <w:pPr>
              <w:spacing w:after="0"/>
              <w:jc w:val="left"/>
              <w:rPr>
                <w:noProof/>
                <w:sz w:val="20"/>
              </w:rPr>
            </w:pPr>
            <w:r>
              <w:rPr>
                <w:noProof/>
                <w:sz w:val="20"/>
              </w:rPr>
              <w:t>COM(2018)326 final</w:t>
            </w:r>
            <w:r>
              <w:rPr>
                <w:noProof/>
                <w:sz w:val="20"/>
              </w:rPr>
              <w:br/>
              <w:t>2018/0131 (NLE)</w:t>
            </w:r>
            <w:r>
              <w:rPr>
                <w:noProof/>
                <w:sz w:val="20"/>
              </w:rPr>
              <w:br/>
              <w:t>3.5.2018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РЕШЕНИЕ НА СЪВЕТА относно системата на собствените ресурси на Европейския съюз</w:t>
            </w:r>
          </w:p>
        </w:tc>
        <w:tc>
          <w:tcPr>
            <w:tcW w:w="2126" w:type="dxa"/>
            <w:tcMar>
              <w:top w:w="85" w:type="dxa"/>
              <w:left w:w="85" w:type="dxa"/>
              <w:bottom w:w="85" w:type="dxa"/>
            </w:tcMar>
          </w:tcPr>
          <w:p>
            <w:pPr>
              <w:spacing w:after="0"/>
              <w:jc w:val="left"/>
              <w:rPr>
                <w:noProof/>
                <w:sz w:val="20"/>
              </w:rPr>
            </w:pPr>
            <w:r>
              <w:rPr>
                <w:noProof/>
                <w:sz w:val="20"/>
              </w:rPr>
              <w:t>COM(2018)325 final</w:t>
            </w:r>
            <w:r>
              <w:rPr>
                <w:noProof/>
                <w:sz w:val="20"/>
              </w:rPr>
              <w:br/>
              <w:t>2018/0135 (CNS)</w:t>
            </w:r>
            <w:r>
              <w:rPr>
                <w:noProof/>
                <w:sz w:val="20"/>
              </w:rPr>
              <w:br/>
              <w:t>3.5.2018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за обмен, помощ и обучение за защита на еврото срещу фалшифициране за периода 2021—2027 г. (програма „Перикъл IV“)</w:t>
            </w:r>
          </w:p>
        </w:tc>
        <w:tc>
          <w:tcPr>
            <w:tcW w:w="2126" w:type="dxa"/>
            <w:tcMar>
              <w:top w:w="85" w:type="dxa"/>
              <w:left w:w="85" w:type="dxa"/>
              <w:bottom w:w="85" w:type="dxa"/>
            </w:tcMar>
          </w:tcPr>
          <w:p>
            <w:pPr>
              <w:spacing w:after="0"/>
              <w:jc w:val="left"/>
              <w:rPr>
                <w:noProof/>
                <w:sz w:val="20"/>
              </w:rPr>
            </w:pPr>
            <w:r>
              <w:rPr>
                <w:noProof/>
                <w:sz w:val="20"/>
              </w:rPr>
              <w:t>COM(2018)369 final</w:t>
            </w:r>
            <w:r>
              <w:rPr>
                <w:noProof/>
                <w:sz w:val="20"/>
              </w:rPr>
              <w:br/>
              <w:t>2018/0194 (COD)</w:t>
            </w:r>
            <w:r>
              <w:rPr>
                <w:noProof/>
                <w:sz w:val="20"/>
              </w:rPr>
              <w:br/>
              <w:t>31.5.2018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разширяване спрямо неучастващите държави членки на приложението на Регламент (ЕС) № …/2018 за създаване на програма за обмен, помощ и обучение за защита на еврото срещу фалшифициране за периода 2021—2027 г. (програма „Перикъл IV“)</w:t>
            </w:r>
          </w:p>
        </w:tc>
        <w:tc>
          <w:tcPr>
            <w:tcW w:w="2126" w:type="dxa"/>
            <w:tcMar>
              <w:top w:w="85" w:type="dxa"/>
              <w:left w:w="85" w:type="dxa"/>
              <w:bottom w:w="85" w:type="dxa"/>
            </w:tcMar>
          </w:tcPr>
          <w:p>
            <w:pPr>
              <w:spacing w:after="0"/>
              <w:jc w:val="left"/>
              <w:rPr>
                <w:noProof/>
                <w:sz w:val="20"/>
              </w:rPr>
            </w:pPr>
            <w:r>
              <w:rPr>
                <w:noProof/>
                <w:sz w:val="20"/>
              </w:rPr>
              <w:t>COM(2018)371 final</w:t>
            </w:r>
            <w:r>
              <w:rPr>
                <w:noProof/>
                <w:sz w:val="20"/>
              </w:rPr>
              <w:br/>
              <w:t>2018/0219 (APP)</w:t>
            </w:r>
            <w:r>
              <w:rPr>
                <w:noProof/>
                <w:sz w:val="20"/>
              </w:rPr>
              <w:br/>
              <w:t>31.5.2018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Европейския социален фонд плюс (ЕСФ+)</w:t>
            </w:r>
          </w:p>
        </w:tc>
        <w:tc>
          <w:tcPr>
            <w:tcW w:w="2126" w:type="dxa"/>
            <w:tcMar>
              <w:top w:w="85" w:type="dxa"/>
              <w:left w:w="85" w:type="dxa"/>
              <w:bottom w:w="85" w:type="dxa"/>
            </w:tcMar>
          </w:tcPr>
          <w:p>
            <w:pPr>
              <w:spacing w:after="0"/>
              <w:jc w:val="left"/>
              <w:rPr>
                <w:noProof/>
                <w:sz w:val="20"/>
              </w:rPr>
            </w:pPr>
            <w:r>
              <w:rPr>
                <w:noProof/>
                <w:sz w:val="20"/>
              </w:rPr>
              <w:t>COM(2018)382 final</w:t>
            </w:r>
            <w:r>
              <w:rPr>
                <w:noProof/>
                <w:sz w:val="20"/>
              </w:rPr>
              <w:br/>
              <w:t>2018/0206 (COD)</w:t>
            </w:r>
            <w:r>
              <w:rPr>
                <w:noProof/>
                <w:sz w:val="20"/>
              </w:rPr>
              <w:b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Европейския фонд за приспособяване към глобализацията (ЕФПГ)</w:t>
            </w:r>
          </w:p>
        </w:tc>
        <w:tc>
          <w:tcPr>
            <w:tcW w:w="2126" w:type="dxa"/>
            <w:tcMar>
              <w:top w:w="85" w:type="dxa"/>
              <w:left w:w="85" w:type="dxa"/>
              <w:bottom w:w="85" w:type="dxa"/>
            </w:tcMar>
          </w:tcPr>
          <w:p>
            <w:pPr>
              <w:spacing w:after="0"/>
              <w:jc w:val="left"/>
              <w:rPr>
                <w:noProof/>
                <w:sz w:val="20"/>
              </w:rPr>
            </w:pPr>
            <w:r>
              <w:rPr>
                <w:noProof/>
                <w:sz w:val="20"/>
              </w:rPr>
              <w:t>COM(2018)380 final</w:t>
            </w:r>
            <w:r>
              <w:rPr>
                <w:noProof/>
                <w:sz w:val="20"/>
              </w:rPr>
              <w:br/>
              <w:t>2018/0202 (COD)</w:t>
            </w:r>
            <w:r>
              <w:rPr>
                <w:noProof/>
                <w:sz w:val="20"/>
              </w:rPr>
              <w:b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„Митници“ за сътрудничество в областта на митниците</w:t>
            </w:r>
          </w:p>
        </w:tc>
        <w:tc>
          <w:tcPr>
            <w:tcW w:w="2126" w:type="dxa"/>
            <w:tcMar>
              <w:top w:w="85" w:type="dxa"/>
              <w:left w:w="85" w:type="dxa"/>
              <w:bottom w:w="85" w:type="dxa"/>
            </w:tcMar>
          </w:tcPr>
          <w:p>
            <w:pPr>
              <w:spacing w:after="0"/>
              <w:jc w:val="left"/>
              <w:rPr>
                <w:noProof/>
                <w:sz w:val="20"/>
              </w:rPr>
            </w:pPr>
            <w:r>
              <w:rPr>
                <w:noProof/>
                <w:sz w:val="20"/>
              </w:rPr>
              <w:t>COM(2018)442 final</w:t>
            </w:r>
            <w:r>
              <w:rPr>
                <w:noProof/>
                <w:sz w:val="20"/>
              </w:rPr>
              <w:br/>
              <w:t>2018/0232 (COD)</w:t>
            </w:r>
            <w:r>
              <w:rPr>
                <w:noProof/>
                <w:sz w:val="20"/>
              </w:rPr>
              <w:br/>
              <w:t>8.6.2018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„Фискалис“ за сътрудничество в областта на данъчното облагане</w:t>
            </w:r>
          </w:p>
        </w:tc>
        <w:tc>
          <w:tcPr>
            <w:tcW w:w="2126" w:type="dxa"/>
            <w:tcMar>
              <w:top w:w="85" w:type="dxa"/>
              <w:left w:w="85" w:type="dxa"/>
              <w:bottom w:w="85" w:type="dxa"/>
            </w:tcMar>
          </w:tcPr>
          <w:p>
            <w:pPr>
              <w:spacing w:after="0"/>
              <w:jc w:val="left"/>
              <w:rPr>
                <w:noProof/>
                <w:sz w:val="20"/>
              </w:rPr>
            </w:pPr>
            <w:r>
              <w:rPr>
                <w:noProof/>
                <w:sz w:val="20"/>
              </w:rPr>
              <w:t>COM(2018)443 final</w:t>
            </w:r>
            <w:r>
              <w:rPr>
                <w:noProof/>
                <w:sz w:val="20"/>
              </w:rPr>
              <w:br/>
              <w:t>2018/0233 (COD)</w:t>
            </w:r>
            <w:r>
              <w:rPr>
                <w:noProof/>
                <w:sz w:val="20"/>
              </w:rPr>
              <w:br/>
              <w:t>8.6.2018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инструмент за финансово подпомагане за оборудване за митнически контрол като част от Фонда за интегрирано управление на границите</w:t>
            </w:r>
          </w:p>
        </w:tc>
        <w:tc>
          <w:tcPr>
            <w:tcW w:w="2126" w:type="dxa"/>
            <w:tcMar>
              <w:top w:w="85" w:type="dxa"/>
              <w:left w:w="85" w:type="dxa"/>
              <w:bottom w:w="85" w:type="dxa"/>
            </w:tcMar>
          </w:tcPr>
          <w:p>
            <w:pPr>
              <w:spacing w:after="0"/>
              <w:jc w:val="left"/>
              <w:rPr>
                <w:noProof/>
                <w:sz w:val="20"/>
              </w:rPr>
            </w:pPr>
            <w:r>
              <w:rPr>
                <w:noProof/>
                <w:sz w:val="20"/>
              </w:rPr>
              <w:t>COM(2018)474 final</w:t>
            </w:r>
            <w:r>
              <w:rPr>
                <w:noProof/>
                <w:sz w:val="20"/>
              </w:rPr>
              <w:br/>
              <w:t>2018/0258 (COD)</w:t>
            </w:r>
            <w:r>
              <w:rPr>
                <w:noProof/>
                <w:sz w:val="20"/>
              </w:rPr>
              <w:br/>
              <w:t>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 xml:space="preserve"> 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w:t>
            </w:r>
          </w:p>
        </w:tc>
        <w:tc>
          <w:tcPr>
            <w:tcW w:w="2126" w:type="dxa"/>
            <w:tcMar>
              <w:top w:w="85" w:type="dxa"/>
              <w:left w:w="85" w:type="dxa"/>
              <w:bottom w:w="85" w:type="dxa"/>
            </w:tcMar>
          </w:tcPr>
          <w:p>
            <w:pPr>
              <w:spacing w:after="0"/>
              <w:jc w:val="left"/>
              <w:rPr>
                <w:noProof/>
                <w:sz w:val="20"/>
              </w:rPr>
            </w:pPr>
            <w:r>
              <w:rPr>
                <w:noProof/>
                <w:sz w:val="20"/>
              </w:rPr>
              <w:t>COM(2018)375 final</w:t>
            </w:r>
            <w:r>
              <w:rPr>
                <w:noProof/>
                <w:sz w:val="20"/>
              </w:rPr>
              <w:br/>
              <w:t>2018/0196 (COD)</w:t>
            </w:r>
            <w:r>
              <w:rPr>
                <w:noProof/>
                <w:sz w:val="20"/>
              </w:rPr>
              <w:br/>
              <w:t>29.5.2018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Европейския фонд за регионално развитие и относно Кохезионния фонд</w:t>
            </w:r>
          </w:p>
        </w:tc>
        <w:tc>
          <w:tcPr>
            <w:tcW w:w="2126" w:type="dxa"/>
            <w:tcMar>
              <w:top w:w="85" w:type="dxa"/>
              <w:left w:w="85" w:type="dxa"/>
              <w:bottom w:w="85" w:type="dxa"/>
            </w:tcMar>
          </w:tcPr>
          <w:p>
            <w:pPr>
              <w:spacing w:after="0"/>
              <w:jc w:val="left"/>
              <w:rPr>
                <w:noProof/>
                <w:sz w:val="20"/>
              </w:rPr>
            </w:pPr>
            <w:r>
              <w:rPr>
                <w:noProof/>
                <w:sz w:val="20"/>
              </w:rPr>
              <w:t>COM(2018)372 final</w:t>
            </w:r>
            <w:r>
              <w:rPr>
                <w:noProof/>
                <w:sz w:val="20"/>
              </w:rPr>
              <w:br/>
              <w:t>2018/0197 (COD)</w:t>
            </w:r>
            <w:r>
              <w:rPr>
                <w:noProof/>
                <w:sz w:val="20"/>
              </w:rPr>
              <w:br/>
              <w:t>29.5.2018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механизъм за преодоляване на правните и административните пречки в трансграничен контекст</w:t>
            </w:r>
          </w:p>
        </w:tc>
        <w:tc>
          <w:tcPr>
            <w:tcW w:w="2126" w:type="dxa"/>
            <w:tcMar>
              <w:top w:w="85" w:type="dxa"/>
              <w:left w:w="85" w:type="dxa"/>
              <w:bottom w:w="85" w:type="dxa"/>
            </w:tcMar>
          </w:tcPr>
          <w:p>
            <w:pPr>
              <w:spacing w:after="0"/>
              <w:jc w:val="left"/>
              <w:rPr>
                <w:noProof/>
                <w:sz w:val="20"/>
              </w:rPr>
            </w:pPr>
            <w:r>
              <w:rPr>
                <w:noProof/>
                <w:sz w:val="20"/>
              </w:rPr>
              <w:t>COM(2018)373 final</w:t>
            </w:r>
            <w:r>
              <w:rPr>
                <w:noProof/>
                <w:sz w:val="20"/>
              </w:rPr>
              <w:br/>
              <w:t>2018/0198 (COD)</w:t>
            </w:r>
            <w:r>
              <w:rPr>
                <w:noProof/>
                <w:sz w:val="20"/>
              </w:rPr>
              <w:br/>
              <w:t>29.5.2018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специалните разпоредби за цел „Европейско териториално сътрудничество“ (Interreg), подпомагана от Европейския фонд за регионално развитие и инструменти за външно финансиране</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COM(2018)374 final</w:t>
            </w:r>
            <w:r>
              <w:rPr>
                <w:noProof/>
                <w:sz w:val="20"/>
              </w:rPr>
              <w:br/>
              <w:t>2018/0199 (COD)</w:t>
            </w:r>
            <w:r>
              <w:rPr>
                <w:noProof/>
                <w:sz w:val="20"/>
              </w:rPr>
              <w:br/>
              <w:t>29.5.2018 г.</w:t>
            </w:r>
          </w:p>
        </w:tc>
      </w:tr>
      <w:tr>
        <w:trPr>
          <w:cantSplit/>
        </w:trPr>
        <w:tc>
          <w:tcPr>
            <w:tcW w:w="652" w:type="dxa"/>
            <w:tcBorders>
              <w:bottom w:val="single" w:sz="4" w:space="0" w:color="auto"/>
              <w:right w:val="nil"/>
            </w:tcBorders>
            <w:shd w:val="clear" w:color="auto" w:fill="auto"/>
            <w:tcMar>
              <w:top w:w="85" w:type="dxa"/>
              <w:left w:w="85" w:type="dxa"/>
              <w:bottom w:w="85" w:type="dxa"/>
              <w:right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 1303/2013 за адаптиране на равнището на годишното предварително финансиране за периода 2021—2023 г.</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COM(2018)614 final</w:t>
            </w:r>
            <w:r>
              <w:rPr>
                <w:noProof/>
                <w:sz w:val="20"/>
              </w:rPr>
              <w:br/>
              <w:t>2018/0322 (COD)</w:t>
            </w:r>
            <w:r>
              <w:rPr>
                <w:noProof/>
                <w:sz w:val="20"/>
              </w:rPr>
              <w:br/>
              <w:t>7.9.2018 г.</w:t>
            </w:r>
          </w:p>
        </w:tc>
      </w:tr>
      <w:tr>
        <w:trPr>
          <w:cantSplit/>
        </w:trPr>
        <w:tc>
          <w:tcPr>
            <w:tcW w:w="14850" w:type="dxa"/>
            <w:gridSpan w:val="3"/>
            <w:shd w:val="clear" w:color="auto" w:fill="585EAA" w:themeFill="accent4"/>
            <w:tcMar>
              <w:top w:w="85" w:type="dxa"/>
              <w:left w:w="85" w:type="dxa"/>
              <w:bottom w:w="85" w:type="dxa"/>
              <w:right w:w="85" w:type="dxa"/>
            </w:tcMar>
          </w:tcPr>
          <w:p>
            <w:pPr>
              <w:keepNext/>
              <w:spacing w:before="60" w:after="60"/>
              <w:rPr>
                <w:noProof/>
                <w:sz w:val="20"/>
              </w:rPr>
            </w:pPr>
            <w:r>
              <w:rPr>
                <w:b/>
                <w:bCs/>
                <w:noProof/>
                <w:color w:val="FFFFFF" w:themeColor="background1"/>
                <w:sz w:val="20"/>
              </w:rPr>
              <w:t>По-силна Европа на световната сцена</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 xml:space="preserve">Предложение за РЕГЛАМЕНТ НА ЕВРОПЕЙСКИЯ ПАРЛАМЕНТ И НА СЪВЕТА за въвеждане на режим на Съюза за контрол на износа, трансфера, брокерската дейност, техническата помощ и транзита на изделия с двойна употреба (преработен) </w:t>
            </w:r>
          </w:p>
        </w:tc>
        <w:tc>
          <w:tcPr>
            <w:tcW w:w="2126" w:type="dxa"/>
            <w:tcMar>
              <w:top w:w="85" w:type="dxa"/>
              <w:left w:w="85" w:type="dxa"/>
              <w:bottom w:w="85" w:type="dxa"/>
            </w:tcMar>
          </w:tcPr>
          <w:p>
            <w:pPr>
              <w:spacing w:after="0"/>
              <w:jc w:val="left"/>
              <w:rPr>
                <w:noProof/>
                <w:sz w:val="20"/>
              </w:rPr>
            </w:pPr>
            <w:r>
              <w:rPr>
                <w:noProof/>
                <w:sz w:val="20"/>
              </w:rPr>
              <w:t>COM(2016)616 final</w:t>
            </w:r>
            <w:r>
              <w:rPr>
                <w:noProof/>
                <w:sz w:val="20"/>
              </w:rPr>
              <w:br/>
              <w:t>2016/0295 (COD)</w:t>
            </w:r>
            <w:r>
              <w:rPr>
                <w:noProof/>
                <w:sz w:val="20"/>
              </w:rPr>
              <w:br/>
              <w:t>28.9.2016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достъпа на стоки и услуги от трети държави до вътрешния пазар на обществени поръчки на Съюза и за определяне на процедури за подпомагане на преговорите относно достъпа на съюзни стоки и услуги до пазарите на обществени поръчки на трети държави</w:t>
            </w:r>
          </w:p>
        </w:tc>
        <w:tc>
          <w:tcPr>
            <w:tcW w:w="2126" w:type="dxa"/>
            <w:tcMar>
              <w:top w:w="85" w:type="dxa"/>
              <w:left w:w="85" w:type="dxa"/>
              <w:bottom w:w="85" w:type="dxa"/>
            </w:tcMar>
          </w:tcPr>
          <w:p>
            <w:pPr>
              <w:spacing w:after="0"/>
              <w:jc w:val="left"/>
              <w:rPr>
                <w:noProof/>
                <w:sz w:val="20"/>
              </w:rPr>
            </w:pPr>
            <w:r>
              <w:rPr>
                <w:noProof/>
                <w:sz w:val="20"/>
              </w:rPr>
              <w:t>COM(2012)124 final</w:t>
            </w:r>
            <w:r>
              <w:rPr>
                <w:noProof/>
                <w:sz w:val="20"/>
              </w:rPr>
              <w:br/>
              <w:t>2012/0060 (COD)</w:t>
            </w:r>
            <w:r>
              <w:rPr>
                <w:noProof/>
                <w:sz w:val="20"/>
              </w:rPr>
              <w:br/>
              <w:t>21.3.2012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 654/2014 на Европейския парламент и на Съвета относно упражняването на правата на Съюза за прилагане и осигуряване на съблюдаването на международните търговски правила</w:t>
            </w:r>
          </w:p>
        </w:tc>
        <w:tc>
          <w:tcPr>
            <w:tcW w:w="2126" w:type="dxa"/>
            <w:tcMar>
              <w:top w:w="85" w:type="dxa"/>
              <w:left w:w="85" w:type="dxa"/>
              <w:bottom w:w="85" w:type="dxa"/>
            </w:tcMar>
          </w:tcPr>
          <w:p>
            <w:pPr>
              <w:spacing w:after="0"/>
              <w:jc w:val="left"/>
              <w:rPr>
                <w:noProof/>
                <w:sz w:val="20"/>
              </w:rPr>
            </w:pPr>
            <w:r>
              <w:rPr>
                <w:noProof/>
                <w:sz w:val="20"/>
              </w:rPr>
              <w:t>COM(2019)623 final</w:t>
            </w:r>
            <w:r>
              <w:rPr>
                <w:noProof/>
                <w:sz w:val="20"/>
              </w:rPr>
              <w:br/>
              <w:t>2019/0273 (COD)</w:t>
            </w:r>
            <w:r>
              <w:rPr>
                <w:noProof/>
                <w:sz w:val="20"/>
              </w:rPr>
              <w:br/>
              <w:t>12.12.2019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на Върховния представител на Съюза по въпросите на външните работи и политиката на сигурност с подкрепата на Комисията до Съвета за Решение на Съвета за създаване на Европейски механизъм за подкрепа на мира</w:t>
            </w:r>
          </w:p>
        </w:tc>
        <w:tc>
          <w:tcPr>
            <w:tcW w:w="2126" w:type="dxa"/>
            <w:tcMar>
              <w:top w:w="85" w:type="dxa"/>
              <w:left w:w="85" w:type="dxa"/>
              <w:bottom w:w="85" w:type="dxa"/>
            </w:tcMar>
          </w:tcPr>
          <w:p>
            <w:pPr>
              <w:spacing w:after="0"/>
              <w:jc w:val="left"/>
              <w:rPr>
                <w:noProof/>
                <w:sz w:val="20"/>
              </w:rPr>
            </w:pPr>
            <w:r>
              <w:rPr>
                <w:noProof/>
                <w:sz w:val="20"/>
              </w:rPr>
              <w:t>9736/18</w:t>
            </w:r>
            <w:r>
              <w:rPr>
                <w:noProof/>
                <w:sz w:val="20"/>
              </w:rPr>
              <w:br/>
              <w:t>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Инструмент за предприсъединителна помощ (ИПП III)</w:t>
            </w:r>
          </w:p>
        </w:tc>
        <w:tc>
          <w:tcPr>
            <w:tcW w:w="2126" w:type="dxa"/>
            <w:tcMar>
              <w:top w:w="85" w:type="dxa"/>
              <w:left w:w="85" w:type="dxa"/>
              <w:bottom w:w="85" w:type="dxa"/>
            </w:tcMar>
          </w:tcPr>
          <w:p>
            <w:pPr>
              <w:spacing w:after="0"/>
              <w:jc w:val="left"/>
              <w:rPr>
                <w:noProof/>
                <w:sz w:val="20"/>
              </w:rPr>
            </w:pPr>
            <w:r>
              <w:rPr>
                <w:noProof/>
                <w:sz w:val="20"/>
              </w:rPr>
              <w:t>COM(2018)465 final</w:t>
            </w:r>
            <w:r>
              <w:rPr>
                <w:noProof/>
                <w:sz w:val="20"/>
              </w:rPr>
              <w:br/>
              <w:t>2018/0247 (COD)</w:t>
            </w:r>
            <w:r>
              <w:rPr>
                <w:noProof/>
                <w:sz w:val="20"/>
              </w:rPr>
              <w:br/>
              <w:t>14.6.2018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tc>
        <w:tc>
          <w:tcPr>
            <w:tcW w:w="2126" w:type="dxa"/>
            <w:tcMar>
              <w:top w:w="85" w:type="dxa"/>
              <w:left w:w="85" w:type="dxa"/>
              <w:bottom w:w="85" w:type="dxa"/>
            </w:tcMar>
          </w:tcPr>
          <w:p>
            <w:pPr>
              <w:spacing w:after="0"/>
              <w:jc w:val="left"/>
              <w:rPr>
                <w:noProof/>
                <w:sz w:val="20"/>
              </w:rPr>
            </w:pPr>
            <w:r>
              <w:rPr>
                <w:noProof/>
                <w:sz w:val="20"/>
              </w:rPr>
              <w:t>COM(2018)460 final</w:t>
            </w:r>
            <w:r>
              <w:rPr>
                <w:noProof/>
                <w:sz w:val="20"/>
              </w:rPr>
              <w:br/>
              <w:t>2018/0243 (COD)</w:t>
            </w:r>
            <w:r>
              <w:rPr>
                <w:noProof/>
                <w:sz w:val="20"/>
              </w:rPr>
              <w:br/>
              <w:t>14.6.2018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РЕШЕНИЕ НА СЪВЕТА относно асоциирането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 („Решение за отвъдморско асоцииране“)</w:t>
            </w:r>
          </w:p>
        </w:tc>
        <w:tc>
          <w:tcPr>
            <w:tcW w:w="2126" w:type="dxa"/>
            <w:tcMar>
              <w:top w:w="85" w:type="dxa"/>
              <w:left w:w="85" w:type="dxa"/>
              <w:bottom w:w="85" w:type="dxa"/>
            </w:tcMar>
          </w:tcPr>
          <w:p>
            <w:pPr>
              <w:spacing w:after="0"/>
              <w:jc w:val="left"/>
              <w:rPr>
                <w:noProof/>
                <w:sz w:val="20"/>
              </w:rPr>
            </w:pPr>
            <w:r>
              <w:rPr>
                <w:noProof/>
                <w:sz w:val="20"/>
              </w:rPr>
              <w:t>COM(2018)461 final</w:t>
            </w:r>
            <w:r>
              <w:rPr>
                <w:noProof/>
                <w:sz w:val="20"/>
              </w:rPr>
              <w:br/>
              <w:t>2018/0244 (CNS)</w:t>
            </w:r>
            <w:r>
              <w:rPr>
                <w:noProof/>
                <w:sz w:val="20"/>
              </w:rPr>
              <w:br/>
              <w:t>14.6.2018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СЪВЕТА за създаване на Европейски инструмент за сътрудничество в областта на ядрената безопасност, допълващ Инструмента за съседство, сътрудничество за развитие и международно сътрудничество въз основа на Договора за Евратом</w:t>
            </w:r>
          </w:p>
        </w:tc>
        <w:tc>
          <w:tcPr>
            <w:tcW w:w="2126" w:type="dxa"/>
            <w:tcMar>
              <w:top w:w="85" w:type="dxa"/>
              <w:left w:w="85" w:type="dxa"/>
              <w:bottom w:w="85" w:type="dxa"/>
            </w:tcMar>
          </w:tcPr>
          <w:p>
            <w:pPr>
              <w:spacing w:after="0"/>
              <w:jc w:val="left"/>
              <w:rPr>
                <w:noProof/>
                <w:sz w:val="20"/>
              </w:rPr>
            </w:pPr>
            <w:r>
              <w:rPr>
                <w:noProof/>
                <w:sz w:val="20"/>
              </w:rPr>
              <w:t>COM(2018)462 final</w:t>
            </w:r>
            <w:r>
              <w:rPr>
                <w:noProof/>
                <w:sz w:val="20"/>
              </w:rPr>
              <w:br/>
              <w:t>2018/0245 (NLE)</w:t>
            </w:r>
            <w:r>
              <w:rPr>
                <w:noProof/>
                <w:sz w:val="20"/>
              </w:rPr>
              <w:br/>
              <w:t>14.6.2018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color w:val="FFFFFF" w:themeColor="background1"/>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РЕШЕНИЕ НА ЕВРОПЕЙСКИЯ ПАРЛАМЕНТ И НА СЪВЕТА за изменение на Решение № 1313/2013/ЕС на Европейския парламент и на Съвета относно Механизъм за гражданска защита на Съюза</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COM(2019)125 final</w:t>
            </w:r>
            <w:r>
              <w:rPr>
                <w:noProof/>
                <w:sz w:val="20"/>
              </w:rPr>
              <w:br/>
              <w:t>2019/0070 (COD)</w:t>
            </w:r>
            <w:r>
              <w:rPr>
                <w:noProof/>
                <w:sz w:val="20"/>
              </w:rPr>
              <w:br/>
              <w:t>7.3.2019 г.</w:t>
            </w:r>
          </w:p>
        </w:tc>
      </w:tr>
      <w:tr>
        <w:trPr>
          <w:cantSplit/>
        </w:trPr>
        <w:tc>
          <w:tcPr>
            <w:tcW w:w="14850" w:type="dxa"/>
            <w:gridSpan w:val="3"/>
            <w:shd w:val="clear" w:color="auto" w:fill="DA5C57" w:themeFill="accent6"/>
            <w:tcMar>
              <w:top w:w="85" w:type="dxa"/>
              <w:left w:w="85" w:type="dxa"/>
              <w:bottom w:w="85" w:type="dxa"/>
              <w:right w:w="85" w:type="dxa"/>
            </w:tcMar>
          </w:tcPr>
          <w:p>
            <w:pPr>
              <w:spacing w:before="60" w:after="60"/>
              <w:rPr>
                <w:noProof/>
                <w:color w:val="FFFFFF" w:themeColor="background1"/>
                <w:sz w:val="20"/>
              </w:rPr>
            </w:pPr>
            <w:r>
              <w:rPr>
                <w:b/>
                <w:bCs/>
                <w:noProof/>
                <w:color w:val="FFFFFF" w:themeColor="background1"/>
                <w:sz w:val="20"/>
              </w:rPr>
              <w:t>Утвърждаване на европейския ни начин на живот</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Евратом) № 883/2013 относно разследванията, провеждани от Европейската служба за борба с измамите (OLAF), по отношение на сътрудничеството с Европейската прокуратура и ефективността на разследванията на OLAF</w:t>
            </w:r>
            <w:r>
              <w:rPr>
                <w:b/>
                <w:bCs/>
                <w:noProof/>
                <w:sz w:val="20"/>
              </w:rPr>
              <w:t xml:space="preserve"> </w:t>
            </w:r>
          </w:p>
        </w:tc>
        <w:tc>
          <w:tcPr>
            <w:tcW w:w="2126" w:type="dxa"/>
            <w:tcMar>
              <w:top w:w="85" w:type="dxa"/>
              <w:left w:w="85" w:type="dxa"/>
              <w:bottom w:w="85" w:type="dxa"/>
            </w:tcMar>
          </w:tcPr>
          <w:p>
            <w:pPr>
              <w:spacing w:after="0"/>
              <w:jc w:val="left"/>
              <w:rPr>
                <w:noProof/>
                <w:sz w:val="20"/>
              </w:rPr>
            </w:pPr>
            <w:r>
              <w:rPr>
                <w:noProof/>
                <w:sz w:val="20"/>
              </w:rPr>
              <w:t>COM(2018)338 final</w:t>
            </w:r>
            <w:r>
              <w:rPr>
                <w:noProof/>
                <w:sz w:val="20"/>
              </w:rPr>
              <w:br/>
              <w:t>2018/0170 (COD)</w:t>
            </w:r>
            <w:r>
              <w:rPr>
                <w:noProof/>
                <w:sz w:val="20"/>
              </w:rPr>
              <w:br/>
              <w:t>24.5.2018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Евратом) № 883/2013 с оглед на създаването на контрольор на процесуалните гаранции</w:t>
            </w:r>
          </w:p>
        </w:tc>
        <w:tc>
          <w:tcPr>
            <w:tcW w:w="2126" w:type="dxa"/>
            <w:tcMar>
              <w:top w:w="85" w:type="dxa"/>
              <w:left w:w="85" w:type="dxa"/>
              <w:bottom w:w="85" w:type="dxa"/>
            </w:tcMar>
          </w:tcPr>
          <w:p>
            <w:pPr>
              <w:spacing w:after="0"/>
              <w:jc w:val="left"/>
              <w:rPr>
                <w:noProof/>
                <w:sz w:val="20"/>
              </w:rPr>
            </w:pPr>
            <w:r>
              <w:rPr>
                <w:noProof/>
                <w:sz w:val="20"/>
              </w:rPr>
              <w:t>COM(2014)340 final</w:t>
            </w:r>
            <w:r>
              <w:rPr>
                <w:noProof/>
                <w:sz w:val="20"/>
              </w:rPr>
              <w:br/>
              <w:t>2014/0173 (COD)</w:t>
            </w:r>
            <w:r>
              <w:rPr>
                <w:noProof/>
                <w:sz w:val="20"/>
              </w:rPr>
              <w:br/>
              <w:t>11.6.2014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оценката на здравните технологии и за изменение на Директива 2011/24/ЕС</w:t>
            </w:r>
          </w:p>
        </w:tc>
        <w:tc>
          <w:tcPr>
            <w:tcW w:w="2126" w:type="dxa"/>
            <w:tcMar>
              <w:top w:w="85" w:type="dxa"/>
              <w:left w:w="85" w:type="dxa"/>
              <w:bottom w:w="85" w:type="dxa"/>
            </w:tcMar>
          </w:tcPr>
          <w:p>
            <w:pPr>
              <w:spacing w:after="0"/>
              <w:jc w:val="left"/>
              <w:rPr>
                <w:noProof/>
                <w:sz w:val="20"/>
              </w:rPr>
            </w:pPr>
            <w:r>
              <w:rPr>
                <w:noProof/>
                <w:sz w:val="20"/>
              </w:rPr>
              <w:t>COM(2018)51 final</w:t>
            </w:r>
            <w:r>
              <w:rPr>
                <w:noProof/>
                <w:sz w:val="20"/>
              </w:rPr>
              <w:br/>
              <w:t>2018/0018 (COD)</w:t>
            </w:r>
            <w:r>
              <w:rPr>
                <w:noProof/>
                <w:sz w:val="20"/>
              </w:rPr>
              <w:br/>
              <w:t>1.2.2018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общите стандарти и процедури, приложими в държавите членки за връщане на незаконно пребиваващи граждани на трети страни (преработен текст). Принос на Европейската комисия за срещата на лидерите в Залцбург на 19 и 20 септември 2018 г.</w:t>
            </w:r>
          </w:p>
        </w:tc>
        <w:tc>
          <w:tcPr>
            <w:tcW w:w="2126" w:type="dxa"/>
            <w:tcMar>
              <w:top w:w="85" w:type="dxa"/>
              <w:left w:w="85" w:type="dxa"/>
              <w:bottom w:w="85" w:type="dxa"/>
            </w:tcMar>
          </w:tcPr>
          <w:p>
            <w:pPr>
              <w:spacing w:after="0"/>
              <w:jc w:val="left"/>
              <w:rPr>
                <w:noProof/>
                <w:sz w:val="20"/>
              </w:rPr>
            </w:pPr>
            <w:r>
              <w:rPr>
                <w:noProof/>
                <w:sz w:val="20"/>
              </w:rPr>
              <w:t>COM(2018)634 final</w:t>
            </w:r>
            <w:r>
              <w:rPr>
                <w:noProof/>
                <w:sz w:val="20"/>
              </w:rPr>
              <w:br/>
              <w:t>2018/0329 (COD)</w:t>
            </w:r>
            <w:r>
              <w:rPr>
                <w:noProof/>
                <w:sz w:val="20"/>
              </w:rPr>
              <w:br/>
              <w:t>12.9.2018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предотвратяване на разпространението на терористично съдържание онлайн. Принос на Европейската комисия за срещата на лидерите в Залцбург на 19 и 20 септември 2018 г.</w:t>
            </w:r>
          </w:p>
        </w:tc>
        <w:tc>
          <w:tcPr>
            <w:tcW w:w="2126" w:type="dxa"/>
            <w:tcMar>
              <w:top w:w="85" w:type="dxa"/>
              <w:left w:w="85" w:type="dxa"/>
              <w:bottom w:w="85" w:type="dxa"/>
            </w:tcMar>
          </w:tcPr>
          <w:p>
            <w:pPr>
              <w:spacing w:after="0"/>
              <w:jc w:val="left"/>
              <w:rPr>
                <w:noProof/>
                <w:sz w:val="20"/>
              </w:rPr>
            </w:pPr>
            <w:r>
              <w:rPr>
                <w:noProof/>
                <w:sz w:val="20"/>
              </w:rPr>
              <w:t>COM(2018)640 final</w:t>
            </w:r>
            <w:r>
              <w:rPr>
                <w:noProof/>
                <w:sz w:val="20"/>
              </w:rPr>
              <w:br/>
              <w:t>2018/0331 (COD)</w:t>
            </w:r>
            <w:r>
              <w:rPr>
                <w:noProof/>
                <w:sz w:val="20"/>
              </w:rPr>
              <w:br/>
              <w:t>12.9.2018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w:t>
            </w:r>
          </w:p>
        </w:tc>
        <w:tc>
          <w:tcPr>
            <w:tcW w:w="2126" w:type="dxa"/>
            <w:tcMar>
              <w:top w:w="85" w:type="dxa"/>
              <w:left w:w="85" w:type="dxa"/>
              <w:bottom w:w="85" w:type="dxa"/>
            </w:tcMar>
          </w:tcPr>
          <w:p>
            <w:pPr>
              <w:spacing w:after="0"/>
              <w:jc w:val="left"/>
              <w:rPr>
                <w:noProof/>
                <w:sz w:val="20"/>
              </w:rPr>
            </w:pPr>
            <w:r>
              <w:rPr>
                <w:noProof/>
                <w:sz w:val="20"/>
              </w:rPr>
              <w:t>COM(2018)302 final</w:t>
            </w:r>
            <w:r>
              <w:rPr>
                <w:noProof/>
                <w:sz w:val="20"/>
              </w:rPr>
              <w:br/>
              <w:t>2018/0152 (COD)</w:t>
            </w:r>
            <w:r>
              <w:rPr>
                <w:noProof/>
                <w:sz w:val="20"/>
              </w:rPr>
              <w:br/>
              <w:t>17.5.2018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определяне на условията за достъп до други информационни системи на ЕС за целите на ETIAS и за изменение на Регламент (EС) 2018/1240, Регламент (EО) № 767/2008, Регламент (ЕС) 2017/2226 и Регламент (ЕС) 2018/1861</w:t>
            </w:r>
          </w:p>
        </w:tc>
        <w:tc>
          <w:tcPr>
            <w:tcW w:w="2126" w:type="dxa"/>
            <w:tcMar>
              <w:top w:w="85" w:type="dxa"/>
              <w:left w:w="85" w:type="dxa"/>
              <w:bottom w:w="85" w:type="dxa"/>
            </w:tcMar>
          </w:tcPr>
          <w:p>
            <w:pPr>
              <w:spacing w:after="0"/>
              <w:jc w:val="left"/>
              <w:rPr>
                <w:noProof/>
                <w:sz w:val="20"/>
              </w:rPr>
            </w:pPr>
            <w:r>
              <w:rPr>
                <w:noProof/>
                <w:sz w:val="20"/>
              </w:rPr>
              <w:t>COM(2019)4 final</w:t>
            </w:r>
            <w:r>
              <w:rPr>
                <w:noProof/>
                <w:sz w:val="20"/>
              </w:rPr>
              <w:br/>
              <w:t>2019/0002 (COD)</w:t>
            </w:r>
            <w:r>
              <w:rPr>
                <w:noProof/>
                <w:sz w:val="20"/>
              </w:rPr>
              <w:br/>
              <w:t>7.1.2019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(Турция)</w:t>
            </w:r>
          </w:p>
        </w:tc>
        <w:tc>
          <w:tcPr>
            <w:tcW w:w="2126" w:type="dxa"/>
            <w:tcMar>
              <w:top w:w="85" w:type="dxa"/>
              <w:left w:w="85" w:type="dxa"/>
              <w:bottom w:w="85" w:type="dxa"/>
            </w:tcMar>
          </w:tcPr>
          <w:p>
            <w:pPr>
              <w:spacing w:after="0"/>
              <w:jc w:val="left"/>
              <w:rPr>
                <w:noProof/>
                <w:sz w:val="20"/>
              </w:rPr>
            </w:pPr>
            <w:r>
              <w:rPr>
                <w:noProof/>
                <w:sz w:val="20"/>
              </w:rPr>
              <w:t>COM(2016)279 final</w:t>
            </w:r>
            <w:r>
              <w:rPr>
                <w:noProof/>
                <w:sz w:val="20"/>
              </w:rPr>
              <w:br/>
              <w:t>2016/0141 (COD) 4.5.2016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(Косово*)</w:t>
            </w:r>
          </w:p>
        </w:tc>
        <w:tc>
          <w:tcPr>
            <w:tcW w:w="2126" w:type="dxa"/>
            <w:tcMar>
              <w:top w:w="85" w:type="dxa"/>
              <w:left w:w="85" w:type="dxa"/>
              <w:bottom w:w="85" w:type="dxa"/>
            </w:tcMar>
          </w:tcPr>
          <w:p>
            <w:pPr>
              <w:spacing w:after="0"/>
              <w:jc w:val="left"/>
              <w:rPr>
                <w:noProof/>
                <w:sz w:val="20"/>
              </w:rPr>
            </w:pPr>
            <w:r>
              <w:rPr>
                <w:noProof/>
                <w:sz w:val="20"/>
              </w:rPr>
              <w:t>COM(2016)277 final</w:t>
            </w:r>
            <w:r>
              <w:rPr>
                <w:noProof/>
                <w:sz w:val="20"/>
              </w:rPr>
              <w:br/>
              <w:t>2016/0139 (COD)</w:t>
            </w:r>
            <w:r>
              <w:rPr>
                <w:noProof/>
                <w:sz w:val="20"/>
              </w:rPr>
              <w:br/>
              <w:t>4.5.2016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2016/399 по отношение на правилата, които се прилагат за временното повторно въвеждане на граничен контрол на вътрешните граници</w:t>
            </w:r>
          </w:p>
        </w:tc>
        <w:tc>
          <w:tcPr>
            <w:tcW w:w="2126" w:type="dxa"/>
            <w:tcMar>
              <w:top w:w="85" w:type="dxa"/>
              <w:left w:w="85" w:type="dxa"/>
              <w:bottom w:w="85" w:type="dxa"/>
            </w:tcMar>
          </w:tcPr>
          <w:p>
            <w:pPr>
              <w:spacing w:after="0"/>
              <w:jc w:val="left"/>
              <w:rPr>
                <w:noProof/>
                <w:sz w:val="20"/>
              </w:rPr>
            </w:pPr>
            <w:r>
              <w:rPr>
                <w:noProof/>
                <w:sz w:val="20"/>
              </w:rPr>
              <w:t>COM(2017)571 final</w:t>
            </w:r>
            <w:r>
              <w:rPr>
                <w:noProof/>
                <w:sz w:val="20"/>
              </w:rPr>
              <w:br/>
              <w:t>2017/0245 (COD)</w:t>
            </w:r>
            <w:r>
              <w:rPr>
                <w:noProof/>
                <w:sz w:val="20"/>
              </w:rPr>
              <w:br/>
              <w:t>28.9.2017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tc>
        <w:tc>
          <w:tcPr>
            <w:tcW w:w="2126" w:type="dxa"/>
            <w:tcMar>
              <w:top w:w="85" w:type="dxa"/>
              <w:left w:w="85" w:type="dxa"/>
              <w:bottom w:w="85" w:type="dxa"/>
            </w:tcMar>
          </w:tcPr>
          <w:p>
            <w:pPr>
              <w:spacing w:after="0"/>
              <w:jc w:val="left"/>
              <w:rPr>
                <w:noProof/>
                <w:sz w:val="20"/>
              </w:rPr>
            </w:pPr>
            <w:r>
              <w:rPr>
                <w:noProof/>
                <w:sz w:val="20"/>
              </w:rPr>
              <w:t>COM(2016)271 final</w:t>
            </w:r>
            <w:r>
              <w:rPr>
                <w:noProof/>
                <w:sz w:val="20"/>
              </w:rPr>
              <w:br/>
              <w:t>2016/0131 (COD)</w:t>
            </w:r>
            <w:r>
              <w:rPr>
                <w:noProof/>
                <w:sz w:val="20"/>
              </w:rPr>
              <w:br/>
              <w:t>4.5.2016 г.</w:t>
            </w:r>
            <w:r>
              <w:rPr>
                <w:noProof/>
                <w:sz w:val="20"/>
              </w:rPr>
              <w:br/>
            </w:r>
            <w:r>
              <w:rPr>
                <w:noProof/>
                <w:sz w:val="20"/>
              </w:rPr>
              <w:br/>
              <w:t>COM(2018)633 final</w:t>
            </w:r>
            <w:r>
              <w:rPr>
                <w:noProof/>
                <w:sz w:val="20"/>
              </w:rPr>
              <w:br/>
              <w:t>12.9.2018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tc>
        <w:tc>
          <w:tcPr>
            <w:tcW w:w="2126" w:type="dxa"/>
            <w:tcMar>
              <w:top w:w="85" w:type="dxa"/>
              <w:left w:w="85" w:type="dxa"/>
              <w:bottom w:w="85" w:type="dxa"/>
            </w:tcMar>
          </w:tcPr>
          <w:p>
            <w:pPr>
              <w:spacing w:after="0"/>
              <w:jc w:val="left"/>
              <w:rPr>
                <w:noProof/>
                <w:sz w:val="20"/>
              </w:rPr>
            </w:pPr>
            <w:r>
              <w:rPr>
                <w:noProof/>
                <w:sz w:val="20"/>
              </w:rPr>
              <w:t>COM(2016)272 final</w:t>
            </w:r>
            <w:r>
              <w:rPr>
                <w:noProof/>
                <w:sz w:val="20"/>
              </w:rPr>
              <w:br/>
              <w:t>2016/0132 (COD)</w:t>
            </w:r>
            <w:r>
              <w:rPr>
                <w:noProof/>
                <w:sz w:val="20"/>
              </w:rPr>
              <w:br/>
              <w:t xml:space="preserve">4.5.2016 г. </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tc>
        <w:tc>
          <w:tcPr>
            <w:tcW w:w="2126" w:type="dxa"/>
            <w:tcMar>
              <w:top w:w="85" w:type="dxa"/>
              <w:left w:w="85" w:type="dxa"/>
              <w:bottom w:w="85" w:type="dxa"/>
            </w:tcMar>
          </w:tcPr>
          <w:p>
            <w:pPr>
              <w:spacing w:after="0"/>
              <w:jc w:val="left"/>
              <w:rPr>
                <w:noProof/>
                <w:sz w:val="20"/>
              </w:rPr>
            </w:pPr>
            <w:r>
              <w:rPr>
                <w:noProof/>
                <w:sz w:val="20"/>
              </w:rPr>
              <w:t>COM(2016)270 final</w:t>
            </w:r>
            <w:r>
              <w:rPr>
                <w:noProof/>
                <w:sz w:val="20"/>
              </w:rPr>
              <w:br/>
              <w:t>2016/0133 (COD)</w:t>
            </w:r>
            <w:r>
              <w:rPr>
                <w:noProof/>
                <w:sz w:val="20"/>
              </w:rPr>
              <w:br/>
              <w:t>4.5.2016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определяне на стандарти относно приемането на кандидати за международна закрила (преработен текст)</w:t>
            </w:r>
          </w:p>
        </w:tc>
        <w:tc>
          <w:tcPr>
            <w:tcW w:w="2126" w:type="dxa"/>
            <w:tcMar>
              <w:top w:w="85" w:type="dxa"/>
              <w:left w:w="85" w:type="dxa"/>
              <w:bottom w:w="85" w:type="dxa"/>
            </w:tcMar>
          </w:tcPr>
          <w:p>
            <w:pPr>
              <w:spacing w:after="0"/>
              <w:jc w:val="left"/>
              <w:rPr>
                <w:noProof/>
                <w:sz w:val="20"/>
              </w:rPr>
            </w:pPr>
            <w:r>
              <w:rPr>
                <w:noProof/>
                <w:sz w:val="20"/>
              </w:rPr>
              <w:t>COM(2016)465 final</w:t>
            </w:r>
            <w:r>
              <w:rPr>
                <w:noProof/>
                <w:sz w:val="20"/>
              </w:rPr>
              <w:br/>
              <w:t>2016/0222 (COD)</w:t>
            </w:r>
            <w:r>
              <w:rPr>
                <w:noProof/>
                <w:sz w:val="20"/>
              </w:rPr>
              <w:b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 xml:space="preserve">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 </w:t>
            </w:r>
          </w:p>
        </w:tc>
        <w:tc>
          <w:tcPr>
            <w:tcW w:w="2126" w:type="dxa"/>
            <w:tcMar>
              <w:top w:w="85" w:type="dxa"/>
              <w:left w:w="85" w:type="dxa"/>
              <w:bottom w:w="85" w:type="dxa"/>
            </w:tcMar>
          </w:tcPr>
          <w:p>
            <w:pPr>
              <w:spacing w:after="0"/>
              <w:jc w:val="left"/>
              <w:rPr>
                <w:noProof/>
                <w:sz w:val="20"/>
              </w:rPr>
            </w:pPr>
            <w:r>
              <w:rPr>
                <w:noProof/>
                <w:sz w:val="20"/>
              </w:rPr>
              <w:t>COM(2016)466 final</w:t>
            </w:r>
            <w:r>
              <w:rPr>
                <w:noProof/>
                <w:sz w:val="20"/>
              </w:rPr>
              <w:br/>
              <w:t>2016/0223 (COD)</w:t>
            </w:r>
            <w:r>
              <w:rPr>
                <w:noProof/>
                <w:sz w:val="20"/>
              </w:rPr>
              <w:b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 2013/32/ЕС</w:t>
            </w:r>
          </w:p>
        </w:tc>
        <w:tc>
          <w:tcPr>
            <w:tcW w:w="2126" w:type="dxa"/>
            <w:tcMar>
              <w:top w:w="85" w:type="dxa"/>
              <w:left w:w="85" w:type="dxa"/>
              <w:bottom w:w="85" w:type="dxa"/>
            </w:tcMar>
          </w:tcPr>
          <w:p>
            <w:pPr>
              <w:spacing w:after="0"/>
              <w:jc w:val="left"/>
              <w:rPr>
                <w:noProof/>
                <w:sz w:val="20"/>
              </w:rPr>
            </w:pPr>
            <w:r>
              <w:rPr>
                <w:noProof/>
                <w:sz w:val="20"/>
              </w:rPr>
              <w:t>COM(2016)467 final</w:t>
            </w:r>
            <w:r>
              <w:rPr>
                <w:noProof/>
                <w:sz w:val="20"/>
              </w:rPr>
              <w:br/>
              <w:t>2016/0224 (COD)</w:t>
            </w:r>
            <w:r>
              <w:rPr>
                <w:noProof/>
                <w:sz w:val="20"/>
              </w:rPr>
              <w:b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рамка на Съюза за презаселване и за изменение на Регламент (ЕС) № 516/2014 на Европейския парламент и на Съвета</w:t>
            </w:r>
          </w:p>
        </w:tc>
        <w:tc>
          <w:tcPr>
            <w:tcW w:w="2126" w:type="dxa"/>
            <w:tcMar>
              <w:top w:w="85" w:type="dxa"/>
              <w:left w:w="85" w:type="dxa"/>
              <w:bottom w:w="85" w:type="dxa"/>
            </w:tcMar>
          </w:tcPr>
          <w:p>
            <w:pPr>
              <w:spacing w:after="0"/>
              <w:jc w:val="left"/>
              <w:rPr>
                <w:noProof/>
                <w:sz w:val="20"/>
              </w:rPr>
            </w:pPr>
            <w:r>
              <w:rPr>
                <w:noProof/>
                <w:sz w:val="20"/>
              </w:rPr>
              <w:t>COM(2016)468 final</w:t>
            </w:r>
            <w:r>
              <w:rPr>
                <w:noProof/>
                <w:sz w:val="20"/>
              </w:rPr>
              <w:br/>
              <w:t>2016/0225 (COD)</w:t>
            </w:r>
            <w:r>
              <w:rPr>
                <w:noProof/>
                <w:sz w:val="20"/>
              </w:rPr>
              <w:br/>
              <w:t>13.7.2016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условията за влизане и пребиваване на граждани на трети държави за целите на трудова заетост, изискваща висока степен на умения</w:t>
            </w:r>
          </w:p>
        </w:tc>
        <w:tc>
          <w:tcPr>
            <w:tcW w:w="2126" w:type="dxa"/>
            <w:tcMar>
              <w:top w:w="85" w:type="dxa"/>
              <w:left w:w="85" w:type="dxa"/>
              <w:bottom w:w="85" w:type="dxa"/>
            </w:tcMar>
          </w:tcPr>
          <w:p>
            <w:pPr>
              <w:spacing w:after="0"/>
              <w:jc w:val="left"/>
              <w:rPr>
                <w:noProof/>
                <w:sz w:val="20"/>
              </w:rPr>
            </w:pPr>
            <w:r>
              <w:rPr>
                <w:noProof/>
                <w:sz w:val="20"/>
              </w:rPr>
              <w:t>COM(2016)378 final 2016/0176 (COD) 7.6.2016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„Еразъм“: програма на Съюза в областта на образованието, обучението, младежта и спорта и за отмяна на Регламент (ЕС) № 1288/2013</w:t>
            </w:r>
          </w:p>
        </w:tc>
        <w:tc>
          <w:tcPr>
            <w:tcW w:w="2126" w:type="dxa"/>
            <w:tcMar>
              <w:top w:w="85" w:type="dxa"/>
              <w:left w:w="85" w:type="dxa"/>
              <w:bottom w:w="85" w:type="dxa"/>
            </w:tcMar>
          </w:tcPr>
          <w:p>
            <w:pPr>
              <w:spacing w:after="0"/>
              <w:jc w:val="left"/>
              <w:rPr>
                <w:noProof/>
                <w:sz w:val="20"/>
              </w:rPr>
            </w:pPr>
            <w:r>
              <w:rPr>
                <w:noProof/>
                <w:sz w:val="20"/>
              </w:rPr>
              <w:t>COM(2018)367 final</w:t>
            </w:r>
            <w:r>
              <w:rPr>
                <w:noProof/>
                <w:sz w:val="20"/>
              </w:rPr>
              <w:br/>
              <w:t>2018/0191 (COD)</w:t>
            </w:r>
            <w:r>
              <w:rPr>
                <w:noProof/>
                <w:sz w:val="20"/>
              </w:rPr>
              <w:b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Европейския институт за иновации и технологии (преработен текст)</w:t>
            </w:r>
          </w:p>
        </w:tc>
        <w:tc>
          <w:tcPr>
            <w:tcW w:w="2126" w:type="dxa"/>
            <w:tcMar>
              <w:top w:w="85" w:type="dxa"/>
              <w:left w:w="85" w:type="dxa"/>
              <w:bottom w:w="85" w:type="dxa"/>
            </w:tcMar>
          </w:tcPr>
          <w:p>
            <w:pPr>
              <w:spacing w:after="0"/>
              <w:jc w:val="left"/>
              <w:rPr>
                <w:noProof/>
                <w:sz w:val="20"/>
              </w:rPr>
            </w:pPr>
            <w:r>
              <w:rPr>
                <w:noProof/>
                <w:sz w:val="20"/>
              </w:rPr>
              <w:t>COM(2019)331 final</w:t>
            </w:r>
            <w:r>
              <w:rPr>
                <w:noProof/>
                <w:sz w:val="20"/>
              </w:rPr>
              <w:br/>
              <w:t>2019/0151 (COD)</w:t>
            </w:r>
            <w:r>
              <w:rPr>
                <w:noProof/>
                <w:sz w:val="20"/>
              </w:rPr>
              <w:br/>
              <w:t>11.7.2019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РЕШЕНИЕ НА ЕВРОПЕЙСКИЯ ПАРЛАМЕНТ И НА СЪВЕТА относно стратегическата иновационна програма на Европейския институт за иновации и технологии (EIT) за периода 2021—2027 г.: Стимулиране на таланта и капацитета на Европа за иновации</w:t>
            </w:r>
          </w:p>
        </w:tc>
        <w:tc>
          <w:tcPr>
            <w:tcW w:w="2126" w:type="dxa"/>
            <w:tcMar>
              <w:top w:w="85" w:type="dxa"/>
              <w:left w:w="85" w:type="dxa"/>
              <w:bottom w:w="85" w:type="dxa"/>
            </w:tcMar>
          </w:tcPr>
          <w:p>
            <w:pPr>
              <w:spacing w:after="0"/>
              <w:jc w:val="left"/>
              <w:rPr>
                <w:noProof/>
                <w:sz w:val="20"/>
              </w:rPr>
            </w:pPr>
            <w:r>
              <w:rPr>
                <w:noProof/>
                <w:sz w:val="20"/>
              </w:rPr>
              <w:t>COM(2019)330 final</w:t>
            </w:r>
            <w:r>
              <w:rPr>
                <w:noProof/>
                <w:sz w:val="20"/>
              </w:rPr>
              <w:br/>
              <w:t>2019/0152 (COD)</w:t>
            </w:r>
            <w:r>
              <w:rPr>
                <w:noProof/>
                <w:sz w:val="20"/>
              </w:rPr>
              <w:br/>
              <w:t>11.7.2019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Програмата на ЕС за борба с измамите</w:t>
            </w:r>
          </w:p>
        </w:tc>
        <w:tc>
          <w:tcPr>
            <w:tcW w:w="2126" w:type="dxa"/>
            <w:tcMar>
              <w:top w:w="85" w:type="dxa"/>
              <w:left w:w="85" w:type="dxa"/>
              <w:bottom w:w="85" w:type="dxa"/>
            </w:tcMar>
          </w:tcPr>
          <w:p>
            <w:pPr>
              <w:spacing w:after="0"/>
              <w:jc w:val="left"/>
              <w:rPr>
                <w:noProof/>
                <w:sz w:val="20"/>
              </w:rPr>
            </w:pPr>
            <w:r>
              <w:rPr>
                <w:noProof/>
                <w:sz w:val="20"/>
              </w:rPr>
              <w:t>COM(2018)386 final</w:t>
            </w:r>
            <w:r>
              <w:rPr>
                <w:noProof/>
                <w:sz w:val="20"/>
              </w:rPr>
              <w:br/>
              <w:t>2018/0211 (COD)</w:t>
            </w:r>
            <w:r>
              <w:rPr>
                <w:noProof/>
                <w:sz w:val="20"/>
              </w:rPr>
              <w:b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фонд „Вътрешна сигурност“</w:t>
            </w:r>
          </w:p>
        </w:tc>
        <w:tc>
          <w:tcPr>
            <w:tcW w:w="2126" w:type="dxa"/>
            <w:tcMar>
              <w:top w:w="85" w:type="dxa"/>
              <w:left w:w="85" w:type="dxa"/>
              <w:bottom w:w="85" w:type="dxa"/>
            </w:tcMar>
          </w:tcPr>
          <w:p>
            <w:pPr>
              <w:spacing w:after="0"/>
              <w:jc w:val="left"/>
              <w:rPr>
                <w:noProof/>
                <w:sz w:val="20"/>
              </w:rPr>
            </w:pPr>
            <w:r>
              <w:rPr>
                <w:noProof/>
                <w:sz w:val="20"/>
              </w:rPr>
              <w:t>COM(2018)472 final</w:t>
            </w:r>
            <w:r>
              <w:rPr>
                <w:noProof/>
                <w:sz w:val="20"/>
              </w:rPr>
              <w:br/>
              <w:t>2018/0250 (COD)</w:t>
            </w:r>
            <w:r>
              <w:rPr>
                <w:noProof/>
                <w:sz w:val="20"/>
              </w:rPr>
              <w:br/>
              <w:t>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фонд „Убежище и миграция“</w:t>
            </w:r>
          </w:p>
        </w:tc>
        <w:tc>
          <w:tcPr>
            <w:tcW w:w="2126" w:type="dxa"/>
            <w:tcMar>
              <w:top w:w="85" w:type="dxa"/>
              <w:left w:w="85" w:type="dxa"/>
              <w:bottom w:w="85" w:type="dxa"/>
            </w:tcMar>
          </w:tcPr>
          <w:p>
            <w:pPr>
              <w:spacing w:after="0"/>
              <w:jc w:val="left"/>
              <w:rPr>
                <w:noProof/>
                <w:sz w:val="20"/>
              </w:rPr>
            </w:pPr>
            <w:r>
              <w:rPr>
                <w:noProof/>
                <w:sz w:val="20"/>
              </w:rPr>
              <w:t>COM(2018)471 final</w:t>
            </w:r>
            <w:r>
              <w:rPr>
                <w:noProof/>
                <w:sz w:val="20"/>
              </w:rPr>
              <w:br/>
              <w:t>2018/0248 (COD)</w:t>
            </w:r>
            <w:r>
              <w:rPr>
                <w:noProof/>
                <w:sz w:val="20"/>
              </w:rPr>
              <w:br/>
              <w:t>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инструмент за финансово подпомагане за управлението на границите и за визите като част от Фонда за интегрирано управление на границите</w:t>
            </w:r>
          </w:p>
        </w:tc>
        <w:tc>
          <w:tcPr>
            <w:tcW w:w="2126" w:type="dxa"/>
            <w:tcMar>
              <w:top w:w="85" w:type="dxa"/>
              <w:left w:w="85" w:type="dxa"/>
              <w:bottom w:w="85" w:type="dxa"/>
            </w:tcMar>
          </w:tcPr>
          <w:p>
            <w:pPr>
              <w:spacing w:after="0"/>
              <w:jc w:val="left"/>
              <w:rPr>
                <w:noProof/>
                <w:sz w:val="20"/>
              </w:rPr>
            </w:pPr>
            <w:r>
              <w:rPr>
                <w:noProof/>
                <w:sz w:val="20"/>
              </w:rPr>
              <w:t>COM(2018)473 final</w:t>
            </w:r>
            <w:r>
              <w:rPr>
                <w:noProof/>
                <w:sz w:val="20"/>
              </w:rPr>
              <w:br/>
              <w:t>2018/0249 (COD) 13.6.2018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програмата „Европейски корпус за солидарност“ и за отмяна на [Регламента за Европейския корпус за солидарност] и Регламент (ЕС) № 375/2014</w:t>
            </w:r>
          </w:p>
        </w:tc>
        <w:tc>
          <w:tcPr>
            <w:tcW w:w="2126" w:type="dxa"/>
            <w:tcMar>
              <w:top w:w="85" w:type="dxa"/>
              <w:left w:w="85" w:type="dxa"/>
              <w:bottom w:w="85" w:type="dxa"/>
            </w:tcMar>
          </w:tcPr>
          <w:p>
            <w:pPr>
              <w:spacing w:after="0"/>
              <w:jc w:val="left"/>
              <w:rPr>
                <w:noProof/>
                <w:sz w:val="20"/>
              </w:rPr>
            </w:pPr>
            <w:r>
              <w:rPr>
                <w:noProof/>
                <w:sz w:val="20"/>
              </w:rPr>
              <w:t>COM(2018)440 final</w:t>
            </w:r>
            <w:r>
              <w:rPr>
                <w:noProof/>
                <w:sz w:val="20"/>
              </w:rPr>
              <w:br/>
              <w:t>2018/0230 (COD)</w:t>
            </w:r>
            <w:r>
              <w:rPr>
                <w:noProof/>
                <w:sz w:val="20"/>
              </w:rPr>
              <w:br/>
              <w:t>11.6.2018 г.</w:t>
            </w:r>
          </w:p>
        </w:tc>
      </w:tr>
      <w:tr>
        <w:trPr>
          <w:cantSplit/>
        </w:trPr>
        <w:tc>
          <w:tcPr>
            <w:tcW w:w="652" w:type="dxa"/>
            <w:tcBorders>
              <w:bottom w:val="single" w:sz="4" w:space="0" w:color="auto"/>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„Творческа Европа“ (2021—2027 г.) и за отмяна на Регламент (ЕС) № 1295/2013</w:t>
            </w:r>
          </w:p>
        </w:tc>
        <w:tc>
          <w:tcPr>
            <w:tcW w:w="2126" w:type="dxa"/>
            <w:tcBorders>
              <w:bottom w:val="single" w:sz="4" w:space="0" w:color="auto"/>
            </w:tcBorders>
            <w:tcMar>
              <w:top w:w="85" w:type="dxa"/>
              <w:left w:w="85" w:type="dxa"/>
              <w:bottom w:w="85" w:type="dxa"/>
            </w:tcMar>
          </w:tcPr>
          <w:p>
            <w:pPr>
              <w:spacing w:after="0"/>
              <w:jc w:val="left"/>
              <w:rPr>
                <w:noProof/>
                <w:sz w:val="20"/>
              </w:rPr>
            </w:pPr>
            <w:r>
              <w:rPr>
                <w:noProof/>
                <w:sz w:val="20"/>
              </w:rPr>
              <w:t>COM(2018)366 final</w:t>
            </w:r>
            <w:r>
              <w:rPr>
                <w:noProof/>
                <w:sz w:val="20"/>
              </w:rPr>
              <w:br/>
              <w:t>2018/0190 (COD)</w:t>
            </w:r>
            <w:r>
              <w:rPr>
                <w:noProof/>
                <w:sz w:val="20"/>
              </w:rPr>
              <w:br/>
              <w:t>30.5.2018 г.</w:t>
            </w:r>
          </w:p>
        </w:tc>
      </w:tr>
      <w:tr>
        <w:trPr>
          <w:cantSplit/>
        </w:trPr>
        <w:tc>
          <w:tcPr>
            <w:tcW w:w="14850" w:type="dxa"/>
            <w:gridSpan w:val="3"/>
            <w:shd w:val="clear" w:color="auto" w:fill="00ADDC" w:themeFill="accent5"/>
            <w:tcMar>
              <w:top w:w="85" w:type="dxa"/>
              <w:left w:w="85" w:type="dxa"/>
              <w:bottom w:w="85" w:type="dxa"/>
              <w:right w:w="85" w:type="dxa"/>
            </w:tcMar>
          </w:tcPr>
          <w:p>
            <w:pPr>
              <w:spacing w:before="60" w:after="60"/>
              <w:rPr>
                <w:noProof/>
                <w:sz w:val="20"/>
              </w:rPr>
            </w:pPr>
            <w:r>
              <w:rPr>
                <w:b/>
                <w:bCs/>
                <w:noProof/>
                <w:color w:val="FFFFFF" w:themeColor="background1"/>
                <w:sz w:val="20"/>
              </w:rPr>
              <w:t>Нов тласък за европейската демокрация</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адаптиране на редица правни актове в областта на правосъдието, предвиждащи използване на процедурата по регулиране с контрол, към член 290 от Договора за функционирането на Европейския съюз</w:t>
            </w:r>
            <w:r>
              <w:rPr>
                <w:b/>
                <w:bCs/>
                <w:noProof/>
                <w:sz w:val="20"/>
              </w:rPr>
              <w:t xml:space="preserve"> </w:t>
            </w:r>
          </w:p>
        </w:tc>
        <w:tc>
          <w:tcPr>
            <w:tcW w:w="2126" w:type="dxa"/>
            <w:tcMar>
              <w:top w:w="85" w:type="dxa"/>
              <w:left w:w="85" w:type="dxa"/>
              <w:bottom w:w="85" w:type="dxa"/>
            </w:tcMar>
          </w:tcPr>
          <w:p>
            <w:pPr>
              <w:spacing w:after="0"/>
              <w:jc w:val="left"/>
              <w:rPr>
                <w:noProof/>
                <w:sz w:val="20"/>
              </w:rPr>
            </w:pPr>
            <w:r>
              <w:rPr>
                <w:noProof/>
                <w:sz w:val="20"/>
              </w:rPr>
              <w:t>COM(2016)798 final</w:t>
            </w:r>
            <w:r>
              <w:rPr>
                <w:noProof/>
                <w:sz w:val="20"/>
              </w:rPr>
              <w:br/>
              <w:t>2016/0399 (COD)</w:t>
            </w:r>
            <w:r>
              <w:rPr>
                <w:noProof/>
                <w:sz w:val="20"/>
              </w:rPr>
              <w:br/>
              <w:t>14.12.2016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подобряване на баланса между половете сред директорите без изпълнителни функции на дружествата, допуснати до борсова търговия, и свързани с това мерки</w:t>
            </w:r>
          </w:p>
        </w:tc>
        <w:tc>
          <w:tcPr>
            <w:tcW w:w="2126" w:type="dxa"/>
            <w:tcMar>
              <w:top w:w="85" w:type="dxa"/>
              <w:left w:w="85" w:type="dxa"/>
              <w:bottom w:w="85" w:type="dxa"/>
            </w:tcMar>
          </w:tcPr>
          <w:p>
            <w:pPr>
              <w:spacing w:after="0"/>
              <w:jc w:val="left"/>
              <w:rPr>
                <w:noProof/>
                <w:sz w:val="20"/>
              </w:rPr>
            </w:pPr>
            <w:r>
              <w:rPr>
                <w:noProof/>
                <w:sz w:val="20"/>
              </w:rPr>
              <w:t>COM(2012)614 final</w:t>
            </w:r>
            <w:r>
              <w:rPr>
                <w:noProof/>
                <w:sz w:val="20"/>
              </w:rPr>
              <w:br/>
              <w:t>2012/0299 (COD)</w:t>
            </w:r>
            <w:r>
              <w:rPr>
                <w:noProof/>
                <w:sz w:val="20"/>
              </w:rPr>
              <w:br/>
              <w:t>14.11.2012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w:t>
            </w:r>
          </w:p>
        </w:tc>
        <w:tc>
          <w:tcPr>
            <w:tcW w:w="2126" w:type="dxa"/>
            <w:tcMar>
              <w:top w:w="85" w:type="dxa"/>
              <w:left w:w="85" w:type="dxa"/>
              <w:bottom w:w="85" w:type="dxa"/>
            </w:tcMar>
          </w:tcPr>
          <w:p>
            <w:pPr>
              <w:spacing w:after="0"/>
              <w:jc w:val="left"/>
              <w:rPr>
                <w:noProof/>
                <w:sz w:val="20"/>
              </w:rPr>
            </w:pPr>
            <w:r>
              <w:rPr>
                <w:noProof/>
                <w:sz w:val="20"/>
              </w:rPr>
              <w:t>COM(2016)799 final</w:t>
            </w:r>
            <w:r>
              <w:rPr>
                <w:noProof/>
                <w:sz w:val="20"/>
              </w:rPr>
              <w:br/>
              <w:t>2016/0400 B(COD)</w:t>
            </w:r>
            <w:r>
              <w:rPr>
                <w:noProof/>
                <w:sz w:val="20"/>
              </w:rPr>
              <w:br/>
              <w:t xml:space="preserve">14.12.2016 г. </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относно представителни искове за защита на колективните интереси на потребителите и за отмяна на Директива 2009/22/ЕО</w:t>
            </w:r>
          </w:p>
        </w:tc>
        <w:tc>
          <w:tcPr>
            <w:tcW w:w="2126" w:type="dxa"/>
            <w:tcMar>
              <w:top w:w="85" w:type="dxa"/>
              <w:left w:w="85" w:type="dxa"/>
              <w:bottom w:w="85" w:type="dxa"/>
            </w:tcMar>
          </w:tcPr>
          <w:p>
            <w:pPr>
              <w:spacing w:after="0"/>
              <w:jc w:val="left"/>
              <w:rPr>
                <w:noProof/>
                <w:sz w:val="20"/>
              </w:rPr>
            </w:pPr>
            <w:r>
              <w:rPr>
                <w:noProof/>
                <w:sz w:val="20"/>
              </w:rPr>
              <w:t>COM(2018)184 final</w:t>
            </w:r>
            <w:r>
              <w:rPr>
                <w:noProof/>
                <w:sz w:val="20"/>
              </w:rPr>
              <w:br/>
              <w:t>2018/0089 (COD)</w:t>
            </w:r>
            <w:r>
              <w:rPr>
                <w:noProof/>
                <w:sz w:val="20"/>
              </w:rPr>
              <w:br/>
              <w:t>12.4.2018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Директива на Съвета за прилагане на принципа на равно третиране на лицата без оглед на религиозна принадлежност или убеждения, увреждане, възраст или сексуална ориентация</w:t>
            </w:r>
          </w:p>
        </w:tc>
        <w:tc>
          <w:tcPr>
            <w:tcW w:w="2126" w:type="dxa"/>
            <w:tcMar>
              <w:top w:w="85" w:type="dxa"/>
              <w:left w:w="85" w:type="dxa"/>
              <w:bottom w:w="85" w:type="dxa"/>
            </w:tcMar>
          </w:tcPr>
          <w:p>
            <w:pPr>
              <w:spacing w:after="0"/>
              <w:jc w:val="left"/>
              <w:rPr>
                <w:noProof/>
                <w:sz w:val="20"/>
              </w:rPr>
            </w:pPr>
            <w:r>
              <w:rPr>
                <w:noProof/>
                <w:sz w:val="20"/>
              </w:rPr>
              <w:t>COM(2008)426 final</w:t>
            </w:r>
            <w:r>
              <w:rPr>
                <w:noProof/>
                <w:sz w:val="20"/>
              </w:rPr>
              <w:br/>
              <w:t>2008/0140 (CNS)</w:t>
            </w:r>
            <w:r>
              <w:rPr>
                <w:noProof/>
                <w:sz w:val="20"/>
              </w:rPr>
              <w:br/>
              <w:t>2.7.2008</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tc>
        <w:tc>
          <w:tcPr>
            <w:tcW w:w="2126" w:type="dxa"/>
            <w:tcMar>
              <w:top w:w="85" w:type="dxa"/>
              <w:left w:w="85" w:type="dxa"/>
              <w:bottom w:w="85" w:type="dxa"/>
            </w:tcMar>
          </w:tcPr>
          <w:p>
            <w:pPr>
              <w:spacing w:after="0"/>
              <w:jc w:val="left"/>
              <w:rPr>
                <w:noProof/>
                <w:sz w:val="20"/>
              </w:rPr>
            </w:pPr>
            <w:r>
              <w:rPr>
                <w:noProof/>
                <w:sz w:val="20"/>
              </w:rPr>
              <w:t>COM(2017)85 final</w:t>
            </w:r>
            <w:r>
              <w:rPr>
                <w:noProof/>
                <w:sz w:val="20"/>
              </w:rPr>
              <w:br/>
              <w:t>2017/0035 (COD)</w:t>
            </w:r>
          </w:p>
          <w:p>
            <w:pPr>
              <w:spacing w:after="0"/>
              <w:jc w:val="left"/>
              <w:rPr>
                <w:noProof/>
                <w:sz w:val="20"/>
              </w:rPr>
            </w:pPr>
            <w:r>
              <w:rPr>
                <w:noProof/>
                <w:sz w:val="20"/>
              </w:rPr>
              <w:t>14.2.2017 г.</w:t>
            </w:r>
          </w:p>
          <w:p>
            <w:pPr>
              <w:spacing w:after="0"/>
              <w:jc w:val="left"/>
              <w:rPr>
                <w:noProof/>
                <w:sz w:val="20"/>
              </w:rPr>
            </w:pP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определяне на условията за достъп до другите информационни системи на ЕС и за изменение на Регламент (ЕС) 2018/1862 и Регламент (ЕС) yyyy/xxx [ECRIS-TCN]</w:t>
            </w:r>
          </w:p>
        </w:tc>
        <w:tc>
          <w:tcPr>
            <w:tcW w:w="2126" w:type="dxa"/>
            <w:tcMar>
              <w:top w:w="85" w:type="dxa"/>
              <w:left w:w="85" w:type="dxa"/>
              <w:bottom w:w="85" w:type="dxa"/>
            </w:tcMar>
          </w:tcPr>
          <w:p>
            <w:pPr>
              <w:spacing w:after="0"/>
              <w:jc w:val="left"/>
              <w:rPr>
                <w:noProof/>
                <w:sz w:val="20"/>
              </w:rPr>
            </w:pPr>
            <w:r>
              <w:rPr>
                <w:noProof/>
                <w:sz w:val="20"/>
              </w:rPr>
              <w:t>COM(2019)3 final</w:t>
            </w:r>
            <w:r>
              <w:rPr>
                <w:noProof/>
                <w:sz w:val="20"/>
              </w:rPr>
              <w:br/>
              <w:t>2019/0001 (COD)</w:t>
            </w:r>
            <w:r>
              <w:rPr>
                <w:noProof/>
                <w:sz w:val="20"/>
              </w:rPr>
              <w:br/>
              <w:t>7.1.2019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приложимото право към действието спрямо трети лица на прехвърлянето на вземания</w:t>
            </w:r>
          </w:p>
        </w:tc>
        <w:tc>
          <w:tcPr>
            <w:tcW w:w="2126" w:type="dxa"/>
            <w:tcMar>
              <w:top w:w="85" w:type="dxa"/>
              <w:left w:w="85" w:type="dxa"/>
              <w:bottom w:w="85" w:type="dxa"/>
            </w:tcMar>
          </w:tcPr>
          <w:p>
            <w:pPr>
              <w:spacing w:after="0"/>
              <w:jc w:val="left"/>
              <w:rPr>
                <w:noProof/>
                <w:sz w:val="20"/>
              </w:rPr>
            </w:pPr>
            <w:r>
              <w:rPr>
                <w:noProof/>
                <w:sz w:val="20"/>
              </w:rPr>
              <w:t>COM(2018)96 final</w:t>
            </w:r>
            <w:r>
              <w:rPr>
                <w:noProof/>
                <w:sz w:val="20"/>
              </w:rPr>
              <w:br/>
              <w:t>2018/0044 (COD)</w:t>
            </w:r>
            <w:r>
              <w:rPr>
                <w:noProof/>
                <w:sz w:val="20"/>
              </w:rPr>
              <w:br/>
              <w:t>12.3.2016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ДИРЕКТИВА НА ЕВРОПЕЙСКИЯ ПАРЛАМЕНТ И НА СЪВЕТА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w:t>
            </w:r>
          </w:p>
        </w:tc>
        <w:tc>
          <w:tcPr>
            <w:tcW w:w="2126" w:type="dxa"/>
            <w:tcMar>
              <w:top w:w="85" w:type="dxa"/>
              <w:left w:w="85" w:type="dxa"/>
              <w:bottom w:w="85" w:type="dxa"/>
            </w:tcMar>
          </w:tcPr>
          <w:p>
            <w:pPr>
              <w:spacing w:after="0"/>
              <w:jc w:val="left"/>
              <w:rPr>
                <w:noProof/>
                <w:sz w:val="20"/>
              </w:rPr>
            </w:pPr>
            <w:r>
              <w:rPr>
                <w:noProof/>
                <w:sz w:val="20"/>
              </w:rPr>
              <w:t>COM(2018)226 final</w:t>
            </w:r>
            <w:r>
              <w:rPr>
                <w:noProof/>
                <w:sz w:val="20"/>
              </w:rPr>
              <w:br/>
              <w:t>2018/0107 (COD) 18.4.2018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w:t>
            </w:r>
          </w:p>
        </w:tc>
        <w:tc>
          <w:tcPr>
            <w:tcW w:w="2126" w:type="dxa"/>
            <w:tcMar>
              <w:top w:w="85" w:type="dxa"/>
              <w:left w:w="85" w:type="dxa"/>
              <w:bottom w:w="85" w:type="dxa"/>
            </w:tcMar>
          </w:tcPr>
          <w:p>
            <w:pPr>
              <w:spacing w:after="0"/>
              <w:jc w:val="left"/>
              <w:rPr>
                <w:noProof/>
                <w:sz w:val="20"/>
              </w:rPr>
            </w:pPr>
            <w:r>
              <w:rPr>
                <w:noProof/>
                <w:sz w:val="20"/>
              </w:rPr>
              <w:t>COM(2018)225 final</w:t>
            </w:r>
            <w:r>
              <w:rPr>
                <w:noProof/>
                <w:sz w:val="20"/>
              </w:rPr>
              <w:br/>
              <w:t>2018/0108 (COD) 18.4.2018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1393/2007 на Европейския парламент и на Съвета относно връчване в държавите членки на съдебни и извънсъдебни документи по граждански или търговски дела („връчване на документи“)</w:t>
            </w:r>
          </w:p>
        </w:tc>
        <w:tc>
          <w:tcPr>
            <w:tcW w:w="2126" w:type="dxa"/>
            <w:tcMar>
              <w:top w:w="85" w:type="dxa"/>
              <w:left w:w="85" w:type="dxa"/>
              <w:bottom w:w="85" w:type="dxa"/>
            </w:tcMar>
          </w:tcPr>
          <w:p>
            <w:pPr>
              <w:spacing w:after="0"/>
              <w:jc w:val="left"/>
              <w:rPr>
                <w:noProof/>
                <w:sz w:val="20"/>
              </w:rPr>
            </w:pPr>
            <w:r>
              <w:rPr>
                <w:noProof/>
                <w:sz w:val="20"/>
              </w:rPr>
              <w:t>COM(2018)379 final</w:t>
            </w:r>
            <w:r>
              <w:rPr>
                <w:noProof/>
                <w:sz w:val="20"/>
              </w:rPr>
              <w:br/>
              <w:t>2018/0204 (COD)</w:t>
            </w:r>
            <w:r>
              <w:rPr>
                <w:noProof/>
                <w:sz w:val="20"/>
              </w:rPr>
              <w:br/>
              <w:t>31.5.2018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w:t>
            </w:r>
          </w:p>
        </w:tc>
        <w:tc>
          <w:tcPr>
            <w:tcW w:w="2126" w:type="dxa"/>
            <w:tcMar>
              <w:top w:w="85" w:type="dxa"/>
              <w:left w:w="85" w:type="dxa"/>
              <w:bottom w:w="85" w:type="dxa"/>
            </w:tcMar>
          </w:tcPr>
          <w:p>
            <w:pPr>
              <w:spacing w:after="0"/>
              <w:jc w:val="left"/>
              <w:rPr>
                <w:noProof/>
                <w:sz w:val="20"/>
              </w:rPr>
            </w:pPr>
            <w:r>
              <w:rPr>
                <w:noProof/>
                <w:sz w:val="20"/>
              </w:rPr>
              <w:t>COM(2018)378 final</w:t>
            </w:r>
            <w:r>
              <w:rPr>
                <w:noProof/>
                <w:sz w:val="20"/>
              </w:rPr>
              <w:br/>
              <w:t>2018/0203 (COD) 31.5.2018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относно защитата на бюджета на Съюза в случаите на широко разпространено незачитане на принципите на правовата държава в държавите членки</w:t>
            </w:r>
          </w:p>
        </w:tc>
        <w:tc>
          <w:tcPr>
            <w:tcW w:w="2126" w:type="dxa"/>
            <w:tcMar>
              <w:top w:w="85" w:type="dxa"/>
              <w:left w:w="85" w:type="dxa"/>
              <w:bottom w:w="85" w:type="dxa"/>
            </w:tcMar>
          </w:tcPr>
          <w:p>
            <w:pPr>
              <w:spacing w:after="0"/>
              <w:jc w:val="left"/>
              <w:rPr>
                <w:noProof/>
                <w:sz w:val="20"/>
              </w:rPr>
            </w:pPr>
            <w:r>
              <w:rPr>
                <w:noProof/>
                <w:sz w:val="20"/>
              </w:rPr>
              <w:t>COM(2018)324 final</w:t>
            </w:r>
            <w:r>
              <w:rPr>
                <w:noProof/>
                <w:sz w:val="20"/>
              </w:rPr>
              <w:br/>
              <w:t>2018/0136 (COD)</w:t>
            </w:r>
            <w:r>
              <w:rPr>
                <w:noProof/>
                <w:sz w:val="20"/>
              </w:rPr>
              <w:br/>
              <w:t>3.5.2018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„Права и ценности“</w:t>
            </w:r>
          </w:p>
        </w:tc>
        <w:tc>
          <w:tcPr>
            <w:tcW w:w="2126" w:type="dxa"/>
            <w:tcMar>
              <w:top w:w="85" w:type="dxa"/>
              <w:left w:w="85" w:type="dxa"/>
              <w:bottom w:w="85" w:type="dxa"/>
            </w:tcMar>
          </w:tcPr>
          <w:p>
            <w:pPr>
              <w:spacing w:after="0"/>
              <w:jc w:val="left"/>
              <w:rPr>
                <w:noProof/>
                <w:sz w:val="20"/>
              </w:rPr>
            </w:pPr>
            <w:r>
              <w:rPr>
                <w:noProof/>
                <w:sz w:val="20"/>
              </w:rPr>
              <w:t>COM(2018)383 final</w:t>
            </w:r>
            <w:r>
              <w:rPr>
                <w:noProof/>
                <w:sz w:val="20"/>
              </w:rPr>
              <w:br/>
              <w:t>2018/0207 (COD)</w:t>
            </w:r>
            <w:r>
              <w:rPr>
                <w:noProof/>
                <w:sz w:val="20"/>
              </w:rPr>
              <w:br/>
              <w:t>30.5.2018 г.</w:t>
            </w:r>
          </w:p>
        </w:tc>
      </w:tr>
      <w:tr>
        <w:trPr>
          <w:cantSplit/>
        </w:trPr>
        <w:tc>
          <w:tcPr>
            <w:tcW w:w="652" w:type="dxa"/>
            <w:tcBorders>
              <w:right w:val="nil"/>
            </w:tcBorders>
            <w:shd w:val="clear" w:color="auto" w:fill="auto"/>
            <w:tcMar>
              <w:top w:w="85" w:type="dxa"/>
              <w:left w:w="85" w:type="dxa"/>
              <w:bottom w:w="85" w:type="dxa"/>
            </w:tcMar>
          </w:tcPr>
          <w:p>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pPr>
              <w:spacing w:after="0"/>
              <w:rPr>
                <w:noProof/>
                <w:sz w:val="20"/>
              </w:rPr>
            </w:pPr>
            <w:r>
              <w:rPr>
                <w:noProof/>
                <w:sz w:val="20"/>
              </w:rPr>
              <w:t>Предложение за РЕГЛАМЕНТ НА ЕВРОПЕЙСКИЯ ПАРЛАМЕНТ И НА СЪВЕТА за създаване на програма „Правосъдие“</w:t>
            </w:r>
          </w:p>
        </w:tc>
        <w:tc>
          <w:tcPr>
            <w:tcW w:w="2126" w:type="dxa"/>
            <w:tcMar>
              <w:top w:w="85" w:type="dxa"/>
              <w:left w:w="85" w:type="dxa"/>
              <w:bottom w:w="85" w:type="dxa"/>
            </w:tcMar>
          </w:tcPr>
          <w:p>
            <w:pPr>
              <w:spacing w:after="0"/>
              <w:jc w:val="left"/>
              <w:rPr>
                <w:noProof/>
                <w:sz w:val="20"/>
              </w:rPr>
            </w:pPr>
            <w:r>
              <w:rPr>
                <w:noProof/>
                <w:sz w:val="20"/>
              </w:rPr>
              <w:t>COM(2018)384 final</w:t>
            </w:r>
            <w:r>
              <w:rPr>
                <w:noProof/>
                <w:sz w:val="20"/>
              </w:rPr>
              <w:br/>
              <w:t>2018/0208 (COD)</w:t>
            </w:r>
            <w:r>
              <w:rPr>
                <w:noProof/>
                <w:sz w:val="20"/>
              </w:rPr>
              <w:br/>
              <w:t>30.5.2018 г.</w:t>
            </w:r>
          </w:p>
        </w:tc>
      </w:tr>
    </w:tbl>
    <w:p>
      <w:pPr>
        <w:spacing w:after="0"/>
        <w:rPr>
          <w:noProof/>
          <w:sz w:val="20"/>
        </w:rPr>
      </w:pPr>
      <w:r>
        <w:rPr>
          <w:noProof/>
        </w:rPr>
        <w:br w:type="textWrapping" w:clear="all"/>
      </w:r>
      <w:r>
        <w:rPr>
          <w:noProof/>
        </w:rPr>
        <w:br w:type="page"/>
      </w:r>
    </w:p>
    <w:p>
      <w:pPr>
        <w:spacing w:after="600"/>
        <w:jc w:val="center"/>
        <w:rPr>
          <w:b/>
          <w:noProof/>
          <w:sz w:val="28"/>
          <w:szCs w:val="28"/>
          <w:u w:val="single"/>
        </w:rPr>
      </w:pPr>
      <w:r>
        <w:rPr>
          <w:b/>
          <w:bCs/>
          <w:noProof/>
          <w:sz w:val="28"/>
          <w:szCs w:val="28"/>
          <w:u w:val="single"/>
        </w:rPr>
        <w:t>Приложение IV: Оттегляния</w:t>
      </w:r>
      <w:r>
        <w:rPr>
          <w:rStyle w:val="FootnoteReference"/>
          <w:b/>
          <w:bCs/>
          <w:noProof/>
          <w:sz w:val="28"/>
          <w:szCs w:val="28"/>
          <w:u w:val="single"/>
        </w:rPr>
        <w:footnoteReference w:id="5"/>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pPr>
              <w:spacing w:before="60" w:after="60"/>
              <w:rPr>
                <w:b/>
                <w:bCs/>
                <w:noProof/>
                <w:sz w:val="20"/>
              </w:rPr>
            </w:pPr>
            <w:r>
              <w:rPr>
                <w:b/>
                <w:bCs/>
                <w:noProof/>
                <w:sz w:val="20"/>
              </w:rPr>
              <w:t>№</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Референтен номер</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Заглавие</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pPr>
              <w:spacing w:before="60" w:after="60"/>
              <w:jc w:val="center"/>
              <w:rPr>
                <w:b/>
                <w:bCs/>
                <w:noProof/>
                <w:sz w:val="20"/>
              </w:rPr>
            </w:pPr>
            <w:r>
              <w:rPr>
                <w:b/>
                <w:bCs/>
                <w:noProof/>
                <w:sz w:val="20"/>
              </w:rPr>
              <w:t>Мотиви за оттеглянето</w:t>
            </w:r>
          </w:p>
        </w:tc>
      </w:tr>
      <w:tr>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pPr>
              <w:keepNext/>
              <w:spacing w:before="60" w:after="60"/>
              <w:rPr>
                <w:noProof/>
                <w:sz w:val="20"/>
              </w:rPr>
            </w:pPr>
            <w:r>
              <w:rPr>
                <w:b/>
                <w:bCs/>
                <w:noProof/>
                <w:color w:val="FFFFFF" w:themeColor="background1"/>
                <w:sz w:val="20"/>
              </w:rPr>
              <w:t>Европейски зелен пакт</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COM(2017)826 final</w:t>
            </w:r>
          </w:p>
          <w:p>
            <w:pPr>
              <w:spacing w:after="0"/>
              <w:rPr>
                <w:noProof/>
                <w:sz w:val="20"/>
              </w:rPr>
            </w:pPr>
            <w:r>
              <w:rPr>
                <w:noProof/>
                <w:sz w:val="20"/>
              </w:rPr>
              <w:t>2017/0336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що се отнася до подкрепата за структурните реформи в държавите членки</w:t>
            </w:r>
          </w:p>
        </w:tc>
        <w:tc>
          <w:tcPr>
            <w:tcW w:w="4413" w:type="dxa"/>
            <w:tcMar>
              <w:top w:w="85" w:type="dxa"/>
              <w:bottom w:w="85" w:type="dxa"/>
              <w:right w:w="108" w:type="dxa"/>
            </w:tcMar>
          </w:tcPr>
          <w:p>
            <w:pPr>
              <w:spacing w:after="0"/>
              <w:jc w:val="left"/>
              <w:rPr>
                <w:noProof/>
                <w:sz w:val="20"/>
              </w:rPr>
            </w:pPr>
            <w:r>
              <w:rPr>
                <w:noProof/>
                <w:sz w:val="20"/>
              </w:rPr>
              <w:t>Не е актуално: предложението се отнася до бюджетния период 2014—2020 г. и вече не е необходимо.</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COM(2017)97 final</w:t>
            </w:r>
            <w:r>
              <w:rPr>
                <w:noProof/>
                <w:sz w:val="20"/>
              </w:rPr>
              <w:br/>
              <w:t>2017/0043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установяване на многогодишен план за запасите от дребни пелагични видове в Адриатическо море и за свързаните с тях риболовни дейности</w:t>
            </w:r>
          </w:p>
        </w:tc>
        <w:tc>
          <w:tcPr>
            <w:tcW w:w="4413" w:type="dxa"/>
            <w:tcMar>
              <w:top w:w="85" w:type="dxa"/>
              <w:bottom w:w="85" w:type="dxa"/>
              <w:right w:w="108" w:type="dxa"/>
            </w:tcMar>
          </w:tcPr>
          <w:p>
            <w:pPr>
              <w:spacing w:after="0"/>
              <w:jc w:val="left"/>
              <w:rPr>
                <w:noProof/>
                <w:sz w:val="20"/>
              </w:rPr>
            </w:pPr>
            <w:r>
              <w:rPr>
                <w:noProof/>
                <w:sz w:val="20"/>
              </w:rPr>
              <w:t>Няма изгледи за постигане на споразумение: обхватът на предложението беше частично включен в международни споразумения; няколко предложени изменения променят предложението по начин, който възпрепятства постигането на целите му.</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COM(2014)265 final</w:t>
            </w:r>
            <w:r>
              <w:rPr>
                <w:noProof/>
                <w:sz w:val="20"/>
              </w:rPr>
              <w:br/>
              <w:t>2014/0138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забрана на риболова с плаващи мрежи, за изменение на регламенти (ЕО) № 850/98, (ЕО) № 812/2004, (ЕО) № 2187/2005 и (ЕО) № 1967/2006 на Съвета и за отмяна на Регламент (ЕО) № 894/97 на Съвета</w:t>
            </w:r>
          </w:p>
        </w:tc>
        <w:tc>
          <w:tcPr>
            <w:tcW w:w="4413" w:type="dxa"/>
            <w:tcMar>
              <w:top w:w="85" w:type="dxa"/>
              <w:bottom w:w="85" w:type="dxa"/>
              <w:right w:w="108" w:type="dxa"/>
            </w:tcMar>
          </w:tcPr>
          <w:p>
            <w:pPr>
              <w:spacing w:after="0"/>
              <w:jc w:val="left"/>
              <w:rPr>
                <w:noProof/>
                <w:sz w:val="20"/>
              </w:rPr>
            </w:pPr>
            <w:r>
              <w:rPr>
                <w:noProof/>
                <w:sz w:val="20"/>
              </w:rPr>
              <w:t xml:space="preserve">Не е актуално: няколко елемента са включени в новия регламент относно техническите мерки (Регламент (ЕС) 2019/1241 относно опазването на рибните ресурси и защитата на морските екосистеми чрез технически мерки). Освен това съзаконодателите не са постигнали напредък в продължение на няколко години.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COM(2012)332 final</w:t>
            </w:r>
            <w:r>
              <w:rPr>
                <w:noProof/>
                <w:sz w:val="20"/>
              </w:rPr>
              <w:br/>
              <w:t>2012/0162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p>
        </w:tc>
        <w:tc>
          <w:tcPr>
            <w:tcW w:w="4413" w:type="dxa"/>
            <w:tcMar>
              <w:top w:w="85" w:type="dxa"/>
              <w:bottom w:w="85" w:type="dxa"/>
              <w:right w:w="108" w:type="dxa"/>
            </w:tcMar>
          </w:tcPr>
          <w:p>
            <w:pPr>
              <w:spacing w:after="0"/>
              <w:jc w:val="left"/>
              <w:rPr>
                <w:noProof/>
                <w:sz w:val="20"/>
              </w:rPr>
            </w:pPr>
            <w:r>
              <w:rPr>
                <w:noProof/>
                <w:sz w:val="20"/>
              </w:rPr>
              <w:t>Не е актуално: междувременно някои основни елементи на това предложение бяха включени в други предложения (например предложението на Комисията за нов регламент за контрол на рибарството (COM(2018)368), които са приети или са в процес на договаряне.</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COM(2012)413 final</w:t>
            </w:r>
            <w:r>
              <w:rPr>
                <w:noProof/>
                <w:sz w:val="20"/>
              </w:rPr>
              <w:br/>
              <w:t>2012/0201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1100/2007 на Съвета относно установяване на мерки за възстановяване на запасите от европейска змиорка</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запасите от змиорки са претърпели развитие от 2012 г. насам; междувременно някои основни елементи на това предложение бяха включени в други регламенти, като например регламентите относно възможностите за риболов, с които се определят годишен общ допустим улов и квоти.</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jc w:val="left"/>
              <w:rPr>
                <w:noProof/>
                <w:sz w:val="20"/>
              </w:rPr>
            </w:pPr>
            <w:r>
              <w:rPr>
                <w:noProof/>
                <w:sz w:val="20"/>
              </w:rPr>
              <w:t>COM(2012)432 final</w:t>
            </w:r>
            <w:r>
              <w:rPr>
                <w:noProof/>
                <w:sz w:val="20"/>
              </w:rPr>
              <w:br/>
              <w:t>2012/0208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850/98 на Съвета относно опазването на рибните ресурси посредством технически мерки за защита на младите екземпляри морски организми</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 xml:space="preserve">Не е актуално: няколко елемента са включени в новия регламент относно техническите мерки (Регламент (ЕС) 2019/1241 относно опазването на рибните ресурси и защитата на морските екосистеми чрез технически мерки).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rPr>
                <w:noProof/>
                <w:sz w:val="20"/>
              </w:rPr>
            </w:pPr>
            <w:r>
              <w:rPr>
                <w:noProof/>
                <w:sz w:val="20"/>
              </w:rPr>
              <w:t>COM(2011)470 final</w:t>
            </w:r>
            <w:r>
              <w:rPr>
                <w:noProof/>
                <w:sz w:val="20"/>
              </w:rPr>
              <w:br/>
              <w:t>2011/0206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създаване на многогодишен план за запаса от сьомга в Балтийския регион и за риболовните дейности по експлоатацията на този запас</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междувременно беше приет цялостен многогодишен план за Балтийско море (Регламент (ЕС) 2016/1139 за създаване на многогодишен план за запасите от треска, херинга и цаца в Балтийско море и за видовете риболов, които експлоатират тези запаси).</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jc w:val="left"/>
              <w:rPr>
                <w:noProof/>
                <w:sz w:val="20"/>
              </w:rPr>
            </w:pPr>
            <w:r>
              <w:rPr>
                <w:noProof/>
                <w:sz w:val="20"/>
              </w:rPr>
              <w:t>COM(2011)479 final</w:t>
            </w:r>
            <w:r>
              <w:rPr>
                <w:noProof/>
                <w:sz w:val="20"/>
              </w:rPr>
              <w:br/>
              <w:t>2011/0218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1967/2006 на Съвета относно мерките за управление на устойчивата експлоатация на рибните ресурси в Средиземно море</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междувременно основни елементи на това предложение бяха включени в други регламенти, като например</w:t>
            </w:r>
            <w:r>
              <w:rPr>
                <w:noProof/>
              </w:rPr>
              <w:t xml:space="preserve"> </w:t>
            </w:r>
            <w:r>
              <w:rPr>
                <w:noProof/>
                <w:sz w:val="20"/>
              </w:rPr>
              <w:t xml:space="preserve">Регламент (ЕС) 2019/1022 на Съвета за многогодишен план за риболовните дейности, експлоатиращи запасите от дънни видове в западната част на Средиземно море, и за изменение на Регламент (ЕС) № 508/2014.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jc w:val="left"/>
              <w:rPr>
                <w:noProof/>
                <w:sz w:val="20"/>
              </w:rPr>
            </w:pPr>
            <w:r>
              <w:rPr>
                <w:noProof/>
                <w:sz w:val="20"/>
              </w:rPr>
              <w:t>COM(2013)892 final</w:t>
            </w:r>
            <w:r>
              <w:rPr>
                <w:noProof/>
                <w:sz w:val="20"/>
              </w:rPr>
              <w:br/>
              <w:t>2013/0433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ДИРЕКТИВА НА ЕВРОПЕЙСКИЯ ПАРЛАМЕНТ И НА СЪВЕТА за клонирането на животни от рода на едрия рогат добитък, свинете, овцете, козите и еднокопитните, отглеждани и размножавани за селскостопански цели</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Няма изгледи за постигане на споразумение: съзаконодателите не са постигнали напредък от 2015 г. насам и няма изгледи за по-нататъшно развитие.</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jc w:val="left"/>
              <w:rPr>
                <w:noProof/>
                <w:sz w:val="20"/>
              </w:rPr>
            </w:pPr>
            <w:r>
              <w:rPr>
                <w:noProof/>
                <w:sz w:val="20"/>
              </w:rPr>
              <w:t>COM(2013)893 final</w:t>
            </w:r>
            <w:r>
              <w:rPr>
                <w:noProof/>
                <w:sz w:val="20"/>
              </w:rPr>
              <w:br/>
              <w:t>2013/0434 (APP)</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ДИРЕКТИВА НА СЪВЕТА за пускането на пазара на храни от клонирани животни</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Няма изгледи за постигане на споразумение: съзаконодателите не са постигнали напредък от 2015 г. насам и няма изгледи за по-нататъшно развитие.</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jc w:val="left"/>
              <w:rPr>
                <w:noProof/>
                <w:sz w:val="20"/>
              </w:rPr>
            </w:pPr>
            <w:r>
              <w:rPr>
                <w:noProof/>
                <w:sz w:val="20"/>
              </w:rPr>
              <w:t>COM(2017)648 final</w:t>
            </w:r>
            <w:r>
              <w:rPr>
                <w:noProof/>
                <w:sz w:val="20"/>
              </w:rPr>
              <w:br/>
              <w:t>2017/0290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ДИРЕКТИВА НА ЕВРОПЕЙСКИЯ ПАРЛАМЕНТ И НА СЪВЕТА за изменение на Директива 92/106/ЕИО относно създаването на общи правила за някои видове комбиниран транспорт на товари между държавите членки</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Няма изгледи за постигане на споразумение: няколко предложени изменения променят предложението по начин, който възпрепятства постигането на целите му. Освен това необходимостта съгласно Европейския зелен пакт да се увеличи делът на устойчивите видове транспорт в общия транспорт изисква по-силна подкрепа за мултимодалните решения и следователно настоящото предложение е недостатъчно.</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COM(2013)20 final</w:t>
            </w:r>
            <w:r>
              <w:rPr>
                <w:noProof/>
                <w:sz w:val="20"/>
              </w:rPr>
              <w:br/>
              <w:t>2013/0011 (NLE)</w:t>
            </w:r>
            <w:r>
              <w:rPr>
                <w:noProof/>
                <w:sz w:val="20"/>
              </w:rPr>
              <w:br/>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РЕШЕНИЕ НА СЪВЕТА за подаването от името на Европейския съюз на заявления за нови вписвания в приложение VІІІ или ІХ към Базелската конвенция за контрол на трансграничното движение на опасни отпадъци и тяхното обезвреждане</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предложението не беше прието преди срещата, за която беше планирано.</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COM(2018)731 final</w:t>
            </w:r>
            <w:r>
              <w:rPr>
                <w:noProof/>
                <w:sz w:val="20"/>
              </w:rPr>
              <w:br/>
              <w:t>2018/0379 (NLE)</w:t>
            </w:r>
            <w:r>
              <w:rPr>
                <w:noProof/>
                <w:sz w:val="20"/>
              </w:rPr>
              <w:br/>
            </w:r>
          </w:p>
        </w:tc>
        <w:tc>
          <w:tcPr>
            <w:tcW w:w="7836" w:type="dxa"/>
            <w:tcBorders>
              <w:bottom w:val="single" w:sz="4" w:space="0" w:color="auto"/>
            </w:tcBorders>
            <w:shd w:val="clear" w:color="auto" w:fill="auto"/>
            <w:tcMar>
              <w:top w:w="85" w:type="dxa"/>
              <w:bottom w:w="85" w:type="dxa"/>
              <w:right w:w="108" w:type="dxa"/>
            </w:tcMar>
          </w:tcPr>
          <w:p>
            <w:pPr>
              <w:spacing w:after="0"/>
              <w:jc w:val="left"/>
              <w:rPr>
                <w:noProof/>
                <w:sz w:val="20"/>
              </w:rPr>
            </w:pPr>
            <w:r>
              <w:rPr>
                <w:noProof/>
                <w:sz w:val="20"/>
              </w:rPr>
              <w:t>Предложение за РЕШЕНИЕ НА СЪВЕТА относно позицията, която трябва да се заеме от името на Европейския съюз на тридесет и осмото заседание на Постоянния комитет на Конвенцията за опазване на дивата европейска флора и фауна и природните местообитания, във връзка с измененията на приложения № II и № III</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предложението не беше прието преди срещата, за която беше планирано.</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COM(2019)494 final</w:t>
            </w:r>
            <w:r>
              <w:rPr>
                <w:noProof/>
                <w:sz w:val="20"/>
              </w:rPr>
              <w:br/>
              <w:t>2019/0241 (NLE)</w:t>
            </w:r>
          </w:p>
        </w:tc>
        <w:tc>
          <w:tcPr>
            <w:tcW w:w="7836" w:type="dxa"/>
            <w:tcBorders>
              <w:bottom w:val="single" w:sz="4" w:space="0" w:color="auto"/>
            </w:tcBorders>
            <w:shd w:val="clear" w:color="auto" w:fill="auto"/>
            <w:tcMar>
              <w:top w:w="85" w:type="dxa"/>
              <w:bottom w:w="85" w:type="dxa"/>
              <w:right w:w="108" w:type="dxa"/>
            </w:tcMar>
          </w:tcPr>
          <w:p>
            <w:pPr>
              <w:spacing w:after="0"/>
              <w:jc w:val="left"/>
              <w:rPr>
                <w:noProof/>
                <w:sz w:val="20"/>
              </w:rPr>
            </w:pPr>
            <w:r>
              <w:rPr>
                <w:noProof/>
                <w:sz w:val="20"/>
              </w:rPr>
              <w:t>Предложение за РЕШЕНИЕ НА СЪВЕТА относно позицията, която трябва да се заеме от името на Европейския съюз на тридесет и деветото заседание на Постоянния комитет на Конвенцията за опазване на дивата европейска флора и фауна и природните местообитания във връзка с изменения на приложения № II и № III към посочената конвенция</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предложението не беше прието преди срещата, за която беше планирано.</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COM(2009)585 final</w:t>
            </w:r>
            <w:r>
              <w:rPr>
                <w:noProof/>
                <w:sz w:val="20"/>
              </w:rPr>
              <w:br/>
              <w:t>26.10.2009 г.</w:t>
            </w:r>
          </w:p>
        </w:tc>
        <w:tc>
          <w:tcPr>
            <w:tcW w:w="7836" w:type="dxa"/>
            <w:tcBorders>
              <w:bottom w:val="single" w:sz="4" w:space="0" w:color="auto"/>
            </w:tcBorders>
            <w:shd w:val="clear" w:color="auto" w:fill="auto"/>
            <w:tcMar>
              <w:top w:w="85" w:type="dxa"/>
              <w:bottom w:w="85" w:type="dxa"/>
              <w:right w:w="108" w:type="dxa"/>
            </w:tcMar>
          </w:tcPr>
          <w:p>
            <w:pPr>
              <w:spacing w:after="0"/>
              <w:jc w:val="left"/>
              <w:rPr>
                <w:noProof/>
                <w:sz w:val="20"/>
              </w:rPr>
            </w:pPr>
            <w:r>
              <w:rPr>
                <w:noProof/>
                <w:sz w:val="20"/>
              </w:rPr>
              <w:t>Предложение за решение на Съвета за установяване на позицията, която да бъде приета от името на Европейската общност във връзка с предложенията за изменение на приложения II и III към Протокола относно специално защитените територии и биологичното разнообразие в Средиземноморието (Протокол SPA/BD) към Конвенцията за защита на морската среда и на крайбрежните райони в Средиземноморието (Конвенцията от Барселона) на шестнадесетата среща на договарящите страни</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предложението не беше прието преди срещата, за която беше планирано.</w:t>
            </w:r>
          </w:p>
        </w:tc>
      </w:tr>
      <w:tr>
        <w:trPr>
          <w:cantSplit/>
        </w:trPr>
        <w:tc>
          <w:tcPr>
            <w:tcW w:w="14827" w:type="dxa"/>
            <w:gridSpan w:val="4"/>
            <w:shd w:val="clear" w:color="auto" w:fill="18BAA8" w:themeFill="accent2"/>
            <w:tcMar>
              <w:top w:w="85" w:type="dxa"/>
              <w:bottom w:w="85" w:type="dxa"/>
              <w:right w:w="85" w:type="dxa"/>
            </w:tcMar>
          </w:tcPr>
          <w:p>
            <w:pPr>
              <w:keepNext/>
              <w:spacing w:before="60" w:after="60"/>
              <w:rPr>
                <w:noProof/>
                <w:sz w:val="20"/>
              </w:rPr>
            </w:pPr>
            <w:r>
              <w:rPr>
                <w:b/>
                <w:bCs/>
                <w:noProof/>
                <w:color w:val="FFFFFF" w:themeColor="background1"/>
                <w:sz w:val="20"/>
              </w:rPr>
              <w:t>Европа, подготвена за цифровата ера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COM(2017)257 final</w:t>
            </w:r>
            <w:r>
              <w:rPr>
                <w:noProof/>
                <w:sz w:val="20"/>
              </w:rPr>
              <w:br/>
              <w:t>2017/0087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определяне на условията и процедурата, за да може Комисията да отправя искания към предприятия и обединения от предприятия да представят информация във връзка с вътрешния пазар и свързани области</w:t>
            </w:r>
          </w:p>
        </w:tc>
        <w:tc>
          <w:tcPr>
            <w:tcW w:w="4413" w:type="dxa"/>
            <w:tcMar>
              <w:top w:w="85" w:type="dxa"/>
              <w:bottom w:w="85" w:type="dxa"/>
              <w:right w:w="108" w:type="dxa"/>
            </w:tcMar>
          </w:tcPr>
          <w:p>
            <w:pPr>
              <w:spacing w:after="0"/>
              <w:jc w:val="left"/>
              <w:rPr>
                <w:noProof/>
                <w:sz w:val="20"/>
                <w:highlight w:val="yellow"/>
              </w:rPr>
            </w:pPr>
            <w:r>
              <w:rPr>
                <w:noProof/>
                <w:sz w:val="20"/>
              </w:rPr>
              <w:t xml:space="preserve">Няма изгледи за постигане на споразумение: обсъжданията в Съвета са преустановени от март 2018 г. насам.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COM(2014)28 final</w:t>
            </w:r>
            <w:r>
              <w:rPr>
                <w:noProof/>
                <w:sz w:val="20"/>
              </w:rPr>
              <w:br/>
              <w:t>2014/0012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регламенти (ЕО) № 715/2007 и (ЕО) № 595/2009 по отношение на намаляване на емисиите от замърсителите, отделяни от пътните моторни превозни средства</w:t>
            </w:r>
          </w:p>
        </w:tc>
        <w:tc>
          <w:tcPr>
            <w:tcW w:w="4413" w:type="dxa"/>
            <w:tcMar>
              <w:top w:w="85" w:type="dxa"/>
              <w:bottom w:w="85" w:type="dxa"/>
              <w:right w:w="108" w:type="dxa"/>
            </w:tcMar>
          </w:tcPr>
          <w:p>
            <w:pPr>
              <w:spacing w:after="0"/>
              <w:jc w:val="left"/>
              <w:rPr>
                <w:noProof/>
                <w:sz w:val="20"/>
              </w:rPr>
            </w:pPr>
            <w:r>
              <w:rPr>
                <w:noProof/>
                <w:sz w:val="20"/>
              </w:rPr>
              <w:t>Не е актуално: междувременно по-голямата част от съдържанието на предложението беше включена в други досиета, които са приети (например разпоредбите относно информацията за ремонт и техническо обслужване, адаптирани с Регламент 2018/858) или са в процес на договаряне (неприключено досие COM(2019)208). Очаква се някои други аспекти да бъдат разгледани по-обстойно в ново предложение за нормите за емисии EURO 7.</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jc w:val="left"/>
              <w:rPr>
                <w:noProof/>
                <w:sz w:val="20"/>
              </w:rPr>
            </w:pPr>
            <w:r>
              <w:rPr>
                <w:noProof/>
                <w:sz w:val="20"/>
              </w:rPr>
              <w:t>COM(2013)75 final</w:t>
            </w:r>
            <w:r>
              <w:rPr>
                <w:noProof/>
                <w:sz w:val="20"/>
              </w:rPr>
              <w:br/>
              <w:t>2013/0048 (COD)</w:t>
            </w:r>
          </w:p>
        </w:tc>
        <w:tc>
          <w:tcPr>
            <w:tcW w:w="7836" w:type="dxa"/>
            <w:tcBorders>
              <w:bottom w:val="single" w:sz="4" w:space="0" w:color="auto"/>
            </w:tcBorders>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относно надзора на пазара на продукти и за изменение на директиви 89/686/ЕИО и 93/15/ЕИО на Съвета и директиви 94/9/ЕО, 94/25/ЕО, 95/16/ЕО, 97/23/ЕО, 1999/5/ЕО, 2000/9/ЕО, 2000/14/ЕО, 2001/95/ЕО, 2004/108/ЕО, 2006/42/ЕО, 2006/95/EО, 2007/23/ЕО, 2008/57/ЕО, 2009/48/ЕО, 2009/105/ЕО, 2009/142/ЕО, 2011/65/ЕС, Регламент (ЕС) № 305/2011, Регламент (ЕО) № 764/2008 и Регламент (ЕО) № 765/2008 на Европейския парламент и на Съвета</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с приемането на регламента относно надзора на пазара и правоприлагането (Регламент (ЕС) 2019/1020) предложението загуби актуалност и стана излишно.</w:t>
            </w:r>
          </w:p>
        </w:tc>
      </w:tr>
      <w:tr>
        <w:trPr>
          <w:cantSplit/>
        </w:trPr>
        <w:tc>
          <w:tcPr>
            <w:tcW w:w="14827" w:type="dxa"/>
            <w:gridSpan w:val="4"/>
            <w:shd w:val="clear" w:color="auto" w:fill="F68A42" w:themeFill="accent3"/>
            <w:tcMar>
              <w:top w:w="85" w:type="dxa"/>
              <w:bottom w:w="85" w:type="dxa"/>
              <w:right w:w="85" w:type="dxa"/>
            </w:tcMar>
          </w:tcPr>
          <w:p>
            <w:pPr>
              <w:keepNext/>
              <w:spacing w:before="60" w:after="60"/>
              <w:jc w:val="left"/>
              <w:rPr>
                <w:noProof/>
                <w:sz w:val="20"/>
              </w:rPr>
            </w:pPr>
            <w:r>
              <w:rPr>
                <w:b/>
                <w:bCs/>
                <w:noProof/>
                <w:color w:val="FFFFFF" w:themeColor="background1"/>
                <w:sz w:val="20"/>
              </w:rPr>
              <w:t>Икономика в интерес на хората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COM(2013)342 final</w:t>
            </w:r>
            <w:r>
              <w:rPr>
                <w:noProof/>
                <w:sz w:val="20"/>
              </w:rPr>
              <w:br/>
              <w:t>2013/0181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относно предоставянето и качеството на статистиката за процедурата при макроикономически дисбаланси</w:t>
            </w:r>
          </w:p>
        </w:tc>
        <w:tc>
          <w:tcPr>
            <w:tcW w:w="4413" w:type="dxa"/>
            <w:tcMar>
              <w:top w:w="85" w:type="dxa"/>
              <w:bottom w:w="85" w:type="dxa"/>
              <w:right w:w="108" w:type="dxa"/>
            </w:tcMar>
          </w:tcPr>
          <w:p>
            <w:pPr>
              <w:spacing w:after="0"/>
              <w:jc w:val="left"/>
              <w:rPr>
                <w:noProof/>
                <w:sz w:val="20"/>
              </w:rPr>
            </w:pPr>
            <w:r>
              <w:rPr>
                <w:noProof/>
                <w:sz w:val="20"/>
              </w:rPr>
              <w:t>Не е актуално: целите за осигуряване на качеството на статистиката са постигнати до голяма степен от меморандума за разбирателство между Евростат и Генерална дирекция „Статистика“ на Европейската централна банка относно осигуряването на качеството на статистическите данни, на които се основава процедурата при макроикономически дисбаланси (2016 г.). Гарантирането на качеството на статистиката за процедурата при макроикономически дисбаланси (ПМД) е част от текущия преглед на икономическото управление.</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jc w:val="left"/>
              <w:rPr>
                <w:noProof/>
                <w:sz w:val="20"/>
              </w:rPr>
            </w:pPr>
            <w:r>
              <w:rPr>
                <w:noProof/>
                <w:sz w:val="20"/>
              </w:rPr>
              <w:t>COM(2013)884 final</w:t>
            </w:r>
            <w:r>
              <w:rPr>
                <w:noProof/>
                <w:sz w:val="20"/>
              </w:rPr>
              <w:br/>
              <w:t>2013/0432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ДИРЕКТИВА НА ЕВРОПЕЙСКИЯ ПАРЛАМЕНТ И НА СЪВЕТА относно законодателната рамка на Съюза в областта на митническите нарушения и наказания</w:t>
            </w:r>
          </w:p>
        </w:tc>
        <w:tc>
          <w:tcPr>
            <w:tcW w:w="4413" w:type="dxa"/>
            <w:tcMar>
              <w:top w:w="85" w:type="dxa"/>
              <w:bottom w:w="85" w:type="dxa"/>
              <w:right w:w="108" w:type="dxa"/>
            </w:tcMar>
          </w:tcPr>
          <w:p>
            <w:pPr>
              <w:spacing w:after="0"/>
              <w:jc w:val="left"/>
              <w:rPr>
                <w:noProof/>
                <w:sz w:val="20"/>
              </w:rPr>
            </w:pPr>
            <w:r>
              <w:rPr>
                <w:noProof/>
                <w:sz w:val="20"/>
              </w:rPr>
              <w:t>Няма изгледи за постигане на споразумение: предложението ще бъде заменено от нова инициатива, насочена към засилване на прилагането на митническите правила, в контекста на плана за действие относно митническия съюз, посочен в приложение 1 към настоящата работна програма на Комисията.</w:t>
            </w:r>
          </w:p>
        </w:tc>
      </w:tr>
      <w:tr>
        <w:trPr>
          <w:cantSplit/>
        </w:trPr>
        <w:tc>
          <w:tcPr>
            <w:tcW w:w="14827" w:type="dxa"/>
            <w:gridSpan w:val="4"/>
            <w:shd w:val="clear" w:color="auto" w:fill="585EAA" w:themeFill="accent4"/>
            <w:tcMar>
              <w:top w:w="85" w:type="dxa"/>
              <w:bottom w:w="85" w:type="dxa"/>
              <w:right w:w="85" w:type="dxa"/>
            </w:tcMar>
          </w:tcPr>
          <w:p>
            <w:pPr>
              <w:keepNext/>
              <w:spacing w:before="60" w:after="60"/>
              <w:rPr>
                <w:noProof/>
                <w:sz w:val="20"/>
              </w:rPr>
            </w:pPr>
            <w:r>
              <w:rPr>
                <w:b/>
                <w:bCs/>
                <w:noProof/>
                <w:color w:val="FFFFFF" w:themeColor="background1"/>
                <w:sz w:val="20"/>
              </w:rPr>
              <w:t>По-силна Европа на световната сцена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COM(2009)65-2 final</w:t>
            </w:r>
            <w:r>
              <w:rPr>
                <w:noProof/>
                <w:sz w:val="20"/>
              </w:rPr>
              <w:br/>
              <w:t>2009/0019 (APP)</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решение на Съвета за сключване на Споразумението между Европейската общност и Република Корея относно някои аспекти на въздухоплавателните услуги</w:t>
            </w:r>
          </w:p>
        </w:tc>
        <w:tc>
          <w:tcPr>
            <w:tcW w:w="4413" w:type="dxa"/>
            <w:tcMar>
              <w:top w:w="85" w:type="dxa"/>
              <w:bottom w:w="85" w:type="dxa"/>
              <w:right w:w="108" w:type="dxa"/>
            </w:tcMar>
          </w:tcPr>
          <w:p>
            <w:pPr>
              <w:spacing w:after="0"/>
              <w:jc w:val="left"/>
              <w:rPr>
                <w:noProof/>
                <w:sz w:val="20"/>
              </w:rPr>
            </w:pPr>
            <w:r>
              <w:rPr>
                <w:noProof/>
                <w:sz w:val="20"/>
              </w:rPr>
              <w:t>Не е актуално: това предложение беше заменено от ново предложение на Комисията за решение на Съвета (COM(2019)92).</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COM(2013)243 final</w:t>
            </w:r>
            <w:r>
              <w:rPr>
                <w:noProof/>
                <w:sz w:val="20"/>
              </w:rPr>
              <w:br/>
              <w:t>2013/0129 (NLE)</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РЕШЕНИЕ НА СЪВЕТА за установяване на позицията, която трябва да бъде приета от името на Европейския съюз във връзка с някои резолюции, които ще бъдат гласувани в рамките на Международната организация по лозата и виното (OIV)</w:t>
            </w:r>
          </w:p>
        </w:tc>
        <w:tc>
          <w:tcPr>
            <w:tcW w:w="4413" w:type="dxa"/>
            <w:tcMar>
              <w:top w:w="85" w:type="dxa"/>
              <w:bottom w:w="85" w:type="dxa"/>
              <w:right w:w="108" w:type="dxa"/>
            </w:tcMar>
          </w:tcPr>
          <w:p>
            <w:pPr>
              <w:spacing w:after="0"/>
              <w:jc w:val="left"/>
              <w:rPr>
                <w:noProof/>
                <w:sz w:val="20"/>
              </w:rPr>
            </w:pPr>
            <w:r>
              <w:rPr>
                <w:noProof/>
                <w:sz w:val="20"/>
              </w:rPr>
              <w:t>Не е актуално: предложението не беше прието преди срещата, за която беше планирано.</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COM(2015)18 final</w:t>
            </w:r>
            <w:r>
              <w:rPr>
                <w:noProof/>
                <w:sz w:val="20"/>
              </w:rPr>
              <w:br/>
              <w:t>2015/0011 (NLE)</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РЕШЕНИЕ НА СЪВЕТА относно позицията, която да бъде приета от името на Европейския съюз в рамките на Съвместния комитет на ЕИП във връзка с изменението на процедурния правилник на Съвместния комитет на ЕИП (присъединяване на Хърватия)</w:t>
            </w:r>
          </w:p>
        </w:tc>
        <w:tc>
          <w:tcPr>
            <w:tcW w:w="4413" w:type="dxa"/>
            <w:tcMar>
              <w:top w:w="85" w:type="dxa"/>
              <w:bottom w:w="85" w:type="dxa"/>
              <w:right w:w="108" w:type="dxa"/>
            </w:tcMar>
          </w:tcPr>
          <w:p>
            <w:pPr>
              <w:spacing w:after="0"/>
              <w:jc w:val="left"/>
              <w:rPr>
                <w:noProof/>
                <w:sz w:val="20"/>
              </w:rPr>
            </w:pPr>
            <w:r>
              <w:rPr>
                <w:noProof/>
                <w:sz w:val="20"/>
              </w:rPr>
              <w:t xml:space="preserve">Не е актуално: по същество предложението беше включено в Решение (ЕС) 2018/4 на Съвета от 18 декември 2017 г. относно позицията, която трябва да се заеме от името на Европейския съюз в рамките на Съвместния комитет на ЕИП във връзка с изменението на процедурния правилник на Съвместния комитет на ЕИП. </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COM(2015)48 final</w:t>
            </w:r>
            <w:r>
              <w:rPr>
                <w:noProof/>
                <w:sz w:val="20"/>
              </w:rPr>
              <w:br/>
              <w:t>2015/0027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относно защитата срещу последиците от извънтериториалното прилагане на законодателство, прието от трета страна, и действията, предприети на основание на това законодателство или произтичащи от него (преработен текст)</w:t>
            </w:r>
          </w:p>
        </w:tc>
        <w:tc>
          <w:tcPr>
            <w:tcW w:w="4413" w:type="dxa"/>
            <w:tcMar>
              <w:top w:w="85" w:type="dxa"/>
              <w:bottom w:w="85" w:type="dxa"/>
              <w:right w:w="108" w:type="dxa"/>
            </w:tcMar>
          </w:tcPr>
          <w:p>
            <w:pPr>
              <w:spacing w:after="0"/>
              <w:jc w:val="left"/>
              <w:rPr>
                <w:noProof/>
                <w:sz w:val="20"/>
              </w:rPr>
            </w:pPr>
            <w:r>
              <w:rPr>
                <w:noProof/>
                <w:sz w:val="20"/>
              </w:rPr>
              <w:t>Няма изгледи за постигане на споразумение: предложението ще бъде заменено от нова инициатива за засилен механизъм за санкции, посочена в приложение 1 към настоящата работна програма на Комисията.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JOIN(2016)37 final</w:t>
            </w:r>
            <w:r>
              <w:rPr>
                <w:noProof/>
                <w:sz w:val="20"/>
              </w:rPr>
              <w:br/>
              <w:t>2016/0241 (NLE)</w:t>
            </w:r>
          </w:p>
        </w:tc>
        <w:tc>
          <w:tcPr>
            <w:tcW w:w="7836" w:type="dxa"/>
            <w:shd w:val="clear" w:color="auto" w:fill="auto"/>
            <w:tcMar>
              <w:top w:w="85" w:type="dxa"/>
              <w:bottom w:w="85" w:type="dxa"/>
              <w:right w:w="108" w:type="dxa"/>
            </w:tcMar>
          </w:tcPr>
          <w:p>
            <w:pPr>
              <w:spacing w:after="0"/>
              <w:rPr>
                <w:noProof/>
                <w:sz w:val="20"/>
              </w:rPr>
            </w:pPr>
            <w:r>
              <w:rPr>
                <w:noProof/>
                <w:sz w:val="20"/>
              </w:rPr>
              <w:t>Съвместно предложение за РЕШЕНИЕ НА СЪВЕТА за подписване от името на Европейския съюз на Рамково споразумение за партньорство и сътрудничество между Европейския съюз и правителството на Малайзия</w:t>
            </w:r>
          </w:p>
        </w:tc>
        <w:tc>
          <w:tcPr>
            <w:tcW w:w="4413" w:type="dxa"/>
            <w:tcMar>
              <w:top w:w="85" w:type="dxa"/>
              <w:bottom w:w="85" w:type="dxa"/>
              <w:right w:w="108" w:type="dxa"/>
            </w:tcMar>
          </w:tcPr>
          <w:p>
            <w:pPr>
              <w:spacing w:after="0"/>
              <w:jc w:val="left"/>
              <w:rPr>
                <w:noProof/>
                <w:sz w:val="20"/>
              </w:rPr>
            </w:pPr>
            <w:r>
              <w:rPr>
                <w:noProof/>
                <w:sz w:val="20"/>
              </w:rPr>
              <w:t>Не е актуално: през 2018 г. Комисията изработи преразгледано предложение за решение на Съвета (JOIN(2018)20) относно подписването и временното прилагане на споразумението за партньорство и сътрудничество като смесено споразумение (а не само от името на ЕС), с което предложението от 2016 г. загуби актуалност.</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JOIN(2016)38</w:t>
            </w:r>
            <w:r>
              <w:rPr>
                <w:noProof/>
                <w:sz w:val="20"/>
              </w:rPr>
              <w:br/>
              <w:t>2016/0243 (NLE)</w:t>
            </w:r>
          </w:p>
        </w:tc>
        <w:tc>
          <w:tcPr>
            <w:tcW w:w="7836" w:type="dxa"/>
            <w:shd w:val="clear" w:color="auto" w:fill="auto"/>
            <w:tcMar>
              <w:top w:w="85" w:type="dxa"/>
              <w:bottom w:w="85" w:type="dxa"/>
              <w:right w:w="108" w:type="dxa"/>
            </w:tcMar>
          </w:tcPr>
          <w:p>
            <w:pPr>
              <w:spacing w:after="0"/>
              <w:rPr>
                <w:noProof/>
                <w:sz w:val="20"/>
              </w:rPr>
            </w:pPr>
            <w:r>
              <w:rPr>
                <w:noProof/>
                <w:sz w:val="20"/>
              </w:rPr>
              <w:t>Съвместно предложение за РЕШЕНИЕ НА СЪВЕТА за сключване от името на Европейския съюз на Рамково споразумение за партньорство и сътрудничество между Европейския съюз и правителството на Малайзия</w:t>
            </w:r>
          </w:p>
        </w:tc>
        <w:tc>
          <w:tcPr>
            <w:tcW w:w="4413" w:type="dxa"/>
            <w:tcMar>
              <w:top w:w="85" w:type="dxa"/>
              <w:bottom w:w="85" w:type="dxa"/>
              <w:right w:w="108" w:type="dxa"/>
            </w:tcMar>
          </w:tcPr>
          <w:p>
            <w:pPr>
              <w:spacing w:after="0"/>
              <w:jc w:val="left"/>
              <w:rPr>
                <w:noProof/>
                <w:sz w:val="20"/>
              </w:rPr>
            </w:pPr>
            <w:r>
              <w:rPr>
                <w:noProof/>
                <w:sz w:val="20"/>
              </w:rPr>
              <w:t>Не е актуално: с оглед на преразгледаното предложение на Комисията относно подписването на споразумението за партньорство и сътрудничество (JOIN(2018) 20)</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COM(2017)668 final</w:t>
            </w:r>
            <w:r>
              <w:rPr>
                <w:noProof/>
                <w:sz w:val="20"/>
              </w:rPr>
              <w:br/>
              <w:t>2017/0301(NLE)</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РЕШЕНИЕ НА СЪВЕТА относно позицията, която да бъде приета от името на Европейския съюз в рамките на Министерската конференция на Световната търговска организация по отношение на държавния резерв за целите на продоволственото осигуряване, вътрешната подкрепа, нарушаваща търговията в селското стопанство, в това число за памука, ограниченията на износа в селското стопанство, субсидиите за сектора на рибарството, вътрешната правна уредба в областта на услугите, и МСП/прозрачността на регулаторните мерки за търговията със стоки</w:t>
            </w:r>
          </w:p>
        </w:tc>
        <w:tc>
          <w:tcPr>
            <w:tcW w:w="4413" w:type="dxa"/>
            <w:tcMar>
              <w:top w:w="85" w:type="dxa"/>
              <w:bottom w:w="85" w:type="dxa"/>
              <w:right w:w="108" w:type="dxa"/>
            </w:tcMar>
          </w:tcPr>
          <w:p>
            <w:pPr>
              <w:spacing w:after="0"/>
              <w:jc w:val="left"/>
              <w:rPr>
                <w:noProof/>
                <w:sz w:val="20"/>
              </w:rPr>
            </w:pPr>
            <w:r>
              <w:rPr>
                <w:noProof/>
                <w:sz w:val="20"/>
              </w:rPr>
              <w:t>Не е актуално: това предложение загуби актуалност вследствие на последващите развития, т.е. то не беше необходимо, тъй като на 11-ата министерска конференция на СТО не беше постигнат консенсус относно предвидените решения, свързани с Програмата за развитие от Доха.</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JOIN(2018)20 final</w:t>
            </w:r>
            <w:r>
              <w:rPr>
                <w:noProof/>
                <w:sz w:val="20"/>
              </w:rPr>
              <w:br/>
              <w:t>2018/0269 (NLE)</w:t>
            </w:r>
          </w:p>
        </w:tc>
        <w:tc>
          <w:tcPr>
            <w:tcW w:w="7836" w:type="dxa"/>
            <w:shd w:val="clear" w:color="auto" w:fill="auto"/>
            <w:tcMar>
              <w:top w:w="85" w:type="dxa"/>
              <w:bottom w:w="85" w:type="dxa"/>
              <w:right w:w="108" w:type="dxa"/>
            </w:tcMar>
          </w:tcPr>
          <w:p>
            <w:pPr>
              <w:spacing w:after="0"/>
              <w:rPr>
                <w:noProof/>
                <w:sz w:val="20"/>
              </w:rPr>
            </w:pPr>
            <w:r>
              <w:rPr>
                <w:noProof/>
                <w:sz w:val="20"/>
              </w:rPr>
              <w:t>Съвместно предложение за РЕШЕНИЕ НА СЪВЕТА относно подписването от името на Европейския съюз и временното прилагане на Рамковото споразумение за партньорство и сътрудничество между Европейския съюз и неговите държави членки, от една страна, и правителството на Малайзия, от друга страна</w:t>
            </w:r>
          </w:p>
        </w:tc>
        <w:tc>
          <w:tcPr>
            <w:tcW w:w="4413" w:type="dxa"/>
            <w:tcMar>
              <w:top w:w="85" w:type="dxa"/>
              <w:bottom w:w="85" w:type="dxa"/>
              <w:right w:w="108" w:type="dxa"/>
            </w:tcMar>
          </w:tcPr>
          <w:p>
            <w:pPr>
              <w:spacing w:after="0"/>
              <w:jc w:val="left"/>
              <w:rPr>
                <w:noProof/>
                <w:sz w:val="20"/>
              </w:rPr>
            </w:pPr>
            <w:r>
              <w:rPr>
                <w:noProof/>
                <w:sz w:val="20"/>
              </w:rPr>
              <w:t xml:space="preserve">Не е актуално: предложението включва временно прилагане, което вече не е уместно. </w:t>
            </w:r>
          </w:p>
        </w:tc>
      </w:tr>
      <w:tr>
        <w:trPr>
          <w:cantSplit/>
        </w:trPr>
        <w:tc>
          <w:tcPr>
            <w:tcW w:w="511" w:type="dxa"/>
            <w:tcBorders>
              <w:bottom w:val="single" w:sz="4" w:space="0" w:color="auto"/>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pPr>
              <w:spacing w:after="0"/>
              <w:jc w:val="left"/>
              <w:rPr>
                <w:noProof/>
                <w:sz w:val="20"/>
              </w:rPr>
            </w:pPr>
            <w:r>
              <w:rPr>
                <w:noProof/>
                <w:sz w:val="20"/>
              </w:rPr>
              <w:t>COM(2019)56 final</w:t>
            </w:r>
            <w:r>
              <w:rPr>
                <w:noProof/>
                <w:sz w:val="20"/>
              </w:rPr>
              <w:br/>
              <w:t>2019/0028 (NLE)</w:t>
            </w:r>
          </w:p>
        </w:tc>
        <w:tc>
          <w:tcPr>
            <w:tcW w:w="7836" w:type="dxa"/>
            <w:tcBorders>
              <w:bottom w:val="single" w:sz="4" w:space="0" w:color="auto"/>
            </w:tcBorders>
            <w:shd w:val="clear" w:color="auto" w:fill="auto"/>
            <w:tcMar>
              <w:top w:w="85" w:type="dxa"/>
              <w:bottom w:w="85" w:type="dxa"/>
              <w:right w:w="108" w:type="dxa"/>
            </w:tcMar>
          </w:tcPr>
          <w:p>
            <w:pPr>
              <w:tabs>
                <w:tab w:val="left" w:pos="1224"/>
              </w:tabs>
              <w:spacing w:after="0"/>
              <w:rPr>
                <w:noProof/>
                <w:sz w:val="20"/>
              </w:rPr>
            </w:pPr>
            <w:r>
              <w:rPr>
                <w:noProof/>
                <w:sz w:val="20"/>
              </w:rPr>
              <w:t>Предложение за РЕШЕНИЕ НА СЪВЕТА относно позицията, която трябва да се приеме от името на Европейския съюз на 14-ата сесия на Общото събрание на Междуправителствената организация за международни железопътни превози (OTIF) по отношение на избора на Генерален секретар на OTIF за периода от 8 април 2019 г. до 31 декември 2021 г.</w:t>
            </w:r>
          </w:p>
        </w:tc>
        <w:tc>
          <w:tcPr>
            <w:tcW w:w="4413" w:type="dxa"/>
            <w:tcBorders>
              <w:bottom w:val="single" w:sz="4" w:space="0" w:color="auto"/>
            </w:tcBorders>
            <w:tcMar>
              <w:top w:w="85" w:type="dxa"/>
              <w:bottom w:w="85" w:type="dxa"/>
              <w:right w:w="108" w:type="dxa"/>
            </w:tcMar>
          </w:tcPr>
          <w:p>
            <w:pPr>
              <w:spacing w:after="0"/>
              <w:jc w:val="left"/>
              <w:rPr>
                <w:noProof/>
                <w:sz w:val="20"/>
              </w:rPr>
            </w:pPr>
            <w:r>
              <w:rPr>
                <w:noProof/>
                <w:sz w:val="20"/>
              </w:rPr>
              <w:t>Не е актуално: предложението не беше прието преди срещата, за която беше планирано.</w:t>
            </w:r>
          </w:p>
        </w:tc>
      </w:tr>
      <w:tr>
        <w:trPr>
          <w:cantSplit/>
        </w:trPr>
        <w:tc>
          <w:tcPr>
            <w:tcW w:w="14827" w:type="dxa"/>
            <w:gridSpan w:val="4"/>
            <w:shd w:val="clear" w:color="auto" w:fill="00ADDC" w:themeFill="accent5"/>
            <w:tcMar>
              <w:top w:w="85" w:type="dxa"/>
              <w:bottom w:w="85" w:type="dxa"/>
              <w:right w:w="85" w:type="dxa"/>
            </w:tcMar>
          </w:tcPr>
          <w:p>
            <w:pPr>
              <w:keepNext/>
              <w:spacing w:before="60" w:after="60"/>
              <w:rPr>
                <w:noProof/>
                <w:color w:val="FFFFFF" w:themeColor="background1"/>
                <w:sz w:val="20"/>
              </w:rPr>
            </w:pPr>
            <w:r>
              <w:rPr>
                <w:b/>
                <w:bCs/>
                <w:noProof/>
                <w:color w:val="FFFFFF" w:themeColor="background1"/>
                <w:sz w:val="20"/>
              </w:rPr>
              <w:t>Нов тласък за европейската демокрация</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COM(2011)635 final</w:t>
            </w:r>
            <w:r>
              <w:rPr>
                <w:noProof/>
                <w:sz w:val="20"/>
              </w:rPr>
              <w:br/>
              <w:t>2011/0284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общо европейско право за продажбите</w:t>
            </w:r>
          </w:p>
        </w:tc>
        <w:tc>
          <w:tcPr>
            <w:tcW w:w="4413" w:type="dxa"/>
            <w:tcMar>
              <w:top w:w="85" w:type="dxa"/>
              <w:bottom w:w="85" w:type="dxa"/>
              <w:right w:w="108" w:type="dxa"/>
            </w:tcMar>
          </w:tcPr>
          <w:p>
            <w:pPr>
              <w:spacing w:after="0"/>
              <w:jc w:val="left"/>
              <w:rPr>
                <w:noProof/>
                <w:sz w:val="20"/>
              </w:rPr>
            </w:pPr>
            <w:r>
              <w:rPr>
                <w:noProof/>
                <w:sz w:val="20"/>
              </w:rPr>
              <w:t>Не е актуално: това предложение беше заменено от две други предложения относно договорите i) за предоставяне на цифрово съдържание и ii) за онлайн продажби и други продажби на стоки от разстояние), които междувременно бяха приети (Директива (ЕС) 2019/771 и Директива (ЕС) 2019/770).</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COM(2008)229 final</w:t>
            </w:r>
            <w:r>
              <w:rPr>
                <w:noProof/>
                <w:sz w:val="20"/>
              </w:rPr>
              <w:br/>
              <w:t>2008/0090 (COD)</w:t>
            </w:r>
            <w:r>
              <w:rPr>
                <w:noProof/>
                <w:sz w:val="20"/>
              </w:rPr>
              <w:br/>
            </w:r>
            <w:r>
              <w:rPr>
                <w:noProof/>
                <w:sz w:val="20"/>
              </w:rPr>
              <w:br/>
              <w:t>COM(2011)137 final</w:t>
            </w:r>
            <w:r>
              <w:rPr>
                <w:noProof/>
                <w:sz w:val="20"/>
              </w:rPr>
              <w:br/>
              <w:t>2011/0073(COD)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за изменение на Регламент (ЕО) № 1049/2001 относно публичния достъп до документи на Европейския парламент, на Съвета и на Комисията/Предложение за регламент на Европейския парламент и на Съвета относно публичния достъп до документи на Европейския парламент, на Съвета и на Комисията</w:t>
            </w:r>
          </w:p>
        </w:tc>
        <w:tc>
          <w:tcPr>
            <w:tcW w:w="4413" w:type="dxa"/>
            <w:tcMar>
              <w:top w:w="85" w:type="dxa"/>
              <w:bottom w:w="85" w:type="dxa"/>
              <w:right w:w="108" w:type="dxa"/>
            </w:tcMar>
          </w:tcPr>
          <w:p>
            <w:pPr>
              <w:spacing w:after="0"/>
              <w:jc w:val="left"/>
              <w:rPr>
                <w:noProof/>
                <w:sz w:val="20"/>
              </w:rPr>
            </w:pPr>
            <w:r>
              <w:rPr>
                <w:noProof/>
                <w:sz w:val="20"/>
              </w:rPr>
              <w:t>Няма изгледи за постигане на споразумение: от 2011 г. насам съзаконодателите не са постигнали напредък по двете предложения. Междувременно предложенията в голяма степен загубиха актуалност.</w:t>
            </w:r>
          </w:p>
        </w:tc>
      </w:tr>
      <w:tr>
        <w:trPr>
          <w:cantSplit/>
        </w:trPr>
        <w:tc>
          <w:tcPr>
            <w:tcW w:w="511" w:type="dxa"/>
            <w:tcBorders>
              <w:right w:val="nil"/>
            </w:tcBorders>
            <w:shd w:val="clear" w:color="auto" w:fill="auto"/>
            <w:tcMar>
              <w:top w:w="85" w:type="dxa"/>
              <w:bottom w:w="85" w:type="dxa"/>
              <w:right w:w="108" w:type="dxa"/>
            </w:tcMar>
          </w:tcPr>
          <w:p>
            <w:pPr>
              <w:pStyle w:val="ListParagraph"/>
              <w:numPr>
                <w:ilvl w:val="0"/>
                <w:numId w:val="21"/>
              </w:numPr>
              <w:spacing w:after="0"/>
              <w:ind w:left="426"/>
              <w:rPr>
                <w:noProof/>
                <w:sz w:val="20"/>
              </w:rPr>
            </w:pPr>
          </w:p>
        </w:tc>
        <w:tc>
          <w:tcPr>
            <w:tcW w:w="2067" w:type="dxa"/>
            <w:tcMar>
              <w:top w:w="85" w:type="dxa"/>
              <w:bottom w:w="85" w:type="dxa"/>
              <w:right w:w="108" w:type="dxa"/>
            </w:tcMar>
          </w:tcPr>
          <w:p>
            <w:pPr>
              <w:spacing w:after="0"/>
              <w:jc w:val="left"/>
              <w:rPr>
                <w:noProof/>
                <w:sz w:val="20"/>
              </w:rPr>
            </w:pPr>
            <w:r>
              <w:rPr>
                <w:noProof/>
                <w:sz w:val="20"/>
              </w:rPr>
              <w:t>COM(2013)78 final</w:t>
            </w:r>
            <w:r>
              <w:rPr>
                <w:noProof/>
                <w:sz w:val="20"/>
              </w:rPr>
              <w:br/>
              <w:t>2013/0049 (COD)</w:t>
            </w:r>
          </w:p>
        </w:tc>
        <w:tc>
          <w:tcPr>
            <w:tcW w:w="7836" w:type="dxa"/>
            <w:shd w:val="clear" w:color="auto" w:fill="auto"/>
            <w:tcMar>
              <w:top w:w="85" w:type="dxa"/>
              <w:bottom w:w="85" w:type="dxa"/>
              <w:right w:w="108" w:type="dxa"/>
            </w:tcMar>
          </w:tcPr>
          <w:p>
            <w:pPr>
              <w:spacing w:after="0"/>
              <w:rPr>
                <w:noProof/>
                <w:sz w:val="20"/>
              </w:rPr>
            </w:pPr>
            <w:r>
              <w:rPr>
                <w:noProof/>
                <w:sz w:val="20"/>
              </w:rPr>
              <w:t>Предложение за РЕГЛАМЕНТ НА ЕВРОПЕЙСКИЯ ПАРЛАМЕНТ И НА СЪВЕТА относно безопасността на потребителските продукти и за отмяна на Директива 87/357/ЕИО на Съвета и Директива 2001/95/ЕО</w:t>
            </w:r>
          </w:p>
        </w:tc>
        <w:tc>
          <w:tcPr>
            <w:tcW w:w="4413" w:type="dxa"/>
            <w:tcMar>
              <w:top w:w="85" w:type="dxa"/>
              <w:bottom w:w="85" w:type="dxa"/>
              <w:right w:w="108" w:type="dxa"/>
            </w:tcMar>
          </w:tcPr>
          <w:p>
            <w:pPr>
              <w:spacing w:after="0"/>
              <w:jc w:val="left"/>
              <w:rPr>
                <w:noProof/>
                <w:sz w:val="20"/>
              </w:rPr>
            </w:pPr>
            <w:r>
              <w:rPr>
                <w:noProof/>
                <w:sz w:val="20"/>
              </w:rPr>
              <w:t>Не се очаква споразумение и не е актуално: това предложение беше частично заменено от „пакета за стоките“, който доведе до приемането на Регламент (ЕС) 2019/1020 относно надзора на пазара и съответствието на продуктите. Комисията ще представи ново предложение, както е посочено в Приложение II: инициативи по REFIT.</w:t>
            </w:r>
          </w:p>
        </w:tc>
      </w:tr>
    </w:tbl>
    <w:p>
      <w:pPr>
        <w:spacing w:after="600"/>
        <w:jc w:val="center"/>
        <w:rPr>
          <w:b/>
          <w:noProof/>
          <w:sz w:val="28"/>
          <w:szCs w:val="28"/>
          <w:u w:val="single"/>
        </w:rPr>
      </w:pPr>
      <w:r>
        <w:rPr>
          <w:noProof/>
        </w:rPr>
        <w:br w:type="page"/>
      </w:r>
      <w:r>
        <w:rPr>
          <w:b/>
          <w:noProof/>
          <w:sz w:val="28"/>
          <w:szCs w:val="28"/>
          <w:u w:val="single"/>
        </w:rPr>
        <w:t>Приложение V: Списък на актовете, които се предвижда да бъдат отменени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657"/>
        <w:gridCol w:w="3101"/>
        <w:gridCol w:w="9389"/>
      </w:tblGrid>
      <w:tr>
        <w:trPr>
          <w:cantSplit/>
          <w:tblHeader/>
        </w:trPr>
        <w:tc>
          <w:tcPr>
            <w:tcW w:w="150" w:type="pct"/>
            <w:tcBorders>
              <w:bottom w:val="single" w:sz="4" w:space="0" w:color="auto"/>
            </w:tcBorders>
            <w:shd w:val="clear" w:color="auto" w:fill="99CCFF"/>
            <w:tcMar>
              <w:right w:w="85" w:type="dxa"/>
            </w:tcMar>
            <w:vAlign w:val="center"/>
          </w:tcPr>
          <w:p>
            <w:pPr>
              <w:tabs>
                <w:tab w:val="left" w:pos="176"/>
              </w:tabs>
              <w:spacing w:before="60" w:after="60"/>
              <w:ind w:hanging="108"/>
              <w:jc w:val="center"/>
              <w:rPr>
                <w:b/>
                <w:noProof/>
                <w:sz w:val="20"/>
              </w:rPr>
            </w:pPr>
            <w:r>
              <w:rPr>
                <w:b/>
                <w:bCs/>
                <w:noProof/>
                <w:sz w:val="20"/>
              </w:rPr>
              <w:t>№</w:t>
            </w:r>
          </w:p>
        </w:tc>
        <w:tc>
          <w:tcPr>
            <w:tcW w:w="568" w:type="pct"/>
            <w:tcBorders>
              <w:bottom w:val="single" w:sz="4" w:space="0" w:color="auto"/>
            </w:tcBorders>
            <w:shd w:val="clear" w:color="auto" w:fill="99CCFF"/>
            <w:tcMar>
              <w:right w:w="85" w:type="dxa"/>
            </w:tcMar>
          </w:tcPr>
          <w:p>
            <w:pPr>
              <w:spacing w:before="60" w:after="60"/>
              <w:jc w:val="center"/>
              <w:rPr>
                <w:b/>
                <w:bCs/>
                <w:noProof/>
                <w:sz w:val="20"/>
              </w:rPr>
            </w:pPr>
            <w:r>
              <w:rPr>
                <w:b/>
                <w:bCs/>
                <w:noProof/>
                <w:sz w:val="20"/>
              </w:rPr>
              <w:t>Област на политиката</w:t>
            </w:r>
          </w:p>
        </w:tc>
        <w:tc>
          <w:tcPr>
            <w:tcW w:w="1063" w:type="pct"/>
            <w:tcBorders>
              <w:bottom w:val="single" w:sz="4" w:space="0" w:color="auto"/>
            </w:tcBorders>
            <w:shd w:val="clear" w:color="auto" w:fill="99CCFF"/>
            <w:tcMar>
              <w:right w:w="85" w:type="dxa"/>
            </w:tcMar>
            <w:vAlign w:val="center"/>
          </w:tcPr>
          <w:p>
            <w:pPr>
              <w:spacing w:before="60" w:after="60"/>
              <w:jc w:val="center"/>
              <w:rPr>
                <w:b/>
                <w:bCs/>
                <w:noProof/>
                <w:sz w:val="20"/>
              </w:rPr>
            </w:pPr>
            <w:r>
              <w:rPr>
                <w:b/>
                <w:bCs/>
                <w:noProof/>
                <w:sz w:val="20"/>
              </w:rPr>
              <w:t>Заглавие</w:t>
            </w:r>
          </w:p>
        </w:tc>
        <w:tc>
          <w:tcPr>
            <w:tcW w:w="3219" w:type="pct"/>
            <w:tcBorders>
              <w:bottom w:val="single" w:sz="4" w:space="0" w:color="auto"/>
            </w:tcBorders>
            <w:shd w:val="clear" w:color="auto" w:fill="99CCFF"/>
            <w:tcMar>
              <w:right w:w="85" w:type="dxa"/>
            </w:tcMar>
            <w:vAlign w:val="center"/>
          </w:tcPr>
          <w:p>
            <w:pPr>
              <w:spacing w:before="60" w:after="60"/>
              <w:jc w:val="center"/>
              <w:rPr>
                <w:b/>
                <w:bCs/>
                <w:noProof/>
                <w:sz w:val="20"/>
              </w:rPr>
            </w:pPr>
            <w:r>
              <w:rPr>
                <w:b/>
                <w:bCs/>
                <w:noProof/>
                <w:sz w:val="20"/>
              </w:rPr>
              <w:t>Мотиви за отмяната</w:t>
            </w:r>
          </w:p>
        </w:tc>
      </w:tr>
      <w:tr>
        <w:trPr>
          <w:cantSplit/>
        </w:trPr>
        <w:tc>
          <w:tcPr>
            <w:tcW w:w="150" w:type="pct"/>
            <w:tcBorders>
              <w:top w:val="single" w:sz="4" w:space="0" w:color="auto"/>
              <w:left w:val="single" w:sz="4" w:space="0" w:color="auto"/>
              <w:bottom w:val="single" w:sz="4" w:space="0" w:color="auto"/>
              <w:right w:val="single" w:sz="4" w:space="0" w:color="auto"/>
            </w:tcBorders>
            <w:tcMar>
              <w:right w:w="108" w:type="dxa"/>
            </w:tcMar>
          </w:tcPr>
          <w:p>
            <w:pPr>
              <w:numPr>
                <w:ilvl w:val="0"/>
                <w:numId w:val="22"/>
              </w:numPr>
              <w:spacing w:after="0"/>
              <w:ind w:left="357" w:hanging="357"/>
              <w:jc w:val="left"/>
              <w:rPr>
                <w:noProof/>
                <w:sz w:val="20"/>
              </w:rPr>
            </w:pPr>
          </w:p>
        </w:tc>
        <w:tc>
          <w:tcPr>
            <w:tcW w:w="568" w:type="pct"/>
            <w:tcBorders>
              <w:top w:val="single" w:sz="4" w:space="0" w:color="auto"/>
              <w:left w:val="single" w:sz="4" w:space="0" w:color="auto"/>
              <w:bottom w:val="single" w:sz="4" w:space="0" w:color="auto"/>
              <w:right w:val="single" w:sz="4" w:space="0" w:color="auto"/>
            </w:tcBorders>
            <w:tcMar>
              <w:right w:w="108" w:type="dxa"/>
            </w:tcMar>
          </w:tcPr>
          <w:p>
            <w:pPr>
              <w:rPr>
                <w:noProof/>
                <w:sz w:val="20"/>
              </w:rPr>
            </w:pPr>
            <w:r>
              <w:rPr>
                <w:b/>
                <w:bCs/>
                <w:noProof/>
                <w:sz w:val="20"/>
              </w:rPr>
              <w:t>Транспорт</w:t>
            </w:r>
          </w:p>
        </w:tc>
        <w:tc>
          <w:tcPr>
            <w:tcW w:w="1063"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rPr>
                <w:noProof/>
                <w:sz w:val="20"/>
              </w:rPr>
            </w:pPr>
            <w:r>
              <w:rPr>
                <w:noProof/>
                <w:sz w:val="20"/>
              </w:rPr>
              <w:t xml:space="preserve">Регламент (ЕИО) № 1108/70 на Съвета от 4 юни 1970 година относно въвеждане на счетоводна система за разходи по инфраструктурата във връзка с железопътния, автомобилния и вътрешноводния транспорт </w:t>
            </w:r>
          </w:p>
        </w:tc>
        <w:tc>
          <w:tcPr>
            <w:tcW w:w="3219"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spacing w:after="120"/>
              <w:rPr>
                <w:noProof/>
                <w:sz w:val="20"/>
              </w:rPr>
            </w:pPr>
            <w:r>
              <w:rPr>
                <w:noProof/>
                <w:sz w:val="20"/>
              </w:rPr>
              <w:t>В Регламент (ЕИО) № 1108/70 се предвижда събирането на данни за инфраструктурните разходи за железопътния, автомобилния и вътрешноводния транспорт, както и събирането на статистически данни относно използването на съответната инфраструктура. Съгласно регламента държавите членки трябва редовно да докладват на Комисията данни за инвестициите в инфраструктура. След почти 50 години само четири държави членки все още предоставят тази информация на Комисията. Междувременно определенията и текстът вече не са актуални, а има други източници на данни: някои от тях са с хоризонтален характер, като например данните за разходите във Форума за международен транспорт и TEN-Tec, докато други източници са в по-голяма степен със секторен характер, като например Проучването за наблюдение на железопътния пазар.</w:t>
            </w:r>
          </w:p>
        </w:tc>
      </w:tr>
      <w:tr>
        <w:trPr>
          <w:cantSplit/>
        </w:trPr>
        <w:tc>
          <w:tcPr>
            <w:tcW w:w="150" w:type="pct"/>
            <w:tcBorders>
              <w:top w:val="single" w:sz="4" w:space="0" w:color="auto"/>
              <w:left w:val="single" w:sz="4" w:space="0" w:color="auto"/>
              <w:bottom w:val="single" w:sz="4" w:space="0" w:color="auto"/>
              <w:right w:val="single" w:sz="4" w:space="0" w:color="auto"/>
            </w:tcBorders>
            <w:tcMar>
              <w:right w:w="108" w:type="dxa"/>
            </w:tcMar>
          </w:tcPr>
          <w:p>
            <w:pPr>
              <w:numPr>
                <w:ilvl w:val="0"/>
                <w:numId w:val="22"/>
              </w:numPr>
              <w:spacing w:after="0"/>
              <w:ind w:left="357" w:hanging="357"/>
              <w:jc w:val="left"/>
              <w:rPr>
                <w:noProof/>
                <w:sz w:val="20"/>
              </w:rPr>
            </w:pPr>
          </w:p>
        </w:tc>
        <w:tc>
          <w:tcPr>
            <w:tcW w:w="568" w:type="pct"/>
            <w:tcBorders>
              <w:top w:val="single" w:sz="4" w:space="0" w:color="auto"/>
              <w:left w:val="single" w:sz="4" w:space="0" w:color="auto"/>
              <w:bottom w:val="single" w:sz="4" w:space="0" w:color="auto"/>
              <w:right w:val="single" w:sz="4" w:space="0" w:color="auto"/>
            </w:tcBorders>
            <w:tcMar>
              <w:right w:w="108" w:type="dxa"/>
            </w:tcMar>
          </w:tcPr>
          <w:p>
            <w:pPr>
              <w:rPr>
                <w:noProof/>
                <w:sz w:val="20"/>
              </w:rPr>
            </w:pPr>
            <w:r>
              <w:rPr>
                <w:b/>
                <w:bCs/>
                <w:noProof/>
                <w:sz w:val="20"/>
              </w:rPr>
              <w:t>Данъчно облагане</w:t>
            </w:r>
          </w:p>
        </w:tc>
        <w:tc>
          <w:tcPr>
            <w:tcW w:w="1063"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rPr>
                <w:noProof/>
                <w:sz w:val="20"/>
              </w:rPr>
            </w:pPr>
            <w:r>
              <w:rPr>
                <w:noProof/>
                <w:sz w:val="20"/>
              </w:rPr>
              <w:t>Регламент (ЕИО) № 1797/86 на Съвета относно премахване на определени пощенски такси за митническо представяне</w:t>
            </w:r>
          </w:p>
        </w:tc>
        <w:tc>
          <w:tcPr>
            <w:tcW w:w="3219"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pPr>
              <w:spacing w:after="120"/>
              <w:rPr>
                <w:noProof/>
                <w:sz w:val="20"/>
              </w:rPr>
            </w:pPr>
            <w:r>
              <w:rPr>
                <w:noProof/>
                <w:sz w:val="20"/>
              </w:rPr>
              <w:t xml:space="preserve">Този регламент разяснява как се прилага забраната на митата и таксите с равностоен ефект за доставките в рамките на ЕС за сектора на пощенските услуги. Въпреки че по същество този текст е все още валиден, той вече не е необходим, тъй като забраната произтича пряко от Договора. </w:t>
            </w:r>
          </w:p>
        </w:tc>
      </w:tr>
    </w:tbl>
    <w:p>
      <w:pPr>
        <w:spacing w:after="0"/>
        <w:rPr>
          <w:noProof/>
          <w:sz w:val="20"/>
        </w:rPr>
      </w:pPr>
    </w:p>
    <w:sectPr>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spacing w:before="0"/>
      <w:jc w:val="right"/>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0622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В настоящото приложение Комисията предоставя допълнителна информация, доколкото разполага с такава, относно инициативите, включени в нейната работна програма, в съответствие с Междуинституционалното споразумение за по-добро законотворчество. Информацията, предоставена в скоби до всяка инициатива, е само ориентировъчна и подлежи на промени по време на подготвителния процес, по-специално с оглед на резултатите от процеса на оценка на въздействието.</w:t>
      </w:r>
    </w:p>
  </w:footnote>
  <w:footnote w:id="3">
    <w:p>
      <w:pPr>
        <w:pStyle w:val="FootnoteText"/>
      </w:pPr>
      <w:r>
        <w:rPr>
          <w:rStyle w:val="FootnoteReference"/>
        </w:rPr>
        <w:footnoteRef/>
      </w:r>
      <w:r>
        <w:tab/>
        <w:t>В настоящото приложение са поместени най-значимите преразглеждания, оценки и проверки за пригодност, които ще бъдат предприети от Комисията, включително работата по извършване на оценки вследствие на становищата на платформата REFIT. Те ще бъдат финализирани до края на 2020 г.</w:t>
      </w:r>
    </w:p>
  </w:footnote>
  <w:footnote w:id="4">
    <w:p>
      <w:pPr>
        <w:pStyle w:val="FootnoteText"/>
        <w:tabs>
          <w:tab w:val="left" w:pos="567"/>
        </w:tabs>
      </w:pPr>
      <w:r>
        <w:rPr>
          <w:rStyle w:val="FootnoteReference"/>
        </w:rPr>
        <w:footnoteRef/>
      </w:r>
      <w:r>
        <w:tab/>
        <w:t>Предложенията от многогодишната финансова рамка (МФР) са маркирани в сиво</w:t>
      </w:r>
    </w:p>
  </w:footnote>
  <w:footnote w:id="5">
    <w:p>
      <w:pPr>
        <w:pStyle w:val="FootnoteText"/>
      </w:pPr>
      <w:r>
        <w:rPr>
          <w:rStyle w:val="FootnoteReference"/>
        </w:rPr>
        <w:footnoteRef/>
      </w:r>
      <w:r>
        <w:tab/>
        <w:t>Настоящият списък включва неприключени законодателни предложения, които Комисията възнамерява да оттегли в срок от шест месеца (до април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10728"/>
      </w:tabs>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9D369E"/>
    <w:multiLevelType w:val="hybridMultilevel"/>
    <w:tmpl w:val="87AE922E"/>
    <w:lvl w:ilvl="0" w:tplc="47A27E52">
      <w:start w:val="1"/>
      <w:numFmt w:val="decimal"/>
      <w:suff w:val="nothing"/>
      <w:lvlText w:val="%1."/>
      <w:lvlJc w:val="left"/>
      <w:pPr>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57B7E92"/>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F35214B"/>
    <w:multiLevelType w:val="hybridMultilevel"/>
    <w:tmpl w:val="68E46B96"/>
    <w:lvl w:ilvl="0" w:tplc="E7B8FBE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BE7DC6"/>
    <w:multiLevelType w:val="hybridMultilevel"/>
    <w:tmpl w:val="E0A8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4"/>
  </w:num>
  <w:num w:numId="3">
    <w:abstractNumId w:val="13"/>
  </w:num>
  <w:num w:numId="4">
    <w:abstractNumId w:val="8"/>
  </w:num>
  <w:num w:numId="5">
    <w:abstractNumId w:val="5"/>
  </w:num>
  <w:num w:numId="6">
    <w:abstractNumId w:val="4"/>
  </w:num>
  <w:num w:numId="7">
    <w:abstractNumId w:val="17"/>
  </w:num>
  <w:num w:numId="8">
    <w:abstractNumId w:val="12"/>
  </w:num>
  <w:num w:numId="9">
    <w:abstractNumId w:val="7"/>
  </w:num>
  <w:num w:numId="10">
    <w:abstractNumId w:val="11"/>
  </w:num>
  <w:num w:numId="11">
    <w:abstractNumId w:val="0"/>
  </w:num>
  <w:num w:numId="12">
    <w:abstractNumId w:val="3"/>
  </w:num>
  <w:num w:numId="13">
    <w:abstractNumId w:val="15"/>
  </w:num>
  <w:num w:numId="14">
    <w:abstractNumId w:val="6"/>
  </w:num>
  <w:num w:numId="15">
    <w:abstractNumId w:val="1"/>
  </w:num>
  <w:num w:numId="16">
    <w:abstractNumId w:val="19"/>
  </w:num>
  <w:num w:numId="17">
    <w:abstractNumId w:val="9"/>
  </w:num>
  <w:num w:numId="18">
    <w:abstractNumId w:val="20"/>
  </w:num>
  <w:num w:numId="19">
    <w:abstractNumId w:val="21"/>
  </w:num>
  <w:num w:numId="20">
    <w:abstractNumId w:val="10"/>
  </w:num>
  <w:num w:numId="21">
    <w:abstractNumId w:val="18"/>
  </w:num>
  <w:num w:numId="22">
    <w:abstractNumId w:val="16"/>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5"/>
    <w:docVar w:name="LW_ANNEX_UNIQUE" w:val="0"/>
    <w:docVar w:name="LW_CORRIGENDUM" w:val="&lt;UNUSED&gt;"/>
    <w:docVar w:name="LW_COVERPAGE_EXISTS" w:val="True"/>
    <w:docVar w:name="LW_COVERPAGE_GUID" w:val="945EA075-5D72-4816-B4F2-C1FFE08FDCC2"/>
    <w:docVar w:name="LW_COVERPAGE_TYPE" w:val="1"/>
    <w:docVar w:name="LW_CROSSREFERENCE" w:val="&lt;UNUSED&gt;"/>
    <w:docVar w:name="LW_DocType" w:val="EUROLOOK"/>
    <w:docVar w:name="LW_EMISSION" w:val="29.1.2020"/>
    <w:docVar w:name="LW_EMISSION_ISODATE" w:val="2020-01-29"/>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6?\u1072?\u1073?\u1086?\u1090?\u1085?\u1072? \u1087?\u1088?\u1086?\u1075?\u1088?\u1072?\u1084?\u1072? \u1085?\u1072? \u1050?\u1086?\u1084?\u1080?\u1089?\u1080?\u1103?\u1090?\u1072? \u1079?\u1072? 2020 \u1075?._x000d__x000b__x000d__x000b__x000d__x000d__x000d__x000d__x000b_\u1057?\u1098?\u1102?\u1079? \u1089? \u1087?\u1086?-\u1075?\u1086?\u1083?\u1077?\u1084?\u1080? \u1072?\u1084?\u1073?\u1080?\u1094?\u1080?\u1080?"/>
    <w:docVar w:name="LW_PART_NBR" w:val="&lt;UNUSED&gt;"/>
    <w:docVar w:name="LW_PART_NBR_TOTAL" w:val="&lt;UNUSED&gt;"/>
    <w:docVar w:name="LW_REF.INST.NEW" w:val="COM"/>
    <w:docVar w:name="LW_REF.INST.NEW_ADOPTED" w:val="final"/>
    <w:docVar w:name="LW_REF.INST.NEW_TEXT" w:val="(2020)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ec.europa.eu/info/sites/info/files/opinion_health_food_1a.pdf"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s://ec.europa.eu/info/sites/info/files/xi6ab_thmpd_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sites/info/files/recommendation-xi-11a-b-claims-regulation_0.pdf"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ec.europa.eu/info/sites/info/files/xi.22.a_registration_of_plant_protection.pdf" TargetMode="External"/><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ec.europa.eu/info/files/refit-platform-recommendations-health-and-food-safety-xi10a-multiple-use-multiple-source-substances-chlorate_bg" TargetMode="Externa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A5D77007E39498C0FBBE1139AD9BC" ma:contentTypeVersion="0" ma:contentTypeDescription="Create a new document in this library." ma:contentTypeScope="" ma:versionID="1c388df75112444336eab93ec6d1fbcb">
  <xsd:schema xmlns:xsd="http://www.w3.org/2001/XMLSchema" xmlns:xs="http://www.w3.org/2001/XMLSchema" xmlns:p="http://schemas.microsoft.com/office/2006/metadata/properties" xmlns:ns2="http://schemas.microsoft.com/sharepoint/v3/fields" xmlns:ns3="fae640a3-2752-44bc-9773-26f5d41ba0dd" targetNamespace="http://schemas.microsoft.com/office/2006/metadata/properties" ma:root="true" ma:fieldsID="4735b83fa646b64efc7f5c450d630223" ns2:_="" ns3:_="">
    <xsd:import namespace="http://schemas.microsoft.com/sharepoint/v3/fields"/>
    <xsd:import namespace="fae640a3-2752-44bc-9773-26f5d41ba0d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ae640a3-2752-44bc-9773-26f5d41ba0d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5.xml><?xml version="1.0" encoding="utf-8"?>
<EurolookProperties>
  <ProductCustomizationId/>
  <Created>
    <Version>10.0.37611.0</Version>
    <Date>2018-10-23T14:12:56</Date>
    <Language>EN</Language>
  </Created>
  <Edited>
    <Version>10.0.40183.0</Version>
    <Date>2020-01-31T14:37:50</Date>
  </Edited>
  <DocumentModel>
    <Id>6cbda13a-4db2-46c6-876a-ef72275827ef</Id>
    <Name>Report</Name>
  </DocumentModel>
  <DocumentDate>2018-10-23T14:12:56</DocumentDate>
  <DocumentVersion>0.1</DocumentVersion>
  <CompatibilityMode>Eurolook10</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fae640a3-2752-44bc-9773-26f5d41ba0dd">EN</EC_Collab_DocumentLanguage>
    <_Status xmlns="http://schemas.microsoft.com/sharepoint/v3/fields">Not Started</_Status>
    <EC_Collab_Reference xmlns="fae640a3-2752-44bc-9773-26f5d41ba0dd" xsi:nil="true"/>
    <EC_Collab_Status xmlns="fae640a3-2752-44bc-9773-26f5d41ba0dd">Published</EC_Collab_Status>
  </documentManagement>
</p: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DD7B5D-2A29-4049-B6B0-CF03EF7473F2}">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E254431-4F99-45A3-A63C-553A2CB73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ae640a3-2752-44bc-9773-26f5d41b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44946-5330-43F7-8D16-AA78684F293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AF2D397-A922-43DB-B264-B983795768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e640a3-2752-44bc-9773-26f5d41ba0dd"/>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7.xml><?xml version="1.0" encoding="utf-8"?>
<ds:datastoreItem xmlns:ds="http://schemas.openxmlformats.org/officeDocument/2006/customXml" ds:itemID="{4D41D8B6-79DA-4483-A9DD-A509E843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13842</Words>
  <Characters>83749</Characters>
  <Application>Microsoft Office Word</Application>
  <DocSecurity>0</DocSecurity>
  <PresentationFormat>Microsoft Word 14.0</PresentationFormat>
  <Lines>2042</Lines>
  <Paragraphs>985</Paragraphs>
  <ScaleCrop>true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WES PDFC Administrator</cp:lastModifiedBy>
  <cp:revision>11</cp:revision>
  <cp:lastPrinted>2020-01-27T15:24:00Z</cp:lastPrinted>
  <dcterms:created xsi:type="dcterms:W3CDTF">2020-01-31T13:22:00Z</dcterms:created>
  <dcterms:modified xsi:type="dcterms:W3CDTF">2020-01-31T14:22:00Z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5</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CP-039</vt:lpwstr>
  </property>
  <property fmtid="{D5CDD505-2E9C-101B-9397-08002B2CF9AE}" pid="12" name="_LW_INVALIDATED__LW_INVALIDATED__LW_INVALIDATED__LW_INVALIDATED__LW_INVALIDATED__LW_INVALIDATED__LW_INVALIDATED__LW_INVALIDATED__LW_INVALIDATED__LW_INVALIDATED__LW_INVALIDATED__LW_INVALIDATED__LW_INVALIDATED__LW_INVALIDATED__LW_INVALIDATED_EurolookVersion">
    <vt:lpwstr>10.0</vt:lpwstr>
  </property>
  <property fmtid="{D5CDD505-2E9C-101B-9397-08002B2CF9AE}" pid="13" name="_LW_INVALIDATED__LW_INVALIDATED__LW_INVALIDATED_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4" name="_LW_INVALIDATED__LW_INVALIDATED__LW_INVALIDATED__LW_INVALIDATED__LW_INVALIDATED__LW_INVALIDATED__LW_INVALIDATED__LW_INVALIDATED__LW_INVALIDATED__LW_INVALIDATED__LW_INVALIDATED__LW_INVALIDATED__LW_INVALIDATED_ContentTypeId">
    <vt:lpwstr>0x010100258AA79CEB83498886A3A08681123250002C3A5D77007E39498C0FBBE1139AD9BC</vt:lpwstr>
  </property>
  <property fmtid="{D5CDD505-2E9C-101B-9397-08002B2CF9AE}" pid="15" name="_LW_INVALIDATED__LW_INVALIDATED__LW_INVALIDATED__LW_INVALIDATED__LW_INVALIDATED__LW_INVALIDATED__LW_INVALIDATED__LW_INVALIDATED__LW_INVALIDATED__LW_INVALIDATED_ContentTypeId">
    <vt:lpwstr>0x010100258AA79CEB83498886A3A08681123250002C3A5D77007E39498C0FBBE1139AD9BC</vt:lpwstr>
  </property>
</Properties>
</file>