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1C" w:rsidRDefault="00E60AAA" w:rsidP="00E60AAA">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620EE75-2F64-492B-ACA1-D29DD9E3EDD7" style="width:450pt;height:361.4pt">
            <v:imagedata r:id="rId14" o:title=""/>
          </v:shape>
        </w:pict>
      </w:r>
    </w:p>
    <w:bookmarkEnd w:id="0"/>
    <w:p w:rsidR="007A301C" w:rsidRDefault="007A301C">
      <w:pPr>
        <w:rPr>
          <w:noProof/>
        </w:rPr>
        <w:sectPr w:rsidR="007A301C" w:rsidSect="00E60AAA">
          <w:headerReference w:type="even" r:id="rId15"/>
          <w:headerReference w:type="default" r:id="rId16"/>
          <w:footerReference w:type="even" r:id="rId17"/>
          <w:footerReference w:type="default" r:id="rId18"/>
          <w:headerReference w:type="first" r:id="rId19"/>
          <w:footerReference w:type="first" r:id="rId20"/>
          <w:pgSz w:w="11906" w:h="16838" w:code="9"/>
          <w:pgMar w:top="1134" w:right="1417" w:bottom="1134" w:left="1417" w:header="709" w:footer="709" w:gutter="0"/>
          <w:pgNumType w:start="0"/>
          <w:cols w:space="720"/>
          <w:docGrid w:linePitch="326"/>
        </w:sectPr>
      </w:pPr>
    </w:p>
    <w:p w:rsidR="007A301C" w:rsidRDefault="00E60AAA">
      <w:pPr>
        <w:pStyle w:val="Heading1"/>
        <w:rPr>
          <w:noProof/>
        </w:rPr>
      </w:pPr>
      <w:r>
        <w:rPr>
          <w:noProof/>
        </w:rPr>
        <w:lastRenderedPageBreak/>
        <w:t>Съюз с по-големи амбиции</w:t>
      </w:r>
    </w:p>
    <w:p w:rsidR="007A301C" w:rsidRDefault="00E60AAA">
      <w:pPr>
        <w:rPr>
          <w:noProof/>
        </w:rPr>
      </w:pPr>
      <w:r>
        <w:rPr>
          <w:noProof/>
        </w:rPr>
        <w:t xml:space="preserve">Европейското население даде израз на своя глас чрез рекордната избирателна активност на изборите за Европейски парламент </w:t>
      </w:r>
      <w:r>
        <w:rPr>
          <w:noProof/>
        </w:rPr>
        <w:t>през миналата година. То възложи на европейските институции и лидерите на Европа недвусмислената задача да проявят</w:t>
      </w:r>
      <w:r>
        <w:rPr>
          <w:b/>
          <w:noProof/>
        </w:rPr>
        <w:t xml:space="preserve"> дързост и решителност за справянето с предизвикателствата, пред които е изправено поколението ни</w:t>
      </w:r>
      <w:r>
        <w:rPr>
          <w:noProof/>
        </w:rPr>
        <w:t xml:space="preserve">. Гражданите очакват от своя Съюз да постига </w:t>
      </w:r>
      <w:r>
        <w:rPr>
          <w:noProof/>
        </w:rPr>
        <w:t xml:space="preserve">резултати за тях в областите, които са от най-голямо значение. Европейската комисия е решена да отговори на този призив. Да изгради Съюз с по-големи амбиции. </w:t>
      </w:r>
    </w:p>
    <w:p w:rsidR="007A301C" w:rsidRDefault="00E60AAA">
      <w:pPr>
        <w:rPr>
          <w:noProof/>
        </w:rPr>
      </w:pPr>
      <w:r>
        <w:rPr>
          <w:noProof/>
        </w:rPr>
        <w:t>През следващата година и следващото десетилетие нашият Съюз ще има изключителната възможност да п</w:t>
      </w:r>
      <w:r>
        <w:rPr>
          <w:noProof/>
        </w:rPr>
        <w:t xml:space="preserve">оведе прехода към </w:t>
      </w:r>
      <w:r>
        <w:rPr>
          <w:b/>
          <w:noProof/>
        </w:rPr>
        <w:t>справедлива, неутрална по отношение на климата, цифрова Европа</w:t>
      </w:r>
      <w:r>
        <w:rPr>
          <w:noProof/>
        </w:rPr>
        <w:t>. Този двоен екологичен и цифров преход ще засегне всички нас: всяка страна, всеки регион, всеки човек. Той ще проникне във всяка част от нашето общество и икономика. За да бъд</w:t>
      </w:r>
      <w:r>
        <w:rPr>
          <w:noProof/>
        </w:rPr>
        <w:t>е успешен обаче, той трябва да бъде справедлив и приобщаващ. Европейският съюз може да се възползва в пълна степен от възможностите, които ще донесе двойният преход, само ако се опрем на всичките си силни страни и на своето многообразие. В тези усилия обач</w:t>
      </w:r>
      <w:r>
        <w:rPr>
          <w:noProof/>
        </w:rPr>
        <w:t xml:space="preserve">е ние трябва неизменно да продължим борбата за равенство, да отстояваме своите ценности и да защитаваме върховенството на закона. </w:t>
      </w:r>
    </w:p>
    <w:p w:rsidR="007A301C" w:rsidRDefault="00E60AAA">
      <w:pPr>
        <w:rPr>
          <w:noProof/>
        </w:rPr>
      </w:pPr>
      <w:r>
        <w:rPr>
          <w:noProof/>
        </w:rPr>
        <w:t>Това е движещата сила на първата годишна работна програма на настоящата Комисия. В нея са изложени най-важните инициативи, ко</w:t>
      </w:r>
      <w:r>
        <w:rPr>
          <w:noProof/>
        </w:rPr>
        <w:t xml:space="preserve">ито Комисията възнамерява да предприеме през първата си година, включително ангажиментите за първите 100 дни. Програмата е съсредоточена върху </w:t>
      </w:r>
      <w:r>
        <w:rPr>
          <w:b/>
          <w:noProof/>
        </w:rPr>
        <w:t>шестте основни амбициозни цели, определени в политическите насоки на председателя Фон дер Лайен</w:t>
      </w:r>
      <w:r>
        <w:rPr>
          <w:noProof/>
        </w:rPr>
        <w:t>. Тя отразява също</w:t>
      </w:r>
      <w:r>
        <w:rPr>
          <w:noProof/>
        </w:rPr>
        <w:t xml:space="preserve"> така основните приоритети на Европейския парламент и тези в Стратегическата програма на Европейския съвет за 2019—2024 г. </w:t>
      </w:r>
    </w:p>
    <w:p w:rsidR="007A301C" w:rsidRDefault="00E60AAA">
      <w:pPr>
        <w:rPr>
          <w:noProof/>
        </w:rPr>
      </w:pPr>
      <w:r>
        <w:rPr>
          <w:noProof/>
        </w:rPr>
        <w:t xml:space="preserve">Има достатъчно основания за оптимизъм и гордост. След години на управление на кризи </w:t>
      </w:r>
      <w:r>
        <w:rPr>
          <w:b/>
          <w:noProof/>
        </w:rPr>
        <w:t>днес Европа може отново да гледа напред</w:t>
      </w:r>
      <w:r>
        <w:rPr>
          <w:noProof/>
        </w:rPr>
        <w:t>. Работна</w:t>
      </w:r>
      <w:r>
        <w:rPr>
          <w:noProof/>
        </w:rPr>
        <w:t xml:space="preserve">та програма очертава пътя напред и ни позволява да намерим решения на въпроси, които са ни разделяли в миналото. </w:t>
      </w:r>
    </w:p>
    <w:p w:rsidR="007A301C" w:rsidRDefault="00E60AAA">
      <w:pPr>
        <w:rPr>
          <w:noProof/>
        </w:rPr>
      </w:pPr>
      <w:r>
        <w:rPr>
          <w:noProof/>
        </w:rPr>
        <w:t>Започваме работа на фона на все по-нестабилна обстановка. Тлеещи напрежения, икономическа несигурност, избухващи конфликти и движещи се геопол</w:t>
      </w:r>
      <w:r>
        <w:rPr>
          <w:noProof/>
        </w:rPr>
        <w:t>итически пластове оформят облика на днешния световен ред. Несигурността на днешния свят не е ограничена само до други части на земното кълбо, а засяга и нашия континент. Необходимостта от силен и обединен Европейски съюз, който се опира на всички свои дипл</w:t>
      </w:r>
      <w:r>
        <w:rPr>
          <w:noProof/>
        </w:rPr>
        <w:t xml:space="preserve">оматически, икономически и политически ресурси, е по-очевидна и по-важна от всякога. Това е отразено в работната програма на настоящата </w:t>
      </w:r>
      <w:r>
        <w:rPr>
          <w:b/>
          <w:noProof/>
        </w:rPr>
        <w:t>геополитическа Комисия</w:t>
      </w:r>
      <w:r>
        <w:rPr>
          <w:noProof/>
        </w:rPr>
        <w:t>. Всички планирани действия и инициативи ще поставят силен акцент върху външната дейност.</w:t>
      </w:r>
    </w:p>
    <w:p w:rsidR="007A301C" w:rsidRDefault="00E60AAA">
      <w:pPr>
        <w:rPr>
          <w:noProof/>
        </w:rPr>
      </w:pPr>
      <w:r>
        <w:rPr>
          <w:noProof/>
        </w:rPr>
        <w:t>Ако иска</w:t>
      </w:r>
      <w:r>
        <w:rPr>
          <w:noProof/>
        </w:rPr>
        <w:t xml:space="preserve">ме Европа да отговори на високите очаквания на гражданите и да осъществи амбициите, които сами си поставихме, ще се нуждаем от ресурси, които са съизмерими с тези цели. Съюзът се нуждае от нов </w:t>
      </w:r>
      <w:r>
        <w:rPr>
          <w:b/>
          <w:noProof/>
        </w:rPr>
        <w:t>дългосрочен бюджет</w:t>
      </w:r>
      <w:r>
        <w:rPr>
          <w:noProof/>
        </w:rPr>
        <w:t>, който е гъвкав и съобразен с нашите приорит</w:t>
      </w:r>
      <w:r>
        <w:rPr>
          <w:noProof/>
        </w:rPr>
        <w:t>ети и предизвикателства. Внесените до момента предложения от Комисията са добра основа за постигането на тези цели. При необходимост ще адаптираме предложенията, за да улесним постигането на нашите амбиции. Комисията е готова да подкрепи Европейския парлам</w:t>
      </w:r>
      <w:r>
        <w:rPr>
          <w:noProof/>
        </w:rPr>
        <w:t xml:space="preserve">ент и Съвета, за да имаме балансиран и </w:t>
      </w:r>
      <w:r>
        <w:rPr>
          <w:noProof/>
        </w:rPr>
        <w:lastRenderedPageBreak/>
        <w:t xml:space="preserve">амбициозен дългосрочен бюджет на 1 януари 2021 г. Това ще гарантира пълната оперативност на нашите инвестиционни и разходни програми още от първия ден.  </w:t>
      </w:r>
    </w:p>
    <w:p w:rsidR="007A301C" w:rsidRDefault="00E60AAA">
      <w:pPr>
        <w:rPr>
          <w:noProof/>
        </w:rPr>
      </w:pPr>
      <w:r>
        <w:rPr>
          <w:noProof/>
        </w:rPr>
        <w:t>Очакват се също така безпрецедентни предизвикателства. Ще трябв</w:t>
      </w:r>
      <w:r>
        <w:rPr>
          <w:noProof/>
        </w:rPr>
        <w:t>а да договорим ново партньорство с Обединеното кралство — държава, която ще остане партньор, съюзник и приятел извън нашия Съюз. Готови сме да изградим партньорство, което далеч надхвърля търговските отношения и е безпрецедентно по своя обхват. Не трябва д</w:t>
      </w:r>
      <w:r>
        <w:rPr>
          <w:noProof/>
        </w:rPr>
        <w:t>а подценяваме мащаба на тази задача. Както при преговорите по Споразумението за оттегляне, Комисията ще осигури максимално ниво на прозрачност спрямо останалите институции на ЕС, държавите членки и обществеността по време на целия процес на преговорите.</w:t>
      </w:r>
    </w:p>
    <w:p w:rsidR="007A301C" w:rsidRDefault="00E60AAA">
      <w:pPr>
        <w:rPr>
          <w:noProof/>
        </w:rPr>
      </w:pPr>
      <w:r>
        <w:rPr>
          <w:noProof/>
        </w:rPr>
        <w:t>За</w:t>
      </w:r>
      <w:r>
        <w:rPr>
          <w:noProof/>
        </w:rPr>
        <w:t xml:space="preserve">почваме изпълнението на нашата амбициозна програма, като се ръководим от Програмата на ООН за устойчиво развитие за периода до 2030 г. В този дух ще поставим </w:t>
      </w:r>
      <w:r>
        <w:rPr>
          <w:b/>
          <w:noProof/>
        </w:rPr>
        <w:t xml:space="preserve">целите за устойчиво развитие на ООН в центъра на нашата политика. </w:t>
      </w:r>
      <w:r>
        <w:rPr>
          <w:noProof/>
        </w:rPr>
        <w:t xml:space="preserve">Тези цели ще ръководят работата </w:t>
      </w:r>
      <w:r>
        <w:rPr>
          <w:noProof/>
        </w:rPr>
        <w:t>ни във всички сектори, както във вътрешната, така и във външната ни дейност, и ще бъдат знак за нашия ангажимент за устойчиво развитие у дома и в чужбина. Във връзка с това ще преориентираме европейския семестър, като интегрираме в него целите за устойчиво</w:t>
      </w:r>
      <w:r>
        <w:rPr>
          <w:noProof/>
        </w:rPr>
        <w:t xml:space="preserve"> развитие, и ще представим нашия подход към цялостното управление и изпълнение на целите. </w:t>
      </w:r>
    </w:p>
    <w:p w:rsidR="007A301C" w:rsidRDefault="00E60AAA">
      <w:pPr>
        <w:rPr>
          <w:noProof/>
          <w:szCs w:val="24"/>
        </w:rPr>
      </w:pPr>
      <w:r>
        <w:rPr>
          <w:noProof/>
        </w:rPr>
        <w:t>Изпълнението на дейностите, изложени в настоящата работна програма, ще бъде плод на колективните усилия на институциите. Както е посочено в политическите насоки, таз</w:t>
      </w:r>
      <w:r>
        <w:rPr>
          <w:noProof/>
        </w:rPr>
        <w:t xml:space="preserve">и Комисия поема ясен ангажимент за изграждането на специални отношения с Европейския парламент и като стъпка в тази посока подкрепя </w:t>
      </w:r>
      <w:r>
        <w:rPr>
          <w:b/>
          <w:bCs/>
          <w:noProof/>
        </w:rPr>
        <w:t>правото на инициатива на Парламента</w:t>
      </w:r>
      <w:r>
        <w:rPr>
          <w:noProof/>
        </w:rPr>
        <w:t xml:space="preserve">. </w:t>
      </w:r>
    </w:p>
    <w:p w:rsidR="007A301C" w:rsidRDefault="00E60AAA">
      <w:pPr>
        <w:rPr>
          <w:noProof/>
          <w:szCs w:val="24"/>
        </w:rPr>
      </w:pPr>
      <w:r>
        <w:rPr>
          <w:noProof/>
        </w:rPr>
        <w:t>На последно място, настоящата работна програма се основава на незаменимата и все по-зн</w:t>
      </w:r>
      <w:r>
        <w:rPr>
          <w:noProof/>
        </w:rPr>
        <w:t xml:space="preserve">ачима употреба на </w:t>
      </w:r>
      <w:r>
        <w:rPr>
          <w:b/>
          <w:noProof/>
        </w:rPr>
        <w:t>стратегически прогнози</w:t>
      </w:r>
      <w:r>
        <w:rPr>
          <w:noProof/>
        </w:rPr>
        <w:t xml:space="preserve">. Това отразява необходимостта от по-ясна представа за дългосрочните тенденции и основните промени, които формират облика на нашия живот и на бъдещето на труда, променят структурата на нашите икономики, околна среда </w:t>
      </w:r>
      <w:r>
        <w:rPr>
          <w:noProof/>
        </w:rPr>
        <w:t xml:space="preserve">и общества и оказват въздействие върху световните властови структури и нашата стратегическа автономност. </w:t>
      </w:r>
    </w:p>
    <w:p w:rsidR="007A301C" w:rsidRDefault="00E60AAA">
      <w:pPr>
        <w:rPr>
          <w:noProof/>
        </w:rPr>
      </w:pPr>
      <w:r>
        <w:rPr>
          <w:noProof/>
        </w:rPr>
        <w:t>Чрез по-добро разбиране и предвиждане на предстоящите промени можем да разработим и изпълним политики, които да помогнат на Европа да запази водещите си позиции. Така например трябва да се подготвим за въздействието, което по-дългата продължителност на жив</w:t>
      </w:r>
      <w:r>
        <w:rPr>
          <w:noProof/>
        </w:rPr>
        <w:t>ота и растежът на населението в световен мащаб ще окажат върху наличността на природните ресурси или върху миграционните потоци, пенсиите и здравеопазването. Същевременно трябва да насочим вниманието си към демографския спад в голяма част от ЕС, включителн</w:t>
      </w:r>
      <w:r>
        <w:rPr>
          <w:noProof/>
        </w:rPr>
        <w:t xml:space="preserve">о и към обезлюдяването на селските райони. </w:t>
      </w:r>
    </w:p>
    <w:p w:rsidR="007A301C" w:rsidRDefault="00E60AAA">
      <w:pPr>
        <w:rPr>
          <w:noProof/>
        </w:rPr>
      </w:pPr>
      <w:r>
        <w:rPr>
          <w:noProof/>
        </w:rPr>
        <w:t>Има още много красноречиви примери, които показват колко е важно да разполагаме с възможно най-точната информация за нововъзникващите рискове и възможности, както и за движещите сили и зависимостите зад тях. Стра</w:t>
      </w:r>
      <w:r>
        <w:rPr>
          <w:noProof/>
        </w:rPr>
        <w:t xml:space="preserve">тегическите прогнози ще ни помогнат </w:t>
      </w:r>
      <w:r>
        <w:rPr>
          <w:b/>
          <w:noProof/>
        </w:rPr>
        <w:t>да предприемем по-прагматичен и дългосрочен подход</w:t>
      </w:r>
      <w:r>
        <w:rPr>
          <w:noProof/>
        </w:rPr>
        <w:t xml:space="preserve">, за да осигурим лидерството си в световен мащаб и да определим нашите политики за идните години. </w:t>
      </w:r>
    </w:p>
    <w:p w:rsidR="007A301C" w:rsidRDefault="00E60AAA">
      <w:pPr>
        <w:rPr>
          <w:noProof/>
        </w:rPr>
      </w:pPr>
      <w:r>
        <w:rPr>
          <w:noProof/>
        </w:rPr>
        <w:t xml:space="preserve">Основните инициативи, изброени по-долу и в приложенията към настоящата </w:t>
      </w:r>
      <w:r>
        <w:rPr>
          <w:noProof/>
        </w:rPr>
        <w:t xml:space="preserve">работна програма, показват какво искаме да постигнем. Те не са изчерпателен или окончателен списък и за улесняване на четенето са групирани съобразно шест основни амбициозни цели. Мястото на дадена инициатива не променя отговорностите, посочени в писмата </w:t>
      </w:r>
      <w:r>
        <w:rPr>
          <w:noProof/>
        </w:rPr>
        <w:lastRenderedPageBreak/>
        <w:t>з</w:t>
      </w:r>
      <w:r>
        <w:rPr>
          <w:noProof/>
        </w:rPr>
        <w:t xml:space="preserve">а определяне на ресорите, изпратени до всеки член на колегиума от председателя Фон дер Лайен. През годината ще изникнат още предизвикателства и възможности и Комисията ще бъде готова да действа бързо. </w:t>
      </w:r>
    </w:p>
    <w:p w:rsidR="007A301C" w:rsidRDefault="00E60AAA">
      <w:pPr>
        <w:pStyle w:val="Heading1"/>
        <w:rPr>
          <w:rFonts w:ascii="Times New Roman" w:hAnsi="Times New Roman"/>
          <w:b w:val="0"/>
          <w:noProof/>
          <w:szCs w:val="24"/>
        </w:rPr>
      </w:pPr>
      <w:r>
        <w:rPr>
          <w:noProof/>
        </w:rPr>
        <w:t>Резултати по шестте основни амбициозни цели</w:t>
      </w:r>
      <w:r>
        <w:rPr>
          <w:rFonts w:ascii="Times New Roman" w:hAnsi="Times New Roman"/>
          <w:noProof/>
        </w:rPr>
        <w:t xml:space="preserve"> </w:t>
      </w:r>
    </w:p>
    <w:p w:rsidR="007A301C" w:rsidRDefault="00E60AAA">
      <w:pPr>
        <w:pStyle w:val="Heading2"/>
        <w:rPr>
          <w:noProof/>
        </w:rPr>
      </w:pPr>
      <w:r>
        <w:rPr>
          <w:noProof/>
        </w:rPr>
        <w:t>Европейски зелен пакт</w:t>
      </w:r>
    </w:p>
    <w:p w:rsidR="007A301C" w:rsidRDefault="00E60AAA">
      <w:pPr>
        <w:rPr>
          <w:noProof/>
          <w:szCs w:val="24"/>
        </w:rPr>
      </w:pPr>
      <w:r>
        <w:rPr>
          <w:noProof/>
        </w:rPr>
        <w:t>Най-неотложното предизвикателство, отговорност и възможност за Европа е грижата за здравето на нашата планета и на хората. Това е основната задача на нашето време. Повишаването на световната температура, изчерпването на природните рес</w:t>
      </w:r>
      <w:r>
        <w:rPr>
          <w:noProof/>
        </w:rPr>
        <w:t xml:space="preserve">урси и продължаващата загуба на биологично разнообразие, заедно с нарастващите горски пожари, наводнения и други природни бедствия подкопават сигурността и просперитета ни. </w:t>
      </w:r>
    </w:p>
    <w:p w:rsidR="007A301C" w:rsidRDefault="00E60AAA">
      <w:pPr>
        <w:rPr>
          <w:noProof/>
          <w:szCs w:val="24"/>
        </w:rPr>
      </w:pPr>
      <w:r>
        <w:rPr>
          <w:noProof/>
        </w:rPr>
        <w:t>Европейският зелен пакт е отговорът на това предизвикателство. Той ще насочва усил</w:t>
      </w:r>
      <w:r>
        <w:rPr>
          <w:noProof/>
        </w:rPr>
        <w:t>ията ни за постигане на неутралност по отношение на климата до 2050 г. и в същото време ще постави акцент върху приспособяването. Той ще спомогне за защитата и опазването на биологичното разнообразие, природното наследство и океаните, които представляват т</w:t>
      </w:r>
      <w:r>
        <w:rPr>
          <w:noProof/>
        </w:rPr>
        <w:t xml:space="preserve">акова богатство за нашия Съюз. Освен това той ще постигне тези цели, като направи нашата икономика и промишленост по-иновативни, ефективни по отношение на ресурсите, кръгови и конкурентоспособни. </w:t>
      </w:r>
      <w:r>
        <w:rPr>
          <w:b/>
          <w:noProof/>
        </w:rPr>
        <w:t>Европейският зелен пакт е новата ни стратегия за растеж</w:t>
      </w:r>
      <w:r>
        <w:rPr>
          <w:noProof/>
        </w:rPr>
        <w:t>. Той</w:t>
      </w:r>
      <w:r>
        <w:rPr>
          <w:noProof/>
        </w:rPr>
        <w:t xml:space="preserve"> ще спомогне за създаването на работни места и за повишаването на конкурентоспособността на Европа в световен мащаб. Новата ни стратегия за промишлеността ще бъде от ключово значение за постигането на тези цели чрез създаването на условия както за климатич</w:t>
      </w:r>
      <w:r>
        <w:rPr>
          <w:noProof/>
        </w:rPr>
        <w:t xml:space="preserve">ния, така и за цифровия преход. </w:t>
      </w:r>
    </w:p>
    <w:p w:rsidR="007A301C" w:rsidRDefault="00E60AAA">
      <w:pPr>
        <w:rPr>
          <w:noProof/>
          <w:szCs w:val="24"/>
        </w:rPr>
      </w:pPr>
      <w:r>
        <w:rPr>
          <w:noProof/>
        </w:rPr>
        <w:t>Европейският зелен пакт предоставя пътна карта с политики и мерки за осъществяване на преобразяващата промяна, от която се нуждаем във всички сектори. Много от тях ще бъдат осъществени през първата година от мандата на Коми</w:t>
      </w:r>
      <w:r>
        <w:rPr>
          <w:noProof/>
        </w:rPr>
        <w:t>сията и представляват основен елемент от настоящата работна програма.</w:t>
      </w:r>
    </w:p>
    <w:p w:rsidR="007A301C" w:rsidRDefault="00E60AAA">
      <w:pPr>
        <w:rPr>
          <w:noProof/>
          <w:szCs w:val="24"/>
        </w:rPr>
      </w:pPr>
      <w:r>
        <w:rPr>
          <w:noProof/>
        </w:rPr>
        <w:t xml:space="preserve">В основата му е първият </w:t>
      </w:r>
      <w:r>
        <w:rPr>
          <w:b/>
          <w:noProof/>
        </w:rPr>
        <w:t>европейски законодателен акт в областта на климата</w:t>
      </w:r>
      <w:r>
        <w:rPr>
          <w:noProof/>
        </w:rPr>
        <w:t xml:space="preserve"> с обвързваща цел за постигане на неутралност по отношение на климата до 2050 г. Въз основа на цялостна оценка н</w:t>
      </w:r>
      <w:r>
        <w:rPr>
          <w:noProof/>
        </w:rPr>
        <w:t xml:space="preserve">а въздействието и на нашия анализ на националните планове в областта на енергетиката и климата Комисията ще предложи нова </w:t>
      </w:r>
      <w:r>
        <w:rPr>
          <w:b/>
          <w:noProof/>
        </w:rPr>
        <w:t>амбиция на ЕС за намаляване на емисиите на парникови газове до 2030 г.</w:t>
      </w:r>
      <w:r>
        <w:rPr>
          <w:noProof/>
        </w:rPr>
        <w:t xml:space="preserve"> И тъй като Европейският съюз определя свои собствени амбициозни</w:t>
      </w:r>
      <w:r>
        <w:rPr>
          <w:noProof/>
        </w:rPr>
        <w:t xml:space="preserve"> цели, той ще продължи също така да води международни преговори за засилване на амбициите на държавите с големи емисии преди Конференцията на ООН по изменението на климата през 2020 г. в Глазгоу. </w:t>
      </w:r>
    </w:p>
    <w:p w:rsidR="007A301C" w:rsidRDefault="00E60AAA">
      <w:pPr>
        <w:rPr>
          <w:noProof/>
          <w:szCs w:val="24"/>
        </w:rPr>
      </w:pPr>
      <w:r>
        <w:rPr>
          <w:noProof/>
        </w:rPr>
        <w:t>Европейският зелен пакт предлага действия, които обхващат ц</w:t>
      </w:r>
      <w:r>
        <w:rPr>
          <w:noProof/>
        </w:rPr>
        <w:t xml:space="preserve">ялата ни икономика. В този дух Комисията ще представи стратегия за </w:t>
      </w:r>
      <w:r>
        <w:rPr>
          <w:b/>
          <w:noProof/>
        </w:rPr>
        <w:t>интелигентна секторна интеграция</w:t>
      </w:r>
      <w:r>
        <w:rPr>
          <w:noProof/>
        </w:rPr>
        <w:t xml:space="preserve"> и </w:t>
      </w:r>
      <w:r>
        <w:rPr>
          <w:b/>
          <w:noProof/>
        </w:rPr>
        <w:t>инициатива за „вълна на саниране“</w:t>
      </w:r>
      <w:r>
        <w:rPr>
          <w:noProof/>
        </w:rPr>
        <w:t>.</w:t>
      </w:r>
      <w:r>
        <w:rPr>
          <w:b/>
          <w:noProof/>
        </w:rPr>
        <w:t xml:space="preserve"> </w:t>
      </w:r>
      <w:r>
        <w:rPr>
          <w:noProof/>
        </w:rPr>
        <w:t>Като част от усилията за насърчаване на устойчива синя икономика Комисията ще предложи и нов подход за използване на по</w:t>
      </w:r>
      <w:r>
        <w:rPr>
          <w:noProof/>
        </w:rPr>
        <w:t xml:space="preserve">тенциала на Европа за производство на </w:t>
      </w:r>
      <w:r>
        <w:rPr>
          <w:b/>
          <w:noProof/>
        </w:rPr>
        <w:t>енергия от възобновяеми източници в морето</w:t>
      </w:r>
      <w:r>
        <w:rPr>
          <w:noProof/>
        </w:rPr>
        <w:t>. Това ще помогне за осигуряването на достъп на гражданите до чиста енергия на достъпни цени и ще допринесе за гарантирането на сигурността на енергийните доставки. Комисията щ</w:t>
      </w:r>
      <w:r>
        <w:rPr>
          <w:noProof/>
        </w:rPr>
        <w:t xml:space="preserve">е предложи също така всеобхватна </w:t>
      </w:r>
      <w:r>
        <w:rPr>
          <w:b/>
          <w:noProof/>
        </w:rPr>
        <w:t>стратегия за устойчива и интелигентна мобилност</w:t>
      </w:r>
      <w:r>
        <w:rPr>
          <w:noProof/>
        </w:rPr>
        <w:t xml:space="preserve"> с цел модернизиране и екологизиране на транспортния ни сектор. </w:t>
      </w:r>
    </w:p>
    <w:p w:rsidR="007A301C" w:rsidRDefault="00E60AAA">
      <w:pPr>
        <w:rPr>
          <w:noProof/>
          <w:szCs w:val="24"/>
        </w:rPr>
      </w:pPr>
      <w:r>
        <w:rPr>
          <w:noProof/>
        </w:rPr>
        <w:t xml:space="preserve">Преходът ще доведе и до промяна в начина, по който използваме, произвеждаме и потребяваме. </w:t>
      </w:r>
      <w:r>
        <w:rPr>
          <w:b/>
          <w:noProof/>
        </w:rPr>
        <w:t>Новият план за дейст</w:t>
      </w:r>
      <w:r>
        <w:rPr>
          <w:b/>
          <w:noProof/>
        </w:rPr>
        <w:t>вие за кръговата икономика</w:t>
      </w:r>
      <w:r>
        <w:rPr>
          <w:noProof/>
        </w:rPr>
        <w:t xml:space="preserve"> ще спомогне за преобразуването на нашата система за производство и потребление с цел намаляване на екологичния и въглеродния ѝ отпечатък. </w:t>
      </w:r>
    </w:p>
    <w:p w:rsidR="007A301C" w:rsidRDefault="00E60AAA">
      <w:pPr>
        <w:rPr>
          <w:noProof/>
          <w:szCs w:val="24"/>
        </w:rPr>
      </w:pPr>
      <w:r>
        <w:rPr>
          <w:noProof/>
        </w:rPr>
        <w:t>Европейският зелен пакт също така има за цел да се преодолее обезпокоителната загуба на би</w:t>
      </w:r>
      <w:r>
        <w:rPr>
          <w:noProof/>
        </w:rPr>
        <w:t xml:space="preserve">ологично разнообразие и на здрави екосистеми, която застрашава устойчивостта на нашата природа, благосъстояние и икономика. За да се справи с това, Комисията ще представи нова </w:t>
      </w:r>
      <w:r>
        <w:rPr>
          <w:b/>
          <w:noProof/>
        </w:rPr>
        <w:t>Стратегия на ЕС за биологичното разнообразие до 2030 г.</w:t>
      </w:r>
      <w:r>
        <w:rPr>
          <w:noProof/>
        </w:rPr>
        <w:t xml:space="preserve">, за да се гарантира, че </w:t>
      </w:r>
      <w:r>
        <w:rPr>
          <w:noProof/>
        </w:rPr>
        <w:t xml:space="preserve">можем да съхраним и защитим природната среда, която е толкова скъпа на всички ни. Стратегията </w:t>
      </w:r>
      <w:r>
        <w:rPr>
          <w:b/>
          <w:noProof/>
        </w:rPr>
        <w:t>„От фермата до трапезата“</w:t>
      </w:r>
      <w:r>
        <w:rPr>
          <w:noProof/>
        </w:rPr>
        <w:t xml:space="preserve"> за цялата верига за доставка на храни ще помогне на нашите земеделски стопани да осигурят на европейците висококачествени, питателни, до</w:t>
      </w:r>
      <w:r>
        <w:rPr>
          <w:noProof/>
        </w:rPr>
        <w:t>стъпни и безопасни храни по по-устойчив начин.</w:t>
      </w:r>
    </w:p>
    <w:p w:rsidR="007A301C" w:rsidRDefault="00E60AAA">
      <w:pPr>
        <w:rPr>
          <w:iCs/>
          <w:noProof/>
          <w:szCs w:val="24"/>
        </w:rPr>
      </w:pPr>
      <w:r>
        <w:rPr>
          <w:noProof/>
        </w:rPr>
        <w:t>Силната амбиция на Европа и сериозният преход, който ѝ предстои, трябва да бъдат финансирани по подходящ начин. Следващият дългосрочен бюджет на ЕС има ключова роля за осигуряването на инвестиции там, където е</w:t>
      </w:r>
      <w:r>
        <w:rPr>
          <w:noProof/>
        </w:rPr>
        <w:t xml:space="preserve"> най-необходимо, и за привличането на частните и публичните инвестиции, от които се нуждае Европа. В началото на тази година Комисията предложи </w:t>
      </w:r>
      <w:r>
        <w:rPr>
          <w:b/>
          <w:bCs/>
          <w:iCs/>
          <w:noProof/>
        </w:rPr>
        <w:t>Плана за инвестиции към Европейския зелен пакт</w:t>
      </w:r>
      <w:r>
        <w:rPr>
          <w:noProof/>
        </w:rPr>
        <w:t xml:space="preserve">, чиято цел е да мобилизира най-малко 1 трилион евро за устойчиви </w:t>
      </w:r>
      <w:r>
        <w:rPr>
          <w:noProof/>
        </w:rPr>
        <w:t xml:space="preserve">инвестиции през следващото десетилетие. Гаранцията InvestEU ще окаже подкрепа в тази посока чрез намаляване на рисковете за частните фондове. За да се гарантира, че устойчивите инвестиции са интегрирани във финансовата ни система, с </w:t>
      </w:r>
      <w:r>
        <w:rPr>
          <w:b/>
          <w:bCs/>
          <w:iCs/>
          <w:noProof/>
        </w:rPr>
        <w:t>обновената стратегия за</w:t>
      </w:r>
      <w:r>
        <w:rPr>
          <w:b/>
          <w:bCs/>
          <w:iCs/>
          <w:noProof/>
        </w:rPr>
        <w:t xml:space="preserve"> устойчиво финансиране</w:t>
      </w:r>
      <w:r>
        <w:rPr>
          <w:noProof/>
        </w:rPr>
        <w:t xml:space="preserve"> ще се цели пренасочване на частните капиталови потоци към зелени инвестиции. Също толкова важно ще бъде и утвърждаването на култура на устойчиво корпоративно управление в предприятията от частния сектор.</w:t>
      </w:r>
    </w:p>
    <w:p w:rsidR="007A301C" w:rsidRDefault="00E60AAA">
      <w:pPr>
        <w:rPr>
          <w:iCs/>
          <w:noProof/>
          <w:szCs w:val="24"/>
        </w:rPr>
      </w:pPr>
      <w:r>
        <w:rPr>
          <w:noProof/>
        </w:rPr>
        <w:t>Преходът към неутрален по отн</w:t>
      </w:r>
      <w:r>
        <w:rPr>
          <w:noProof/>
        </w:rPr>
        <w:t>ошение на климата континент ще се осъществи само ако е справедлив и от полза за всички. Никой не трябва да бъде изоставен. Различни части на Европа и европейската икономика ще трябва да направят по-големи промени в сравнение с останалите. Европейският съюз</w:t>
      </w:r>
      <w:r>
        <w:rPr>
          <w:noProof/>
        </w:rPr>
        <w:t xml:space="preserve"> трябва да подкрепи държавите членки с целевите инвестиции, от които се нуждаят, за да извършат този преход. </w:t>
      </w:r>
      <w:r>
        <w:rPr>
          <w:b/>
          <w:bCs/>
          <w:iCs/>
          <w:noProof/>
        </w:rPr>
        <w:t>Механизмът за справедлив преход</w:t>
      </w:r>
      <w:r>
        <w:rPr>
          <w:noProof/>
        </w:rPr>
        <w:t xml:space="preserve"> и свързаният с него </w:t>
      </w:r>
      <w:r>
        <w:rPr>
          <w:b/>
          <w:bCs/>
          <w:iCs/>
          <w:noProof/>
        </w:rPr>
        <w:t>Фонд за справедлив преход</w:t>
      </w:r>
      <w:r>
        <w:rPr>
          <w:noProof/>
        </w:rPr>
        <w:t>, предложени в началото на 2020 г., ще подкрепят най-засегнатите регио</w:t>
      </w:r>
      <w:r>
        <w:rPr>
          <w:noProof/>
        </w:rPr>
        <w:t>ни и сектори. Те ще им помогнат да модернизират и разнообразят икономиките си и да намалят социалните и икономическите разходи, свързани с прехода.</w:t>
      </w:r>
    </w:p>
    <w:p w:rsidR="007A301C" w:rsidRDefault="00E60AAA">
      <w:pPr>
        <w:rPr>
          <w:noProof/>
          <w:szCs w:val="24"/>
        </w:rPr>
      </w:pPr>
      <w:r>
        <w:rPr>
          <w:noProof/>
        </w:rPr>
        <w:t>Опазването на климата и околната среда е колективна отговорност. Всички ние сме длъжни да действаме и европе</w:t>
      </w:r>
      <w:r>
        <w:rPr>
          <w:noProof/>
        </w:rPr>
        <w:t xml:space="preserve">йците показаха силната си воля да бъдат част от промяната. </w:t>
      </w:r>
      <w:r>
        <w:rPr>
          <w:b/>
          <w:noProof/>
        </w:rPr>
        <w:t>Европейският пакт за климата</w:t>
      </w:r>
      <w:r>
        <w:rPr>
          <w:noProof/>
        </w:rPr>
        <w:t xml:space="preserve"> ще спомогне за обединяването на всички тези усилия, полагани от регионите, местните общности, гражданското общество, училищата, промишлеността и отделните личности. </w:t>
      </w:r>
    </w:p>
    <w:p w:rsidR="007A301C" w:rsidRDefault="00E60AAA">
      <w:pPr>
        <w:pStyle w:val="Heading2"/>
        <w:rPr>
          <w:noProof/>
        </w:rPr>
      </w:pPr>
      <w:r>
        <w:rPr>
          <w:noProof/>
        </w:rPr>
        <w:t>Ев</w:t>
      </w:r>
      <w:r>
        <w:rPr>
          <w:noProof/>
        </w:rPr>
        <w:t>ропа, подготвена за цифровата ера</w:t>
      </w:r>
    </w:p>
    <w:p w:rsidR="007A301C" w:rsidRDefault="00E60AAA">
      <w:pPr>
        <w:pStyle w:val="ListParagraph"/>
        <w:keepNext/>
        <w:spacing w:after="24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Цифровият преход вече оказва значително въздействие върху всеки аспект от нашето ежедневие и кариери. Той открива нови възможности за свързване, общуване, решаване на обществени проблеми и правене на бизнес. Европейският с</w:t>
      </w:r>
      <w:r>
        <w:rPr>
          <w:rFonts w:ascii="Times New Roman" w:hAnsi="Times New Roman"/>
          <w:noProof/>
          <w:sz w:val="24"/>
          <w:szCs w:val="24"/>
        </w:rPr>
        <w:t>ъюз разполага с всички необходими активи, за да се възползва максимално от тази трансформация и да се превърне в цифров лидер във всички области. Той трябва да се насочи най-напред към бъдещите технологии с най-голям потенциал, като същевременно гарантира,</w:t>
      </w:r>
      <w:r>
        <w:rPr>
          <w:rFonts w:ascii="Times New Roman" w:hAnsi="Times New Roman"/>
          <w:noProof/>
          <w:sz w:val="24"/>
          <w:szCs w:val="24"/>
        </w:rPr>
        <w:t xml:space="preserve"> че европейският подход е хуманен, етичен и основан на ценности.  </w:t>
      </w:r>
    </w:p>
    <w:p w:rsidR="007A301C" w:rsidRDefault="00E60AAA">
      <w:pPr>
        <w:rPr>
          <w:rFonts w:eastAsiaTheme="minorHAnsi"/>
          <w:noProof/>
          <w:szCs w:val="24"/>
        </w:rPr>
      </w:pPr>
      <w:r>
        <w:rPr>
          <w:noProof/>
          <w:szCs w:val="24"/>
        </w:rPr>
        <w:t xml:space="preserve">Нова </w:t>
      </w:r>
      <w:r>
        <w:rPr>
          <w:b/>
          <w:noProof/>
          <w:szCs w:val="24"/>
        </w:rPr>
        <w:t>европейска стратегия за данните</w:t>
      </w:r>
      <w:r>
        <w:rPr>
          <w:noProof/>
          <w:szCs w:val="24"/>
        </w:rPr>
        <w:t xml:space="preserve"> ще ни позволи да извлечем максимална полза от огромната стойност на неличните данни</w:t>
      </w:r>
      <w:r>
        <w:rPr>
          <w:noProof/>
        </w:rPr>
        <w:t xml:space="preserve"> като постоянно растящ и многократно използваем актив в цифровата икономика. Комисията също така ще представи </w:t>
      </w:r>
      <w:r>
        <w:rPr>
          <w:b/>
          <w:noProof/>
        </w:rPr>
        <w:t>Бяла книга за изкуствения интелект</w:t>
      </w:r>
      <w:r>
        <w:rPr>
          <w:noProof/>
        </w:rPr>
        <w:t>, за да подкрепи неговото разработване и внедряване и да гарантира пълното зачитане на европейските ценности и о</w:t>
      </w:r>
      <w:r>
        <w:rPr>
          <w:noProof/>
        </w:rPr>
        <w:t>сновните права. Извличането на максимална полза от изкуствения интелект ще ни помогне да намерим нови решения на стари проблеми и да намалим времето, необходимо за изпълнението на широк спектър от задачи. Необходимо е обаче да се създаде екосистема на дове</w:t>
      </w:r>
      <w:r>
        <w:rPr>
          <w:noProof/>
        </w:rPr>
        <w:t xml:space="preserve">рие, за да се гарантира, че той се развива в рамките на ясно определени етични граници. </w:t>
      </w:r>
    </w:p>
    <w:p w:rsidR="007A301C" w:rsidRDefault="00E60AAA">
      <w:pPr>
        <w:rPr>
          <w:noProof/>
          <w:szCs w:val="24"/>
        </w:rPr>
      </w:pPr>
      <w:r>
        <w:rPr>
          <w:noProof/>
        </w:rPr>
        <w:t xml:space="preserve">Нов </w:t>
      </w:r>
      <w:r>
        <w:rPr>
          <w:b/>
          <w:noProof/>
        </w:rPr>
        <w:t>законодателен акт за цифровите услуги</w:t>
      </w:r>
      <w:r>
        <w:rPr>
          <w:noProof/>
        </w:rPr>
        <w:t xml:space="preserve"> ще укрепи единния пазар на цифрови услуги и ще помогне за осигуряването на правна яснота за по-малките предприятия и на равни</w:t>
      </w:r>
      <w:r>
        <w:rPr>
          <w:noProof/>
        </w:rPr>
        <w:t xml:space="preserve">те условия, от които те се нуждаят. Защитата на гражданите и техните права, и не на последно място тяхната свобода на изразяване, ще бъдат в основата на нашите усилия. </w:t>
      </w:r>
    </w:p>
    <w:p w:rsidR="007A301C" w:rsidRDefault="00E60AAA">
      <w:pPr>
        <w:rPr>
          <w:noProof/>
          <w:szCs w:val="24"/>
        </w:rPr>
      </w:pPr>
      <w:r>
        <w:rPr>
          <w:noProof/>
        </w:rPr>
        <w:t>Цифровизацията и киберсигурността са двете страни на една и съща монета. За да се укреп</w:t>
      </w:r>
      <w:r>
        <w:rPr>
          <w:noProof/>
        </w:rPr>
        <w:t xml:space="preserve">и допълнително цялостната киберсигурност в Съюза, Комисията ще </w:t>
      </w:r>
      <w:r>
        <w:rPr>
          <w:b/>
          <w:noProof/>
        </w:rPr>
        <w:t>преразгледа Директивата относно сигурността на мрежите и информационните системи</w:t>
      </w:r>
      <w:r>
        <w:rPr>
          <w:noProof/>
        </w:rPr>
        <w:t>. Освен това ще предложим инициативи за повишаване на устойчивостта на цифровите финанси срещу кибератаки, в това</w:t>
      </w:r>
      <w:r>
        <w:rPr>
          <w:noProof/>
        </w:rPr>
        <w:t xml:space="preserve"> число </w:t>
      </w:r>
      <w:r>
        <w:rPr>
          <w:b/>
          <w:noProof/>
        </w:rPr>
        <w:t>предложение за криптовалутите</w:t>
      </w:r>
      <w:r>
        <w:rPr>
          <w:noProof/>
        </w:rPr>
        <w:t xml:space="preserve">. </w:t>
      </w:r>
    </w:p>
    <w:p w:rsidR="007A301C" w:rsidRDefault="00E60AAA">
      <w:pPr>
        <w:rPr>
          <w:noProof/>
          <w:szCs w:val="24"/>
        </w:rPr>
      </w:pPr>
      <w:r>
        <w:rPr>
          <w:noProof/>
        </w:rPr>
        <w:t xml:space="preserve">За да укрепим цифровото лидерство и стратегическата автономност на Европа, ще е необходимо да засилим нашия капацитет в областта на промишлеността и иновациите. В подкрепа на това Комисията ще предложи всеобхватна </w:t>
      </w:r>
      <w:r>
        <w:rPr>
          <w:b/>
          <w:noProof/>
        </w:rPr>
        <w:t>нов</w:t>
      </w:r>
      <w:r>
        <w:rPr>
          <w:b/>
          <w:noProof/>
        </w:rPr>
        <w:t>а стратегия за промишлеността за Европа</w:t>
      </w:r>
      <w:r>
        <w:rPr>
          <w:noProof/>
        </w:rPr>
        <w:t xml:space="preserve">, която да подкрепя прехода към зелена и цифрова икономика и да поддържа лоялната конкуренция. Тя ще бъде допълнена от специална </w:t>
      </w:r>
      <w:r>
        <w:rPr>
          <w:b/>
          <w:noProof/>
        </w:rPr>
        <w:t>стратегия за МСП</w:t>
      </w:r>
      <w:r>
        <w:rPr>
          <w:noProof/>
        </w:rPr>
        <w:t>, която ще улесни работата, разрастването и разширяването на дейността н</w:t>
      </w:r>
      <w:r>
        <w:rPr>
          <w:noProof/>
        </w:rPr>
        <w:t>а малките и средните предприятия. Специално внимание ще бъде отделено на медийния и аудио-визуалния сектори.</w:t>
      </w:r>
    </w:p>
    <w:p w:rsidR="007A301C" w:rsidRDefault="00E60AAA">
      <w:pPr>
        <w:pStyle w:val="ListParagraph"/>
        <w:spacing w:after="24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Подобряването на функционирането на пазарите в полза на потребителите, предприятията и обществото ще бъде от съществено значение за привеждането на</w:t>
      </w:r>
      <w:r>
        <w:rPr>
          <w:rFonts w:ascii="Times New Roman" w:hAnsi="Times New Roman"/>
          <w:noProof/>
          <w:sz w:val="24"/>
          <w:szCs w:val="24"/>
        </w:rPr>
        <w:t xml:space="preserve"> Европа в готовност за цифровата ера. Можем да се възползваме от предимствата на нашия уникален единен пазар само ако правилата се спазват навсякъде. Затова Комисията ще </w:t>
      </w:r>
      <w:r>
        <w:rPr>
          <w:rFonts w:ascii="Times New Roman" w:hAnsi="Times New Roman"/>
          <w:b/>
          <w:noProof/>
          <w:sz w:val="24"/>
          <w:szCs w:val="24"/>
        </w:rPr>
        <w:t>докладва за пречките пред единния пазар</w:t>
      </w:r>
      <w:r>
        <w:rPr>
          <w:rFonts w:ascii="Times New Roman" w:hAnsi="Times New Roman"/>
          <w:noProof/>
          <w:sz w:val="24"/>
          <w:szCs w:val="24"/>
        </w:rPr>
        <w:t xml:space="preserve"> и ще предложи </w:t>
      </w:r>
      <w:r>
        <w:rPr>
          <w:rFonts w:ascii="Times New Roman" w:hAnsi="Times New Roman"/>
          <w:b/>
          <w:noProof/>
          <w:sz w:val="24"/>
          <w:szCs w:val="24"/>
        </w:rPr>
        <w:t>план за действие за прилагане на</w:t>
      </w:r>
      <w:r>
        <w:rPr>
          <w:rFonts w:ascii="Times New Roman" w:hAnsi="Times New Roman"/>
          <w:b/>
          <w:noProof/>
          <w:sz w:val="24"/>
          <w:szCs w:val="24"/>
        </w:rPr>
        <w:t xml:space="preserve"> законодателството в областта на единния пазар</w:t>
      </w:r>
      <w:r>
        <w:rPr>
          <w:rFonts w:ascii="Times New Roman" w:hAnsi="Times New Roman"/>
          <w:noProof/>
          <w:sz w:val="24"/>
          <w:szCs w:val="24"/>
        </w:rPr>
        <w:t xml:space="preserve">, за да се гарантира по-добро изпълнение и прилагане. Необходимо е също така да гарантираме лоялната конкуренция и равнопоставените условия на световния пазар. В </w:t>
      </w:r>
      <w:r>
        <w:rPr>
          <w:rFonts w:ascii="Times New Roman" w:hAnsi="Times New Roman"/>
          <w:b/>
          <w:noProof/>
          <w:sz w:val="24"/>
          <w:szCs w:val="24"/>
        </w:rPr>
        <w:t>Бяла книга за Инструмент за чуждестранните субси</w:t>
      </w:r>
      <w:r>
        <w:rPr>
          <w:rFonts w:ascii="Times New Roman" w:hAnsi="Times New Roman"/>
          <w:b/>
          <w:noProof/>
          <w:sz w:val="24"/>
          <w:szCs w:val="24"/>
        </w:rPr>
        <w:t>дии</w:t>
      </w:r>
      <w:r>
        <w:rPr>
          <w:rFonts w:ascii="Times New Roman" w:hAnsi="Times New Roman"/>
          <w:noProof/>
          <w:sz w:val="24"/>
          <w:szCs w:val="24"/>
        </w:rPr>
        <w:t xml:space="preserve"> ще бъдат обсъдени възможните нови инструменти за справяне с нарушаващия конкуренцията ефект на чуждестранните субсидии в рамките на единния пазар. Това ще помогне да се подготви почвата за законодателно предложение през 2021 г.</w:t>
      </w:r>
    </w:p>
    <w:p w:rsidR="007A301C" w:rsidRDefault="00E60AAA">
      <w:pPr>
        <w:rPr>
          <w:b/>
          <w:noProof/>
          <w:szCs w:val="24"/>
        </w:rPr>
      </w:pPr>
      <w:r>
        <w:rPr>
          <w:noProof/>
        </w:rPr>
        <w:t>Услугите, предоставяни п</w:t>
      </w:r>
      <w:r>
        <w:rPr>
          <w:noProof/>
        </w:rPr>
        <w:t>рез онлайн платформи, създадоха нови възможности за работещите, като например гъвкавост на работното време. Налице е обаче нарастваща несигурност по редица въпроси, свързани с работата през платформи. Те включват трудовия статус, условията на труд, достъпа</w:t>
      </w:r>
      <w:r>
        <w:rPr>
          <w:noProof/>
        </w:rPr>
        <w:t xml:space="preserve"> до социална закрила и достъпа до представителство и колективно договаряне. Ето защо през следващата година ще предложим мерки за </w:t>
      </w:r>
      <w:r>
        <w:rPr>
          <w:b/>
          <w:noProof/>
        </w:rPr>
        <w:t>подобряване на условията на труд на работещите през платформи</w:t>
      </w:r>
      <w:r>
        <w:rPr>
          <w:noProof/>
        </w:rPr>
        <w:t>.</w:t>
      </w:r>
      <w:r>
        <w:rPr>
          <w:b/>
          <w:noProof/>
        </w:rPr>
        <w:t xml:space="preserve"> </w:t>
      </w:r>
    </w:p>
    <w:p w:rsidR="007A301C" w:rsidRDefault="00E60AAA">
      <w:pPr>
        <w:rPr>
          <w:noProof/>
          <w:szCs w:val="24"/>
        </w:rPr>
      </w:pPr>
      <w:r>
        <w:rPr>
          <w:noProof/>
        </w:rPr>
        <w:t xml:space="preserve">Инвестициите в цифрови умения ще бъдат от съществено значение </w:t>
      </w:r>
      <w:r>
        <w:rPr>
          <w:noProof/>
        </w:rPr>
        <w:t>за справянето с нарастващия недостиг на умения и за адаптирането към променящите се модели на работа, както и за възстановяването на европейското лидерство и собственост в областта на ключовите технологии. Наред с подобряването на цифровата грамотност, тов</w:t>
      </w:r>
      <w:r>
        <w:rPr>
          <w:noProof/>
        </w:rPr>
        <w:t xml:space="preserve">а ще бъде движещата сила на </w:t>
      </w:r>
      <w:r>
        <w:rPr>
          <w:b/>
          <w:noProof/>
        </w:rPr>
        <w:t>актуализирания План за действие в областта на цифровото образование</w:t>
      </w:r>
      <w:r>
        <w:rPr>
          <w:noProof/>
        </w:rPr>
        <w:t xml:space="preserve">. В съобщение относно </w:t>
      </w:r>
      <w:r>
        <w:rPr>
          <w:b/>
          <w:noProof/>
        </w:rPr>
        <w:t>бъдещето на научните изследвания и иновациите и европейското научноизследователско пространство</w:t>
      </w:r>
      <w:r>
        <w:rPr>
          <w:noProof/>
        </w:rPr>
        <w:t xml:space="preserve"> ще се разгледат начините, по които можем да</w:t>
      </w:r>
      <w:r>
        <w:rPr>
          <w:noProof/>
        </w:rPr>
        <w:t xml:space="preserve"> обединим повече ресурси, както и да задълбочим нашия капацитет за научни изследвания, иновации и знания.</w:t>
      </w:r>
    </w:p>
    <w:p w:rsidR="007A301C" w:rsidRDefault="00E60AAA">
      <w:pPr>
        <w:pStyle w:val="Heading2"/>
        <w:rPr>
          <w:noProof/>
        </w:rPr>
      </w:pPr>
      <w:r>
        <w:rPr>
          <w:noProof/>
        </w:rPr>
        <w:t xml:space="preserve">Икономика в интерес на хората </w:t>
      </w:r>
    </w:p>
    <w:p w:rsidR="007A301C" w:rsidRDefault="00E60AAA">
      <w:pPr>
        <w:rPr>
          <w:noProof/>
          <w:szCs w:val="24"/>
        </w:rPr>
      </w:pPr>
      <w:r>
        <w:rPr>
          <w:noProof/>
        </w:rPr>
        <w:t xml:space="preserve">Европейската икономика отбелязва растеж за седма поредна година и се очаква запазване на тенденцията през тази и </w:t>
      </w:r>
      <w:r>
        <w:rPr>
          <w:noProof/>
        </w:rPr>
        <w:t>следващата година. Заетостта е на рекордно високо равнище, а безработицата — на най-ниското си регистрирано равнище от началото на века. Въпреки това равнищата на безработица и бедност остават твърде високи в някои държави членки. Неравенствата продължават</w:t>
      </w:r>
      <w:r>
        <w:rPr>
          <w:noProof/>
        </w:rPr>
        <w:t xml:space="preserve"> да съществуват и разликите между регионите в рамките на държавите се увеличават. Облаците на хоризонта, по-специално във връзка със забавянето на икономическия растеж в световен мащаб, предвещават значителни предизвикателства.</w:t>
      </w:r>
    </w:p>
    <w:p w:rsidR="007A301C" w:rsidRDefault="00E60AAA">
      <w:pPr>
        <w:rPr>
          <w:b/>
          <w:iCs/>
          <w:noProof/>
          <w:szCs w:val="24"/>
        </w:rPr>
      </w:pPr>
      <w:r>
        <w:rPr>
          <w:noProof/>
        </w:rPr>
        <w:t>Европа има уникална социална</w:t>
      </w:r>
      <w:r>
        <w:rPr>
          <w:noProof/>
        </w:rPr>
        <w:t xml:space="preserve"> пазарна икономика, която ни позволява да съчетаваме социалната справедливост, устойчивостта и икономическия растеж. Това спомага за постигането на нашата устойчива конкурентоспособност. На прага на нашия двоен преход съчетаването на социалните и пазарните</w:t>
      </w:r>
      <w:r>
        <w:rPr>
          <w:noProof/>
        </w:rPr>
        <w:t xml:space="preserve"> аспекти ще бъде по-важно от всякога.</w:t>
      </w:r>
      <w:r>
        <w:rPr>
          <w:b/>
          <w:i/>
          <w:iCs/>
          <w:noProof/>
        </w:rPr>
        <w:t xml:space="preserve"> </w:t>
      </w:r>
      <w:r>
        <w:rPr>
          <w:noProof/>
        </w:rPr>
        <w:t xml:space="preserve">Със своето съобщение относно </w:t>
      </w:r>
      <w:r>
        <w:rPr>
          <w:b/>
          <w:iCs/>
          <w:noProof/>
        </w:rPr>
        <w:t>силна социална Европа за справедлив преход</w:t>
      </w:r>
      <w:r>
        <w:rPr>
          <w:noProof/>
        </w:rPr>
        <w:t xml:space="preserve"> Комисията започна процес на диалог и консултации, за да подготви плана за действие за прилагане на </w:t>
      </w:r>
      <w:r>
        <w:rPr>
          <w:b/>
          <w:iCs/>
          <w:noProof/>
        </w:rPr>
        <w:t>Европейския стълб на социалните права</w:t>
      </w:r>
      <w:r>
        <w:rPr>
          <w:noProof/>
        </w:rPr>
        <w:t>.</w:t>
      </w:r>
      <w:r>
        <w:rPr>
          <w:b/>
          <w:iCs/>
          <w:noProof/>
        </w:rPr>
        <w:t xml:space="preserve"> </w:t>
      </w:r>
    </w:p>
    <w:p w:rsidR="007A301C" w:rsidRDefault="00E60AAA">
      <w:pPr>
        <w:rPr>
          <w:iCs/>
          <w:noProof/>
          <w:szCs w:val="24"/>
        </w:rPr>
      </w:pPr>
      <w:r>
        <w:rPr>
          <w:noProof/>
        </w:rPr>
        <w:t xml:space="preserve">Успоредно с това Комисията ще предложи правен инструмент за </w:t>
      </w:r>
      <w:r>
        <w:rPr>
          <w:b/>
          <w:iCs/>
          <w:noProof/>
        </w:rPr>
        <w:t>справедливи минимални заплати за работниците в ЕС</w:t>
      </w:r>
      <w:r>
        <w:rPr>
          <w:noProof/>
        </w:rPr>
        <w:t>, в консултация със социалните партньори и всички заинтересовани страни. По този начин ще бъдат зачетени националните традиции и колективното догов</w:t>
      </w:r>
      <w:r>
        <w:rPr>
          <w:noProof/>
        </w:rPr>
        <w:t xml:space="preserve">аряне. Предложението за </w:t>
      </w:r>
      <w:r>
        <w:rPr>
          <w:b/>
          <w:iCs/>
          <w:noProof/>
        </w:rPr>
        <w:t>европейска схема за презастраховане срещу безработица</w:t>
      </w:r>
      <w:r>
        <w:rPr>
          <w:noProof/>
        </w:rPr>
        <w:t xml:space="preserve"> ще има за цел да подкрепи работещите и да защити онези, които са загубили работата си поради външни сътресения, по-специално чрез подпомагане на тяхната преквалификация. </w:t>
      </w:r>
    </w:p>
    <w:p w:rsidR="007A301C" w:rsidRDefault="00E60AAA">
      <w:pPr>
        <w:rPr>
          <w:iCs/>
          <w:noProof/>
          <w:szCs w:val="24"/>
        </w:rPr>
      </w:pPr>
      <w:r>
        <w:rPr>
          <w:noProof/>
        </w:rPr>
        <w:t xml:space="preserve">Новата </w:t>
      </w:r>
      <w:r>
        <w:rPr>
          <w:b/>
          <w:iCs/>
          <w:noProof/>
        </w:rPr>
        <w:t>Европейска гаранция за децата</w:t>
      </w:r>
      <w:r>
        <w:rPr>
          <w:noProof/>
        </w:rPr>
        <w:t>, която ще бъде представена през следващата година, ще бъде важен инструмент за борба с бедността и за гарантиране на достъпа на децата до основни услуги. За да помогне на младите хора да получат възможностите за образование, о</w:t>
      </w:r>
      <w:r>
        <w:rPr>
          <w:noProof/>
        </w:rPr>
        <w:t xml:space="preserve">бучение и работа, от които се нуждаят, Комисията ще </w:t>
      </w:r>
      <w:r>
        <w:rPr>
          <w:b/>
          <w:iCs/>
          <w:noProof/>
        </w:rPr>
        <w:t>подсили схемата „Гаранция за младежта“</w:t>
      </w:r>
      <w:r>
        <w:rPr>
          <w:noProof/>
        </w:rPr>
        <w:t xml:space="preserve">. </w:t>
      </w:r>
    </w:p>
    <w:p w:rsidR="007A301C" w:rsidRDefault="00E60AAA">
      <w:pPr>
        <w:rPr>
          <w:iCs/>
          <w:noProof/>
          <w:szCs w:val="24"/>
        </w:rPr>
      </w:pPr>
      <w:r>
        <w:rPr>
          <w:noProof/>
        </w:rPr>
        <w:t>След неотдавнашната финансова криза отбелязахме значителен напредък в укрепването на зоната на единна валута и заздравяването на европейския Икономически и паричен</w:t>
      </w:r>
      <w:r>
        <w:rPr>
          <w:noProof/>
        </w:rPr>
        <w:t xml:space="preserve"> съюз. Необходимо е обаче да бъдат предприети още някои съществени стъпки. Комисията ще направи </w:t>
      </w:r>
      <w:r>
        <w:rPr>
          <w:b/>
          <w:bCs/>
          <w:iCs/>
          <w:noProof/>
        </w:rPr>
        <w:t>преглед на рамката за икономическо управление</w:t>
      </w:r>
      <w:r>
        <w:rPr>
          <w:noProof/>
        </w:rPr>
        <w:t xml:space="preserve"> и ще представи обзор на прилагането на фискалните правила през последните години. С прегледа ще започне широка кон</w:t>
      </w:r>
      <w:r>
        <w:rPr>
          <w:noProof/>
        </w:rPr>
        <w:t xml:space="preserve">султация с държавите членки и с други заинтересовани страни, за да се проучат начините за подобряване на рамката за икономическо управление на ЕС. </w:t>
      </w:r>
    </w:p>
    <w:p w:rsidR="007A301C" w:rsidRDefault="00E60AAA">
      <w:pPr>
        <w:rPr>
          <w:iCs/>
          <w:noProof/>
          <w:szCs w:val="24"/>
        </w:rPr>
      </w:pPr>
      <w:r>
        <w:rPr>
          <w:noProof/>
        </w:rPr>
        <w:t xml:space="preserve">Комисията ще продължи да наблюдава изпълнението на поетите от България и Хърватия политически ангажименти с </w:t>
      </w:r>
      <w:r>
        <w:rPr>
          <w:noProof/>
        </w:rPr>
        <w:t>оглед на присъединяването им към валутния механизъм — критична стъпка към приемането на еврото.</w:t>
      </w:r>
    </w:p>
    <w:p w:rsidR="007A301C" w:rsidRDefault="00E60AAA">
      <w:pPr>
        <w:rPr>
          <w:noProof/>
          <w:szCs w:val="24"/>
        </w:rPr>
      </w:pPr>
      <w:r>
        <w:rPr>
          <w:b/>
          <w:iCs/>
          <w:noProof/>
        </w:rPr>
        <w:t>Планът за действие относно съюза на капиталовите пазари</w:t>
      </w:r>
      <w:r>
        <w:rPr>
          <w:noProof/>
        </w:rPr>
        <w:t xml:space="preserve"> ще има за цел да се постигне по-добро интегриране на националните капиталови пазари и да се гарантира ра</w:t>
      </w:r>
      <w:r>
        <w:rPr>
          <w:noProof/>
        </w:rPr>
        <w:t>вен достъп до инвестиции и възможности за финансиране за гражданите и предприятията в целия ЕС, включително инициатива за засилена защита на инвестициите в рамките на ЕС. Тази дейност, заедно със завършването на банковия съюз, ще става все по-важна след на</w:t>
      </w:r>
      <w:r>
        <w:rPr>
          <w:noProof/>
        </w:rPr>
        <w:t>пускането на Обединеното кралство и е основен инструмент за укрепване на международната роля на еврото.</w:t>
      </w:r>
    </w:p>
    <w:p w:rsidR="007A301C" w:rsidRDefault="00E60AAA">
      <w:pPr>
        <w:rPr>
          <w:iCs/>
          <w:noProof/>
          <w:szCs w:val="24"/>
        </w:rPr>
      </w:pPr>
      <w:r>
        <w:rPr>
          <w:noProof/>
        </w:rPr>
        <w:t xml:space="preserve">За да се гарантира целостта на европейската финансова система и да се намалят рисковете от нестабилност, нов </w:t>
      </w:r>
      <w:r>
        <w:rPr>
          <w:b/>
          <w:bCs/>
          <w:iCs/>
          <w:noProof/>
        </w:rPr>
        <w:t>план за действие за борбата срещу изпиранет</w:t>
      </w:r>
      <w:r>
        <w:rPr>
          <w:b/>
          <w:bCs/>
          <w:iCs/>
          <w:noProof/>
        </w:rPr>
        <w:t>о на пари</w:t>
      </w:r>
      <w:r>
        <w:rPr>
          <w:noProof/>
        </w:rPr>
        <w:t xml:space="preserve"> ще има за цел да подобри системата за надзор и прилагането на правилата.</w:t>
      </w:r>
    </w:p>
    <w:p w:rsidR="007A301C" w:rsidRDefault="00E60AAA">
      <w:pPr>
        <w:rPr>
          <w:b/>
          <w:i/>
          <w:iCs/>
          <w:noProof/>
          <w:szCs w:val="24"/>
        </w:rPr>
      </w:pPr>
      <w:r>
        <w:rPr>
          <w:noProof/>
        </w:rPr>
        <w:t>Технологичните промени и глобализацията позволиха възникването на нови бизнес модели. Това създава възможности, но същевременно означава, че международната рамка за корпорат</w:t>
      </w:r>
      <w:r>
        <w:rPr>
          <w:noProof/>
        </w:rPr>
        <w:t xml:space="preserve">ивно данъчно облагане трябва да върви в крак с тези промени. Комисията ще представи съобщение за </w:t>
      </w:r>
      <w:r>
        <w:rPr>
          <w:b/>
          <w:iCs/>
          <w:noProof/>
        </w:rPr>
        <w:t>данъчното облагане на предприятията за 21-ви век</w:t>
      </w:r>
      <w:r>
        <w:rPr>
          <w:noProof/>
        </w:rPr>
        <w:t>, в което ще се наблегне върху аспектите на данъчното облагане, които са от значение за единния пазар. То ще бъ</w:t>
      </w:r>
      <w:r>
        <w:rPr>
          <w:noProof/>
        </w:rPr>
        <w:t xml:space="preserve">де допълнено от </w:t>
      </w:r>
      <w:r>
        <w:rPr>
          <w:b/>
          <w:iCs/>
          <w:noProof/>
        </w:rPr>
        <w:t>план за действие за борба с отклоняването от данъчно облагане</w:t>
      </w:r>
      <w:r>
        <w:rPr>
          <w:noProof/>
        </w:rPr>
        <w:t xml:space="preserve"> и ще опрости и улесни данъчното облагане. </w:t>
      </w:r>
    </w:p>
    <w:p w:rsidR="007A301C" w:rsidRDefault="00E60AAA">
      <w:pPr>
        <w:rPr>
          <w:iCs/>
          <w:noProof/>
          <w:szCs w:val="24"/>
        </w:rPr>
      </w:pPr>
      <w:r>
        <w:rPr>
          <w:noProof/>
        </w:rPr>
        <w:t xml:space="preserve">Комисията ще приеме </w:t>
      </w:r>
      <w:r>
        <w:rPr>
          <w:b/>
          <w:iCs/>
          <w:noProof/>
        </w:rPr>
        <w:t>план за действие за Митническия съюз</w:t>
      </w:r>
      <w:r>
        <w:rPr>
          <w:noProof/>
        </w:rPr>
        <w:t>, който ще се съсредоточи върху три направления: да гарантира защитата на грани</w:t>
      </w:r>
      <w:r>
        <w:rPr>
          <w:noProof/>
        </w:rPr>
        <w:t xml:space="preserve">ците, да насърчава спазването на правилата и да подобри управлението на Митническия съюз. Комисията ще приеме също така </w:t>
      </w:r>
      <w:r>
        <w:rPr>
          <w:b/>
          <w:iCs/>
          <w:noProof/>
        </w:rPr>
        <w:t>законодателно предложение за обслужване на едно гише в митниците</w:t>
      </w:r>
      <w:r>
        <w:rPr>
          <w:noProof/>
        </w:rPr>
        <w:t xml:space="preserve"> с цел да се засили защитата на границите и да се опростят административ</w:t>
      </w:r>
      <w:r>
        <w:rPr>
          <w:noProof/>
        </w:rPr>
        <w:t>ните процедури за дружествата.</w:t>
      </w:r>
    </w:p>
    <w:p w:rsidR="007A301C" w:rsidRDefault="00E60AAA">
      <w:pPr>
        <w:pStyle w:val="Heading2"/>
        <w:rPr>
          <w:noProof/>
        </w:rPr>
      </w:pPr>
      <w:r>
        <w:rPr>
          <w:noProof/>
        </w:rPr>
        <w:t>По-силна Европа на световната сцена</w:t>
      </w:r>
    </w:p>
    <w:p w:rsidR="007A301C" w:rsidRDefault="00E60AAA">
      <w:pPr>
        <w:rPr>
          <w:iCs/>
          <w:noProof/>
          <w:szCs w:val="24"/>
        </w:rPr>
      </w:pPr>
      <w:r>
        <w:rPr>
          <w:noProof/>
        </w:rPr>
        <w:t>Основаната на правила многостранна система има ключова роля за поддържането на мира и стабилността от края на Втората световна война насам. Въпреки че през последните години тази система се</w:t>
      </w:r>
      <w:r>
        <w:rPr>
          <w:noProof/>
        </w:rPr>
        <w:t xml:space="preserve"> оспорва по безпрецедентен начин, Европа винаги ще поддържа </w:t>
      </w:r>
      <w:r>
        <w:rPr>
          <w:b/>
          <w:noProof/>
        </w:rPr>
        <w:t>отстояването, актуализирането и модернизирането на основания на правила световен ред</w:t>
      </w:r>
      <w:r>
        <w:rPr>
          <w:noProof/>
        </w:rPr>
        <w:t>, за да се гарантира, че той е пригоден за съвременния свят. В същото време Европа трябва да бъде по-геополитиче</w:t>
      </w:r>
      <w:r>
        <w:rPr>
          <w:noProof/>
        </w:rPr>
        <w:t>ска, по-обединена и по-ефективна в своите идеи и действия. Тя трябва да инвестира в изграждането на съюзи и коалиции, за да утвърждава нашите ценности, да отстоява и защитава интересите на Европа чрез открита и справедлива търговия и да укрепва връзките ме</w:t>
      </w:r>
      <w:r>
        <w:rPr>
          <w:noProof/>
        </w:rPr>
        <w:t>жду нашите вътрешни и външни политики.</w:t>
      </w:r>
    </w:p>
    <w:p w:rsidR="007A301C" w:rsidRDefault="00E60AAA">
      <w:pPr>
        <w:rPr>
          <w:iCs/>
          <w:noProof/>
          <w:szCs w:val="24"/>
        </w:rPr>
      </w:pPr>
      <w:r>
        <w:rPr>
          <w:b/>
          <w:iCs/>
          <w:noProof/>
        </w:rPr>
        <w:t>Европейската дипломация</w:t>
      </w:r>
      <w:r>
        <w:rPr>
          <w:noProof/>
        </w:rPr>
        <w:t xml:space="preserve"> ще продължи да бъде от основно значение на всички континенти, като ни помага да си сътрудничим с нашите партньори както на двустранна основа, така и в многостранни рамки. Комисията ще допринася</w:t>
      </w:r>
      <w:r>
        <w:rPr>
          <w:noProof/>
        </w:rPr>
        <w:t xml:space="preserve"> пълноценно за това, включително като договаря споразумения в рамките на своите правомощия и мандати.</w:t>
      </w:r>
    </w:p>
    <w:p w:rsidR="007A301C" w:rsidRDefault="00E60AAA">
      <w:pPr>
        <w:pStyle w:val="Default"/>
        <w:spacing w:after="240"/>
        <w:jc w:val="both"/>
        <w:rPr>
          <w:iCs/>
          <w:noProof/>
        </w:rPr>
      </w:pPr>
      <w:r>
        <w:rPr>
          <w:noProof/>
        </w:rPr>
        <w:t>По-силна Европа в света означава да работим заедно с нашите съседи и партньори. В този дух Комисията и върховният представител ще разработят нова всеобхва</w:t>
      </w:r>
      <w:r>
        <w:rPr>
          <w:noProof/>
        </w:rPr>
        <w:t xml:space="preserve">тна </w:t>
      </w:r>
      <w:r>
        <w:rPr>
          <w:b/>
          <w:bCs/>
          <w:noProof/>
        </w:rPr>
        <w:t>стратегия с Африка</w:t>
      </w:r>
      <w:r>
        <w:rPr>
          <w:noProof/>
        </w:rPr>
        <w:t>, насочена към насърчаване на икономическите отношения, създаване на работни места и на двата континента и задълбочаване на нашето партньорство във всички области. Успоредно с това Комисията ще се стреми да приключи преговорите по нов</w:t>
      </w:r>
      <w:r>
        <w:rPr>
          <w:noProof/>
        </w:rPr>
        <w:t xml:space="preserve">о споразумение за партньорство между ЕС и държавите от </w:t>
      </w:r>
      <w:r>
        <w:rPr>
          <w:b/>
          <w:noProof/>
        </w:rPr>
        <w:t>Африка, Карибите и Тихоокеанския басейн</w:t>
      </w:r>
      <w:r>
        <w:rPr>
          <w:noProof/>
        </w:rPr>
        <w:t>, което да замени споразумението от Котону, изтичащо в края на февруари 2020 г.</w:t>
      </w:r>
    </w:p>
    <w:p w:rsidR="007A301C" w:rsidRDefault="00E60AAA">
      <w:pPr>
        <w:pStyle w:val="Default"/>
        <w:spacing w:after="240"/>
        <w:jc w:val="both"/>
        <w:rPr>
          <w:iCs/>
          <w:noProof/>
        </w:rPr>
      </w:pPr>
      <w:r>
        <w:rPr>
          <w:noProof/>
        </w:rPr>
        <w:t xml:space="preserve">В по-непосредствено съседство, Европейският съюз е поел ангажимент да задълбочи </w:t>
      </w:r>
      <w:r>
        <w:rPr>
          <w:b/>
          <w:iCs/>
          <w:noProof/>
        </w:rPr>
        <w:t>па</w:t>
      </w:r>
      <w:r>
        <w:rPr>
          <w:b/>
          <w:iCs/>
          <w:noProof/>
        </w:rPr>
        <w:t>ртньорството си със Западните Балкани</w:t>
      </w:r>
      <w:r>
        <w:rPr>
          <w:noProof/>
        </w:rPr>
        <w:t xml:space="preserve"> — регион, с който ЕС споделя толкова много. Наличието на надеждна перспектива за присъединяване на този регион към ЕС е от огромно стратегическо значение както за Съюза, така и за самия регион. Това ще бъде потвърдено </w:t>
      </w:r>
      <w:r>
        <w:rPr>
          <w:noProof/>
        </w:rPr>
        <w:t>отново в приноса на Комисията за срещата на върха между ЕС и Западните Балкани в Загреб през май 2020 г. Комисията ще продължи да работи енергично за започването на преговори за присъединяване със Северна Македония и Албания. Успоредно с това тя ще се стре</w:t>
      </w:r>
      <w:r>
        <w:rPr>
          <w:noProof/>
        </w:rPr>
        <w:t xml:space="preserve">ми да запази набраната скорост, като предложи начини за </w:t>
      </w:r>
      <w:r>
        <w:rPr>
          <w:b/>
          <w:iCs/>
          <w:noProof/>
        </w:rPr>
        <w:t>подобряване на процеса на присъединяване</w:t>
      </w:r>
      <w:r>
        <w:rPr>
          <w:noProof/>
        </w:rPr>
        <w:t xml:space="preserve">, в това число във връзка с методиката за разширяване и укрепването на инвестиционната рамка. </w:t>
      </w:r>
    </w:p>
    <w:p w:rsidR="007A301C" w:rsidRDefault="00E60AAA">
      <w:pPr>
        <w:rPr>
          <w:iCs/>
          <w:noProof/>
        </w:rPr>
      </w:pPr>
      <w:r>
        <w:rPr>
          <w:noProof/>
        </w:rPr>
        <w:t>Европа създаде силно партньорство с източните си съседи, като изг</w:t>
      </w:r>
      <w:r>
        <w:rPr>
          <w:noProof/>
        </w:rPr>
        <w:t xml:space="preserve">ради общо пространство на споделена демокрация, благоденствие, стабилност и засилено сътрудничество. За да запазим и да укрепим още повече динамиката на тези важни отношения, ще представим </w:t>
      </w:r>
      <w:r>
        <w:rPr>
          <w:b/>
          <w:iCs/>
          <w:noProof/>
        </w:rPr>
        <w:t>ново Източно партньорство за периода след 2020 г.</w:t>
      </w:r>
      <w:r>
        <w:rPr>
          <w:noProof/>
        </w:rPr>
        <w:t>, което да очертае</w:t>
      </w:r>
      <w:r>
        <w:rPr>
          <w:noProof/>
        </w:rPr>
        <w:t xml:space="preserve"> нов набор от дългосрочни цели на политиката. </w:t>
      </w:r>
    </w:p>
    <w:p w:rsidR="007A301C" w:rsidRDefault="00E60AAA">
      <w:pPr>
        <w:rPr>
          <w:noProof/>
          <w:szCs w:val="24"/>
        </w:rPr>
      </w:pPr>
      <w:r>
        <w:rPr>
          <w:noProof/>
        </w:rPr>
        <w:t>Европейският съюз вярва, че свободната, справедлива и отворена търговия може да функционира само при наличието на силна и ефективна Световна търговска организация (СТО). Комисията възнамерява да ръководи между</w:t>
      </w:r>
      <w:r>
        <w:rPr>
          <w:noProof/>
        </w:rPr>
        <w:t>народните усилия и да работи с партньорите за реформиране на СТО. Ще засилим призива си за справедливи, ефективни и подлежащи на изпълнение правила, които създават равни условия за всички търговски партньори. Ето защо след следващата министерска конференци</w:t>
      </w:r>
      <w:r>
        <w:rPr>
          <w:noProof/>
        </w:rPr>
        <w:t xml:space="preserve">я на СТО през юни 2020 г. Комисията възнамерява да започне </w:t>
      </w:r>
      <w:r>
        <w:rPr>
          <w:b/>
          <w:bCs/>
          <w:noProof/>
        </w:rPr>
        <w:t>широка инициатива за реформа на СТО</w:t>
      </w:r>
      <w:r>
        <w:rPr>
          <w:noProof/>
        </w:rPr>
        <w:t xml:space="preserve">, като целта е да се постигне всеобхватно споразумение. </w:t>
      </w:r>
    </w:p>
    <w:p w:rsidR="007A301C" w:rsidRDefault="00E60AAA">
      <w:pPr>
        <w:rPr>
          <w:noProof/>
          <w:szCs w:val="24"/>
        </w:rPr>
      </w:pPr>
      <w:r>
        <w:rPr>
          <w:noProof/>
        </w:rPr>
        <w:t xml:space="preserve">Ще отстояваме основания на правила световен ред и в съобщение относно </w:t>
      </w:r>
      <w:r>
        <w:rPr>
          <w:b/>
          <w:noProof/>
        </w:rPr>
        <w:t>укрепването на икономическия и фина</w:t>
      </w:r>
      <w:r>
        <w:rPr>
          <w:b/>
          <w:noProof/>
        </w:rPr>
        <w:t>нсовия суверенитет на Европа</w:t>
      </w:r>
      <w:r>
        <w:rPr>
          <w:noProof/>
        </w:rPr>
        <w:t>. Това укрепване ще се основава на засилената международна роля на еврото. Освен това съобщението ще подготви почвата за разработването през следващата година на засилен механизъм за санкции, който да гарантира, че Европа е по-устойчива на извънтериториалн</w:t>
      </w:r>
      <w:r>
        <w:rPr>
          <w:noProof/>
        </w:rPr>
        <w:t xml:space="preserve">и санкции от страна на трети държави и че наложените от ЕС санкции се прилагат правилно. </w:t>
      </w:r>
    </w:p>
    <w:p w:rsidR="007A301C" w:rsidRDefault="00E60AAA">
      <w:pPr>
        <w:rPr>
          <w:b/>
          <w:iCs/>
          <w:noProof/>
        </w:rPr>
      </w:pPr>
      <w:r>
        <w:rPr>
          <w:noProof/>
        </w:rPr>
        <w:t>Комисията ще работи в тясно сътрудничество със Съвета по план за действие относно</w:t>
      </w:r>
      <w:r>
        <w:rPr>
          <w:b/>
          <w:bCs/>
          <w:noProof/>
        </w:rPr>
        <w:t xml:space="preserve"> правата на човека и демокрацията</w:t>
      </w:r>
      <w:r>
        <w:rPr>
          <w:noProof/>
        </w:rPr>
        <w:t xml:space="preserve">, който ще се съсредоточи върху водещата роля на ЕС </w:t>
      </w:r>
      <w:r>
        <w:rPr>
          <w:noProof/>
        </w:rPr>
        <w:t>при определянето на стандарти за правата на човека и съблюдаването на международното хуманитарно право.</w:t>
      </w:r>
      <w:r>
        <w:rPr>
          <w:b/>
          <w:iCs/>
          <w:noProof/>
        </w:rPr>
        <w:t xml:space="preserve"> </w:t>
      </w:r>
      <w:r>
        <w:rPr>
          <w:noProof/>
        </w:rPr>
        <w:t xml:space="preserve">Освен това Комисията ще представи план за действие относно </w:t>
      </w:r>
      <w:r>
        <w:rPr>
          <w:b/>
          <w:iCs/>
          <w:noProof/>
        </w:rPr>
        <w:t>равенството между половете и овластяването на жените във външните отношения</w:t>
      </w:r>
      <w:r>
        <w:rPr>
          <w:noProof/>
        </w:rPr>
        <w:t>.</w:t>
      </w:r>
    </w:p>
    <w:p w:rsidR="007A301C" w:rsidRDefault="00E60AAA">
      <w:pPr>
        <w:pStyle w:val="Heading2"/>
        <w:tabs>
          <w:tab w:val="clear" w:pos="709"/>
          <w:tab w:val="num" w:pos="1202"/>
        </w:tabs>
        <w:rPr>
          <w:noProof/>
        </w:rPr>
      </w:pPr>
      <w:r>
        <w:rPr>
          <w:noProof/>
        </w:rPr>
        <w:t xml:space="preserve">Утвърждаване на </w:t>
      </w:r>
      <w:r>
        <w:rPr>
          <w:noProof/>
        </w:rPr>
        <w:t>европейския начин на живот</w:t>
      </w:r>
    </w:p>
    <w:p w:rsidR="007A301C" w:rsidRDefault="00E60AAA">
      <w:pPr>
        <w:rPr>
          <w:noProof/>
          <w:szCs w:val="24"/>
        </w:rPr>
      </w:pPr>
      <w:r>
        <w:rPr>
          <w:noProof/>
        </w:rPr>
        <w:t>Европейският начин на живот се гради върху нашите ценности за солидарност, равенство и справедливост. Той означава чувство на безопасност, сигурност и спокойствие, подкрепа за най-уязвимите групи в нашето общество и поощряване на</w:t>
      </w:r>
      <w:r>
        <w:rPr>
          <w:noProof/>
        </w:rPr>
        <w:t xml:space="preserve"> приобщаването. Той означава и намиране на общи решения на споделените предизвикателства, оказване на съдействие на хората да придобият уменията, от които се нуждаят, и инвестиране в тяхното здраве и благоденствие. Той се изразява също и в изграждането на </w:t>
      </w:r>
      <w:r>
        <w:rPr>
          <w:noProof/>
        </w:rPr>
        <w:t>по-силни, по-сплотени и по-устойчиви европейски общества.</w:t>
      </w:r>
    </w:p>
    <w:p w:rsidR="007A301C" w:rsidRDefault="00E60AAA">
      <w:pPr>
        <w:rPr>
          <w:noProof/>
          <w:szCs w:val="24"/>
        </w:rPr>
      </w:pPr>
      <w:r>
        <w:rPr>
          <w:noProof/>
        </w:rPr>
        <w:t xml:space="preserve">Европейският съюз играе важна роля, като помага на европейците да се грижат за здравето си. Искаме Европа да поеме водеща роля в борбата срещу рака. Комисията ще представи </w:t>
      </w:r>
      <w:r>
        <w:rPr>
          <w:b/>
          <w:noProof/>
        </w:rPr>
        <w:t>европейски план за борба с</w:t>
      </w:r>
      <w:r>
        <w:rPr>
          <w:b/>
          <w:noProof/>
        </w:rPr>
        <w:t xml:space="preserve"> рака</w:t>
      </w:r>
      <w:r>
        <w:rPr>
          <w:noProof/>
        </w:rPr>
        <w:t xml:space="preserve"> в подкрепа на усилията на държавите членки за подобряване на профилактиката и грижите във връзка с раковите заболявания. Комисията също така ще стартира </w:t>
      </w:r>
      <w:r>
        <w:rPr>
          <w:b/>
          <w:bCs/>
          <w:noProof/>
        </w:rPr>
        <w:t>фармацевтична стратегия за Европа</w:t>
      </w:r>
      <w:r>
        <w:rPr>
          <w:noProof/>
        </w:rPr>
        <w:t>, за да продължи да гарантира качеството и безопасността на лека</w:t>
      </w:r>
      <w:r>
        <w:rPr>
          <w:noProof/>
        </w:rPr>
        <w:t>рствата и да консолидира конкурентоспособността на сектора в световен мащаб. Европа следва също така да гарантира, че всички пациенти могат да се възползват от иновациите, като същевременно противодейства на натиска, свързан с нарастващите разходи за лекар</w:t>
      </w:r>
      <w:r>
        <w:rPr>
          <w:noProof/>
        </w:rPr>
        <w:t>ства.</w:t>
      </w:r>
    </w:p>
    <w:p w:rsidR="007A301C" w:rsidRDefault="00E60AAA">
      <w:pPr>
        <w:rPr>
          <w:bCs/>
          <w:noProof/>
          <w:szCs w:val="24"/>
        </w:rPr>
      </w:pPr>
      <w:r>
        <w:rPr>
          <w:noProof/>
        </w:rPr>
        <w:t xml:space="preserve">Част от европейския начин на живот е свързана с насърчаване на уменията, образованието и приобщаването. Това предоставя инструментите и знанията, необходими на хората да преуспяват и да участват пълноценно в двойния преход. Комисията е твърдо решена </w:t>
      </w:r>
      <w:r>
        <w:rPr>
          <w:noProof/>
        </w:rPr>
        <w:t xml:space="preserve">да превърне </w:t>
      </w:r>
      <w:r>
        <w:rPr>
          <w:b/>
          <w:noProof/>
        </w:rPr>
        <w:t>европейското пространство за образование</w:t>
      </w:r>
      <w:r>
        <w:rPr>
          <w:noProof/>
        </w:rPr>
        <w:t xml:space="preserve"> в реалност до 2025 г. Това изисква подход, който обхваща целия живот на хората, от ранна възраст до старини. Ще представим нова </w:t>
      </w:r>
      <w:r>
        <w:rPr>
          <w:b/>
          <w:noProof/>
        </w:rPr>
        <w:t>европейска програма за умения</w:t>
      </w:r>
      <w:r>
        <w:rPr>
          <w:noProof/>
        </w:rPr>
        <w:t>, за да подпомогнем установяването и запълване</w:t>
      </w:r>
      <w:r>
        <w:rPr>
          <w:noProof/>
        </w:rPr>
        <w:t xml:space="preserve">то на пропуските, свързани с уменията, както и да подкрепим преквалифицирането. Ще представим също така нов </w:t>
      </w:r>
      <w:r>
        <w:rPr>
          <w:b/>
          <w:bCs/>
          <w:noProof/>
        </w:rPr>
        <w:t>План за действие за интеграция и приобщаване</w:t>
      </w:r>
      <w:r>
        <w:rPr>
          <w:noProof/>
        </w:rPr>
        <w:t xml:space="preserve">, за да се гарантира, че обществата ни защитават най-уязвимите хора. </w:t>
      </w:r>
    </w:p>
    <w:p w:rsidR="007A301C" w:rsidRDefault="00E60AAA">
      <w:pPr>
        <w:rPr>
          <w:bCs/>
          <w:noProof/>
          <w:szCs w:val="24"/>
        </w:rPr>
      </w:pPr>
      <w:r>
        <w:rPr>
          <w:noProof/>
        </w:rPr>
        <w:t>Усещането за сигурност и спокойств</w:t>
      </w:r>
      <w:r>
        <w:rPr>
          <w:noProof/>
        </w:rPr>
        <w:t xml:space="preserve">ие е един от основните и най-важни приоритети за европейците. Нищо не може да бъде по-важно за нашия начин на живот от защитата на нашите деца. Във връзка с това Комисията ще изготви стратегия на ЕС за по-ефективна </w:t>
      </w:r>
      <w:r>
        <w:rPr>
          <w:b/>
          <w:noProof/>
        </w:rPr>
        <w:t>борба срещу сексуалното насилие над деца</w:t>
      </w:r>
      <w:r>
        <w:rPr>
          <w:noProof/>
        </w:rPr>
        <w:t>.</w:t>
      </w:r>
    </w:p>
    <w:p w:rsidR="007A301C" w:rsidRDefault="00E60AAA">
      <w:pPr>
        <w:rPr>
          <w:b/>
          <w:iCs/>
          <w:noProof/>
          <w:szCs w:val="24"/>
        </w:rPr>
      </w:pPr>
      <w:r>
        <w:rPr>
          <w:noProof/>
        </w:rPr>
        <w:t xml:space="preserve">През последните години се появиха нови, все по-сложни трансгранични и междусекторни заплахи за сигурността, които подчертават необходимостта от по-тясно сътрудничество в областта на сигурността на всички равнища. Комисията ще представи </w:t>
      </w:r>
      <w:r>
        <w:rPr>
          <w:b/>
          <w:iCs/>
          <w:noProof/>
        </w:rPr>
        <w:t>нова стратегия на Е</w:t>
      </w:r>
      <w:r>
        <w:rPr>
          <w:b/>
          <w:iCs/>
          <w:noProof/>
        </w:rPr>
        <w:t>С за Съюза на сигурност</w:t>
      </w:r>
      <w:r>
        <w:rPr>
          <w:noProof/>
        </w:rPr>
        <w:t>, за да определи областите, в които Съюзът може да има добавена стойност в подкрепа на държавите членки при гарантирането на сигурността — от борбата с тероризма и организираната престъпност през предотвратяването и откриването на хи</w:t>
      </w:r>
      <w:r>
        <w:rPr>
          <w:noProof/>
        </w:rPr>
        <w:t>бридни заплахи, до киберсигурността и повишаване на устойчивостта на нашата критична инфраструктура. Освен това Комисията ще укрепи мандата на Европол с цел да се засили оперативното полицейско сътрудничество.</w:t>
      </w:r>
      <w:r>
        <w:rPr>
          <w:b/>
          <w:iCs/>
          <w:noProof/>
        </w:rPr>
        <w:t xml:space="preserve"> </w:t>
      </w:r>
    </w:p>
    <w:p w:rsidR="007A301C" w:rsidRDefault="00E60AAA">
      <w:pPr>
        <w:rPr>
          <w:iCs/>
          <w:noProof/>
          <w:szCs w:val="24"/>
        </w:rPr>
      </w:pPr>
      <w:r>
        <w:rPr>
          <w:noProof/>
        </w:rPr>
        <w:t>След приемането на Европейската програма за м</w:t>
      </w:r>
      <w:r>
        <w:rPr>
          <w:noProof/>
        </w:rPr>
        <w:t xml:space="preserve">играцията през 2015 г. ЕС предприе важни стъпки в своята работа в областта на миграцията и границите. За да даде необходимите ново начало и подновен импулс, Комисията ще представи </w:t>
      </w:r>
      <w:r>
        <w:rPr>
          <w:b/>
          <w:iCs/>
          <w:noProof/>
        </w:rPr>
        <w:t>нов пакт за миграцията и убежището</w:t>
      </w:r>
      <w:r>
        <w:rPr>
          <w:noProof/>
        </w:rPr>
        <w:t>. Той ще съдържа всеобхватен подход, който</w:t>
      </w:r>
      <w:r>
        <w:rPr>
          <w:noProof/>
        </w:rPr>
        <w:t xml:space="preserve"> признава неразривната връзка между вътрешните и външните аспекти на миграцията. Реформата на общата европейска политика в областта на убежището ще продължи да бъде съществена част от този цялостен подход. Комисията ще представи по-устойчива, по-хуманна и </w:t>
      </w:r>
      <w:r>
        <w:rPr>
          <w:noProof/>
        </w:rPr>
        <w:t xml:space="preserve">по-ефективна система за миграция и убежище, която също така ще утвърди доверието в Шенгенското пространство на свободно движение. </w:t>
      </w:r>
    </w:p>
    <w:p w:rsidR="007A301C" w:rsidRDefault="00E60AAA">
      <w:pPr>
        <w:pStyle w:val="Heading2"/>
        <w:tabs>
          <w:tab w:val="clear" w:pos="709"/>
          <w:tab w:val="num" w:pos="1202"/>
        </w:tabs>
        <w:rPr>
          <w:noProof/>
        </w:rPr>
      </w:pPr>
      <w:r>
        <w:rPr>
          <w:noProof/>
        </w:rPr>
        <w:t>Нов тласък за европейската демокрация</w:t>
      </w:r>
    </w:p>
    <w:p w:rsidR="007A301C" w:rsidRDefault="00E60AAA">
      <w:pPr>
        <w:rPr>
          <w:noProof/>
          <w:szCs w:val="24"/>
        </w:rPr>
      </w:pPr>
      <w:r>
        <w:rPr>
          <w:noProof/>
        </w:rPr>
        <w:t>Поддържането на силна и жизнена демокрация в Европа е въпрос на легитимност и доверие. Демокрацията е основна ценност на нашия Съюз, наред с основните права и върховенството на закона. Европейската демокрация обаче е изправена пред множество предизвикателс</w:t>
      </w:r>
      <w:r>
        <w:rPr>
          <w:noProof/>
        </w:rPr>
        <w:t xml:space="preserve">тва, породени както в рамките на Съюза, така и извън него. </w:t>
      </w:r>
    </w:p>
    <w:p w:rsidR="007A301C" w:rsidRDefault="00E60AAA">
      <w:pPr>
        <w:rPr>
          <w:noProof/>
          <w:szCs w:val="24"/>
        </w:rPr>
      </w:pPr>
      <w:r>
        <w:rPr>
          <w:noProof/>
        </w:rPr>
        <w:t xml:space="preserve">В отговор на това Комисията ще представи </w:t>
      </w:r>
      <w:r>
        <w:rPr>
          <w:b/>
          <w:noProof/>
        </w:rPr>
        <w:t>план за действие за европейската демокрация</w:t>
      </w:r>
      <w:r>
        <w:rPr>
          <w:noProof/>
        </w:rPr>
        <w:t>, който да спомогне за повишаване на устойчивостта на нашите демокрации и за справяне със заплахите от външна на</w:t>
      </w:r>
      <w:r>
        <w:rPr>
          <w:noProof/>
        </w:rPr>
        <w:t>меса в европейските избори. Целта ще бъде да се противодейства на дезинформацията и да се осигурят механизми за адаптиране към променящите се заплахи и манипулациите, както и да се оказва подкрепа на свободните и независими медии.</w:t>
      </w:r>
    </w:p>
    <w:p w:rsidR="007A301C" w:rsidRDefault="00E60AAA">
      <w:pPr>
        <w:rPr>
          <w:noProof/>
          <w:szCs w:val="24"/>
        </w:rPr>
      </w:pPr>
      <w:r>
        <w:rPr>
          <w:noProof/>
        </w:rPr>
        <w:t>За да спомогнат за по-нат</w:t>
      </w:r>
      <w:r>
        <w:rPr>
          <w:noProof/>
        </w:rPr>
        <w:t xml:space="preserve">атъшното укрепване на нашата демокрация, гражданите, институциите на ЕС, националните, регионалните и местните политици ще обединят усилията си в дебат, който ще се проведе в рамките на </w:t>
      </w:r>
      <w:r>
        <w:rPr>
          <w:b/>
          <w:noProof/>
        </w:rPr>
        <w:t>Конференцията за бъдещето на Европа</w:t>
      </w:r>
      <w:r>
        <w:rPr>
          <w:noProof/>
        </w:rPr>
        <w:t>. През януари Комисията представи с</w:t>
      </w:r>
      <w:r>
        <w:rPr>
          <w:noProof/>
        </w:rPr>
        <w:t>воите идеи за конференцията с цел да постигне бързо съгласие с Европейския парламент и Съвета относно нейния обхват, формат и цели.</w:t>
      </w:r>
    </w:p>
    <w:p w:rsidR="007A301C" w:rsidRDefault="00E60AAA">
      <w:pPr>
        <w:rPr>
          <w:noProof/>
        </w:rPr>
      </w:pPr>
      <w:r>
        <w:rPr>
          <w:noProof/>
        </w:rPr>
        <w:t>Част от силата на нашата демокрация е решимостта ни да отстояваме правата и върховенството на закона. Работата по тяхната за</w:t>
      </w:r>
      <w:r>
        <w:rPr>
          <w:noProof/>
        </w:rPr>
        <w:t xml:space="preserve">щита никога не секва. Като част от новия механизъм за върховенството на закона Комисията ще представи първия си </w:t>
      </w:r>
      <w:r>
        <w:rPr>
          <w:b/>
          <w:bCs/>
          <w:noProof/>
        </w:rPr>
        <w:t>годишен доклад относно върховенството на закона</w:t>
      </w:r>
      <w:r>
        <w:rPr>
          <w:noProof/>
        </w:rPr>
        <w:t>, обхващащ всички държави членки. Това ще допринесе за укрепването на европейската култура за съб</w:t>
      </w:r>
      <w:r>
        <w:rPr>
          <w:noProof/>
        </w:rPr>
        <w:t xml:space="preserve">людаване на върховенството на закона в ЕС. Тя също така ще представи нова </w:t>
      </w:r>
      <w:r>
        <w:rPr>
          <w:b/>
          <w:bCs/>
          <w:noProof/>
        </w:rPr>
        <w:t>стратегия за прилагането на Хартата на основните права</w:t>
      </w:r>
      <w:r>
        <w:rPr>
          <w:noProof/>
        </w:rPr>
        <w:t xml:space="preserve"> с акцент върху повишаването на осведомеността на национално равнище. </w:t>
      </w:r>
    </w:p>
    <w:p w:rsidR="007A301C" w:rsidRDefault="00E60AAA">
      <w:pPr>
        <w:rPr>
          <w:iCs/>
          <w:noProof/>
          <w:szCs w:val="24"/>
        </w:rPr>
      </w:pPr>
      <w:r>
        <w:rPr>
          <w:noProof/>
        </w:rPr>
        <w:t>Равенството е основна ценност на Европейския съюз и е дви</w:t>
      </w:r>
      <w:r>
        <w:rPr>
          <w:noProof/>
        </w:rPr>
        <w:t xml:space="preserve">гател за икономически растеж и социално благоденствие. Комисията ще представи </w:t>
      </w:r>
      <w:r>
        <w:rPr>
          <w:b/>
          <w:iCs/>
          <w:noProof/>
        </w:rPr>
        <w:t>стратегия за равенство между половете</w:t>
      </w:r>
      <w:r>
        <w:rPr>
          <w:noProof/>
        </w:rPr>
        <w:t xml:space="preserve"> в отговор на основните предизвикателства, пред които са изправени жените днес, включително </w:t>
      </w:r>
      <w:r>
        <w:rPr>
          <w:b/>
          <w:iCs/>
          <w:noProof/>
        </w:rPr>
        <w:t>насилието, основано на пола</w:t>
      </w:r>
      <w:r>
        <w:rPr>
          <w:noProof/>
        </w:rPr>
        <w:t>, икономическата незав</w:t>
      </w:r>
      <w:r>
        <w:rPr>
          <w:noProof/>
        </w:rPr>
        <w:t xml:space="preserve">исимост и достъпа до пазара на труда. Ще бъдат представени предложения относно прозрачността при заплащането.  </w:t>
      </w:r>
    </w:p>
    <w:p w:rsidR="007A301C" w:rsidRDefault="00E60AAA">
      <w:pPr>
        <w:rPr>
          <w:noProof/>
          <w:szCs w:val="24"/>
        </w:rPr>
      </w:pPr>
      <w:r>
        <w:rPr>
          <w:noProof/>
        </w:rPr>
        <w:t xml:space="preserve">Комисията ще предприеме също така действия за насърчаване на </w:t>
      </w:r>
      <w:r>
        <w:rPr>
          <w:b/>
          <w:iCs/>
          <w:noProof/>
        </w:rPr>
        <w:t>равенството и по-доброто приобщаване на ромите</w:t>
      </w:r>
      <w:r>
        <w:rPr>
          <w:noProof/>
        </w:rPr>
        <w:t>.</w:t>
      </w:r>
      <w:r>
        <w:rPr>
          <w:b/>
          <w:iCs/>
          <w:noProof/>
        </w:rPr>
        <w:t xml:space="preserve"> </w:t>
      </w:r>
      <w:r>
        <w:rPr>
          <w:noProof/>
        </w:rPr>
        <w:t xml:space="preserve">Специално посветена стратегия ще спомогне да се гарантира </w:t>
      </w:r>
      <w:r>
        <w:rPr>
          <w:b/>
          <w:iCs/>
          <w:noProof/>
        </w:rPr>
        <w:t>равенството на лесбийките, гейовете, бисексуалните, трансполовите и интерсексуалните лица в целия ЕС</w:t>
      </w:r>
      <w:r>
        <w:rPr>
          <w:noProof/>
        </w:rPr>
        <w:t>. Винаги следва да се обръща особено внимание на защитата на най-уязвимите. Комисията ще представи</w:t>
      </w:r>
      <w:r>
        <w:rPr>
          <w:noProof/>
        </w:rPr>
        <w:t xml:space="preserve"> </w:t>
      </w:r>
      <w:r>
        <w:rPr>
          <w:b/>
          <w:noProof/>
        </w:rPr>
        <w:t>стратегия на ЕС за правата на жертвите</w:t>
      </w:r>
      <w:r>
        <w:rPr>
          <w:noProof/>
        </w:rPr>
        <w:t>.</w:t>
      </w:r>
    </w:p>
    <w:p w:rsidR="007A301C" w:rsidRDefault="00E60AAA">
      <w:pPr>
        <w:rPr>
          <w:noProof/>
          <w:szCs w:val="24"/>
        </w:rPr>
      </w:pPr>
      <w:r>
        <w:rPr>
          <w:noProof/>
        </w:rPr>
        <w:t xml:space="preserve">Като част от работата ни, насочена към по-добро разбиране и реагиране на тези промени, Комисията ще представи </w:t>
      </w:r>
      <w:r>
        <w:rPr>
          <w:b/>
          <w:noProof/>
        </w:rPr>
        <w:t>доклад за въздействието на демографските промени</w:t>
      </w:r>
      <w:r>
        <w:rPr>
          <w:noProof/>
        </w:rPr>
        <w:t>. В него ще се разгледа въпросът как новите демографски р</w:t>
      </w:r>
      <w:r>
        <w:rPr>
          <w:noProof/>
        </w:rPr>
        <w:t xml:space="preserve">еалности засягат всичко — от социалната и регионалната политика, здравеопазването, финансите и цифровата свързаност, до уменията и интеграцията. Комисията ще предложи също така </w:t>
      </w:r>
      <w:r>
        <w:rPr>
          <w:b/>
          <w:noProof/>
        </w:rPr>
        <w:t>дългосрочна визия</w:t>
      </w:r>
      <w:r>
        <w:rPr>
          <w:noProof/>
        </w:rPr>
        <w:t xml:space="preserve"> за селските райони и </w:t>
      </w:r>
      <w:r>
        <w:rPr>
          <w:b/>
          <w:bCs/>
          <w:noProof/>
        </w:rPr>
        <w:t>Зелена книга относно застаряването</w:t>
      </w:r>
      <w:r>
        <w:rPr>
          <w:noProof/>
        </w:rPr>
        <w:t xml:space="preserve">.  </w:t>
      </w:r>
    </w:p>
    <w:p w:rsidR="007A301C" w:rsidRDefault="00E60AAA">
      <w:pPr>
        <w:rPr>
          <w:noProof/>
          <w:szCs w:val="24"/>
        </w:rPr>
      </w:pPr>
      <w:r>
        <w:rPr>
          <w:noProof/>
        </w:rPr>
        <w:t>Но</w:t>
      </w:r>
      <w:r>
        <w:rPr>
          <w:noProof/>
        </w:rPr>
        <w:t xml:space="preserve">вата </w:t>
      </w:r>
      <w:r>
        <w:rPr>
          <w:b/>
          <w:bCs/>
          <w:noProof/>
        </w:rPr>
        <w:t>програма</w:t>
      </w:r>
      <w:r>
        <w:rPr>
          <w:noProof/>
        </w:rPr>
        <w:t xml:space="preserve"> на Комисията </w:t>
      </w:r>
      <w:r>
        <w:rPr>
          <w:b/>
          <w:bCs/>
          <w:noProof/>
        </w:rPr>
        <w:t>за потребителите</w:t>
      </w:r>
      <w:r>
        <w:rPr>
          <w:noProof/>
        </w:rPr>
        <w:t xml:space="preserve"> ще приведе защитата на потребителите в съответствие с днешните реалности, а именно трансграничните и онлайн сделки. Тя ще даде възможност на потребителите да правят информиран избор и да участват активно в зелени</w:t>
      </w:r>
      <w:r>
        <w:rPr>
          <w:noProof/>
        </w:rPr>
        <w:t>я и цифровия преход.</w:t>
      </w:r>
    </w:p>
    <w:p w:rsidR="007A301C" w:rsidRDefault="00E60AAA">
      <w:pPr>
        <w:pStyle w:val="Heading1"/>
        <w:rPr>
          <w:noProof/>
        </w:rPr>
      </w:pPr>
      <w:r>
        <w:rPr>
          <w:noProof/>
        </w:rPr>
        <w:t>Преглед на инициативите, предложени по време на предходни мандати, които все още не са одобрени от Европейския парламент и Съвета</w:t>
      </w:r>
    </w:p>
    <w:p w:rsidR="007A301C" w:rsidRDefault="00E60AAA">
      <w:pPr>
        <w:rPr>
          <w:noProof/>
          <w:szCs w:val="24"/>
        </w:rPr>
      </w:pPr>
      <w:r>
        <w:rPr>
          <w:noProof/>
        </w:rPr>
        <w:t>За да гарантира, че усилията ни са насочени към изпълнение на основните приоритети, определени за този ма</w:t>
      </w:r>
      <w:r>
        <w:rPr>
          <w:noProof/>
        </w:rPr>
        <w:t>ндат, Комисията внимателно разгледа всички предложения, които все още се очаква да бъдат приети от Европейския парламент и Съвета, за да прецени дали те следва да бъдат запазени, изменени или оттеглени</w:t>
      </w:r>
      <w:r>
        <w:rPr>
          <w:rStyle w:val="FootnoteReference"/>
          <w:noProof/>
        </w:rPr>
        <w:footnoteReference w:id="2"/>
      </w:r>
      <w:r>
        <w:rPr>
          <w:noProof/>
        </w:rPr>
        <w:t>. При оценката си Комисията провери дали внесените пре</w:t>
      </w:r>
      <w:r>
        <w:rPr>
          <w:noProof/>
        </w:rPr>
        <w:t>дложения съответстват на основните амбициозни цели, дали все още могат да отговорят на настоящите предизвикателства и да бъдат приложени успешно и дали има разумни изгледи да бъдат приети в близко бъдеще. Внимателно отбелязахме и мненията, изразени от Парл</w:t>
      </w:r>
      <w:r>
        <w:rPr>
          <w:noProof/>
        </w:rPr>
        <w:t xml:space="preserve">амента и Съвета. </w:t>
      </w:r>
    </w:p>
    <w:p w:rsidR="007A301C" w:rsidRDefault="00E60AAA">
      <w:pPr>
        <w:rPr>
          <w:noProof/>
          <w:szCs w:val="24"/>
        </w:rPr>
      </w:pPr>
      <w:r>
        <w:rPr>
          <w:noProof/>
        </w:rPr>
        <w:t>Въз основа на задълбочения анализ на представените законодателни предложения, по които понастоящем се очаква постигане на съгласие от Парламента и Съвета, Комисията заключи, че 32 от тях следва да бъдат оттеглени.</w:t>
      </w:r>
    </w:p>
    <w:p w:rsidR="007A301C" w:rsidRDefault="00E60AAA">
      <w:pPr>
        <w:rPr>
          <w:noProof/>
          <w:szCs w:val="24"/>
        </w:rPr>
      </w:pPr>
      <w:r>
        <w:rPr>
          <w:noProof/>
        </w:rPr>
        <w:t xml:space="preserve">Комисията остава изцяло </w:t>
      </w:r>
      <w:r>
        <w:rPr>
          <w:noProof/>
        </w:rPr>
        <w:t xml:space="preserve">ангажирана с постигането на основните цели, които стоят зад много от предложенията, за които се предлага да бъдат оттеглени. Въпреки това, за да се постигне напредък по тези досиета, е необходимо да се направи крачка назад, за да се обмисли най-ефикасният </w:t>
      </w:r>
      <w:r>
        <w:rPr>
          <w:noProof/>
        </w:rPr>
        <w:t>начин за постигане на техните цели.</w:t>
      </w:r>
    </w:p>
    <w:p w:rsidR="007A301C" w:rsidRDefault="00E60AAA">
      <w:pPr>
        <w:rPr>
          <w:noProof/>
          <w:szCs w:val="24"/>
        </w:rPr>
      </w:pPr>
      <w:r>
        <w:rPr>
          <w:noProof/>
        </w:rPr>
        <w:t>Всички предложения, които Комисията възнамерява да оттегли, са изброени в приложение IV заедно с обяснение на причините за това.</w:t>
      </w:r>
    </w:p>
    <w:p w:rsidR="007A301C" w:rsidRDefault="00E60AAA">
      <w:pPr>
        <w:rPr>
          <w:noProof/>
          <w:szCs w:val="24"/>
        </w:rPr>
      </w:pPr>
      <w:r>
        <w:rPr>
          <w:noProof/>
        </w:rPr>
        <w:t>Преди да пристъпи към оттегляне, Комисията ще се консултира с Европейския парламент и Съвет</w:t>
      </w:r>
      <w:r>
        <w:rPr>
          <w:noProof/>
        </w:rPr>
        <w:t>а относно предложения списък. От оставащите текущи инициативи Комисията набеляза законодателните инициативи, които следва да получат приоритетно внимание в законодателния процес през 2020 г.; те са изброени в приложение III.</w:t>
      </w:r>
    </w:p>
    <w:p w:rsidR="007A301C" w:rsidRDefault="00E60AAA">
      <w:pPr>
        <w:pStyle w:val="Heading1"/>
        <w:rPr>
          <w:noProof/>
        </w:rPr>
      </w:pPr>
      <w:r>
        <w:rPr>
          <w:noProof/>
        </w:rPr>
        <w:t xml:space="preserve">По-добро регулиране, изготвяне </w:t>
      </w:r>
      <w:r>
        <w:rPr>
          <w:noProof/>
        </w:rPr>
        <w:t xml:space="preserve">на политиките, изпълнение и прилагане на правото на ЕС </w:t>
      </w:r>
    </w:p>
    <w:p w:rsidR="007A301C" w:rsidRDefault="00E60AAA">
      <w:pPr>
        <w:rPr>
          <w:noProof/>
          <w:szCs w:val="24"/>
        </w:rPr>
      </w:pPr>
      <w:r>
        <w:rPr>
          <w:noProof/>
        </w:rPr>
        <w:t xml:space="preserve">Комисията предложи амбициозна програма за инвестиране в нашия човешки капитал, нашата планета и нашата икономика, в партньорство с другите институции на ЕС, държавите членки, регионите и гражданското </w:t>
      </w:r>
      <w:r>
        <w:rPr>
          <w:noProof/>
        </w:rPr>
        <w:t xml:space="preserve">общество в ЕС. </w:t>
      </w:r>
      <w:r>
        <w:rPr>
          <w:b/>
          <w:noProof/>
        </w:rPr>
        <w:t>По-доброто регулиране ще продължи да заема централно място при изготвянето на нашите политики</w:t>
      </w:r>
      <w:r>
        <w:rPr>
          <w:noProof/>
        </w:rPr>
        <w:t>. Комисията е твърдо решена да разработва и прилага политики, които водят до осезаеми резултати по места и улесняват живота на хората и предприятият</w:t>
      </w:r>
      <w:r>
        <w:rPr>
          <w:noProof/>
        </w:rPr>
        <w:t xml:space="preserve">а. Като част от ангажимента, поет в рамките на Европейския зелен пакт, всички инициативи ще бъдат на висотата на </w:t>
      </w:r>
      <w:r>
        <w:rPr>
          <w:b/>
          <w:noProof/>
        </w:rPr>
        <w:t>„зелената клетва“ да не се нанасят вреди</w:t>
      </w:r>
      <w:r>
        <w:rPr>
          <w:noProof/>
        </w:rPr>
        <w:t>.</w:t>
      </w:r>
    </w:p>
    <w:p w:rsidR="007A301C" w:rsidRDefault="00E60AAA">
      <w:pPr>
        <w:rPr>
          <w:noProof/>
          <w:szCs w:val="24"/>
        </w:rPr>
      </w:pPr>
      <w:r>
        <w:rPr>
          <w:noProof/>
        </w:rPr>
        <w:t>Като част от непрекъснатите усилия за подобряване на изготвянето на политики Комисията ще подготви пъ</w:t>
      </w:r>
      <w:r>
        <w:rPr>
          <w:noProof/>
        </w:rPr>
        <w:t xml:space="preserve">рвия си </w:t>
      </w:r>
      <w:r>
        <w:rPr>
          <w:b/>
          <w:noProof/>
        </w:rPr>
        <w:t>доклад за перспективите</w:t>
      </w:r>
      <w:r>
        <w:rPr>
          <w:noProof/>
        </w:rPr>
        <w:t>.</w:t>
      </w:r>
      <w:r>
        <w:rPr>
          <w:b/>
          <w:noProof/>
        </w:rPr>
        <w:t xml:space="preserve"> </w:t>
      </w:r>
      <w:r>
        <w:rPr>
          <w:noProof/>
        </w:rPr>
        <w:t>В него ще се набележат основните тенденции и техните потенциални последици за политиките. Докладът ще спомогне за преориентиране на обществения дебат към дългосрочни стратегически въпроси и ще предоставя препоръки, за да ус</w:t>
      </w:r>
      <w:r>
        <w:rPr>
          <w:noProof/>
        </w:rPr>
        <w:t xml:space="preserve">пеем да постигнем целите, които Европа си е поставила.Комисията ще представи </w:t>
      </w:r>
      <w:r>
        <w:rPr>
          <w:b/>
          <w:bCs/>
          <w:noProof/>
        </w:rPr>
        <w:t>съобщение за по-добро регулиране</w:t>
      </w:r>
      <w:r>
        <w:rPr>
          <w:noProof/>
        </w:rPr>
        <w:t>. Тя ще се стреми да засили доказателствата, представени в оценките, да интегрира прогнозите в своите регулаторни инструменти, да прилага идеята за</w:t>
      </w:r>
      <w:r>
        <w:rPr>
          <w:noProof/>
        </w:rPr>
        <w:t xml:space="preserve"> „активна“ субсидиарност и да провежда по-ефикасни консултации с гражданите. </w:t>
      </w:r>
    </w:p>
    <w:p w:rsidR="007A301C" w:rsidRDefault="00E60AAA">
      <w:pPr>
        <w:rPr>
          <w:noProof/>
          <w:szCs w:val="24"/>
        </w:rPr>
      </w:pPr>
      <w:r>
        <w:rPr>
          <w:noProof/>
        </w:rPr>
        <w:t xml:space="preserve">Комисията също така ще разработи нов инструмент въз основа на </w:t>
      </w:r>
      <w:r>
        <w:rPr>
          <w:b/>
          <w:noProof/>
        </w:rPr>
        <w:t>подхода за отмяна на предишни тежести при въвеждането на нови</w:t>
      </w:r>
      <w:r>
        <w:rPr>
          <w:noProof/>
        </w:rPr>
        <w:t xml:space="preserve"> („One in, One Out“), за да се гарантира, че нововъведе</w:t>
      </w:r>
      <w:r>
        <w:rPr>
          <w:noProof/>
        </w:rPr>
        <w:t>ните административни тежести се компенсират чрез премахването на равностойни административни разходи на равнище ЕС в същата област на политиката, за да се облекчат хората и предприятията, по-специално МСП. Този подход няма да намали нашите социални и еколо</w:t>
      </w:r>
      <w:r>
        <w:rPr>
          <w:noProof/>
        </w:rPr>
        <w:t>гични стандарти, нито ще се прилага чисто механично. Целта му е да гарантира, че законодателството на ЕС е от полза за тези, за които в крайна сметка е преназначено, без да създава ненужна тежест за гражданите и предприятията, особено за МСП. За тази цел т</w:t>
      </w:r>
      <w:r>
        <w:rPr>
          <w:noProof/>
        </w:rPr>
        <w:t>рябва да изготвяме законодателството на ЕС от перспективата на тези, които се ползват от него, и последователно да прилагаме принципа „цифрово обслужване по подразбиране“.</w:t>
      </w:r>
    </w:p>
    <w:p w:rsidR="007A301C" w:rsidRDefault="00E60AAA">
      <w:pPr>
        <w:rPr>
          <w:noProof/>
          <w:szCs w:val="24"/>
        </w:rPr>
      </w:pPr>
      <w:r>
        <w:rPr>
          <w:noProof/>
        </w:rPr>
        <w:t xml:space="preserve">Опростяването и намаляването на тежестта ще се извършват в тясно сътрудничество със </w:t>
      </w:r>
      <w:r>
        <w:rPr>
          <w:noProof/>
        </w:rPr>
        <w:t>съзаконодателите, държавите членки, регионите и органите за местно самоуправление. За да спази своя ангажимент за максимални ползи за предприятията и хората, като същевременно се избягват ненужните тежести, Комисията ще създаде платформата „</w:t>
      </w:r>
      <w:r>
        <w:rPr>
          <w:b/>
          <w:noProof/>
        </w:rPr>
        <w:t>Подготвеност за</w:t>
      </w:r>
      <w:r>
        <w:rPr>
          <w:b/>
          <w:noProof/>
        </w:rPr>
        <w:t xml:space="preserve"> бъдещето</w:t>
      </w:r>
      <w:r>
        <w:rPr>
          <w:noProof/>
        </w:rPr>
        <w:t>“. Тази платформа ще обединява експертния опит на националните администрации, регионите, социалните партньори, малките и големите предприятия, потребителите, здравните и екологичните организации и други неправителствени организации. Тя ще разглежд</w:t>
      </w:r>
      <w:r>
        <w:rPr>
          <w:noProof/>
        </w:rPr>
        <w:t xml:space="preserve">а възможностите за опростяване, намаляване на тежестта, цифровизация и проверка дали законодателството е пригодно за бъдещето. </w:t>
      </w:r>
    </w:p>
    <w:p w:rsidR="007A301C" w:rsidRDefault="00E60AAA">
      <w:pPr>
        <w:rPr>
          <w:noProof/>
          <w:szCs w:val="24"/>
        </w:rPr>
      </w:pPr>
      <w:r>
        <w:rPr>
          <w:noProof/>
        </w:rPr>
        <w:t>Законодателството може да изпълнява предназначението си само ако се прилага по еднакъв начин. В тази връзка Комисията ще продълж</w:t>
      </w:r>
      <w:r>
        <w:rPr>
          <w:noProof/>
        </w:rPr>
        <w:t xml:space="preserve">и да </w:t>
      </w:r>
      <w:r>
        <w:rPr>
          <w:b/>
          <w:noProof/>
        </w:rPr>
        <w:t>следи отблизо транспонирането и прилагането на действащото законодателство</w:t>
      </w:r>
      <w:r>
        <w:rPr>
          <w:noProof/>
        </w:rPr>
        <w:t>. Тя ще се стреми към диалог с държавите членки, за да се постигне по-добро разбиране на проблемите, да се намерят решения и в крайна сметка да се спестят време и пари на данъко</w:t>
      </w:r>
      <w:r>
        <w:rPr>
          <w:noProof/>
        </w:rPr>
        <w:t xml:space="preserve">платците. Когато диалогът не води до резултати, </w:t>
      </w:r>
      <w:r>
        <w:rPr>
          <w:b/>
          <w:noProof/>
        </w:rPr>
        <w:t>Комисията няма да се поколебае да предприеме решителни и ефективни действия по правоприлагане</w:t>
      </w:r>
      <w:r>
        <w:rPr>
          <w:noProof/>
        </w:rPr>
        <w:t>, ако това е необходимо.</w:t>
      </w:r>
    </w:p>
    <w:p w:rsidR="007A301C" w:rsidRDefault="00E60AAA">
      <w:pPr>
        <w:pStyle w:val="Heading1"/>
        <w:rPr>
          <w:noProof/>
        </w:rPr>
      </w:pPr>
      <w:r>
        <w:rPr>
          <w:noProof/>
        </w:rPr>
        <w:t>Заключение</w:t>
      </w:r>
    </w:p>
    <w:p w:rsidR="007A301C" w:rsidRDefault="00E60AAA">
      <w:pPr>
        <w:rPr>
          <w:bCs/>
          <w:noProof/>
          <w:szCs w:val="24"/>
        </w:rPr>
      </w:pPr>
      <w:r>
        <w:rPr>
          <w:noProof/>
        </w:rPr>
        <w:t>Тази работна програма и първата година от мандата ще определят визията, насокат</w:t>
      </w:r>
      <w:r>
        <w:rPr>
          <w:noProof/>
        </w:rPr>
        <w:t>а и темпото за следващите пет години. Първите 100 дни ще бъдат изключително важни като декларация към европейците за намерението техният Съюз да отговори на амбициите и призива, отправен в изборите през миналата година.</w:t>
      </w:r>
    </w:p>
    <w:p w:rsidR="007A301C" w:rsidRDefault="00E60AAA">
      <w:pPr>
        <w:rPr>
          <w:bCs/>
          <w:noProof/>
          <w:szCs w:val="24"/>
        </w:rPr>
      </w:pPr>
      <w:r>
        <w:rPr>
          <w:noProof/>
        </w:rPr>
        <w:t>Всяка от инициативите, изброени в та</w:t>
      </w:r>
      <w:r>
        <w:rPr>
          <w:noProof/>
        </w:rPr>
        <w:t>зи работна програма, в крайна сметка ще служи на хората в Европа. За да направи живота на хората по-лесен и по-здравословен, обществата — по-справедливи и правдиви, възможностите — по-разнообразни и достъпни, а икономиките — по-модерни и насочени към по-ши</w:t>
      </w:r>
      <w:r>
        <w:rPr>
          <w:noProof/>
        </w:rPr>
        <w:t>роки цели. Но тези инициативи могат да служат по този начин на Съюза ни само ако държавите членки и европейските институции работят заедно, за да могат предложенията да се превърнат в законодателни актове, а законодателството — в конкретни резултати на мяс</w:t>
      </w:r>
      <w:r>
        <w:rPr>
          <w:noProof/>
        </w:rPr>
        <w:t xml:space="preserve">то. За да постигне това, Комисията е решена да работи в партньорство с Европейския парламент и Съвета. </w:t>
      </w:r>
    </w:p>
    <w:p w:rsidR="007A301C" w:rsidRDefault="00E60AAA">
      <w:pPr>
        <w:rPr>
          <w:bCs/>
          <w:noProof/>
          <w:szCs w:val="24"/>
        </w:rPr>
      </w:pPr>
      <w:r>
        <w:rPr>
          <w:noProof/>
        </w:rPr>
        <w:t>При изпълнението на тази работна програма Комисията ще се съсредоточи и върху това да обяснява нашите действия, както и да взема предвид възгледите на г</w:t>
      </w:r>
      <w:r>
        <w:rPr>
          <w:noProof/>
        </w:rPr>
        <w:t xml:space="preserve">ражданите, включително чрез Конференцията за бъдещето на Европа. Заедно с нашата работа в областта на прогнозирането, този ангажимент ще бъде важен елемент при вземането на решения за бъдещите приоритети, политики и работни програми. </w:t>
      </w:r>
    </w:p>
    <w:p w:rsidR="007A301C" w:rsidRPr="00E60AAA" w:rsidRDefault="00E60AAA">
      <w:pPr>
        <w:rPr>
          <w:bCs/>
          <w:noProof/>
          <w:szCs w:val="24"/>
        </w:rPr>
      </w:pPr>
      <w:r>
        <w:rPr>
          <w:noProof/>
        </w:rPr>
        <w:t>Като използваме всичк</w:t>
      </w:r>
      <w:r>
        <w:rPr>
          <w:noProof/>
        </w:rPr>
        <w:t>и преимущества на Европа, като засилваме връзката между гражданите и тези, които им служат, като гарантираме, че нашите институции работят заедно, можем с общи усилия да се възползваме от възможностите, които предстоят през следващите пет години и след тов</w:t>
      </w:r>
      <w:r>
        <w:rPr>
          <w:noProof/>
        </w:rPr>
        <w:t>а. Да се стремим да постигнем повече вътре в Съюза, за да играем водеща роля в света.</w:t>
      </w:r>
    </w:p>
    <w:sectPr w:rsidR="007A301C" w:rsidRPr="00E60AAA">
      <w:headerReference w:type="even" r:id="rId21"/>
      <w:headerReference w:type="default" r:id="rId22"/>
      <w:footerReference w:type="even" r:id="rId23"/>
      <w:footerReference w:type="default" r:id="rId24"/>
      <w:headerReference w:type="first" r:id="rId25"/>
      <w:footerReference w:type="first" r:id="rId2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01C" w:rsidRDefault="00E60AAA">
      <w:pPr>
        <w:spacing w:after="0"/>
      </w:pPr>
      <w:r>
        <w:separator/>
      </w:r>
    </w:p>
  </w:endnote>
  <w:endnote w:type="continuationSeparator" w:id="0">
    <w:p w:rsidR="007A301C" w:rsidRDefault="00E60AAA">
      <w:pPr>
        <w:spacing w:after="0"/>
      </w:pPr>
      <w:r>
        <w:continuationSeparator/>
      </w:r>
    </w:p>
  </w:endnote>
  <w:endnote w:type="continuationNotice" w:id="1">
    <w:p w:rsidR="007A301C" w:rsidRDefault="007A30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AAA" w:rsidRPr="00E60AAA" w:rsidRDefault="00E60AAA" w:rsidP="00E60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1C" w:rsidRPr="00E60AAA" w:rsidRDefault="00E60AAA" w:rsidP="00E60AAA">
    <w:pPr>
      <w:pStyle w:val="FooterCoverPage"/>
      <w:rPr>
        <w:rFonts w:ascii="Arial" w:hAnsi="Arial" w:cs="Arial"/>
        <w:b/>
        <w:sz w:val="48"/>
      </w:rPr>
    </w:pPr>
    <w:r w:rsidRPr="00E60AAA">
      <w:rPr>
        <w:rFonts w:ascii="Arial" w:hAnsi="Arial" w:cs="Arial"/>
        <w:b/>
        <w:sz w:val="48"/>
      </w:rPr>
      <w:t>BG</w:t>
    </w:r>
    <w:r w:rsidRPr="00E60AAA">
      <w:rPr>
        <w:rFonts w:ascii="Arial" w:hAnsi="Arial" w:cs="Arial"/>
        <w:b/>
        <w:sz w:val="48"/>
      </w:rPr>
      <w:tab/>
    </w:r>
    <w:r w:rsidRPr="00E60AAA">
      <w:rPr>
        <w:rFonts w:ascii="Arial" w:hAnsi="Arial" w:cs="Arial"/>
        <w:b/>
        <w:sz w:val="48"/>
      </w:rPr>
      <w:tab/>
    </w:r>
    <w:r w:rsidRPr="00E60AAA">
      <w:tab/>
    </w:r>
    <w:r w:rsidRPr="00E60AAA">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AAA" w:rsidRPr="00E60AAA" w:rsidRDefault="00E60AAA" w:rsidP="00E60AA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1C" w:rsidRDefault="007A30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017374"/>
      <w:docPartObj>
        <w:docPartGallery w:val="Page Numbers (Bottom of Page)"/>
        <w:docPartUnique/>
      </w:docPartObj>
    </w:sdtPr>
    <w:sdtEndPr/>
    <w:sdtContent>
      <w:p w:rsidR="007A301C" w:rsidRDefault="00E60AAA">
        <w:pPr>
          <w:pStyle w:val="Footer"/>
          <w:ind w:right="-2"/>
          <w:jc w:val="right"/>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1C" w:rsidRDefault="007A3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01C" w:rsidRDefault="00E60AAA">
      <w:pPr>
        <w:spacing w:after="0"/>
      </w:pPr>
      <w:r>
        <w:separator/>
      </w:r>
    </w:p>
  </w:footnote>
  <w:footnote w:type="continuationSeparator" w:id="0">
    <w:p w:rsidR="007A301C" w:rsidRDefault="00E60AAA">
      <w:pPr>
        <w:spacing w:after="0"/>
      </w:pPr>
      <w:r>
        <w:continuationSeparator/>
      </w:r>
    </w:p>
  </w:footnote>
  <w:footnote w:type="continuationNotice" w:id="1">
    <w:p w:rsidR="007A301C" w:rsidRDefault="007A301C">
      <w:pPr>
        <w:spacing w:after="0"/>
      </w:pPr>
    </w:p>
  </w:footnote>
  <w:footnote w:id="2">
    <w:p w:rsidR="007A301C" w:rsidRDefault="00E60AAA">
      <w:pPr>
        <w:pStyle w:val="FootnoteText"/>
      </w:pPr>
      <w:r>
        <w:rPr>
          <w:rStyle w:val="FootnoteReference"/>
        </w:rPr>
        <w:footnoteRef/>
      </w:r>
      <w:r>
        <w:tab/>
        <w:t xml:space="preserve">В съответствие с точка 39 от Рамковото споразумение между Европейския парламент и Европейската комисия (ОВ L 304, </w:t>
      </w:r>
      <w:r>
        <w:t>20.11.2010 г.), в която се посочва, че „Комисията извършва преразглеждане на всички предложения, по които не е взето окончателно решение, в началото на мандата на новата Комисия, за да ги потвърди или оттегли политически, като взема надлежно предвид мнение</w:t>
      </w:r>
      <w:r>
        <w:t>то, изразено от Парламента“.</w:t>
      </w:r>
      <w:r>
        <w:rPr>
          <w:iCs/>
        </w:rPr>
        <w:t xml:space="preserve"> Разпоредби относно оттеглянето на внесени предложения са включени и в Междуинституционалното споразумение от 2016 г. за по-добро законотворчество (ОВ L 123, 12.5.2016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AAA" w:rsidRPr="00E60AAA" w:rsidRDefault="00E60AAA" w:rsidP="00E60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AAA" w:rsidRPr="00E60AAA" w:rsidRDefault="00E60AAA" w:rsidP="00E60AA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AAA" w:rsidRPr="00E60AAA" w:rsidRDefault="00E60AAA" w:rsidP="00E60AA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1C" w:rsidRDefault="007A30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1C" w:rsidRDefault="007A301C">
    <w:pPr>
      <w:pStyle w:val="Header"/>
      <w:jc w:val="right"/>
      <w:rPr>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1C" w:rsidRDefault="007A3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9AFC5D5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BE465D1"/>
    <w:multiLevelType w:val="hybridMultilevel"/>
    <w:tmpl w:val="FFB46854"/>
    <w:lvl w:ilvl="0" w:tplc="08F603D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FB7115"/>
    <w:multiLevelType w:val="multilevel"/>
    <w:tmpl w:val="BCFA5BA0"/>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6DD4D0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9200A316"/>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1B1ECABC"/>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761A3EDC"/>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642C57D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0DEC6D3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2054A13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36324F1E"/>
    <w:multiLevelType w:val="multilevel"/>
    <w:tmpl w:val="BD2A8AC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7CB1E1C"/>
    <w:multiLevelType w:val="multilevel"/>
    <w:tmpl w:val="4A02C07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A7730C4"/>
    <w:multiLevelType w:val="multilevel"/>
    <w:tmpl w:val="E34C995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429E662A"/>
    <w:multiLevelType w:val="multilevel"/>
    <w:tmpl w:val="039E10E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6B42325"/>
    <w:multiLevelType w:val="multilevel"/>
    <w:tmpl w:val="CC3A455A"/>
    <w:lvl w:ilvl="0">
      <w:start w:val="1"/>
      <w:numFmt w:val="decimal"/>
      <w:lvlText w:val="%1."/>
      <w:lvlJc w:val="left"/>
      <w:pPr>
        <w:ind w:left="360" w:hanging="360"/>
      </w:pPr>
    </w:lvl>
    <w:lvl w:ilvl="1">
      <w:start w:val="1"/>
      <w:numFmt w:val="decimal"/>
      <w:lvlText w:val="%1.%2."/>
      <w:lvlJc w:val="left"/>
      <w:pPr>
        <w:ind w:left="1284" w:hanging="432"/>
      </w:pPr>
      <w:rPr>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483BD7"/>
    <w:multiLevelType w:val="hybridMultilevel"/>
    <w:tmpl w:val="871A776A"/>
    <w:lvl w:ilvl="0" w:tplc="EC9CB15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E1A982C"/>
    <w:multiLevelType w:val="multilevel"/>
    <w:tmpl w:val="100E4B5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072619B"/>
    <w:multiLevelType w:val="multilevel"/>
    <w:tmpl w:val="64663BF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692B76EE"/>
    <w:multiLevelType w:val="hybridMultilevel"/>
    <w:tmpl w:val="15301EDE"/>
    <w:lvl w:ilvl="0" w:tplc="4B2A02C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77472E"/>
    <w:multiLevelType w:val="multilevel"/>
    <w:tmpl w:val="074C566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7C65145E"/>
    <w:multiLevelType w:val="multilevel"/>
    <w:tmpl w:val="A7B68A7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0"/>
  </w:num>
  <w:num w:numId="3">
    <w:abstractNumId w:val="7"/>
  </w:num>
  <w:num w:numId="4">
    <w:abstractNumId w:val="11"/>
  </w:num>
  <w:num w:numId="5">
    <w:abstractNumId w:val="17"/>
  </w:num>
  <w:num w:numId="6">
    <w:abstractNumId w:val="19"/>
  </w:num>
  <w:num w:numId="7">
    <w:abstractNumId w:val="2"/>
  </w:num>
  <w:num w:numId="8">
    <w:abstractNumId w:val="6"/>
  </w:num>
  <w:num w:numId="9">
    <w:abstractNumId w:val="13"/>
  </w:num>
  <w:num w:numId="10">
    <w:abstractNumId w:val="3"/>
  </w:num>
  <w:num w:numId="11">
    <w:abstractNumId w:val="4"/>
  </w:num>
  <w:num w:numId="12">
    <w:abstractNumId w:val="5"/>
  </w:num>
  <w:num w:numId="13">
    <w:abstractNumId w:val="8"/>
  </w:num>
  <w:num w:numId="14">
    <w:abstractNumId w:val="12"/>
  </w:num>
  <w:num w:numId="15">
    <w:abstractNumId w:val="16"/>
  </w:num>
  <w:num w:numId="16">
    <w:abstractNumId w:val="20"/>
  </w:num>
  <w:num w:numId="17">
    <w:abstractNumId w:val="9"/>
  </w:num>
  <w:num w:numId="18">
    <w:abstractNumId w:val="21"/>
  </w:num>
  <w:num w:numId="19">
    <w:abstractNumId w:val="14"/>
  </w:num>
  <w:num w:numId="20">
    <w:abstractNumId w:val="15"/>
  </w:num>
  <w:num w:numId="21">
    <w:abstractNumId w:val="1"/>
  </w:num>
  <w:num w:numId="22">
    <w:abstractNumId w:val="18"/>
  </w:num>
  <w:num w:numId="23">
    <w:abstractNumId w:val="18"/>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620EE75-2F64-492B-ACA1-D29DD9E3EDD7"/>
    <w:docVar w:name="LW_COVERPAGE_TYPE" w:val="1"/>
    <w:docVar w:name="LW_CROSSREFERENCE" w:val="&lt;UNUSED&gt;"/>
    <w:docVar w:name="LW_DocType" w:val="EUROLOOK"/>
    <w:docVar w:name="LW_EMISSION" w:val="29.1.2020"/>
    <w:docVar w:name="LW_EMISSION_ISODATE" w:val="2020-01-29"/>
    <w:docVar w:name="LW_EMISSION_LOCATION" w:val="BRX"/>
    <w:docVar w:name="LW_EMISSION_PREFIX" w:val="\u1041?\u1088?\u1102?\u1082?\u1089?\u1077?\u1083?,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6?\u1072?\u1073?\u1086?\u1090?\u1085?\u1072? \u1087?\u1088?\u1086?\u1075?\u1088?\u1072?\u1084?\u1072? \u1085?\u1072? \u1050?\u1086?\u1084?\u1080?\u1089?\u1080?\u1103?\u1090?\u1072? \u1079?\u1072? 2020 \u1075?._x000d__x000d__x000d__x000b__x000d__x000d__x000d__x000b__x000d__x000d__x000d__x000b_\u1057?\u1098?\u1102?\u1079? \u1089? \u1087?\u1086?-\u1075?\u1086?\u1083?\u1077?\u1084?\u1080? \u1072?\u1084?\u1073?\u1080?\u1094?\u1080?\u1080?"/>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7A301C"/>
    <w:rsid w:val="007A301C"/>
    <w:rsid w:val="00E60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B4B3764-0753-40E7-8E32-D8D6D08F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0"/>
    <w:qFormat/>
    <w:pPr>
      <w:keepNext/>
      <w:numPr>
        <w:numId w:val="16"/>
      </w:numPr>
      <w:spacing w:before="240"/>
      <w:outlineLvl w:val="0"/>
    </w:pPr>
    <w:rPr>
      <w:rFonts w:ascii="Times New Roman Bold" w:hAnsi="Times New Roman Bold"/>
      <w:b/>
    </w:rPr>
  </w:style>
  <w:style w:type="paragraph" w:styleId="Heading2">
    <w:name w:val="heading 2"/>
    <w:basedOn w:val="Normal"/>
    <w:next w:val="Text2"/>
    <w:uiPriority w:val="90"/>
    <w:qFormat/>
    <w:pPr>
      <w:keepNext/>
      <w:numPr>
        <w:ilvl w:val="1"/>
        <w:numId w:val="16"/>
      </w:numPr>
      <w:tabs>
        <w:tab w:val="clear" w:pos="1202"/>
        <w:tab w:val="num" w:pos="709"/>
      </w:tabs>
      <w:ind w:left="709"/>
      <w:outlineLvl w:val="1"/>
    </w:pPr>
    <w:rPr>
      <w:i/>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qFormat/>
    <w:pPr>
      <w:keepNext/>
      <w:numPr>
        <w:ilvl w:val="4"/>
        <w:numId w:val="16"/>
      </w:numPr>
      <w:outlineLvl w:val="4"/>
    </w:pPr>
  </w:style>
  <w:style w:type="paragraph" w:styleId="Heading6">
    <w:name w:val="heading 6"/>
    <w:basedOn w:val="Normal"/>
    <w:next w:val="Normal"/>
    <w:semiHidden/>
    <w:qFormat/>
    <w:pPr>
      <w:keepNext/>
      <w:numPr>
        <w:ilvl w:val="5"/>
        <w:numId w:val="16"/>
      </w:numPr>
      <w:outlineLvl w:val="5"/>
    </w:pPr>
  </w:style>
  <w:style w:type="paragraph" w:styleId="Heading7">
    <w:name w:val="heading 7"/>
    <w:basedOn w:val="Normal"/>
    <w:next w:val="Normal"/>
    <w:semiHidden/>
    <w:qFormat/>
    <w:pPr>
      <w:keepNext/>
      <w:numPr>
        <w:ilvl w:val="6"/>
        <w:numId w:val="16"/>
      </w:numPr>
      <w:outlineLvl w:val="6"/>
    </w:pPr>
  </w:style>
  <w:style w:type="paragraph" w:styleId="Heading8">
    <w:name w:val="heading 8"/>
    <w:basedOn w:val="Normal"/>
    <w:next w:val="Normal"/>
    <w:semiHidden/>
    <w:qFormat/>
    <w:pPr>
      <w:keepNext/>
      <w:numPr>
        <w:ilvl w:val="7"/>
        <w:numId w:val="16"/>
      </w:numPr>
      <w:outlineLvl w:val="7"/>
    </w:pPr>
  </w:style>
  <w:style w:type="paragraph" w:styleId="Heading9">
    <w:name w:val="heading 9"/>
    <w:basedOn w:val="Normal"/>
    <w:next w:val="Normal"/>
    <w:semiHidden/>
    <w:qFormat/>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right="-567"/>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rPr>
  </w:style>
  <w:style w:type="paragraph" w:customStyle="1" w:styleId="NumPar2">
    <w:name w:val="NumPar 2"/>
    <w:basedOn w:val="Heading2"/>
    <w:uiPriority w:val="90"/>
    <w:qFormat/>
    <w:pPr>
      <w:keepNext w:val="0"/>
      <w:outlineLvl w:val="9"/>
    </w:pPr>
    <w:rPr>
      <w:b/>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FooterChar">
    <w:name w:val="Footer Char"/>
    <w:basedOn w:val="DefaultParagraphFont"/>
    <w:link w:val="Footer"/>
    <w:uiPriority w:val="99"/>
    <w:rPr>
      <w:sz w:val="16"/>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basedOn w:val="DefaultParagraphFont"/>
    <w:uiPriority w:val="99"/>
    <w:semiHidden/>
    <w:unhideWhenUsed/>
    <w:locked/>
    <w:rPr>
      <w:vertAlign w:val="superscript"/>
    </w:rPr>
  </w:style>
  <w:style w:type="paragraph" w:customStyle="1" w:styleId="Default">
    <w:name w:val="Default"/>
    <w:pPr>
      <w:autoSpaceDE w:val="0"/>
      <w:autoSpaceDN w:val="0"/>
      <w:adjustRightInd w:val="0"/>
    </w:pPr>
    <w:rPr>
      <w:rFonts w:eastAsiaTheme="minorHAnsi"/>
      <w:color w:val="000000"/>
      <w:szCs w:val="24"/>
      <w:lang w:eastAsia="en-US"/>
    </w:rPr>
  </w:style>
  <w:style w:type="character" w:styleId="Emphasis">
    <w:name w:val="Emphasis"/>
    <w:basedOn w:val="DefaultParagraphFont"/>
    <w:uiPriority w:val="20"/>
    <w:qFormat/>
    <w:locked/>
    <w:rPr>
      <w:i/>
      <w:iC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table" w:styleId="TableGrid">
    <w:name w:val="Table Grid"/>
    <w:basedOn w:val="TableNormal"/>
    <w:uiPriority w:val="59"/>
    <w:locked/>
    <w:rPr>
      <w:sz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0"/>
    <w:rPr>
      <w:rFonts w:ascii="Times New Roman Bold" w:hAnsi="Times New Roman Bol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612">
      <w:bodyDiv w:val="1"/>
      <w:marLeft w:val="0"/>
      <w:marRight w:val="0"/>
      <w:marTop w:val="0"/>
      <w:marBottom w:val="0"/>
      <w:divBdr>
        <w:top w:val="none" w:sz="0" w:space="0" w:color="auto"/>
        <w:left w:val="none" w:sz="0" w:space="0" w:color="auto"/>
        <w:bottom w:val="none" w:sz="0" w:space="0" w:color="auto"/>
        <w:right w:val="none" w:sz="0" w:space="0" w:color="auto"/>
      </w:divBdr>
    </w:div>
    <w:div w:id="1269777786">
      <w:bodyDiv w:val="1"/>
      <w:marLeft w:val="0"/>
      <w:marRight w:val="0"/>
      <w:marTop w:val="0"/>
      <w:marBottom w:val="0"/>
      <w:divBdr>
        <w:top w:val="none" w:sz="0" w:space="0" w:color="auto"/>
        <w:left w:val="none" w:sz="0" w:space="0" w:color="auto"/>
        <w:bottom w:val="none" w:sz="0" w:space="0" w:color="auto"/>
        <w:right w:val="none" w:sz="0" w:space="0" w:color="auto"/>
      </w:divBdr>
    </w:div>
    <w:div w:id="1638418350">
      <w:bodyDiv w:val="1"/>
      <w:marLeft w:val="0"/>
      <w:marRight w:val="0"/>
      <w:marTop w:val="0"/>
      <w:marBottom w:val="0"/>
      <w:divBdr>
        <w:top w:val="none" w:sz="0" w:space="0" w:color="auto"/>
        <w:left w:val="none" w:sz="0" w:space="0" w:color="auto"/>
        <w:bottom w:val="none" w:sz="0" w:space="0" w:color="auto"/>
        <w:right w:val="none" w:sz="0" w:space="0" w:color="auto"/>
      </w:divBdr>
    </w:div>
    <w:div w:id="1658876791">
      <w:bodyDiv w:val="1"/>
      <w:marLeft w:val="0"/>
      <w:marRight w:val="0"/>
      <w:marTop w:val="0"/>
      <w:marBottom w:val="0"/>
      <w:divBdr>
        <w:top w:val="none" w:sz="0" w:space="0" w:color="auto"/>
        <w:left w:val="none" w:sz="0" w:space="0" w:color="auto"/>
        <w:bottom w:val="none" w:sz="0" w:space="0" w:color="auto"/>
        <w:right w:val="none" w:sz="0" w:space="0" w:color="auto"/>
      </w:divBdr>
    </w:div>
    <w:div w:id="1921602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fae640a3-2752-44bc-9773-26f5d41ba0dd">EN</EC_Collab_DocumentLanguage>
    <_Status xmlns="http://schemas.microsoft.com/sharepoint/v3/fields">Not Started</_Status>
    <EC_Collab_Reference xmlns="fae640a3-2752-44bc-9773-26f5d41ba0dd" xsi:nil="true"/>
    <EC_Collab_Status xmlns="fae640a3-2752-44bc-9773-26f5d41ba0dd">Not Started</EC_Collab_Status>
  </documentManagement>
</p:properties>
</file>

<file path=customXml/item3.xml><?xml version="1.0" encoding="utf-8"?>
<EurolookProperties>
  <ProductCustomizationId>EC</ProductCustomizationId>
  <Created>
    <Version>10.0.40183.0</Version>
    <Date>2019-12-13T16:05:08</Date>
    <Language>EN</Language>
  </Created>
  <Edited>
    <Version>10.0.40769.0</Version>
    <Date>2020-02-03T11:25:51</Date>
  </Edited>
  <DocumentModel>
    <Id>6cbda13a-4db2-46c6-876a-ef72275827ef</Id>
    <Name>Report</Name>
  </DocumentModel>
  <DocumentDate>2019-12-13T16:05:08</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2C3A5D77007E39498C0FBBE1139AD9BC" ma:contentTypeVersion="0" ma:contentTypeDescription="Create a new document in this library." ma:contentTypeScope="" ma:versionID="1c388df75112444336eab93ec6d1fbcb">
  <xsd:schema xmlns:xsd="http://www.w3.org/2001/XMLSchema" xmlns:xs="http://www.w3.org/2001/XMLSchema" xmlns:p="http://schemas.microsoft.com/office/2006/metadata/properties" xmlns:ns2="http://schemas.microsoft.com/sharepoint/v3/fields" xmlns:ns3="fae640a3-2752-44bc-9773-26f5d41ba0dd" targetNamespace="http://schemas.microsoft.com/office/2006/metadata/properties" ma:root="true" ma:fieldsID="4735b83fa646b64efc7f5c450d630223" ns2:_="" ns3:_="">
    <xsd:import namespace="http://schemas.microsoft.com/sharepoint/v3/fields"/>
    <xsd:import namespace="fae640a3-2752-44bc-9773-26f5d41ba0d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ae640a3-2752-44bc-9773-26f5d41ba0d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805382B-4105-442D-9C2A-214945CD8AED}">
  <ds:schemaRefs/>
</ds:datastoreItem>
</file>

<file path=customXml/itemProps2.xml><?xml version="1.0" encoding="utf-8"?>
<ds:datastoreItem xmlns:ds="http://schemas.openxmlformats.org/officeDocument/2006/customXml" ds:itemID="{1C294ADA-DD32-4202-898F-175848CACF44}">
  <ds:schemaRefs>
    <ds:schemaRef ds:uri="http://schemas.microsoft.com/office/2006/metadata/properties"/>
    <ds:schemaRef ds:uri="http://schemas.microsoft.com/office/infopath/2007/PartnerControls"/>
    <ds:schemaRef ds:uri="fae640a3-2752-44bc-9773-26f5d41ba0dd"/>
    <ds:schemaRef ds:uri="http://schemas.microsoft.com/sharepoint/v3/field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7823B788-5ACE-47BA-A2FF-299E6A5F9B13}">
  <ds:schemaRefs>
    <ds:schemaRef ds:uri="http://schemas.microsoft.com/sharepoint/v3/contenttype/fo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0E3D106F-6BF2-4D27-AEAF-3FA5F4BBE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ae640a3-2752-44bc-9773-26f5d41ba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461CF45-2A29-4FC9-A0C1-F662BCAF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12</TotalTime>
  <Pages>14</Pages>
  <Words>5907</Words>
  <Characters>34441</Characters>
  <Application>Microsoft Office Word</Application>
  <DocSecurity>0</DocSecurity>
  <PresentationFormat>Microsoft Word 14.0</PresentationFormat>
  <Lines>564</Lines>
  <Paragraphs>102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20</cp:revision>
  <cp:lastPrinted>2020-01-25T19:11:00Z</cp:lastPrinted>
  <dcterms:created xsi:type="dcterms:W3CDTF">2020-01-31T13:45:00Z</dcterms:created>
  <dcterms:modified xsi:type="dcterms:W3CDTF">2020-02-03T10:25:00Z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ELDocType">
    <vt:lpwstr>rep.dot</vt:lpwstr>
  </property>
  <property fmtid="{D5CDD505-2E9C-101B-9397-08002B2CF9AE}" pid="11" name="_LW_INVALIDATED__LW_INVALIDATED__LW_INVALIDATED__LW_INVALIDATED__LW_INVALIDATED__LW_INVALIDATED__LW_INVALIDATED_ContentTypeId">
    <vt:lpwstr>0x010100258AA79CEB83498886A3A08681123250002C3A5D77007E39498C0FBBE1139AD9BC</vt:lpwstr>
  </property>
  <property fmtid="{D5CDD505-2E9C-101B-9397-08002B2CF9AE}" pid="12" name="_LW_INVALIDATED__LW_INVALIDATED__LW_INVALIDATED__LW_INVALIDATED__LW_INVALIDATED_ContentTypeId">
    <vt:lpwstr>0x010100258AA79CEB83498886A3A08681123250002C3A5D77007E39498C0FBBE1139AD9BC</vt:lpwstr>
  </property>
</Properties>
</file>