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CD9D8FB-9072-4129-B909-146B4BB95976" style="width:450.75pt;height:465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00"/>
        <w:gridCol w:w="3250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Règlement nº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Titre du point de l’ordre du jour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Référence du document</w:t>
            </w:r>
            <w:r>
              <w:rPr>
                <w:rStyle w:val="FootnoteReference"/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1 à la série 06 d’amendements au règlement n° 10 de l'ONU (compatibilité électromagnétique)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série 04 d’amendements au règlement n° 26 de l'ONU (saillies extérieures des voitures particulières)</w:t>
            </w:r>
          </w:p>
          <w:p>
            <w:pPr>
              <w:rPr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t>ECE/TRANS/WP.29/2020/26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4 à la série 03 d’amendements au règlement n° 26 de l'ONU (saillies extérieures des voitures particulières)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6 à la série initiale d’amendements au règlement n° 28 de l'ONU (avertisseurs sonores)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7 à la série 04 d’amendements au règlement nº 46 de l’ONU (dispositifs de vision indirecte)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Proposition de complément 8 à la série 04 d’amendements au règlement nº 46 de l’ONU (dispositifs de vision indirecte) 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nouvelle série 07 d’amendements au règlement nº 48 de l'ONU (installation des dispositifs d’éclairage et de signalisation lumineuse)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ECE/TRANS/WP.29/2020/36, WP.29-180-07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6 à la série 03 d'amendements au règlement nº 51 de l'ONU (bruit émis par les véhicules des catégories M et N)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série 02 d’amendements au règlement nº 55 de l’ONU (pièces mécaniques d'attelage)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ECE/TRANS/WP.29/2020/27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1 à la série 03 d’amendements au règlement n° 58 de l'ONU (protection arrière contre l’encastrement)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Proposition de nouvelle série 03 d’amendements au règlement n° 59 de l'ONU (silencieux de remplacement)  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bCs/>
                <w:noProof/>
              </w:rPr>
            </w:pPr>
            <w:r>
              <w:rPr>
                <w:noProof/>
              </w:rPr>
              <w:t>Proposition de série 01 d’amendements au règlement nº 62 de l’ONU (dispositifs antivol des cyclomoteurs et motocycles)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ECE/TRANS/WP.29/2020/28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2 à la série 03 d’amendements au règlement nº 79 de l’ONU (équipement de direction)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5 à la série 02 d’amendements au règlement nº 90 de l’ONU (pièces de rechange pour le système de freinage)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18 à la série initiale d’amendements au règlement nº 106 de l’ONU (pneumatiques pour véhicules agricoles)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9 à la série 06 d’amendements au règlement nº 107 de l’ONU (véhicules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et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4 à la série 07 d’amendements au règlement nº 107 de l’ONU (véhicules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et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3 à la série 08 d’amendements au règlement nº 107 de l’ONU (véhicules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et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1 à la série 04 d’amendements au règlement nº 110 de l’ONU (véhicules fonctionnant au gaz naturel comprimé ou au gaz naturel liquéfié)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ECE/TRANS/WP.29/2020/20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2 à la série 04 d’amendements au règlement nº 110 de l’ONU (véhicules fonctionnant au gaz naturel comprimé ou au gaz naturel liquéfié)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t>ECE/TRANS/WP.29/2020/21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 11 à la série 02 d’amendements au règlement nº 117 de l’ONU (résistance au roulement, bruit de roulement et adhérence sur sol mouillé des pneumatiques)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t>ECE/TRANS/WP.29/2020/6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4 à la série 01 d’amendements au règlement nº 121 de l’ONU (identification des commandes manuelles, des témoins et des indicateurs)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ECE/TRANS/WP.29/2020/22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6 au règlement nº 122 de l'ONU (systèmes de chauffage)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ECE/TRANS/WP.29/2020/23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>Proposition de complément 10 à la version initiale du règlement nº 128 de l’ONU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1 au règlement nº 144 de l’ONU (systèmes d'appel d'urgence en cas d'accident)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ECE/TRANS/WP.29/2020/24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série 01 d'amendements au règlement nº 144 de l’ONU (systèmes d'appel d'urgence en cas d'accident)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ECE/TRANS/WP.29/2020/29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Proposition de complément 2 à la série initiale du règlement nº 148 de l’ONU (sources lumineuses à diodes électroluminescentes) 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ECE/TRANS/WP.29/2020/32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Proposition de complément 2 à la série initiale du règlement nº 149 de l’ONU [dispositifs d'éclairage de la route (RID)] 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ECE/TRANS/WP.29/2020/33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Proposition de complément 2 à la série initiale du règlement nº 150 de l’ONU [dispositifs rétroréfléchissants (RRD)] </w:t>
            </w:r>
          </w:p>
          <w:p>
            <w:pPr>
              <w:rPr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ECE/TRANS/WP.29/2020/34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de complément 1 au règlement nº 151 de l’ONU [systèmes de surveillance des angles morts (BISIS)]</w:t>
            </w:r>
          </w:p>
          <w:p>
            <w:pPr>
              <w:rPr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ECE/TRANS/WP.29/2020/18, WP.29-180-05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complément 1 au règlement nº [152] de l’ONU (systèmes actifs de freinage d'urgence pour les véhicules M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et N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) 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série 01 d'amendements au règlement nº [152] de l'ONU (systèmes actifs de freinage d'urgence pour les véhicules M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et N</w:t>
            </w:r>
            <w:r>
              <w:rPr>
                <w:noProof/>
                <w:vertAlign w:val="subscript"/>
              </w:rPr>
              <w:t>1</w:t>
            </w:r>
            <w:r>
              <w:rPr>
                <w:noProof/>
              </w:rPr>
              <w:t>)</w:t>
            </w:r>
          </w:p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rPr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  <w:lang w:eastAsia="ja-JP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RTM nº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Titre du point de l’ordre du jour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Référence du document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d’amendement 4 au RTM nº 3 de l’ONU (freinage des motocycles)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Proposition de rapport technique concernant l’amendement 4 au RTM nº 3 de l’ONU (freinage des motocycles)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Autorisation d'élaborer des amendements au RTM nº 3 de l'ONU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ECE/TRANS/WP.29/2020/47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ECE/TRANS/WP.29/2020/48</w:t>
            </w:r>
          </w:p>
          <w:p>
            <w:pPr>
              <w:rPr>
                <w:rStyle w:val="Hyperlink"/>
                <w:noProof/>
                <w:lang w:val="en-US"/>
              </w:rPr>
            </w:pPr>
          </w:p>
          <w:p>
            <w:pPr>
              <w:rPr>
                <w:rStyle w:val="Hyperlink"/>
                <w:noProof/>
              </w:rPr>
            </w:pPr>
            <w:r>
              <w:rPr>
                <w:noProof/>
              </w:rPr>
              <w:t>ECE/TRANS/WP.29/AC.3/47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d'amendement 2 au RTM nº 6 de l’ONU (vitrage de sécurité)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Proposition de rapport technique concernant l’amendement 2 au RTM nº 6 de l’ONU (vitrage de sécurité) 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>Autorisation d'élaborer des amendements au RTM nº 6 de l'ONU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ECE/TRANS/WP.29/2020/43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ECE/TRANS/WP.29/2020/44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</w:rPr>
            </w:pPr>
            <w:r>
              <w:rPr>
                <w:noProof/>
              </w:rPr>
              <w:t>ECE/TRANS/WP.29/AC.3/52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Proposition d'amendement 3 au RTM nº 6 de l’ONU (vitrage de sécurité)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Proposition de rapport technique concernant l’amendement 3 au RTM nº 6 de l’ONU (vitrage de sécurité) 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Autorisation d'élaborer un amendement au RTM nº 6 de l'ONU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ECE/TRANS/WP.29/2020/45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ECE/TRANS/WP.29/2020/46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</w:rPr>
            </w:pPr>
            <w:r>
              <w:rPr>
                <w:noProof/>
              </w:rPr>
              <w:t>ECE/TRANS/WP.29/AC.3/52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d’amendement 2 au RTM nº 16 de l’ONU (pneumatiques)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>Proposition de rapport technique concernant l’amendement 2 au RTM nº 16 de l’ONU (pneumatiques)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bCs/>
                <w:noProof/>
                <w:sz w:val="24"/>
              </w:rPr>
            </w:pP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w:t>Autorisation d'élaborer des amendements au RTM nº 16 de l'ONU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ECE/TRANS/WP.29/2020/41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ECE/TRANS/WP.29/2020/42</w:t>
            </w:r>
          </w:p>
          <w:p>
            <w:pPr>
              <w:rPr>
                <w:noProof/>
                <w:lang w:val="en-US"/>
              </w:rPr>
            </w:pPr>
          </w:p>
          <w:p>
            <w:pPr>
              <w:rPr>
                <w:rStyle w:val="Hyperlink"/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ECE/TRANS/WP.29/AC.3/48/Rev.1</w:t>
            </w:r>
          </w:p>
          <w:p>
            <w:pPr>
              <w:rPr>
                <w:noProof/>
                <w:sz w:val="20"/>
                <w:szCs w:val="20"/>
                <w:lang w:val="en-US"/>
              </w:rPr>
            </w:pPr>
          </w:p>
        </w:tc>
      </w:tr>
    </w:tbl>
    <w:p>
      <w:pPr>
        <w:rPr>
          <w:noProof/>
          <w:lang w:val="en-IE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Résolution nº 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Titre du point de l’ordre du jour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Référence du document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R.E.5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w:t>Proposition d'amendement 5 à la résolution d'ensemble sur une spécification commune des catégories de sources lumineuses (R.E.5)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ECE/TRANS/WP.29/2020/37</w:t>
            </w:r>
          </w:p>
        </w:tc>
      </w:tr>
    </w:tbl>
    <w:p>
      <w:pPr>
        <w:rPr>
          <w:noProof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Divers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Titre du point de l’ordre du jour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Référence du document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w:t>Autorisation d’élaborer un amendement au règlement technique mondial nº 6 de l’ONU (vitrage de sécurité)</w:t>
            </w:r>
          </w:p>
          <w:p>
            <w:pPr>
              <w:pStyle w:val="Default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ECE/TRANS/WP.29/AC.3/55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w:t>Autorisation révisée d’élaborer un nouveau RTM de l’ONU concernant la détermination de la puissance des véhicules électrifiés (DPVE)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ECE/TRANS/WP.29/AC.3/53/Rev.1</w:t>
            </w:r>
          </w:p>
        </w:tc>
      </w:tr>
    </w:tbl>
    <w:p>
      <w:pPr>
        <w:rPr>
          <w:noProof/>
          <w:lang w:val="en-US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 xml:space="preserve">Tous les documents auxquels il est fait référence dans le tableau sont disponibles à l’adresse: </w:t>
      </w:r>
    </w:p>
    <w:p>
      <w:pPr>
        <w:pStyle w:val="FootnoteText"/>
        <w:rPr>
          <w:sz w:val="18"/>
        </w:rPr>
      </w:pPr>
      <w:hyperlink r:id="rId1" w:history="1">
        <w:r>
          <w:rPr>
            <w:rStyle w:val="Hyperlink"/>
            <w:sz w:val="18"/>
          </w:rPr>
          <w:t>http://www.unece.org/trans/main/wp29/wp29wgs/wp29gen/gen2020.html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16"/>
  </w:num>
  <w:num w:numId="20">
    <w:abstractNumId w:val="18"/>
  </w:num>
  <w:num w:numId="21">
    <w:abstractNumId w:val="19"/>
  </w:num>
  <w:num w:numId="22">
    <w:abstractNumId w:val="12"/>
  </w:num>
  <w:num w:numId="23">
    <w:abstractNumId w:val="17"/>
  </w:num>
  <w:num w:numId="24">
    <w:abstractNumId w:val="23"/>
  </w:num>
  <w:num w:numId="25">
    <w:abstractNumId w:val="20"/>
  </w:num>
  <w:num w:numId="26">
    <w:abstractNumId w:val="14"/>
  </w:num>
  <w:num w:numId="27">
    <w:abstractNumId w:val="22"/>
  </w:num>
  <w:num w:numId="28">
    <w:abstractNumId w:val="13"/>
  </w:num>
  <w:num w:numId="29">
    <w:abstractNumId w:val="15"/>
  </w:num>
  <w:num w:numId="30">
    <w:abstractNumId w:val="11"/>
  </w:num>
  <w:num w:numId="31">
    <w:abstractNumId w:val="21"/>
  </w:num>
  <w:num w:numId="32">
    <w:abstractNumId w:val="10"/>
  </w:num>
  <w:num w:numId="33">
    <w:abstractNumId w:val="16"/>
  </w:num>
  <w:num w:numId="34">
    <w:abstractNumId w:val="18"/>
  </w:num>
  <w:num w:numId="35">
    <w:abstractNumId w:val="19"/>
  </w:num>
  <w:num w:numId="36">
    <w:abstractNumId w:val="12"/>
  </w:num>
  <w:num w:numId="37">
    <w:abstractNumId w:val="17"/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2-05 10:10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de la "/>
    <w:docVar w:name="LW_ACCOMPAGNANT.CP" w:val="de l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CD9D8FB-9072-4129-B909-146B4BB95976"/>
    <w:docVar w:name="LW_COVERPAGE_TYPE" w:val="1"/>
    <w:docVar w:name="LW_CROSSREFERENCE" w:val="&lt;UNUSED&gt;"/>
    <w:docVar w:name="LW_DocType" w:val="ANNEX"/>
    <w:docVar w:name="LW_EMISSION" w:val="5.2.2020"/>
    <w:docVar w:name="LW_EMISSION_ISODATE" w:val="2020-02-05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relative à la position à prendre, au nom de l'Union européenne, au sein des comités compétents de la Commission économique pour l'Europe des Nations unies, sur les propositions de modifications des règlements n&lt;/FMT&gt;&lt;FMT:Bold,Superscript&gt;os&lt;/FMT&gt;&lt;FMT:Bold&gt; 10, 26, 28, 46, 48, 51, 55, 58, 59, 62, 79, 90, 106, 107, 110, 117, 121, 122, 128, 144, 148, 149, 150, 151 et 152 de l'ONU, les propositions de modifications des règlements techniques mondiaux (RTM) n&lt;/FMT&gt;&lt;FMT:Bold,Superscript&gt;os&lt;/FMT&gt;&lt;FMT:Bold&gt; 3, 6 et 16, la proposition d'amendements à la résolution d'ensemble R.E.5 et les propositions d'autorisations d'élaborer un amendement au RTM n&lt;/FMT&gt;&lt;FMT:Bold,Superscript&gt;o&lt;/FMT&gt;&lt;FMT:Bold&gt; 6 et d'élaborer un nouveau RTM concernant la détermination de la puissance des véhicules électrifiés (DPVE)&lt;/FMT&gt;"/>
    <w:docVar w:name="LW_OBJETACTEPRINCIPAL.CP" w:val="&lt;FMT:Bold&gt;relative à la position à prendre, au nom de l'Union européenne, au sein des comités compétents de la Commission économique pour l'Europe des Nations unies, sur les propositions de modifications des règlements n&lt;/FMT&gt;&lt;FMT:Bold,Superscript&gt;os&lt;/FMT&gt;&lt;FMT:Bold&gt; 10, 26, 28, 46, 48, 51, 55, 58, 59, 62, 79, 90, 106, 107, 110, 117, 121, 122, 128, 144, 148, 149, 150, 151 et 152 de l'ONU, les propositions de modifications des règlements techniques mondiaux (RTM) n&lt;/FMT&gt;&lt;FMT:Bold,Superscript&gt;os&lt;/FMT&gt;&lt;FMT:Bold&gt; 3, 6 et 16, la proposition d'amendements à la résolution d'ensemble R.E.5 et les propositions d'autorisations d'élaborer un amendement au RTM n&lt;/FMT&gt;&lt;FMT:Bold,Superscript&gt;o&lt;/FMT&gt;&lt;FMT:Bold&gt; 6 et d'élaborer un nouveau RTM concernant la détermination de la puissance des véhicules électrifiés (DPVE)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fr-FR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fr-BE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fr-FR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fr-BE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2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56C7-0655-4E7D-92B6-F0CB5CE5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7</Pages>
  <Words>964</Words>
  <Characters>5972</Characters>
  <Application>Microsoft Office Word</Application>
  <DocSecurity>0</DocSecurity>
  <Lines>351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BRASSART Odile (GROW)</dc:creator>
  <cp:lastModifiedBy>DIGIT/C6</cp:lastModifiedBy>
  <cp:revision>9</cp:revision>
  <cp:lastPrinted>2020-01-28T14:37:00Z</cp:lastPrinted>
  <dcterms:created xsi:type="dcterms:W3CDTF">2020-01-28T15:20:00Z</dcterms:created>
  <dcterms:modified xsi:type="dcterms:W3CDTF">2020-02-05T09:10:00Z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