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8C" w:rsidRDefault="003C3A0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F18DC4B-A930-4AC2-A7F9-BA96A92DBC75" style="width:450.7pt;height:321.25pt">
            <v:imagedata r:id="rId8" o:title=""/>
          </v:shape>
        </w:pict>
      </w:r>
    </w:p>
    <w:bookmarkEnd w:id="0"/>
    <w:p w:rsidR="00FF648C" w:rsidRDefault="00FF648C">
      <w:pPr>
        <w:rPr>
          <w:noProof/>
        </w:rPr>
        <w:sectPr w:rsidR="00FF648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F648C" w:rsidRDefault="003C3A02">
      <w:pPr>
        <w:pStyle w:val="ListParagraph"/>
        <w:numPr>
          <w:ilvl w:val="0"/>
          <w:numId w:val="25"/>
        </w:numPr>
        <w:spacing w:after="240"/>
        <w:jc w:val="both"/>
        <w:rPr>
          <w:rFonts w:ascii="Times New Roman" w:eastAsia="Times New Roman" w:hAnsi="Times New Roman" w:cs="Times New Roman"/>
          <w:b/>
          <w:i/>
          <w:noProof/>
          <w:sz w:val="24"/>
          <w:szCs w:val="24"/>
          <w:u w:val="single"/>
        </w:rPr>
      </w:pPr>
      <w:r>
        <w:rPr>
          <w:rFonts w:ascii="Times New Roman" w:hAnsi="Times New Roman"/>
          <w:b/>
          <w:i/>
          <w:noProof/>
          <w:u w:val="single"/>
        </w:rPr>
        <w:lastRenderedPageBreak/>
        <w:t>Въведение</w:t>
      </w:r>
    </w:p>
    <w:p w:rsidR="00FF648C" w:rsidRDefault="003C3A02">
      <w:pPr>
        <w:jc w:val="both"/>
        <w:rPr>
          <w:noProof/>
        </w:rPr>
      </w:pPr>
      <w:r>
        <w:rPr>
          <w:noProof/>
        </w:rPr>
        <w:t>Телекомуникационните мрежи от пето поколение (5G) ще имат основна роля за развитието на европейското общество и икономика. Очаква се те да предоставят огромни икономически възможности и да имат основно значение за цифровата и екологичната трансформация в о</w:t>
      </w:r>
      <w:r>
        <w:rPr>
          <w:noProof/>
        </w:rPr>
        <w:t xml:space="preserve">бласти като транспорта, енергетиката, производството, здравеопазването, селското стопанство и медиите. </w:t>
      </w:r>
    </w:p>
    <w:p w:rsidR="00FF648C" w:rsidRDefault="00FF648C">
      <w:pPr>
        <w:jc w:val="both"/>
        <w:rPr>
          <w:noProof/>
        </w:rPr>
      </w:pPr>
    </w:p>
    <w:p w:rsidR="00FF648C" w:rsidRDefault="003C3A02">
      <w:pPr>
        <w:jc w:val="both"/>
        <w:rPr>
          <w:noProof/>
        </w:rPr>
      </w:pPr>
      <w:r>
        <w:rPr>
          <w:noProof/>
        </w:rPr>
        <w:t>Поради това 5G технологиите ще имат потенциално въздействие върху всички аспекти на живота на гражданите на ЕС. Ето защо киберсигурността на 5G мрежите</w:t>
      </w:r>
      <w:r>
        <w:rPr>
          <w:noProof/>
        </w:rPr>
        <w:t xml:space="preserve"> е от съществено значение не само за защитата на нашите икономики, общества и демократични процеси, но и за осигуряването на надеждна цифрова трансформация в полза на всички граждани на ЕС.  </w:t>
      </w:r>
    </w:p>
    <w:p w:rsidR="00FF648C" w:rsidRDefault="00FF648C">
      <w:pPr>
        <w:spacing w:after="240"/>
        <w:contextualSpacing/>
        <w:jc w:val="both"/>
        <w:rPr>
          <w:noProof/>
        </w:rPr>
      </w:pPr>
    </w:p>
    <w:p w:rsidR="00FF648C" w:rsidRDefault="003C3A02">
      <w:pPr>
        <w:spacing w:after="240"/>
        <w:contextualSpacing/>
        <w:jc w:val="both"/>
        <w:rPr>
          <w:noProof/>
        </w:rPr>
      </w:pPr>
      <w:r>
        <w:rPr>
          <w:noProof/>
        </w:rPr>
        <w:t xml:space="preserve">Зависимостта на много услуги с критично значение от 5G мрежите </w:t>
      </w:r>
      <w:r>
        <w:rPr>
          <w:noProof/>
        </w:rPr>
        <w:t>ще направи последиците от системни и широкообхватни смущения особено сериозни и като се има предвид взаимосвързаният характер на цифровите екосистеми, би могла да има значително въздействие отвъд националните граници. В резултат на това гарантирането на ки</w:t>
      </w:r>
      <w:r>
        <w:rPr>
          <w:noProof/>
        </w:rPr>
        <w:t>берсигурността на 5G мрежите е въпрос от стратегическо значение за Съюза в момент, когато броят на кибератаките нараства, тяхната сложност е безпрецедентна и те се извършват от широк кръг участници, в частност от държавни или подкрепяни от държавата участн</w:t>
      </w:r>
      <w:r>
        <w:rPr>
          <w:noProof/>
        </w:rPr>
        <w:t>ици от държави извън ЕС.  Що се отнася до сигурността на критичните инфраструктури, например тази за 5G, за първи път беше взето решение да се определи общ европейски подход. Този подход е напълно съобразен с отворения характер на вътрешния пазар на ЕС, до</w:t>
      </w:r>
      <w:r>
        <w:rPr>
          <w:noProof/>
        </w:rPr>
        <w:t xml:space="preserve">колкото продължават да са изпълнени основаните на риска изисквания на ЕС в областта на сигурността. </w:t>
      </w:r>
    </w:p>
    <w:p w:rsidR="00FF648C" w:rsidRDefault="00FF648C">
      <w:pPr>
        <w:spacing w:after="240"/>
        <w:contextualSpacing/>
        <w:jc w:val="both"/>
        <w:rPr>
          <w:noProof/>
        </w:rPr>
      </w:pPr>
    </w:p>
    <w:p w:rsidR="00FF648C" w:rsidRDefault="003C3A02">
      <w:pPr>
        <w:spacing w:after="240"/>
        <w:contextualSpacing/>
        <w:jc w:val="both"/>
        <w:rPr>
          <w:noProof/>
        </w:rPr>
      </w:pPr>
      <w:r>
        <w:rPr>
          <w:noProof/>
        </w:rPr>
        <w:t xml:space="preserve">На 22 март 2019 г. Европейският съвет призова за съгласуван подход по отношение на сигурността на 5G мрежите. На 26 март 2019 г. Комисията прие Препоръка </w:t>
      </w:r>
      <w:r>
        <w:rPr>
          <w:noProof/>
        </w:rPr>
        <w:t>(ЕС) 2019/534 относно киберсигурността на 5G мрежите</w:t>
      </w:r>
      <w:r>
        <w:rPr>
          <w:rStyle w:val="FootnoteReference"/>
          <w:noProof/>
        </w:rPr>
        <w:footnoteReference w:id="2"/>
      </w:r>
      <w:r>
        <w:rPr>
          <w:noProof/>
        </w:rPr>
        <w:t>. С препоръката държавите членки се призовават да извършат национални оценки на риска и прегледи на националните мерки, да работят съвместно на равнището на ЕС за координирана оценка на риска и да подгот</w:t>
      </w:r>
      <w:r>
        <w:rPr>
          <w:noProof/>
        </w:rPr>
        <w:t xml:space="preserve">вят инструментариум, съдържащ възможни смекчаващи мерки. Настоящото съобщение представлява неразделна част от всеобхватната европейска стратегия на Комисията в областта на цифровите технологии, за която призова Европейският съвет.  </w:t>
      </w:r>
    </w:p>
    <w:p w:rsidR="00FF648C" w:rsidRDefault="00FF648C">
      <w:pPr>
        <w:spacing w:after="240"/>
        <w:contextualSpacing/>
        <w:jc w:val="both"/>
        <w:rPr>
          <w:noProof/>
        </w:rPr>
      </w:pPr>
    </w:p>
    <w:p w:rsidR="00FF648C" w:rsidRDefault="003C3A02">
      <w:pPr>
        <w:pStyle w:val="ListParagraph"/>
        <w:numPr>
          <w:ilvl w:val="0"/>
          <w:numId w:val="25"/>
        </w:numPr>
        <w:spacing w:after="240"/>
        <w:jc w:val="both"/>
        <w:rPr>
          <w:rFonts w:ascii="Times New Roman" w:eastAsia="Times New Roman" w:hAnsi="Times New Roman" w:cs="Times New Roman"/>
          <w:b/>
          <w:i/>
          <w:noProof/>
          <w:sz w:val="24"/>
          <w:szCs w:val="24"/>
          <w:u w:val="single"/>
        </w:rPr>
      </w:pPr>
      <w:r>
        <w:rPr>
          <w:rFonts w:ascii="Times New Roman" w:hAnsi="Times New Roman"/>
          <w:b/>
          <w:i/>
          <w:noProof/>
          <w:u w:val="single"/>
        </w:rPr>
        <w:t xml:space="preserve">Разгръщане на 5G в ЕС </w:t>
      </w:r>
    </w:p>
    <w:p w:rsidR="00FF648C" w:rsidRDefault="003C3A02">
      <w:pPr>
        <w:jc w:val="both"/>
        <w:rPr>
          <w:noProof/>
        </w:rPr>
      </w:pPr>
      <w:r>
        <w:rPr>
          <w:noProof/>
        </w:rPr>
        <w:t xml:space="preserve">Внедряването в Европа на инфраструктурата за 5G мрежи е от основно значение за европейската промишлена стратегия и конкурентоспособност. Комисията определя внедряването на 5G технологиите като основна предпоставка за бъдещите цифрови услуги. През 2016 г. </w:t>
      </w:r>
      <w:r>
        <w:rPr>
          <w:noProof/>
        </w:rPr>
        <w:t>Комисията прие плана за действие за 5G, за да гарантира, че Съюзът разполага с инфраструктурата за свързаност, необходима за неговата цифрова трансформация от 2020 г. нататък и за широкообхватното внедряване в градските райони и по основните транспортни ма</w:t>
      </w:r>
      <w:r>
        <w:rPr>
          <w:noProof/>
        </w:rPr>
        <w:t>ршрути до 2025 г.</w:t>
      </w:r>
      <w:r>
        <w:rPr>
          <w:rStyle w:val="FootnoteReference"/>
          <w:noProof/>
        </w:rPr>
        <w:footnoteReference w:id="3"/>
      </w:r>
      <w:r>
        <w:rPr>
          <w:noProof/>
        </w:rPr>
        <w:t xml:space="preserve"> В съобщението относно обществото на гигабитов интернет се поставя амбициозната цел да се осигури достъп </w:t>
      </w:r>
      <w:r>
        <w:rPr>
          <w:noProof/>
        </w:rPr>
        <w:lastRenderedPageBreak/>
        <w:t>до мобилен пренос на данни навсякъде, включително в селските и отдалечените райони</w:t>
      </w:r>
      <w:r>
        <w:rPr>
          <w:rStyle w:val="FootnoteReference"/>
          <w:noProof/>
        </w:rPr>
        <w:footnoteReference w:id="4"/>
      </w:r>
      <w:r>
        <w:rPr>
          <w:noProof/>
        </w:rPr>
        <w:t>.</w:t>
      </w:r>
    </w:p>
    <w:p w:rsidR="00FF648C" w:rsidRDefault="00FF648C">
      <w:pPr>
        <w:jc w:val="both"/>
        <w:rPr>
          <w:noProof/>
        </w:rPr>
      </w:pPr>
    </w:p>
    <w:p w:rsidR="00FF648C" w:rsidRDefault="003C3A02">
      <w:pPr>
        <w:jc w:val="both"/>
        <w:rPr>
          <w:noProof/>
        </w:rPr>
      </w:pPr>
      <w:r>
        <w:rPr>
          <w:noProof/>
        </w:rPr>
        <w:t>Що се отнася до разпределението на честотите, д</w:t>
      </w:r>
      <w:r>
        <w:rPr>
          <w:noProof/>
        </w:rPr>
        <w:t>ържавите членки са разпределили 16 % от „пионерните“ ленти за 5G</w:t>
      </w:r>
      <w:r>
        <w:rPr>
          <w:rStyle w:val="FootnoteReference"/>
          <w:noProof/>
        </w:rPr>
        <w:footnoteReference w:id="5"/>
      </w:r>
      <w:r>
        <w:rPr>
          <w:noProof/>
        </w:rPr>
        <w:t>. С оглед на правното задължение да се позволи използването на всички 5G „пионерни“ ленти до края на годината през следващите няколко месеца се очакват консултации за редица процедури за разп</w:t>
      </w:r>
      <w:r>
        <w:rPr>
          <w:noProof/>
        </w:rPr>
        <w:t xml:space="preserve">ределяне.  </w:t>
      </w:r>
    </w:p>
    <w:p w:rsidR="00FF648C" w:rsidRDefault="00FF648C">
      <w:pPr>
        <w:jc w:val="both"/>
        <w:rPr>
          <w:noProof/>
        </w:rPr>
      </w:pPr>
    </w:p>
    <w:p w:rsidR="00FF648C" w:rsidRDefault="003C3A02">
      <w:pPr>
        <w:jc w:val="both"/>
        <w:rPr>
          <w:noProof/>
        </w:rPr>
      </w:pPr>
      <w:r>
        <w:rPr>
          <w:noProof/>
        </w:rPr>
        <w:t>Европа е сред най-напредналите региони в света по отношение на търговското въвеждане на 5G услуги</w:t>
      </w:r>
      <w:r>
        <w:rPr>
          <w:rStyle w:val="FootnoteReference"/>
          <w:noProof/>
        </w:rPr>
        <w:footnoteReference w:id="6"/>
      </w:r>
      <w:r>
        <w:rPr>
          <w:noProof/>
        </w:rPr>
        <w:t xml:space="preserve">. Понастоящем се очаква до края на 2020 г. първите 5G услуги да бъдат на разположение в 138 европейски града. Първоначалните 5G мрежи, изградени </w:t>
      </w:r>
      <w:r>
        <w:rPr>
          <w:noProof/>
        </w:rPr>
        <w:t>на базата на настоящите мрежови технологии от 4-то поколение (4G) и 5G услуги, се предлагат основно на широката общественост или като подобрение на капацитета и скоростта по отношение на мрежите 4G, или като икономически ефективна безжична алтернатива на ф</w:t>
      </w:r>
      <w:r>
        <w:rPr>
          <w:noProof/>
        </w:rPr>
        <w:t>иксираните мрежи</w:t>
      </w:r>
      <w:r>
        <w:rPr>
          <w:rStyle w:val="FootnoteReference"/>
          <w:noProof/>
        </w:rPr>
        <w:footnoteReference w:id="7"/>
      </w:r>
      <w:r>
        <w:rPr>
          <w:noProof/>
        </w:rPr>
        <w:t xml:space="preserve">. </w:t>
      </w:r>
    </w:p>
    <w:p w:rsidR="00FF648C" w:rsidRDefault="00FF648C">
      <w:pPr>
        <w:jc w:val="both"/>
        <w:rPr>
          <w:noProof/>
        </w:rPr>
      </w:pPr>
    </w:p>
    <w:p w:rsidR="00FF648C" w:rsidRDefault="003C3A02">
      <w:pPr>
        <w:jc w:val="both"/>
        <w:rPr>
          <w:noProof/>
        </w:rPr>
      </w:pPr>
      <w:r>
        <w:rPr>
          <w:noProof/>
        </w:rPr>
        <w:t xml:space="preserve">Що се отнася до възможностите за нови услуги между стопански субекти, например в секторите на енергетиката, храните и селското стопанство, здравеопазването, производството или транспорта, Европа напредва добре с инвестиции от порядъка </w:t>
      </w:r>
      <w:r>
        <w:rPr>
          <w:noProof/>
        </w:rPr>
        <w:t>на 1 млрд. евро, включително 300 млн. евро от финансирането на ЕС в контекста на публично-частното партньорство за 5G технологии по линията на „Хоризонт 2020“. Тези инвестиции включват над 160 експериментални широкомащабни внедрявания на 5G технологии, уст</w:t>
      </w:r>
      <w:r>
        <w:rPr>
          <w:noProof/>
        </w:rPr>
        <w:t>ановени в Европа, включително десет трансгранични коридора по протежение на магистрали, предназначени за широкомащабно изпитване на услуги за свързана и автоматизирана мобилност на базата на 5G технологии. Изпитванията включват поддържащи 5G приложения в о</w:t>
      </w:r>
      <w:r>
        <w:rPr>
          <w:noProof/>
        </w:rPr>
        <w:t>бласти, простиращи се от устойчивото здравеопазване и земеделието с ефективно използване на ресурсите на базата на автоматизирана мобилност до интелигентните електрически мрежи и промишленост 4.0. Освен това ЕИБ, с подкрепата на Европейския фонд за стратег</w:t>
      </w:r>
      <w:r>
        <w:rPr>
          <w:noProof/>
        </w:rPr>
        <w:t>ически инвестиции, предостави заеми за ускоряване на научноизследователската и развойна дейност в областта на 5G технологията.</w:t>
      </w:r>
    </w:p>
    <w:p w:rsidR="00FF648C" w:rsidRDefault="00FF648C">
      <w:pPr>
        <w:jc w:val="both"/>
        <w:rPr>
          <w:noProof/>
        </w:rPr>
      </w:pPr>
    </w:p>
    <w:p w:rsidR="00FF648C" w:rsidRDefault="003C3A02">
      <w:pPr>
        <w:jc w:val="both"/>
        <w:rPr>
          <w:noProof/>
        </w:rPr>
      </w:pPr>
      <w:r>
        <w:rPr>
          <w:noProof/>
        </w:rPr>
        <w:t>Европейският кодекс за електронни съобщения („кодексът“)</w:t>
      </w:r>
      <w:r>
        <w:rPr>
          <w:rStyle w:val="FootnoteReference"/>
          <w:noProof/>
        </w:rPr>
        <w:footnoteReference w:id="8"/>
      </w:r>
      <w:r>
        <w:rPr>
          <w:noProof/>
        </w:rPr>
        <w:t>, който ще се прилага от 21 декември 2020 г., е важна основа за създава</w:t>
      </w:r>
      <w:r>
        <w:rPr>
          <w:noProof/>
        </w:rPr>
        <w:t xml:space="preserve">нето на благоприятна среда за инвестиции за 5G мрежи и следващите ги технологии. Освен това програмите за публично финансиране, като например Механизмът за свързване на Европа в </w:t>
      </w:r>
      <w:r>
        <w:rPr>
          <w:noProof/>
        </w:rPr>
        <w:lastRenderedPageBreak/>
        <w:t>цифровата област</w:t>
      </w:r>
      <w:r>
        <w:rPr>
          <w:rStyle w:val="FootnoteReference"/>
          <w:noProof/>
        </w:rPr>
        <w:footnoteReference w:id="9"/>
      </w:r>
      <w:r>
        <w:rPr>
          <w:noProof/>
        </w:rPr>
        <w:t xml:space="preserve"> или европейските структурни и инвестиционни фондове, също ще</w:t>
      </w:r>
      <w:r>
        <w:rPr>
          <w:noProof/>
        </w:rPr>
        <w:t xml:space="preserve"> имат важно значение за подпомагането на бъдещото внедряване на 5G мрежите, по-специално чрез свързването на общините със структури, ползващи 5G, като училища, болници, градове и местни администрации. </w:t>
      </w:r>
    </w:p>
    <w:p w:rsidR="00FF648C" w:rsidRDefault="00FF648C">
      <w:pPr>
        <w:jc w:val="both"/>
        <w:rPr>
          <w:noProof/>
        </w:rPr>
      </w:pPr>
    </w:p>
    <w:p w:rsidR="00FF648C" w:rsidRDefault="003C3A02">
      <w:pPr>
        <w:spacing w:after="240"/>
        <w:jc w:val="both"/>
        <w:rPr>
          <w:noProof/>
        </w:rPr>
      </w:pPr>
      <w:r>
        <w:rPr>
          <w:noProof/>
        </w:rPr>
        <w:t>Като се имат предвид стратегическите възможности на Е</w:t>
      </w:r>
      <w:r>
        <w:rPr>
          <w:noProof/>
        </w:rPr>
        <w:t>вропа в областта на 5G услугите за различни сектори, от първостепенно значение ще бъде операторите и доставчиците на услуги да инвестират в усъвършенствани решения за 5G мрежи и услуги. Това ще изисква не само нови 5G мрежи за радиовръзка, но и нови, т. на</w:t>
      </w:r>
      <w:r>
        <w:rPr>
          <w:noProof/>
        </w:rPr>
        <w:t>р. „самостоятелни“ 5G опорни мрежи, за да бъдат предоставени усъвършенствани 5G функции, като например „разделяне на физическата мрежа на логически мрежи“</w:t>
      </w:r>
      <w:r>
        <w:rPr>
          <w:rStyle w:val="FootnoteReference"/>
          <w:noProof/>
        </w:rPr>
        <w:footnoteReference w:id="10"/>
      </w:r>
      <w:r>
        <w:rPr>
          <w:noProof/>
        </w:rPr>
        <w:t xml:space="preserve"> и „периферни изчисления“</w:t>
      </w:r>
      <w:r>
        <w:rPr>
          <w:rStyle w:val="FootnoteReference"/>
          <w:noProof/>
        </w:rPr>
        <w:footnoteReference w:id="11"/>
      </w:r>
      <w:r>
        <w:rPr>
          <w:noProof/>
        </w:rPr>
        <w:t xml:space="preserve">. </w:t>
      </w:r>
    </w:p>
    <w:p w:rsidR="00FF648C" w:rsidRDefault="003C3A02">
      <w:pPr>
        <w:spacing w:after="240"/>
        <w:jc w:val="both"/>
        <w:rPr>
          <w:iCs/>
          <w:noProof/>
        </w:rPr>
      </w:pPr>
      <w:r>
        <w:rPr>
          <w:noProof/>
        </w:rPr>
        <w:t xml:space="preserve">Комисията ще продължи напълно да подкрепя успешното разгръщане на 5G в ЕС, включително като се ангажира заедно с държавите членки и заинтересованите страни за използването на възможностите на 5G. Ще се обърне дължимото внимание на съответните </w:t>
      </w:r>
      <w:r>
        <w:rPr>
          <w:iCs/>
          <w:noProof/>
          <w:sz w:val="23"/>
          <w:szCs w:val="23"/>
        </w:rPr>
        <w:t>здравни аспек</w:t>
      </w:r>
      <w:r>
        <w:rPr>
          <w:iCs/>
          <w:noProof/>
          <w:sz w:val="23"/>
          <w:szCs w:val="23"/>
        </w:rPr>
        <w:t>ти</w:t>
      </w:r>
      <w:r>
        <w:rPr>
          <w:noProof/>
        </w:rPr>
        <w:t xml:space="preserve"> въз основа на принципа на предпазливост</w:t>
      </w:r>
      <w:r>
        <w:rPr>
          <w:rStyle w:val="FootnoteReference"/>
          <w:iCs/>
          <w:noProof/>
        </w:rPr>
        <w:footnoteReference w:id="12"/>
      </w:r>
      <w:r>
        <w:rPr>
          <w:iCs/>
          <w:noProof/>
          <w:sz w:val="23"/>
          <w:szCs w:val="23"/>
        </w:rPr>
        <w:t xml:space="preserve"> в</w:t>
      </w:r>
      <w:r>
        <w:rPr>
          <w:noProof/>
        </w:rPr>
        <w:t xml:space="preserve"> сътрудничество със съответните международни организации и научната общност.</w:t>
      </w:r>
    </w:p>
    <w:p w:rsidR="00FF648C" w:rsidRDefault="003C3A02">
      <w:pPr>
        <w:spacing w:after="240"/>
        <w:jc w:val="both"/>
        <w:rPr>
          <w:rFonts w:eastAsia="Times New Roman"/>
          <w:b/>
          <w:i/>
          <w:noProof/>
          <w:u w:val="single"/>
        </w:rPr>
      </w:pPr>
      <w:r>
        <w:rPr>
          <w:b/>
          <w:i/>
          <w:noProof/>
          <w:u w:val="single"/>
        </w:rPr>
        <w:t>3. Координирана оценка на риска на равнището на ЕС в областта на киберсигурността на 5G мрежите</w:t>
      </w:r>
    </w:p>
    <w:p w:rsidR="00FF648C" w:rsidRDefault="003C3A02">
      <w:pPr>
        <w:spacing w:after="240"/>
        <w:contextualSpacing/>
        <w:jc w:val="both"/>
        <w:rPr>
          <w:noProof/>
        </w:rPr>
      </w:pPr>
      <w:r>
        <w:rPr>
          <w:noProof/>
        </w:rPr>
        <w:t>Работейки съвместно с останалите държа</w:t>
      </w:r>
      <w:r>
        <w:rPr>
          <w:noProof/>
        </w:rPr>
        <w:t>ви членки в рамките на групата за сътрудничество за МИС</w:t>
      </w:r>
      <w:r>
        <w:rPr>
          <w:rStyle w:val="FootnoteReference"/>
          <w:noProof/>
        </w:rPr>
        <w:footnoteReference w:id="13"/>
      </w:r>
      <w:r>
        <w:rPr>
          <w:noProof/>
        </w:rPr>
        <w:t>, всяка държава членка извърши своя собствена национална оценка на риска за своите инфраструктури за 5G мрежи и предаде резултатите на Комисията и ENISA — Агенцията на Европейския съюз за киберсигурно</w:t>
      </w:r>
      <w:r>
        <w:rPr>
          <w:noProof/>
        </w:rPr>
        <w:t xml:space="preserve">ст — до началото на юли 2019 г. </w:t>
      </w:r>
    </w:p>
    <w:p w:rsidR="00FF648C" w:rsidRDefault="00FF648C">
      <w:pPr>
        <w:spacing w:after="240"/>
        <w:contextualSpacing/>
        <w:jc w:val="both"/>
        <w:rPr>
          <w:noProof/>
        </w:rPr>
      </w:pPr>
    </w:p>
    <w:p w:rsidR="00FF648C" w:rsidRDefault="003C3A02">
      <w:pPr>
        <w:spacing w:after="240"/>
        <w:contextualSpacing/>
        <w:jc w:val="both"/>
        <w:rPr>
          <w:noProof/>
        </w:rPr>
      </w:pPr>
      <w:r>
        <w:rPr>
          <w:noProof/>
        </w:rPr>
        <w:t>Въз основа на тези национални оценки на риска на 9 октомври 2019 г. групата за сътрудничество за МИС, съставена от представители на държавите членки, Комисията и ENISA, публикува доклад за координираната оценка на риска на</w:t>
      </w:r>
      <w:r>
        <w:rPr>
          <w:noProof/>
        </w:rPr>
        <w:t xml:space="preserve"> равнището на ЕС в областта на киберсигурността на 5G мрежите</w:t>
      </w:r>
      <w:r>
        <w:rPr>
          <w:rStyle w:val="FootnoteReference"/>
          <w:noProof/>
        </w:rPr>
        <w:footnoteReference w:id="14"/>
      </w:r>
      <w:r>
        <w:rPr>
          <w:noProof/>
        </w:rPr>
        <w:t>. В него се посочват основните заплахи и участниците в тях, най-чувствителните активи и основните уязвими места (както от техническо, така и от друго естество) по отношение на 5G мрежите. Основа</w:t>
      </w:r>
      <w:r>
        <w:rPr>
          <w:noProof/>
        </w:rPr>
        <w:t>вайки се на това, в доклада се набелязват също така редица категории рискове от стратегическо значение от гледна точка на ЕС, илюстрирани чрез конкретни рискови сценарии, които отразяват реалистични комбинации на различните параметри (уязвими места, заплах</w:t>
      </w:r>
      <w:r>
        <w:rPr>
          <w:noProof/>
        </w:rPr>
        <w:t>и и участници в тях) по отношение на различните активи (вж. допълнението).</w:t>
      </w:r>
    </w:p>
    <w:p w:rsidR="00FF648C" w:rsidRDefault="00FF648C">
      <w:pPr>
        <w:spacing w:after="240"/>
        <w:contextualSpacing/>
        <w:jc w:val="both"/>
        <w:rPr>
          <w:noProof/>
        </w:rPr>
      </w:pPr>
    </w:p>
    <w:p w:rsidR="00FF648C" w:rsidRDefault="003C3A02">
      <w:pPr>
        <w:spacing w:after="240"/>
        <w:jc w:val="both"/>
        <w:rPr>
          <w:noProof/>
        </w:rPr>
      </w:pPr>
      <w:r>
        <w:rPr>
          <w:noProof/>
        </w:rPr>
        <w:t>В допълнение към настоящия доклад и като допълнителен принос към инструментариума, ENISA проведе целенасочено картографиране на заплахите</w:t>
      </w:r>
      <w:r>
        <w:rPr>
          <w:rStyle w:val="FootnoteReference"/>
          <w:noProof/>
        </w:rPr>
        <w:footnoteReference w:id="15"/>
      </w:r>
      <w:r>
        <w:rPr>
          <w:noProof/>
        </w:rPr>
        <w:t xml:space="preserve">, състоящо се от подробен анализ на някои </w:t>
      </w:r>
      <w:r>
        <w:rPr>
          <w:noProof/>
        </w:rPr>
        <w:t xml:space="preserve">технически аспекти, по-специално идентифициране на мрежовите активи и засягащите ги заплахи. </w:t>
      </w:r>
    </w:p>
    <w:p w:rsidR="00FF648C" w:rsidRDefault="003C3A02">
      <w:pPr>
        <w:spacing w:after="240"/>
        <w:jc w:val="both"/>
        <w:rPr>
          <w:noProof/>
        </w:rPr>
      </w:pPr>
      <w:r>
        <w:rPr>
          <w:noProof/>
        </w:rPr>
        <w:t>В доклада за координираната оценка на риска на равнището на ЕС се изтъкват редица аспекти, които са от значение за 5G мрежите.</w:t>
      </w:r>
      <w:r>
        <w:rPr>
          <w:i/>
          <w:noProof/>
        </w:rPr>
        <w:t xml:space="preserve"> </w:t>
      </w:r>
      <w:r>
        <w:rPr>
          <w:noProof/>
        </w:rPr>
        <w:t>По-специално:</w:t>
      </w:r>
    </w:p>
    <w:p w:rsidR="00FF648C" w:rsidRDefault="003C3A02">
      <w:pPr>
        <w:pBdr>
          <w:top w:val="single" w:sz="4" w:space="1" w:color="auto"/>
          <w:left w:val="single" w:sz="4" w:space="4" w:color="auto"/>
          <w:bottom w:val="single" w:sz="4" w:space="1" w:color="auto"/>
          <w:right w:val="single" w:sz="4" w:space="4" w:color="auto"/>
        </w:pBdr>
        <w:spacing w:after="240"/>
        <w:contextualSpacing/>
        <w:jc w:val="both"/>
        <w:rPr>
          <w:i/>
          <w:noProof/>
          <w:color w:val="000000"/>
        </w:rPr>
      </w:pPr>
      <w:r>
        <w:rPr>
          <w:i/>
          <w:noProof/>
        </w:rPr>
        <w:t>а) Технологичните про</w:t>
      </w:r>
      <w:r>
        <w:rPr>
          <w:i/>
          <w:noProof/>
        </w:rPr>
        <w:t>мени, които се въвеждат с 5G технологиите, ще увеличат общата повърхност, уязвима за атаки, и броя на потенциалните точки на проникване за извършителите:</w:t>
      </w: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Повишената функционалност в периферията на мрежата и по-слабо централизираната архитектура в </w:t>
      </w:r>
      <w:r>
        <w:rPr>
          <w:i/>
          <w:noProof/>
        </w:rPr>
        <w:t>сравнение с предишните поколения мобилни мрежи означават, че някои функции на опорните мрежи може да са интегрирани в други части на мрежите, което прави съответното оборудване по-чувствително (напр. базови станции или функции MANO).</w:t>
      </w:r>
    </w:p>
    <w:p w:rsidR="00FF648C" w:rsidRDefault="00FF648C">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Нарасналият дял на </w:t>
      </w:r>
      <w:r>
        <w:rPr>
          <w:i/>
          <w:noProof/>
        </w:rPr>
        <w:t>софтуера в 5G оборудването води до повишени рискове, свързани с процесите на разработване и актуализиране на софтуера, създава нови рискове от грешки при конфигурацията и отрежда при анализа на сигурността по-съществена роля на решенията, които взема всеки</w:t>
      </w:r>
      <w:r>
        <w:rPr>
          <w:i/>
          <w:noProof/>
        </w:rPr>
        <w:t xml:space="preserve"> оператор на мобилна мрежа на етапа на внедряване на мрежата. </w:t>
      </w: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б) Тези нови технологични характеристики ще увеличат значението на зависимостта на операторите на мобилни мрежи от доставчици, които са трети страни, както и на тяхната роля във веригата на д</w:t>
      </w:r>
      <w:r>
        <w:rPr>
          <w:i/>
          <w:noProof/>
        </w:rPr>
        <w:t xml:space="preserve">оставки в областта на 5G. </w:t>
      </w:r>
    </w:p>
    <w:p w:rsidR="00FF648C" w:rsidRDefault="00FF648C">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Това от своя страна ще увеличи броя на възможните пътища за извършване на атаки, от които биха могли да се възползват участниците в заплахи, в частност държавни или подкрепяни от държавата участници от държави извън ЕС, поради т</w:t>
      </w:r>
      <w:r>
        <w:rPr>
          <w:i/>
          <w:noProof/>
        </w:rPr>
        <w:t xml:space="preserve">ехните способности (намерения и ресурси) да извършват атаки срещу телекомуникационните мрежи на държавите — членки на ЕС, както и потенциалната сериозност на въздействието на подобни атаки. </w:t>
      </w:r>
    </w:p>
    <w:p w:rsidR="00FF648C" w:rsidRDefault="00FF648C">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В този контекст на повишен риска от излагане на атаки, улесняван</w:t>
      </w:r>
      <w:r>
        <w:rPr>
          <w:i/>
          <w:noProof/>
        </w:rPr>
        <w:t>и от доставчици, които са трети страни, индивидуалният рисков профил на доставчиците ще стане особено важен, особено когато доставчикът има значително присъствие в рамките на мрежи или райони.</w:t>
      </w:r>
    </w:p>
    <w:p w:rsidR="00FF648C" w:rsidRDefault="00FF648C">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в) Значителната зависимост от един-единствен доставчик увелича</w:t>
      </w:r>
      <w:r>
        <w:rPr>
          <w:i/>
          <w:noProof/>
        </w:rPr>
        <w:t>ва риска от излагане на атаки и последиците от евентуален пробив при този доставчик. Освен това тя задълбочава потенциалния ефект на слабости и уязвими места, както и риска от евентуалното им зловредно използване от участници в заплахи, по-специално когато</w:t>
      </w:r>
      <w:r>
        <w:rPr>
          <w:i/>
          <w:noProof/>
        </w:rPr>
        <w:t xml:space="preserve"> зависимостта е по отношение на доставчик, при който е налице висока степен на риск. </w:t>
      </w: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FF648C" w:rsidRDefault="003C3A02">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г) Ако се осъществят някои от новите сценарии на употреба, които се очакват за 5G технологиите, 5G мрежите ще се превърнат във важна част от веригата на доставки при мн</w:t>
      </w:r>
      <w:r>
        <w:rPr>
          <w:i/>
          <w:noProof/>
        </w:rPr>
        <w:t xml:space="preserve">ого ИТ приложения с критично значение и по този начин не само ще бъдат засегнати изискванията за поверителност и неприкосновеност на личния живот, но също така целостта и достъпността на тези мрежи ще се превърнат в сериозна тема на националната сигурност </w:t>
      </w:r>
      <w:r>
        <w:rPr>
          <w:i/>
          <w:noProof/>
        </w:rPr>
        <w:t>и сериозно предизвикателство за сигурността от гледна точка на ЕС.</w:t>
      </w:r>
    </w:p>
    <w:p w:rsidR="00FF648C" w:rsidRDefault="00FF648C">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FF648C" w:rsidRDefault="003C3A02">
      <w:pPr>
        <w:spacing w:after="240"/>
        <w:contextualSpacing/>
        <w:jc w:val="both"/>
        <w:rPr>
          <w:noProof/>
        </w:rPr>
      </w:pPr>
      <w:r>
        <w:rPr>
          <w:noProof/>
        </w:rPr>
        <w:t>Източник: Координирана оценка на риска на равнището на ЕС</w:t>
      </w:r>
    </w:p>
    <w:p w:rsidR="00FF648C" w:rsidRDefault="00FF648C">
      <w:pPr>
        <w:spacing w:after="240"/>
        <w:contextualSpacing/>
        <w:jc w:val="both"/>
        <w:rPr>
          <w:noProof/>
        </w:rPr>
      </w:pPr>
    </w:p>
    <w:p w:rsidR="00FF648C" w:rsidRDefault="003C3A02">
      <w:pPr>
        <w:spacing w:after="240"/>
        <w:contextualSpacing/>
        <w:jc w:val="both"/>
        <w:rPr>
          <w:noProof/>
        </w:rPr>
      </w:pPr>
      <w:r>
        <w:rPr>
          <w:noProof/>
        </w:rPr>
        <w:t>В доклада за координираната оценка на риска на равнището на ЕС се заключава освен това, че тези предизвикателства създават нова п</w:t>
      </w:r>
      <w:r>
        <w:rPr>
          <w:noProof/>
        </w:rPr>
        <w:t xml:space="preserve">арадигма за сигурност, което налага да се направи преоценка на настоящата рамка за политика и сигурност, приложима към сектора на 5G технологиите и неговата екосистема, и да се предприеме необходимото, за да вземат държавите членки необходимите смекчаващи </w:t>
      </w:r>
      <w:r>
        <w:rPr>
          <w:noProof/>
        </w:rPr>
        <w:t xml:space="preserve">мерки.  </w:t>
      </w:r>
    </w:p>
    <w:p w:rsidR="00FF648C" w:rsidRDefault="00FF648C">
      <w:pPr>
        <w:spacing w:after="240"/>
        <w:contextualSpacing/>
        <w:jc w:val="both"/>
        <w:rPr>
          <w:noProof/>
        </w:rPr>
      </w:pPr>
    </w:p>
    <w:p w:rsidR="00FF648C" w:rsidRDefault="003C3A02">
      <w:pPr>
        <w:spacing w:after="240"/>
        <w:jc w:val="both"/>
        <w:rPr>
          <w:noProof/>
        </w:rPr>
      </w:pPr>
      <w:r>
        <w:rPr>
          <w:noProof/>
        </w:rPr>
        <w:t>С цел да се даде ефективен отговор на установените рискове и да се укрепи сигурността и стабилността на 5G мрежите, се изисква всеобхватен подход, което предполага въвеждането на набор от ключови мерки, както и на свързани подкрепящи действия, ко</w:t>
      </w:r>
      <w:r>
        <w:rPr>
          <w:noProof/>
        </w:rPr>
        <w:t>ито могат същевременно да противодействат на рисковете. Координираната оценка на риска на равнището на ЕС даде основата за определяне на смекчаващи мерки, които могат да бъдат прилагани на национално и европейско равнище.</w:t>
      </w:r>
    </w:p>
    <w:p w:rsidR="00FF648C" w:rsidRDefault="003C3A02">
      <w:pPr>
        <w:spacing w:after="240"/>
        <w:jc w:val="both"/>
        <w:rPr>
          <w:noProof/>
        </w:rPr>
      </w:pPr>
      <w:r>
        <w:rPr>
          <w:noProof/>
        </w:rPr>
        <w:t>Заключенията на Съвета от 3 декемв</w:t>
      </w:r>
      <w:r>
        <w:rPr>
          <w:noProof/>
        </w:rPr>
        <w:t>ри 2019 г. подкрепят констатациите на координираната оценка на риска и изтъкват „значението на координирания подход и ефективното прилагане на препоръката, за да се избегне фрагментирането на единния пазар“</w:t>
      </w:r>
      <w:r>
        <w:rPr>
          <w:rStyle w:val="FootnoteReference"/>
          <w:noProof/>
        </w:rPr>
        <w:footnoteReference w:id="16"/>
      </w:r>
      <w:r>
        <w:rPr>
          <w:noProof/>
        </w:rPr>
        <w:t>. За тази цел Съветът призова държавите членки, К</w:t>
      </w:r>
      <w:r>
        <w:rPr>
          <w:noProof/>
        </w:rPr>
        <w:t>омисията и ENISA „да предприемат всички необходими мерки в рамките на своите правомощия, за да гарантират сигурността и целостта на електронните съобщителни мрежи, по-специално на 5G мрежите, и да продължат да утвърждават координиран подход за справяне с п</w:t>
      </w:r>
      <w:r>
        <w:rPr>
          <w:noProof/>
        </w:rPr>
        <w:t>редизвикателствата пред сигурността, свързани с 5G технологиите.“</w:t>
      </w:r>
    </w:p>
    <w:p w:rsidR="00FF648C" w:rsidRDefault="003C3A02">
      <w:pPr>
        <w:spacing w:after="240"/>
        <w:ind w:firstLine="720"/>
        <w:jc w:val="both"/>
        <w:rPr>
          <w:rFonts w:eastAsia="Times New Roman"/>
          <w:b/>
          <w:i/>
          <w:noProof/>
          <w:u w:val="single"/>
        </w:rPr>
      </w:pPr>
      <w:r>
        <w:rPr>
          <w:b/>
          <w:i/>
          <w:noProof/>
          <w:u w:val="single"/>
        </w:rPr>
        <w:t>4. Инструментариум на ЕС за киберсигурност на 5G технологиите</w:t>
      </w:r>
    </w:p>
    <w:p w:rsidR="00FF648C" w:rsidRDefault="003C3A02">
      <w:pPr>
        <w:spacing w:after="240"/>
        <w:jc w:val="both"/>
        <w:rPr>
          <w:rFonts w:eastAsia="Times New Roman"/>
          <w:noProof/>
        </w:rPr>
      </w:pPr>
      <w:r>
        <w:rPr>
          <w:noProof/>
        </w:rPr>
        <w:t>На 29 януари 2020 г. групата за сътрудничество за МИС публикува инструментариума на ЕС от мерки за смекчаване на риска</w:t>
      </w:r>
      <w:r>
        <w:rPr>
          <w:rStyle w:val="FootnoteReference"/>
          <w:noProof/>
        </w:rPr>
        <w:footnoteReference w:id="17"/>
      </w:r>
      <w:r>
        <w:rPr>
          <w:noProof/>
        </w:rPr>
        <w:t xml:space="preserve">. Той съдържа мерки за противодействие на всички рискове, набелязани в координирания доклад за оценка на риска. </w:t>
      </w:r>
    </w:p>
    <w:p w:rsidR="00FF648C" w:rsidRDefault="003C3A02">
      <w:pPr>
        <w:spacing w:after="240"/>
        <w:jc w:val="both"/>
        <w:rPr>
          <w:rFonts w:eastAsia="Times New Roman"/>
          <w:noProof/>
        </w:rPr>
      </w:pPr>
      <w:r>
        <w:rPr>
          <w:noProof/>
        </w:rPr>
        <w:t xml:space="preserve">Инструментариумът на ЕС определя и описва набор от стратегически и технически мерки и съответни подкрепящи действия за засилване на тяхната ефективност, които могат да се използват за смекчаване на установените рискове. </w:t>
      </w:r>
      <w:r>
        <w:rPr>
          <w:b/>
          <w:noProof/>
        </w:rPr>
        <w:t>Стратегическите мерки</w:t>
      </w:r>
      <w:r>
        <w:rPr>
          <w:noProof/>
        </w:rPr>
        <w:t xml:space="preserve"> обхващат мерки</w:t>
      </w:r>
      <w:r>
        <w:rPr>
          <w:noProof/>
        </w:rPr>
        <w:t xml:space="preserve"> за увеличаване на регулаторните правомощия на органите за контрол относно възлагането на обществени поръчки за мрежи и внедряването на тези мрежи, конкретни мерки за справяне с рисковете, свързани с уязвимости, различни от техническите, както и възможни и</w:t>
      </w:r>
      <w:r>
        <w:rPr>
          <w:noProof/>
        </w:rPr>
        <w:t xml:space="preserve">нициативи за насърчаване на устойчиви и разнообразни вериги на доставки и вериги за създаване на стойност в областта на 5G, с цел да се избегне възникването на системни и дългосрочни рискове от зависимост. </w:t>
      </w:r>
      <w:r>
        <w:rPr>
          <w:b/>
          <w:noProof/>
        </w:rPr>
        <w:t>Техническите мерки</w:t>
      </w:r>
      <w:r>
        <w:rPr>
          <w:noProof/>
        </w:rPr>
        <w:t xml:space="preserve"> включват мерки</w:t>
      </w:r>
      <w:r>
        <w:rPr>
          <w:b/>
          <w:i/>
          <w:noProof/>
        </w:rPr>
        <w:t xml:space="preserve"> </w:t>
      </w:r>
      <w:r>
        <w:rPr>
          <w:noProof/>
        </w:rPr>
        <w:t xml:space="preserve">за укрепване на </w:t>
      </w:r>
      <w:r>
        <w:rPr>
          <w:noProof/>
        </w:rPr>
        <w:t>сигурността на мрежите и оборудването за 5G чрез справяне с рисковете, произтичащи от технологии, процеси, човешки и физически фактори. Освен това за всяка от областите на риск, посочени в координираната оценка на риска на равнището на ЕС, инструментариумъ</w:t>
      </w:r>
      <w:r>
        <w:rPr>
          <w:noProof/>
        </w:rPr>
        <w:t xml:space="preserve">т предвижда </w:t>
      </w:r>
      <w:r>
        <w:rPr>
          <w:b/>
          <w:noProof/>
        </w:rPr>
        <w:t>планове за смекчаване на риска</w:t>
      </w:r>
      <w:r>
        <w:rPr>
          <w:noProof/>
        </w:rPr>
        <w:t xml:space="preserve">, основаващи се на мерките с най-висока ефективност. </w:t>
      </w:r>
    </w:p>
    <w:p w:rsidR="00FF648C" w:rsidRDefault="003C3A02">
      <w:pPr>
        <w:spacing w:after="240"/>
        <w:jc w:val="both"/>
        <w:rPr>
          <w:rFonts w:eastAsia="Times New Roman"/>
          <w:noProof/>
        </w:rPr>
      </w:pPr>
      <w:r>
        <w:rPr>
          <w:noProof/>
        </w:rPr>
        <w:t xml:space="preserve">Сред тях заключенията относно инструментариума на ЕС, приети от групата за сътрудничество за МИС, препоръчват следния набор от </w:t>
      </w:r>
      <w:r>
        <w:rPr>
          <w:b/>
          <w:noProof/>
        </w:rPr>
        <w:t>ключови</w:t>
      </w:r>
      <w:r>
        <w:rPr>
          <w:noProof/>
        </w:rPr>
        <w:t xml:space="preserve"> </w:t>
      </w:r>
      <w:r>
        <w:rPr>
          <w:b/>
          <w:noProof/>
        </w:rPr>
        <w:t>мерки</w:t>
      </w:r>
      <w:r>
        <w:rPr>
          <w:noProof/>
        </w:rPr>
        <w:t>, които да се прилаг</w:t>
      </w:r>
      <w:r>
        <w:rPr>
          <w:noProof/>
        </w:rPr>
        <w:t>ат</w:t>
      </w:r>
      <w:r>
        <w:rPr>
          <w:b/>
          <w:noProof/>
        </w:rPr>
        <w:t xml:space="preserve"> </w:t>
      </w:r>
      <w:r>
        <w:rPr>
          <w:noProof/>
        </w:rPr>
        <w:t>от всички държави членки и от Комисията:</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jc w:val="center"/>
        <w:rPr>
          <w:rFonts w:ascii="Times New Roman" w:hAnsi="Times New Roman" w:cs="Times New Roman"/>
          <w:b/>
          <w:i/>
          <w:noProof/>
          <w:sz w:val="24"/>
        </w:rPr>
      </w:pPr>
      <w:r>
        <w:rPr>
          <w:rFonts w:ascii="Times New Roman" w:hAnsi="Times New Roman"/>
          <w:b/>
          <w:i/>
          <w:noProof/>
        </w:rPr>
        <w:t xml:space="preserve">Заключения в инструментариума на ЕС </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В инструментариума на ЕС се определя набор от мерки и действия, които — ако бъдат правилно съчетани и ефективно приложени — дават основата за координиран подход в тази област.</w:t>
      </w:r>
      <w:r>
        <w:rPr>
          <w:rFonts w:ascii="Times New Roman" w:hAnsi="Times New Roman"/>
          <w:i/>
          <w:noProof/>
        </w:rPr>
        <w:t xml:space="preserve"> Действително, предвид широкия спектър от области на риск, определени в координираната оценка на риска на равнището на ЕС, и тяхното различно естество, няма да е достатъчен един-единствен вид мерки, а ще е необходим набор от мерки, използвани в подходяща к</w:t>
      </w:r>
      <w:r>
        <w:rPr>
          <w:rFonts w:ascii="Times New Roman" w:hAnsi="Times New Roman"/>
          <w:i/>
          <w:noProof/>
        </w:rPr>
        <w:t>омбинация, за да се обхванат всички ключови области на риск.</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Въз основа на оценката на възможните планове за смекчаване и на определянето на мерките с най-висока ефективност, в този инструментариум се препоръчва:</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1. Всички държави членки следва да гарантир</w:t>
      </w:r>
      <w:r>
        <w:rPr>
          <w:rFonts w:ascii="Times New Roman" w:hAnsi="Times New Roman"/>
          <w:i/>
          <w:noProof/>
        </w:rPr>
        <w:t xml:space="preserve">ат, че разполагат с мерки (включително правомощия за националните органи) да отговорят по подходящ и пропорционален начин на настоящите и бъдещите рискове, и по-специално да гарантират, че са в състояние да ограничават, забраняват и/или налагат специфични </w:t>
      </w:r>
      <w:r>
        <w:rPr>
          <w:rFonts w:ascii="Times New Roman" w:hAnsi="Times New Roman"/>
          <w:i/>
          <w:noProof/>
        </w:rPr>
        <w:t>изисквания или условия, следвайки основан на риска подход, по отношение на доставките, внедряването и експлоатацията на оборудване за 5G мрежи въз основа на редица съображения, свързани със сигурността.</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 xml:space="preserve">По-специално те следва: </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да повишат </w:t>
      </w:r>
      <w:r>
        <w:rPr>
          <w:rFonts w:ascii="Times New Roman" w:hAnsi="Times New Roman"/>
          <w:b/>
          <w:i/>
          <w:noProof/>
        </w:rPr>
        <w:t>изискванията за</w:t>
      </w:r>
      <w:r>
        <w:rPr>
          <w:rFonts w:ascii="Times New Roman" w:hAnsi="Times New Roman"/>
          <w:b/>
          <w:i/>
          <w:noProof/>
        </w:rPr>
        <w:t xml:space="preserve"> сигурност</w:t>
      </w:r>
      <w:r>
        <w:rPr>
          <w:rFonts w:ascii="Times New Roman" w:hAnsi="Times New Roman"/>
          <w:i/>
          <w:noProof/>
        </w:rPr>
        <w:t xml:space="preserve"> за операторите на мобилни мрежи (напр. строг контрол на достъпа, правила за безопасна експлоатация и наблюдение, ограничения относно възлагането на външни изпълнители на конкретни функции и др.); </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да оценяват рисковия профил на доставчиците; н</w:t>
      </w:r>
      <w:r>
        <w:rPr>
          <w:rFonts w:ascii="Times New Roman" w:hAnsi="Times New Roman"/>
          <w:i/>
          <w:noProof/>
        </w:rPr>
        <w:t xml:space="preserve">а базата на тази оценка </w:t>
      </w:r>
      <w:r>
        <w:rPr>
          <w:rFonts w:ascii="Times New Roman" w:hAnsi="Times New Roman"/>
          <w:b/>
          <w:i/>
          <w:noProof/>
        </w:rPr>
        <w:t>да прилагат съответни ограничения за доставчици, чийто профил се счита за високорисков — включително необходимите изключвания с цел ефективно смекчаване на рисковете — за ключови активи,</w:t>
      </w:r>
      <w:r>
        <w:rPr>
          <w:rFonts w:ascii="Times New Roman" w:hAnsi="Times New Roman"/>
          <w:i/>
          <w:noProof/>
        </w:rPr>
        <w:t xml:space="preserve"> определени като критични и чувствителни в коо</w:t>
      </w:r>
      <w:r>
        <w:rPr>
          <w:rFonts w:ascii="Times New Roman" w:hAnsi="Times New Roman"/>
          <w:i/>
          <w:noProof/>
        </w:rPr>
        <w:t xml:space="preserve">рдинираната оценка на риска на равнището на ЕС (например функции на опорната мрежа, функции по управление и оркестриране на мрежата, както и функции за достъп до мрежата); </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да гарантират, че всеки оператор разполага с подходяща стратегия за използване на</w:t>
      </w:r>
      <w:r>
        <w:rPr>
          <w:rFonts w:ascii="Times New Roman" w:hAnsi="Times New Roman"/>
          <w:i/>
          <w:noProof/>
        </w:rPr>
        <w:t xml:space="preserve"> множество доставчици, за да се </w:t>
      </w:r>
      <w:r>
        <w:rPr>
          <w:rFonts w:ascii="Times New Roman" w:hAnsi="Times New Roman"/>
          <w:b/>
          <w:i/>
          <w:noProof/>
        </w:rPr>
        <w:t>избегне или ограничи всяка значителна зависимост</w:t>
      </w:r>
      <w:r>
        <w:rPr>
          <w:rFonts w:ascii="Times New Roman" w:hAnsi="Times New Roman"/>
          <w:i/>
          <w:noProof/>
        </w:rPr>
        <w:t xml:space="preserve"> от един-единствен доставчик (или доставчици със сходен рисков профил), да се осигури подходящ баланс на доставчиците на национално равнище и да се </w:t>
      </w:r>
      <w:r>
        <w:rPr>
          <w:rFonts w:ascii="Times New Roman" w:hAnsi="Times New Roman"/>
          <w:b/>
          <w:i/>
          <w:noProof/>
        </w:rPr>
        <w:t>избегне зависимостта от дост</w:t>
      </w:r>
      <w:r>
        <w:rPr>
          <w:rFonts w:ascii="Times New Roman" w:hAnsi="Times New Roman"/>
          <w:b/>
          <w:i/>
          <w:noProof/>
        </w:rPr>
        <w:t>авчици, чийто профил се счита за високорисков</w:t>
      </w:r>
      <w:r>
        <w:rPr>
          <w:rFonts w:ascii="Times New Roman" w:hAnsi="Times New Roman"/>
          <w:i/>
          <w:noProof/>
        </w:rPr>
        <w:t>; това изисква също да се избягват ситуации на „блокиране“ в продуктовия спектър на един-единствен доставчик, включително чрез насърчаване на по-голяма оперативна съвместимост на оборудването.</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2. Европейската ко</w:t>
      </w:r>
      <w:r>
        <w:rPr>
          <w:rFonts w:ascii="Times New Roman" w:hAnsi="Times New Roman"/>
          <w:i/>
          <w:noProof/>
        </w:rPr>
        <w:t>мисия, съвместно с държавите членки, следва да допринася за:</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поддържането на разнообразна и устойчива верига на доставки в областта на 5G, за да се избегне дългосрочната зависимост, включително чрез:</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ind w:firstLine="720"/>
        <w:rPr>
          <w:rFonts w:ascii="Times New Roman" w:hAnsi="Times New Roman" w:cs="Times New Roman"/>
          <w:i/>
          <w:noProof/>
          <w:sz w:val="24"/>
        </w:rPr>
      </w:pPr>
      <w:r>
        <w:rPr>
          <w:rFonts w:ascii="Times New Roman" w:hAnsi="Times New Roman"/>
          <w:i/>
          <w:noProof/>
        </w:rPr>
        <w:t xml:space="preserve">o пълноценно използване на съществуващите средства и инструменти на ЕС, по-специално чрез скрининг на потенциални </w:t>
      </w:r>
      <w:r>
        <w:rPr>
          <w:rFonts w:ascii="Times New Roman" w:hAnsi="Times New Roman"/>
          <w:b/>
          <w:i/>
          <w:noProof/>
        </w:rPr>
        <w:t>преки чуждестранни инвестиции</w:t>
      </w:r>
      <w:r>
        <w:rPr>
          <w:rFonts w:ascii="Times New Roman" w:hAnsi="Times New Roman"/>
          <w:i/>
          <w:noProof/>
        </w:rPr>
        <w:t xml:space="preserve"> (ПЧИ), засягащи ключови активи в областта на 5G, и чрез избягване на </w:t>
      </w:r>
      <w:r>
        <w:rPr>
          <w:rFonts w:ascii="Times New Roman" w:hAnsi="Times New Roman"/>
          <w:b/>
          <w:i/>
          <w:noProof/>
        </w:rPr>
        <w:t>нарушения</w:t>
      </w:r>
      <w:r>
        <w:rPr>
          <w:rFonts w:ascii="Times New Roman" w:hAnsi="Times New Roman"/>
          <w:i/>
          <w:noProof/>
        </w:rPr>
        <w:t xml:space="preserve"> на пазара за доставки на 5G техно</w:t>
      </w:r>
      <w:r>
        <w:rPr>
          <w:rFonts w:ascii="Times New Roman" w:hAnsi="Times New Roman"/>
          <w:i/>
          <w:noProof/>
        </w:rPr>
        <w:t xml:space="preserve">логии, произтичащи от евентуален дъмпинг или субсидии; както и </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ind w:firstLine="720"/>
        <w:rPr>
          <w:rFonts w:ascii="Times New Roman" w:hAnsi="Times New Roman" w:cs="Times New Roman"/>
          <w:i/>
          <w:noProof/>
          <w:sz w:val="24"/>
        </w:rPr>
      </w:pPr>
      <w:r>
        <w:rPr>
          <w:rFonts w:ascii="Times New Roman" w:hAnsi="Times New Roman"/>
          <w:i/>
          <w:noProof/>
        </w:rPr>
        <w:t xml:space="preserve">o повишаване на </w:t>
      </w:r>
      <w:r>
        <w:rPr>
          <w:rFonts w:ascii="Times New Roman" w:hAnsi="Times New Roman"/>
          <w:b/>
          <w:i/>
          <w:noProof/>
        </w:rPr>
        <w:t>капацитета на ЕС при 5G и по-късни технологии</w:t>
      </w:r>
      <w:r>
        <w:rPr>
          <w:rFonts w:ascii="Times New Roman" w:hAnsi="Times New Roman"/>
          <w:i/>
          <w:noProof/>
        </w:rPr>
        <w:t xml:space="preserve"> чрез използване на съответните програми и финансиране от ЕС.</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улесняването на координацията между държавите членки по отношение н</w:t>
      </w:r>
      <w:r>
        <w:rPr>
          <w:rFonts w:ascii="Times New Roman" w:hAnsi="Times New Roman"/>
          <w:i/>
          <w:noProof/>
        </w:rPr>
        <w:t xml:space="preserve">а </w:t>
      </w:r>
      <w:r>
        <w:rPr>
          <w:rFonts w:ascii="Times New Roman" w:hAnsi="Times New Roman"/>
          <w:b/>
          <w:i/>
          <w:noProof/>
        </w:rPr>
        <w:t>стандартизацията</w:t>
      </w:r>
      <w:r>
        <w:rPr>
          <w:rFonts w:ascii="Times New Roman" w:hAnsi="Times New Roman"/>
          <w:i/>
          <w:noProof/>
        </w:rPr>
        <w:t xml:space="preserve"> за постигане на конкретни цели в областта на сигурността и разработване на </w:t>
      </w:r>
      <w:r>
        <w:rPr>
          <w:rFonts w:ascii="Times New Roman" w:hAnsi="Times New Roman"/>
          <w:b/>
          <w:i/>
          <w:noProof/>
        </w:rPr>
        <w:t>съответни схеми за сертифициране, валидни в целия ЕС</w:t>
      </w:r>
      <w:r>
        <w:rPr>
          <w:rFonts w:ascii="Times New Roman" w:hAnsi="Times New Roman"/>
          <w:i/>
          <w:noProof/>
        </w:rPr>
        <w:t>, с цел насърчаване на по-сигурни продукти и процеси.</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3. За да се гарантира, че този координиран подход ще изд</w:t>
      </w:r>
      <w:r>
        <w:rPr>
          <w:rFonts w:ascii="Times New Roman" w:hAnsi="Times New Roman"/>
          <w:i/>
          <w:noProof/>
        </w:rPr>
        <w:t>ържи проверката на времето, следва да се удължи мандатът на групата за сътрудничество за МИС, както и сътрудничеството с други съответни органи и образувания, по-специално с цел:</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да се преразглеждат периодично с подкрепата на Комисията и ENISA </w:t>
      </w:r>
      <w:r>
        <w:rPr>
          <w:rFonts w:ascii="Times New Roman" w:hAnsi="Times New Roman"/>
          <w:b/>
          <w:i/>
          <w:noProof/>
        </w:rPr>
        <w:t>национални</w:t>
      </w:r>
      <w:r>
        <w:rPr>
          <w:rFonts w:ascii="Times New Roman" w:hAnsi="Times New Roman"/>
          <w:b/>
          <w:i/>
          <w:noProof/>
        </w:rPr>
        <w:t>те и европейските оценки на риска</w:t>
      </w:r>
      <w:r>
        <w:rPr>
          <w:rFonts w:ascii="Times New Roman" w:hAnsi="Times New Roman"/>
          <w:i/>
          <w:noProof/>
        </w:rPr>
        <w:t xml:space="preserve"> относно сигурността на мрежите с 5G и по-късна технология, да се доразвива и привежда в съответствие методиката за оценка и да се предприемат адаптации към развиващата се 5G технология;</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да се извършват подробен и редовен</w:t>
      </w:r>
      <w:r>
        <w:rPr>
          <w:rFonts w:ascii="Times New Roman" w:hAnsi="Times New Roman"/>
          <w:i/>
          <w:noProof/>
        </w:rPr>
        <w:t xml:space="preserve"> </w:t>
      </w:r>
      <w:r>
        <w:rPr>
          <w:rFonts w:ascii="Times New Roman" w:hAnsi="Times New Roman"/>
          <w:b/>
          <w:i/>
          <w:noProof/>
        </w:rPr>
        <w:t>мониторинг и оценка на прилагането</w:t>
      </w:r>
      <w:r>
        <w:rPr>
          <w:rFonts w:ascii="Times New Roman" w:hAnsi="Times New Roman"/>
          <w:i/>
          <w:noProof/>
        </w:rPr>
        <w:t xml:space="preserve"> на инструментариума въз основа на структурирано докладване от страна на държавите членки;</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да се координира и подпомага изпълнението на </w:t>
      </w:r>
      <w:r>
        <w:rPr>
          <w:rFonts w:ascii="Times New Roman" w:hAnsi="Times New Roman"/>
          <w:b/>
          <w:i/>
          <w:noProof/>
        </w:rPr>
        <w:t>подкрепящи действия</w:t>
      </w:r>
      <w:r>
        <w:rPr>
          <w:rFonts w:ascii="Times New Roman" w:hAnsi="Times New Roman"/>
          <w:i/>
          <w:noProof/>
        </w:rPr>
        <w:t>, които изискват сътрудничество на равнището на ЕС, по-специално</w:t>
      </w:r>
      <w:r>
        <w:rPr>
          <w:rFonts w:ascii="Times New Roman" w:hAnsi="Times New Roman"/>
          <w:i/>
          <w:noProof/>
        </w:rPr>
        <w:t xml:space="preserve"> по отношение на разработването на насоки и обмена на най-добри практики относно различните мерки;</w:t>
      </w:r>
    </w:p>
    <w:p w:rsidR="00FF648C" w:rsidRDefault="003C3A02">
      <w:pPr>
        <w:pStyle w:val="Briefingtext"/>
        <w:pBdr>
          <w:top w:val="single" w:sz="4" w:space="1" w:color="auto"/>
          <w:left w:val="single" w:sz="4" w:space="4" w:color="auto"/>
          <w:bottom w:val="single" w:sz="4" w:space="6" w:color="auto"/>
          <w:right w:val="single" w:sz="4" w:space="4" w:color="auto"/>
        </w:pBdr>
        <w:shd w:val="clear" w:color="auto" w:fill="FFFFFF" w:themeFill="background1"/>
        <w:suppressAutoHyphens/>
        <w:rPr>
          <w:rFonts w:ascii="Times New Roman" w:hAnsi="Times New Roman" w:cs="Times New Roman"/>
          <w:b/>
          <w:i/>
          <w:noProof/>
          <w:sz w:val="24"/>
        </w:rPr>
      </w:pPr>
      <w:r>
        <w:rPr>
          <w:rFonts w:ascii="Times New Roman" w:hAnsi="Times New Roman"/>
          <w:i/>
          <w:noProof/>
        </w:rPr>
        <w:t></w:t>
      </w:r>
      <w:r>
        <w:rPr>
          <w:rFonts w:ascii="Times New Roman" w:hAnsi="Times New Roman"/>
          <w:i/>
          <w:noProof/>
        </w:rPr>
        <w:tab/>
        <w:t xml:space="preserve">да се подкрепя, когато е целесъобразно и възможно, по-нататъшната координация на равнище ЕС, по-специално с цел по-тясно сближаване </w:t>
      </w:r>
      <w:r>
        <w:rPr>
          <w:rFonts w:ascii="Times New Roman" w:hAnsi="Times New Roman"/>
          <w:b/>
          <w:i/>
          <w:noProof/>
        </w:rPr>
        <w:t>по отношение на техниче</w:t>
      </w:r>
      <w:r>
        <w:rPr>
          <w:rFonts w:ascii="Times New Roman" w:hAnsi="Times New Roman"/>
          <w:b/>
          <w:i/>
          <w:noProof/>
        </w:rPr>
        <w:t>ските и организационните изисквания за сигурност за операторите на мрежи</w:t>
      </w:r>
      <w:r>
        <w:rPr>
          <w:rFonts w:ascii="Times New Roman" w:hAnsi="Times New Roman"/>
          <w:i/>
          <w:noProof/>
        </w:rPr>
        <w:t>.</w:t>
      </w:r>
    </w:p>
    <w:p w:rsidR="00FF648C" w:rsidRDefault="003C3A02">
      <w:pPr>
        <w:jc w:val="both"/>
        <w:rPr>
          <w:rFonts w:eastAsia="Times New Roman"/>
          <w:noProof/>
        </w:rPr>
      </w:pPr>
      <w:r>
        <w:rPr>
          <w:noProof/>
        </w:rPr>
        <w:t>Източник: Инструментариум на ЕС</w:t>
      </w:r>
    </w:p>
    <w:p w:rsidR="00FF648C" w:rsidRDefault="00FF648C">
      <w:pPr>
        <w:jc w:val="both"/>
        <w:rPr>
          <w:rFonts w:eastAsia="Times New Roman"/>
          <w:noProof/>
        </w:rPr>
      </w:pPr>
    </w:p>
    <w:p w:rsidR="00FF648C" w:rsidRDefault="003C3A02">
      <w:pPr>
        <w:jc w:val="both"/>
        <w:rPr>
          <w:rFonts w:eastAsia="Times New Roman"/>
          <w:noProof/>
        </w:rPr>
      </w:pPr>
      <w:r>
        <w:rPr>
          <w:noProof/>
        </w:rPr>
        <w:t>Заключенията относно инструментариума показват твърдата решимост на държавите членки да отговорят съвместно на предизвикателствата, свързани със сигу</w:t>
      </w:r>
      <w:r>
        <w:rPr>
          <w:noProof/>
        </w:rPr>
        <w:t>рността на 5G мрежите. Това е от основно значение за сигурността в отделните държави членки и целия ЕС, за националните икономики и за вътрешния пазар на ЕС, както и за технологичния суверенитет на Европа. Както координираната оценка на риска, така и инстр</w:t>
      </w:r>
      <w:r>
        <w:rPr>
          <w:noProof/>
        </w:rPr>
        <w:t>ументариумът на ЕС доказват високата стойност на съвместната работа, извършена в рамките на групата за сътрудничество за МИС, и на активното сътрудничество между представители на всички държави членки, Комисията и ENISA.</w:t>
      </w:r>
    </w:p>
    <w:p w:rsidR="00FF648C" w:rsidRDefault="00FF648C">
      <w:pPr>
        <w:jc w:val="both"/>
        <w:rPr>
          <w:rFonts w:eastAsia="Times New Roman"/>
          <w:noProof/>
        </w:rPr>
      </w:pPr>
    </w:p>
    <w:p w:rsidR="00FF648C" w:rsidRDefault="003C3A02">
      <w:pPr>
        <w:jc w:val="both"/>
        <w:rPr>
          <w:rFonts w:eastAsia="Times New Roman"/>
          <w:noProof/>
        </w:rPr>
      </w:pPr>
      <w:r>
        <w:rPr>
          <w:noProof/>
        </w:rPr>
        <w:t xml:space="preserve">Инструментариумът дава възможност </w:t>
      </w:r>
      <w:r>
        <w:rPr>
          <w:noProof/>
        </w:rPr>
        <w:t>за общ подход на ЕС към киберсигурността на 5G технологиите и подкрепя съгласуваността в рамките на вътрешния пазар чрез политиките и координацията на ЕС, както и упражняването на компетенциите на държавите членки, особено по отношение на националната сигу</w:t>
      </w:r>
      <w:r>
        <w:rPr>
          <w:noProof/>
        </w:rPr>
        <w:t>рност. Съдържащите се в него мерки и планове за смекчаване позволяват на ЕС да реагира по подходящ, ефективен и пропорционален начин на общите предизвикателства пред киберсигурността на 5G технологиите.</w:t>
      </w:r>
    </w:p>
    <w:p w:rsidR="00FF648C" w:rsidRDefault="00FF648C">
      <w:pPr>
        <w:jc w:val="both"/>
        <w:rPr>
          <w:rFonts w:eastAsia="Times New Roman"/>
          <w:noProof/>
        </w:rPr>
      </w:pP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 xml:space="preserve">Комисията приветства публикуването на инструментариума на ЕС за киберсигурност на 5G технологиите и напълно подкрепя всички негови заключения, посочени по-горе.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Комисията призовава държавите членки и съответните институции, агенции и други органи на Съюза</w:t>
      </w:r>
      <w:r>
        <w:rPr>
          <w:noProof/>
        </w:rPr>
        <w:t>:</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 xml:space="preserve">i) да осигурят бързото прилагане на ефективни и подходящи стратегии за смекчаване на риска в целия ЕС в съответствие с инструментариума на ЕС, и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rPr>
        <w:t>ii) да предприемат всички необходими допълнителни стъпки за осигуряване на координация на равнището на Съюза</w:t>
      </w:r>
      <w:r>
        <w:rPr>
          <w:noProof/>
        </w:rPr>
        <w:t>, включително чрез продължаване на работата в рамките на групата за сътрудничество за МИС и създаване на стабилен механизъм за наблюдение на прилагането на инструментариума на ЕС, за да се гарантира ефективността на мерките и гладкото функциониране на вътр</w:t>
      </w:r>
      <w:r>
        <w:rPr>
          <w:noProof/>
        </w:rPr>
        <w:t xml:space="preserve">ешния пазар. </w:t>
      </w:r>
    </w:p>
    <w:p w:rsidR="00FF648C" w:rsidRDefault="00FF648C">
      <w:pPr>
        <w:spacing w:after="240"/>
        <w:jc w:val="both"/>
        <w:rPr>
          <w:rFonts w:eastAsia="Times New Roman"/>
          <w:b/>
          <w:noProof/>
        </w:rPr>
      </w:pPr>
    </w:p>
    <w:p w:rsidR="00FF648C" w:rsidRDefault="003C3A02">
      <w:pPr>
        <w:spacing w:after="240"/>
        <w:jc w:val="both"/>
        <w:rPr>
          <w:rFonts w:eastAsia="Times New Roman"/>
          <w:b/>
          <w:i/>
          <w:noProof/>
          <w:u w:val="single"/>
        </w:rPr>
      </w:pPr>
      <w:r>
        <w:rPr>
          <w:b/>
          <w:i/>
          <w:noProof/>
          <w:u w:val="single"/>
        </w:rPr>
        <w:t>5. Прилагане на инструментариума</w:t>
      </w:r>
    </w:p>
    <w:p w:rsidR="00FF648C" w:rsidRDefault="003C3A02">
      <w:pPr>
        <w:spacing w:after="240"/>
        <w:jc w:val="both"/>
        <w:rPr>
          <w:rFonts w:eastAsia="Times New Roman"/>
          <w:iCs/>
          <w:noProof/>
        </w:rPr>
      </w:pPr>
      <w:r>
        <w:rPr>
          <w:noProof/>
        </w:rPr>
        <w:t>Решимостта на държавите членки да използват пълноценно инструментариума е от съществено значение за прилагането на надежден и успешен европейски подход към сигурността на 5G технологиите. Независимо че държав</w:t>
      </w:r>
      <w:r>
        <w:rPr>
          <w:noProof/>
        </w:rPr>
        <w:t xml:space="preserve">ите членки ще решават съобразно националните обстоятелства относно пригодността на отделните мерки, абсолютно необходимо е </w:t>
      </w:r>
      <w:r>
        <w:rPr>
          <w:b/>
          <w:iCs/>
          <w:noProof/>
        </w:rPr>
        <w:t>наборът от ключови мерки, препоръчани от групата за сътрудничество за МИС (вж. инструментариума по-горе), да се въведе във всяка държ</w:t>
      </w:r>
      <w:r>
        <w:rPr>
          <w:b/>
          <w:iCs/>
          <w:noProof/>
        </w:rPr>
        <w:t>ава членка, а някои от мерките — и на равнището на ЕС</w:t>
      </w:r>
      <w:r>
        <w:rPr>
          <w:noProof/>
        </w:rPr>
        <w:t>, за да се противодейства на установените рискове.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eastAsia="Times New Roman"/>
          <w:noProof/>
        </w:rPr>
      </w:pPr>
      <w:r>
        <w:rPr>
          <w:noProof/>
        </w:rPr>
        <w:t>Комисията е готова да продължи да предоставя пълната си подкрепа по време на следващите етапи и призовава държавите членки:</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да предприемат </w:t>
      </w:r>
      <w:r>
        <w:rPr>
          <w:b/>
          <w:noProof/>
        </w:rPr>
        <w:t>до 30 апри</w:t>
      </w:r>
      <w:r>
        <w:rPr>
          <w:b/>
          <w:noProof/>
        </w:rPr>
        <w:t>л 2020 г.</w:t>
      </w:r>
      <w:r>
        <w:rPr>
          <w:noProof/>
        </w:rPr>
        <w:t xml:space="preserve"> конкретни и измерими стъпки за прилагане на набора от ключови мерки, препоръчани в заключенията на инструментариума на ЕС;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да представят </w:t>
      </w:r>
      <w:r>
        <w:rPr>
          <w:b/>
          <w:noProof/>
        </w:rPr>
        <w:t>до 30 юни 2020 г.</w:t>
      </w:r>
      <w:r>
        <w:rPr>
          <w:noProof/>
        </w:rPr>
        <w:t xml:space="preserve"> доклад на групата за сътрудничество за МИС относно състоянието на прилагането на тези к</w:t>
      </w:r>
      <w:r>
        <w:rPr>
          <w:noProof/>
        </w:rPr>
        <w:t xml:space="preserve">лючови мерки във всяка държава членка, основаващ се на данните от редовното докладване и наблюдение, извършвано по-специално в рамките на групата за сътрудничество за МИС, с подкрепата на Комисията и ENISA. </w:t>
      </w:r>
    </w:p>
    <w:p w:rsidR="00FF648C" w:rsidRDefault="003C3A02">
      <w:pPr>
        <w:spacing w:after="240"/>
        <w:jc w:val="both"/>
        <w:rPr>
          <w:rFonts w:eastAsia="Times New Roman"/>
          <w:i/>
          <w:noProof/>
          <w:u w:val="single"/>
        </w:rPr>
      </w:pPr>
      <w:r>
        <w:rPr>
          <w:i/>
          <w:noProof/>
          <w:u w:val="single"/>
        </w:rPr>
        <w:t xml:space="preserve">5.1. Съобразен с риска и съгласуван подход към </w:t>
      </w:r>
      <w:r>
        <w:rPr>
          <w:i/>
          <w:noProof/>
          <w:u w:val="single"/>
        </w:rPr>
        <w:t>доставчиците на 5G</w:t>
      </w:r>
    </w:p>
    <w:p w:rsidR="00FF648C" w:rsidRDefault="003C3A02">
      <w:pPr>
        <w:spacing w:after="240"/>
        <w:jc w:val="both"/>
        <w:rPr>
          <w:rFonts w:eastAsia="Times New Roman"/>
          <w:iCs/>
          <w:noProof/>
        </w:rPr>
      </w:pPr>
      <w:r>
        <w:rPr>
          <w:noProof/>
        </w:rPr>
        <w:t>С оглед на крайната цел да се гарантират сигурността, стабилността и устойчивостта на 5G мрежите държавите членки постигнаха съгласие, че е необходимо да се оценява рисковият профил на отделните доставчици и впоследствие да се прилагат с</w:t>
      </w:r>
      <w:r>
        <w:rPr>
          <w:noProof/>
        </w:rPr>
        <w:t>ъответни ограничения за доставчици, които се смятат за високорискови, включително необходимите изключвания с цел ефективно смекчаване на рисковете по отношение на ключови активи, както е посочено в инструментариума</w:t>
      </w:r>
      <w:r>
        <w:rPr>
          <w:i/>
          <w:iCs/>
          <w:noProof/>
        </w:rPr>
        <w:t>.</w:t>
      </w:r>
      <w:r>
        <w:rPr>
          <w:noProof/>
        </w:rPr>
        <w:t xml:space="preserve"> Комисията е готова да окаже подкрепа на </w:t>
      </w:r>
      <w:r>
        <w:rPr>
          <w:noProof/>
        </w:rPr>
        <w:t>държавите членки при прилагането на тези мерки.</w:t>
      </w:r>
    </w:p>
    <w:p w:rsidR="00FF648C" w:rsidRDefault="003C3A02">
      <w:pPr>
        <w:spacing w:after="240"/>
        <w:jc w:val="both"/>
        <w:rPr>
          <w:rFonts w:eastAsia="Times New Roman"/>
          <w:iCs/>
          <w:noProof/>
        </w:rPr>
      </w:pPr>
      <w:r>
        <w:rPr>
          <w:noProof/>
        </w:rPr>
        <w:t>За да се подкрепи тяхното прилагане в целия ЕС, координираната оценка на риска на равнището на ЕС и инструментариумът на ЕС предоставят насоки по отношение на 1) оценката на рисковия профил на доставчиците</w:t>
      </w:r>
      <w:r>
        <w:rPr>
          <w:rStyle w:val="FootnoteReference"/>
          <w:iCs/>
          <w:noProof/>
        </w:rPr>
        <w:footnoteReference w:id="18"/>
      </w:r>
      <w:r>
        <w:rPr>
          <w:noProof/>
        </w:rPr>
        <w:t xml:space="preserve"> и</w:t>
      </w:r>
      <w:r>
        <w:rPr>
          <w:noProof/>
        </w:rPr>
        <w:t xml:space="preserve"> 2) чувствителността на мрежовите елементи и функции</w:t>
      </w:r>
      <w:r>
        <w:rPr>
          <w:rStyle w:val="FootnoteReference"/>
          <w:iCs/>
          <w:noProof/>
        </w:rPr>
        <w:footnoteReference w:id="19"/>
      </w:r>
      <w:r>
        <w:rPr>
          <w:noProof/>
        </w:rPr>
        <w:t>, както и на други активи. Координираната оценка на риска на равнището на ЕС и инструментариумът на ЕС обхващат рисковете, свързани с доставчиците на оборудване и услуги за 5G мрежи. Те не обхващат остан</w:t>
      </w:r>
      <w:r>
        <w:rPr>
          <w:noProof/>
        </w:rPr>
        <w:t xml:space="preserve">алите продукти или услуги, които тези или други доставчици могат да предоставят. </w:t>
      </w:r>
    </w:p>
    <w:p w:rsidR="00FF648C" w:rsidRDefault="003C3A02">
      <w:pPr>
        <w:spacing w:after="240"/>
        <w:jc w:val="both"/>
        <w:rPr>
          <w:rFonts w:eastAsia="Times New Roman"/>
          <w:noProof/>
        </w:rPr>
      </w:pPr>
      <w:r>
        <w:rPr>
          <w:noProof/>
        </w:rPr>
        <w:t>Както е определено в параграф 2.37 от координираната оценка на риска на равнището на ЕС, рисковите профили на отделните доставчици могат да бъдат оценени въз основа на няколк</w:t>
      </w:r>
      <w:r>
        <w:rPr>
          <w:noProof/>
        </w:rPr>
        <w:t>о фактора.</w:t>
      </w:r>
    </w:p>
    <w:p w:rsidR="00FF648C" w:rsidRDefault="003C3A02">
      <w:pPr>
        <w:jc w:val="both"/>
        <w:rPr>
          <w:rFonts w:eastAsia="Times New Roman"/>
          <w:iCs/>
          <w:noProof/>
        </w:rPr>
      </w:pPr>
      <w:r>
        <w:rPr>
          <w:noProof/>
        </w:rPr>
        <w:t>Оценката на рисковите профили на доставчиците следва да се извършва единствено с оглед на съображенията за сигурност и да се основава на обективни критерии. С цел да се улесни използването на координиран подход при прилагането на тези мерки в ин</w:t>
      </w:r>
      <w:r>
        <w:rPr>
          <w:noProof/>
        </w:rPr>
        <w:t>струментариума се препоръчва държавите членки да обменят информация относно националните подходи и най-добри практики. Освен това Комисията е на мнение, че това действие следва да бъде един от първите приоритети в следващия етап на работата, извършвана в р</w:t>
      </w:r>
      <w:r>
        <w:rPr>
          <w:noProof/>
        </w:rPr>
        <w:t xml:space="preserve">амките на групата за сътрудничество за МИС, заедно с Комисията и ENISA. </w:t>
      </w:r>
    </w:p>
    <w:p w:rsidR="00FF648C" w:rsidRDefault="00FF648C">
      <w:pPr>
        <w:jc w:val="both"/>
        <w:rPr>
          <w:rFonts w:eastAsia="Times New Roman"/>
          <w:iCs/>
          <w:noProof/>
        </w:rPr>
      </w:pPr>
    </w:p>
    <w:p w:rsidR="00FF648C" w:rsidRDefault="003C3A02">
      <w:pPr>
        <w:jc w:val="both"/>
        <w:rPr>
          <w:rFonts w:eastAsia="Times New Roman"/>
          <w:iCs/>
          <w:noProof/>
        </w:rPr>
      </w:pPr>
      <w:r>
        <w:rPr>
          <w:noProof/>
        </w:rPr>
        <w:t>Важно е ограниченията по отношение на доставчиците, чийто профил се счита за високорисков, включително необходимите изключвания с цел ефективно смекчаване на рисковете, както и мерките за избягване на зависимостта от тези доставчици, да се предприемат свое</w:t>
      </w:r>
      <w:r>
        <w:rPr>
          <w:noProof/>
        </w:rPr>
        <w:t>временно. Ако това се прави на най-ранен етап включително, когато е възможно, в рамките на процедурите за лицензиране на 5G честоти, ще се увеличи също предвидимостта за операторите на пазара, което ще допринесе за бързото разгръщане на 5G мрежите и ще гар</w:t>
      </w:r>
      <w:r>
        <w:rPr>
          <w:noProof/>
        </w:rPr>
        <w:t xml:space="preserve">антира дългосрочната сигурност на 5G мрежите и стабилността на веригата на доставки в областта на 5G. </w:t>
      </w:r>
    </w:p>
    <w:p w:rsidR="00FF648C" w:rsidRDefault="00FF648C">
      <w:pPr>
        <w:jc w:val="both"/>
        <w:rPr>
          <w:rFonts w:eastAsia="Times New Roman"/>
          <w:iCs/>
          <w:noProof/>
        </w:rPr>
      </w:pPr>
    </w:p>
    <w:p w:rsidR="00FF648C" w:rsidRDefault="003C3A02">
      <w:pPr>
        <w:jc w:val="both"/>
        <w:rPr>
          <w:rFonts w:eastAsia="Times New Roman"/>
          <w:iCs/>
          <w:noProof/>
        </w:rPr>
      </w:pPr>
      <w:r>
        <w:rPr>
          <w:noProof/>
        </w:rPr>
        <w:t>Същевременно при прилагането на тези мерки на национално равнище могат да се определят различни срокове, когато това е необходимо и оправдано, по-специа</w:t>
      </w:r>
      <w:r>
        <w:rPr>
          <w:noProof/>
        </w:rPr>
        <w:t>лно, когато е налице висока степен на разпространение на оборудване или услуги на доставчици, оценени като високорискови (напр. с цел да се вземат под внимание циклите за модернизиране на оборудването, по-специално миграцията от „несамостоятелни“ към „само</w:t>
      </w:r>
      <w:r>
        <w:rPr>
          <w:noProof/>
        </w:rPr>
        <w:t>стоятелни“ 5G мрежи). Държавите членки биха могли да обмислят определянето на планове за прилагане, които могат да включват подходящи преходни периоди за съответните оператори на мрежи. В този контекст преходните периоди следва да бъдат определени по такъв</w:t>
      </w:r>
      <w:r>
        <w:rPr>
          <w:noProof/>
        </w:rPr>
        <w:t xml:space="preserve"> начин, че да се запазят или дори засилят стимулите за инвестиране в съвременно мрежово оборудване, включително ускоряване на внедряването на пълноценни („самостоятелни“) 5G опорни мрежи и замяна на съществуващото 4G оборудване в други части на мрежите (на</w:t>
      </w:r>
      <w:r>
        <w:rPr>
          <w:noProof/>
        </w:rPr>
        <w:t>пр. в мрежата за радиодостъп), в съответствие с целите на плана за действие за 5G</w:t>
      </w:r>
      <w:r>
        <w:rPr>
          <w:rStyle w:val="FootnoteReference"/>
          <w:iCs/>
          <w:noProof/>
        </w:rPr>
        <w:footnoteReference w:id="20"/>
      </w:r>
      <w:r>
        <w:rPr>
          <w:noProof/>
        </w:rPr>
        <w:t xml:space="preserve">. </w:t>
      </w:r>
    </w:p>
    <w:p w:rsidR="00FF648C" w:rsidRDefault="00FF648C">
      <w:pPr>
        <w:jc w:val="both"/>
        <w:rPr>
          <w:rFonts w:eastAsia="Times New Roman"/>
          <w:noProof/>
        </w:rPr>
      </w:pPr>
    </w:p>
    <w:p w:rsidR="00FF648C" w:rsidRDefault="003C3A02">
      <w:pPr>
        <w:jc w:val="both"/>
        <w:rPr>
          <w:noProof/>
        </w:rPr>
      </w:pPr>
      <w:r>
        <w:rPr>
          <w:noProof/>
        </w:rPr>
        <w:t>Освен това, поради сложността на основаващите се на софтуер 5G мрежи, е възможно далекосъобщителните оператори във все по-голяма степен да разчитат на трети страни за изп</w:t>
      </w:r>
      <w:r>
        <w:rPr>
          <w:noProof/>
        </w:rPr>
        <w:t>ълнението на определени задачи, като поддръжката и модернизирането на 5G мрежите и софтуера, както и други възложени на външен изпълнител управлявани услуги, в допълнение към доставката на мрежово оборудване. Както е описано в координираната оценка на риск</w:t>
      </w:r>
      <w:r>
        <w:rPr>
          <w:noProof/>
        </w:rPr>
        <w:t>а на равнището на ЕС, това представлява източник на сериозен риск за сигурността. Поради това следва да се обърне специално внимание на този аспект. От съществено значение е също така извършването на цялостна оценка за сигурност по отношение на рисковия пр</w:t>
      </w:r>
      <w:r>
        <w:rPr>
          <w:noProof/>
        </w:rPr>
        <w:t>офил на доставчиците, натоварени с тези услуги, по-специално когато тези задачи не се изпълняват в ЕС. Следва да се предприемат подходящи мерки, включително прилагане на ограничения, по-специално в чувствителните части на 5G мрежите, или необходими изключв</w:t>
      </w:r>
      <w:r>
        <w:rPr>
          <w:noProof/>
        </w:rPr>
        <w:t>ания на високорискови субекти в съответствие със смекчаващите мерки от инструментариума, за да се запази дългосрочната цялост на 5G инфраструктурата.</w:t>
      </w:r>
    </w:p>
    <w:p w:rsidR="00FF648C" w:rsidRDefault="00FF648C">
      <w:pPr>
        <w:jc w:val="both"/>
        <w:rPr>
          <w:rFonts w:eastAsia="Times New Roman"/>
          <w:noProof/>
        </w:rPr>
      </w:pPr>
    </w:p>
    <w:p w:rsidR="00FF648C" w:rsidRDefault="003C3A02">
      <w:pPr>
        <w:spacing w:after="240"/>
        <w:jc w:val="both"/>
        <w:rPr>
          <w:rFonts w:eastAsia="Times New Roman"/>
          <w:i/>
          <w:iCs/>
          <w:noProof/>
          <w:u w:val="single"/>
        </w:rPr>
      </w:pPr>
      <w:r>
        <w:rPr>
          <w:i/>
          <w:iCs/>
          <w:noProof/>
          <w:u w:val="single"/>
        </w:rPr>
        <w:t>5.2. Ролята на Комисията в подкрепа на прилагането на инструментариума</w:t>
      </w:r>
    </w:p>
    <w:p w:rsidR="00FF648C" w:rsidRDefault="003C3A02">
      <w:pPr>
        <w:spacing w:after="240"/>
        <w:jc w:val="both"/>
        <w:rPr>
          <w:rFonts w:eastAsia="Times New Roman"/>
          <w:noProof/>
        </w:rPr>
      </w:pPr>
      <w:r>
        <w:rPr>
          <w:noProof/>
        </w:rPr>
        <w:t xml:space="preserve">Комисията ще продължи да подкрепя </w:t>
      </w:r>
      <w:r>
        <w:rPr>
          <w:noProof/>
        </w:rPr>
        <w:t>прилагането на подхода на ЕС по отношение на киберсигурността на 5G технологиите като цяло, както и да предприема конкретни инициативи във връзка с мерките и целите на инструментариума там, където може да добави стойност. Комисията ще използва пълноценно с</w:t>
      </w:r>
      <w:r>
        <w:rPr>
          <w:noProof/>
        </w:rPr>
        <w:t>воите правомощия и съответни инструменти, доколкото това е необходимо с оглед на набелязаните съображения относно сигурността. По този начин и като действа съвместно с държавите членки и частния сектор, Комисията се стреми да подкрепя стратегическите мерки</w:t>
      </w:r>
      <w:r>
        <w:rPr>
          <w:noProof/>
        </w:rPr>
        <w:t>, които ще допринесат за гарантиране на технологичния суверенитет и водещата роля на ЕС в бъдещото развитие на мрежовите технологии, технологиите за киберсигурност и всички съответни градивни елементи, от които зависят цялата наша икономика и нашата сигурн</w:t>
      </w:r>
      <w:r>
        <w:rPr>
          <w:noProof/>
        </w:rPr>
        <w:t xml:space="preserve">ост. </w:t>
      </w:r>
    </w:p>
    <w:p w:rsidR="00FF648C" w:rsidRDefault="003C3A02">
      <w:pPr>
        <w:spacing w:after="240"/>
        <w:jc w:val="both"/>
        <w:rPr>
          <w:rFonts w:eastAsia="Times New Roman"/>
          <w:noProof/>
        </w:rPr>
      </w:pPr>
      <w:r>
        <w:rPr>
          <w:noProof/>
        </w:rPr>
        <w:t>По-конкретно Комисията ще предприеме следното, за да гарантира прилагането на съответните смекчаващи мерки от инструментариума в областите, попадащи в нейната компетентност:</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b/>
          <w:noProof/>
        </w:rPr>
      </w:pPr>
      <w:r>
        <w:rPr>
          <w:b/>
          <w:noProof/>
        </w:rPr>
        <w:t>Гарантиране на киберсигурността на 5G мрежите и на разнообразна верига на ст</w:t>
      </w:r>
      <w:r>
        <w:rPr>
          <w:b/>
          <w:noProof/>
        </w:rPr>
        <w:t>ойността в областта на 5G:</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Сътрудничество в областта на киберсигурността</w:t>
      </w:r>
      <w:r>
        <w:rPr>
          <w:noProof/>
        </w:rPr>
        <w:t xml:space="preserve">: ще продължи да предоставя подкрепа на държавите членки за ефективното, координирано и навременно прилагане на националните мерки чрез групата за сътрудничество за МИС.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Далекосъо</w:t>
      </w:r>
      <w:r>
        <w:rPr>
          <w:b/>
          <w:noProof/>
        </w:rPr>
        <w:t>бщителни оператори и правила за киберсигурност</w:t>
      </w:r>
      <w:r>
        <w:rPr>
          <w:noProof/>
        </w:rPr>
        <w:t>: ще подкрепи прилагането на мерките от инструментариума, свързани с изискванията за сигурност, по-специално по отношение на съответните разпоредби в европейските правила за електронните съобщения, и ще разглед</w:t>
      </w:r>
      <w:r>
        <w:rPr>
          <w:noProof/>
        </w:rPr>
        <w:t>а добавената стойност на евентуални актове за изпълнение, в които се описват подробно техническите и организационните мерки за сигурност, с цел да се допълнят националните правила и да се подобрят ефективността и съгласуваността на мерките за сигурност, на</w:t>
      </w:r>
      <w:r>
        <w:rPr>
          <w:noProof/>
        </w:rPr>
        <w:t>ложени на операторите.</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Стандартизация</w:t>
      </w:r>
      <w:r>
        <w:rPr>
          <w:noProof/>
        </w:rPr>
        <w:t>: ще предприеме действия, за да запази и където е необходимо, да увеличи европейското участие в съответните органи по стандартизация, за да бъдат постигнати целите на Европа в областта на сигурността и оперативната съ</w:t>
      </w:r>
      <w:r>
        <w:rPr>
          <w:noProof/>
        </w:rPr>
        <w:t>вместимост. По-специално Комисията, заедно с държавите членки, ще оценява и насърчава техническите спецификации и стандарти, чрез които се дава възможност за оперативна съвместимост между доставчиците на 5G оборудване в различни части на мрежата, включител</w:t>
      </w:r>
      <w:r>
        <w:rPr>
          <w:noProof/>
        </w:rPr>
        <w:t xml:space="preserve">но в заварените мрежи, с цел да се позволи възникването на истинска среда с множество доставчици, например чрез отворени, оперативно съвместими интерфейси.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Сертифициране</w:t>
      </w:r>
      <w:r>
        <w:rPr>
          <w:noProof/>
        </w:rPr>
        <w:t xml:space="preserve">: ще подкрепи разработването на схеми за 5G сертифициране, насочени към нуждите на </w:t>
      </w:r>
      <w:r>
        <w:rPr>
          <w:noProof/>
        </w:rPr>
        <w:t>5G мрежите, в съответствие с рамката на ЕС за сертифициране на киберсигурността.</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Скрининг на преките чуждестранни инвестиции (ПЧИ)</w:t>
      </w:r>
      <w:r>
        <w:rPr>
          <w:noProof/>
        </w:rPr>
        <w:t>: ще подкрепи прилагането на рамката на ЕС за скрининг, като картографира веригата на стойността в областта на 5G, включител</w:t>
      </w:r>
      <w:r>
        <w:rPr>
          <w:noProof/>
        </w:rPr>
        <w:t>но за чувствителни мрежови активи, и извършва редовен мониторинг на ПЧИ по веригата за създаване на стойност. Съгласно графика за скрининг на преките чуждестранни инвестиции (от октомври 2020 г.) Комисията ще упражнява контрол върху чуждестранните инвестиц</w:t>
      </w:r>
      <w:r>
        <w:rPr>
          <w:noProof/>
        </w:rPr>
        <w:t xml:space="preserve">ии в областта на 5G в съответствие с насоките, предвидени в Регламент (ЕС) 2019/452, като се съобразява с координираната оценка на риска на равнището на ЕС и инструментариума на ЕС.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Инструменти за защита на търговията</w:t>
      </w:r>
      <w:r>
        <w:rPr>
          <w:noProof/>
        </w:rPr>
        <w:t>: ще наблюдава всички съответни паза</w:t>
      </w:r>
      <w:r>
        <w:rPr>
          <w:noProof/>
        </w:rPr>
        <w:t xml:space="preserve">рни тенденции в ЕС и в трети държави и ще защитава на европейския пазар на 5G участниците от ЕС посредством мерки за търговска защита, противодействащи на потенциални практики, нарушаващи търговията (дъмпинг или субсидиране), включително чрез започване на </w:t>
      </w:r>
      <w:r>
        <w:rPr>
          <w:noProof/>
        </w:rPr>
        <w:t xml:space="preserve">предварителни разследвания, когато е целесъобразно.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xml:space="preserve">— Правила за конкуренция: </w:t>
      </w:r>
      <w:r>
        <w:rPr>
          <w:noProof/>
        </w:rPr>
        <w:t xml:space="preserve">ще наблюдава функционирането на пазарите за доставка на хардуер и софтуер за 5G технологии, с цел да се гарантира, че те предлагат конкурентни резултати, включително във връзка </w:t>
      </w:r>
      <w:r>
        <w:rPr>
          <w:noProof/>
        </w:rPr>
        <w:t>с евентуално възникване на ситуации на договорно или технологично блокиране.</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Програми за финансиране от ЕС</w:t>
      </w:r>
      <w:r>
        <w:rPr>
          <w:noProof/>
        </w:rPr>
        <w:t xml:space="preserve">: ще гарантира, че участието в програми за финансиране от ЕС в съответните технологични области ще зависи от спазването на изискванията за </w:t>
      </w:r>
      <w:r>
        <w:rPr>
          <w:noProof/>
        </w:rPr>
        <w:t xml:space="preserve">сигурност, като използва изцяло условията за сигурност в програмите за научни изследвания и иновации и разшири тяхното прилагане, по-специално в „Хоризонт Европа“, програмата „Цифрова Европа“ и Механизма за свързване на Европа 2, в европейските структурни </w:t>
      </w:r>
      <w:r>
        <w:rPr>
          <w:noProof/>
        </w:rPr>
        <w:t>и инвестиционни фондове и в други съответни програми.</w:t>
      </w:r>
      <w:r>
        <w:rPr>
          <w:rStyle w:val="FootnoteReference"/>
          <w:noProof/>
        </w:rPr>
        <w:t xml:space="preserve"> </w:t>
      </w:r>
      <w:r>
        <w:rPr>
          <w:noProof/>
        </w:rPr>
        <w:t>Подобен подход следва да бъде възприет и в програмите за външно финансиране и финансовите инструменти на ЕС, включително по отношение на финансирането, предоставяно чрез международни финансови институци</w:t>
      </w:r>
      <w:r>
        <w:rPr>
          <w:noProof/>
        </w:rPr>
        <w:t>и.</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Обществени поръчки:</w:t>
      </w:r>
      <w:r>
        <w:rPr>
          <w:noProof/>
        </w:rPr>
        <w:t xml:space="preserve"> ще привлече обществени поръчки в областта на 5G мрежите, за да подкрепи набелязаните цели по отношение на сигурността, разнообразието на доставчиците и дългосрочната устойчивост на 5G мрежите; по-специално, ще гарантира, че се взем</w:t>
      </w:r>
      <w:r>
        <w:rPr>
          <w:noProof/>
        </w:rPr>
        <w:t>ат надлежно предвид аспектите на сигурността, когато се възлагат обществени поръчки, свързани с 5G мрежите, в съответствие с правилата на ЕС за обществените поръчки.</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Реагиране при инциденти и управление на кризи (проект) и</w:t>
      </w:r>
      <w:r>
        <w:rPr>
          <w:noProof/>
        </w:rPr>
        <w:t xml:space="preserve"> </w:t>
      </w:r>
      <w:r>
        <w:rPr>
          <w:b/>
          <w:noProof/>
        </w:rPr>
        <w:t>киберучения</w:t>
      </w:r>
      <w:r>
        <w:rPr>
          <w:noProof/>
        </w:rPr>
        <w:t>: ще се възползва пъ</w:t>
      </w:r>
      <w:r>
        <w:rPr>
          <w:noProof/>
        </w:rPr>
        <w:t>лноценно от разработването на проекта на ЕС</w:t>
      </w:r>
      <w:r>
        <w:rPr>
          <w:rStyle w:val="FootnoteReference"/>
          <w:noProof/>
        </w:rPr>
        <w:footnoteReference w:id="21"/>
      </w:r>
      <w:r>
        <w:rPr>
          <w:noProof/>
        </w:rPr>
        <w:t xml:space="preserve"> за координирана реакция при мащабни инциденти в областта на киберсигурността. Освен това ще разгледа съвместно с ENISA възможността за провеждане на 5G киберучение, веднага след като пазарът достигне необходимат</w:t>
      </w:r>
      <w:r>
        <w:rPr>
          <w:noProof/>
        </w:rPr>
        <w:t xml:space="preserve">а за това зрелост.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Под ръководството на върховния представител на Съюза по въпросите на външните работи и политиката на сигурност и заместник-председател на Комисията, и на Съвета: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w:t>
      </w:r>
      <w:r>
        <w:rPr>
          <w:b/>
          <w:noProof/>
        </w:rPr>
        <w:t>Рамка за съвместен дипломатически отговор на ЕС срещу злонамерени дейст</w:t>
      </w:r>
      <w:r>
        <w:rPr>
          <w:b/>
          <w:noProof/>
        </w:rPr>
        <w:t>вия в киберпространството (инструментариум за кибердипломация)</w:t>
      </w:r>
      <w:r>
        <w:rPr>
          <w:rStyle w:val="FootnoteReference"/>
          <w:b/>
          <w:noProof/>
        </w:rPr>
        <w:footnoteReference w:id="22"/>
      </w:r>
      <w:r>
        <w:rPr>
          <w:noProof/>
        </w:rPr>
        <w:t>: В случай на злонамерени действия в киберпространството, които застрашават целостта и сигурността на ЕС, държавите членки се насърчават да използват мерките по общата външна политика и политик</w:t>
      </w:r>
      <w:r>
        <w:rPr>
          <w:noProof/>
        </w:rPr>
        <w:t>ата на сигурност от съответната част на инструментариума на ЕС за кибердипломация (включително, ако е необходимо, ограничителни мерки), за да се насърчи сътрудничеството, да се улесни смекчаването на заплахите и да се повлияе върху поведението на потенциал</w:t>
      </w:r>
      <w:r>
        <w:rPr>
          <w:noProof/>
        </w:rPr>
        <w:t xml:space="preserve">ните агресори. </w:t>
      </w:r>
    </w:p>
    <w:p w:rsidR="00FF648C" w:rsidRDefault="003C3A02">
      <w:pPr>
        <w:shd w:val="clear" w:color="auto" w:fill="FFFFFF" w:themeFill="background1"/>
        <w:spacing w:before="100" w:beforeAutospacing="1" w:after="240"/>
        <w:ind w:left="66"/>
        <w:jc w:val="both"/>
        <w:rPr>
          <w:rFonts w:eastAsia="Times New Roman"/>
          <w:noProof/>
        </w:rPr>
      </w:pPr>
      <w:r>
        <w:rPr>
          <w:noProof/>
        </w:rPr>
        <w:t>Освен това редица програми ще подпомагат постигането на целите за избягване или ограничаване на риска от дългосрочна зависимост, като насърчават развитието на разнообразен и устойчив пазар на 5G технологии, включително чрез поддържане на капацитета на ЕС в</w:t>
      </w:r>
      <w:r>
        <w:rPr>
          <w:noProof/>
        </w:rPr>
        <w:t xml:space="preserve">ъв веригата за създаване на стойност при 5G технологии и чрез инвестиции в иновации, в съответствие с международните задължения на ЕС.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b/>
          <w:noProof/>
        </w:rPr>
      </w:pPr>
      <w:r>
        <w:rPr>
          <w:b/>
          <w:noProof/>
        </w:rPr>
        <w:t xml:space="preserve">Насърчаване на иновации и инвестиции в киберсигурността и технологиите за мрежова инфраструктура:  </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rPr>
      </w:pPr>
      <w:r>
        <w:rPr>
          <w:noProof/>
        </w:rPr>
        <w:t xml:space="preserve">— </w:t>
      </w:r>
      <w:r>
        <w:rPr>
          <w:b/>
          <w:noProof/>
        </w:rPr>
        <w:t>Програми</w:t>
      </w:r>
      <w:r>
        <w:rPr>
          <w:noProof/>
        </w:rPr>
        <w:t xml:space="preserve"> за финанс</w:t>
      </w:r>
      <w:r>
        <w:rPr>
          <w:noProof/>
        </w:rPr>
        <w:t>иране от ЕС: ще увеличи инвестициите в научни изследвания, иновации и внедряване на мрежовите технологии и техните съответни градивни елементи. Комисията предложи близо 3 милиарда евро инвестиции в областта на киберсигурността в рамките на следващия бюджет</w:t>
      </w:r>
      <w:r>
        <w:rPr>
          <w:noProof/>
        </w:rPr>
        <w:t xml:space="preserve"> на ЕС за периода 2021—27 г. Това включва научни изследвания и иновации по линия на „Хоризонт Европа“ и подкрепа за способностите в областта на киберсигурността по линия на „Цифрова Европа“. По линия на InvestEU също може да се предоставя финансова подкреп</w:t>
      </w:r>
      <w:r>
        <w:rPr>
          <w:noProof/>
        </w:rPr>
        <w:t>а за научноизследователска и развойна дейност в областта на 5G технологиите, както и подкрепа за тяхното внедряване.</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rPr>
      </w:pPr>
      <w:bookmarkStart w:id="1" w:name="_GoBack"/>
      <w:bookmarkEnd w:id="1"/>
      <w:r>
        <w:rPr>
          <w:noProof/>
        </w:rPr>
        <w:t>Освен това в рамките на следващата програма „Хоризонт Европа“</w:t>
      </w:r>
      <w:r>
        <w:rPr>
          <w:rStyle w:val="FootnoteReference"/>
          <w:noProof/>
        </w:rPr>
        <w:footnoteReference w:id="23"/>
      </w:r>
      <w:r>
        <w:rPr>
          <w:noProof/>
        </w:rPr>
        <w:t xml:space="preserve"> Комисията предлага създаването на институционализирано партньорство на ЕС</w:t>
      </w:r>
      <w:r>
        <w:rPr>
          <w:noProof/>
        </w:rPr>
        <w:t xml:space="preserve"> относно NGI/6G („интелигентни мрежи и услуги“) в сътрудничество с промишлеността и в координация с държавите членки, чиято цел е да завърши внедряването на 5G и най-вече да </w:t>
      </w:r>
      <w:r>
        <w:rPr>
          <w:b/>
          <w:noProof/>
        </w:rPr>
        <w:t>подготви почвата за 6G</w:t>
      </w:r>
      <w:r>
        <w:rPr>
          <w:noProof/>
        </w:rPr>
        <w:t xml:space="preserve"> — следващото поколение мобилни технологии. От бюджета на ЕС</w:t>
      </w:r>
      <w:r>
        <w:rPr>
          <w:noProof/>
        </w:rPr>
        <w:t xml:space="preserve"> (2021—27 г.) бяха предложени над 2,5 милиарда евро инвестиции за тази инициатива, които трябва да привлекат поне 7,5 милиарда евро частни инвестиции.</w:t>
      </w:r>
    </w:p>
    <w:p w:rsidR="00FF648C" w:rsidRDefault="003C3A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noProof/>
        </w:rPr>
      </w:pPr>
      <w:r>
        <w:rPr>
          <w:b/>
          <w:noProof/>
        </w:rPr>
        <w:t>— Промишлено развитие и внедряване</w:t>
      </w:r>
      <w:r>
        <w:rPr>
          <w:noProof/>
        </w:rPr>
        <w:t>: ще направи оценка на потенциалните пазарни недостатъци или пропуски п</w:t>
      </w:r>
      <w:r>
        <w:rPr>
          <w:noProof/>
        </w:rPr>
        <w:t>о веригата на стойността в областта на 5G, които биха оправдали целенасочени намеси в следващия дългосрочен бюджет или възможен важен проект от общоевропейски интерес (ВПОИ) в областта на киберсигурността, в съответствие с предложенията на форума на високо</w:t>
      </w:r>
      <w:r>
        <w:rPr>
          <w:noProof/>
        </w:rPr>
        <w:t xml:space="preserve"> равнище за ВПОИ. Решението за разработване и създаване на важни проекти от общоевропейски интерес зависи от държавите членки и предприятията. Правилата на ЕС осигуряват благоприятна рамка и Комисията е готова да улесни необходимите контакти и да предостав</w:t>
      </w:r>
      <w:r>
        <w:rPr>
          <w:noProof/>
        </w:rPr>
        <w:t>и насоки.</w:t>
      </w:r>
    </w:p>
    <w:p w:rsidR="00FF648C" w:rsidRDefault="003C3A02">
      <w:pPr>
        <w:spacing w:after="200" w:line="276" w:lineRule="auto"/>
        <w:ind w:firstLine="720"/>
        <w:rPr>
          <w:rFonts w:eastAsia="Times New Roman"/>
          <w:b/>
          <w:i/>
          <w:noProof/>
          <w:u w:val="single"/>
        </w:rPr>
      </w:pPr>
      <w:r>
        <w:rPr>
          <w:noProof/>
        </w:rPr>
        <w:br w:type="page"/>
      </w:r>
      <w:r>
        <w:rPr>
          <w:b/>
          <w:i/>
          <w:noProof/>
          <w:u w:val="single"/>
        </w:rPr>
        <w:t>6. Заключение</w:t>
      </w:r>
    </w:p>
    <w:p w:rsidR="00FF648C" w:rsidRDefault="003C3A02">
      <w:pPr>
        <w:spacing w:after="240"/>
        <w:jc w:val="both"/>
        <w:rPr>
          <w:rFonts w:eastAsia="Times New Roman"/>
          <w:noProof/>
        </w:rPr>
      </w:pPr>
      <w:r>
        <w:rPr>
          <w:noProof/>
        </w:rPr>
        <w:t xml:space="preserve">5G мрежите имат потенциала да създадат редица възможности за европейските граждани, обществото и икономиката. Поради това гарантирането на сигурността и стабилността на 5G мрежите е от основно значение. В същото време заплахите за </w:t>
      </w:r>
      <w:r>
        <w:rPr>
          <w:noProof/>
        </w:rPr>
        <w:t>киберсигурността (включително рискът от намеса на държавни или подкрепяни от държавата участници от държави извън ЕС) са предизвикателство, което се развива и чието значение нараства успоредно с използването на технологии и данни. Пренебрегването на киберс</w:t>
      </w:r>
      <w:r>
        <w:rPr>
          <w:noProof/>
        </w:rPr>
        <w:t>игурността би подкопало доверието в развитието на цифровата икономика и общество и би попречило на ЕС да се възползва в пълна степен от това развитие. Затова реакцията трябва да е съответно адаптирана и засилена. </w:t>
      </w:r>
    </w:p>
    <w:p w:rsidR="00FF648C" w:rsidRDefault="003C3A02">
      <w:pPr>
        <w:spacing w:after="240"/>
        <w:jc w:val="both"/>
        <w:rPr>
          <w:rFonts w:eastAsia="Times New Roman"/>
          <w:noProof/>
        </w:rPr>
      </w:pPr>
      <w:r>
        <w:rPr>
          <w:noProof/>
        </w:rPr>
        <w:t>Използването на координиран и последовател</w:t>
      </w:r>
      <w:r>
        <w:rPr>
          <w:noProof/>
        </w:rPr>
        <w:t>ен подход към киберсигурността в ЕС по отношение на критични технологии и мрежи е от съществено значение, за да може ЕС да гарантира своя технологичен суверенитет и да поддържа и развива промишления си капацитет. Комисията ще подкрепи напълно прилагането н</w:t>
      </w:r>
      <w:r>
        <w:rPr>
          <w:noProof/>
        </w:rPr>
        <w:t xml:space="preserve">а подхода на ЕС към киберсигурността на 5G мрежите и същевременно ще гарантира, че пазарите на ЕС остават отворени за продукти и услуги, съобразени с развиващите се изисквания за киберсигурност и доверие. </w:t>
      </w:r>
    </w:p>
    <w:p w:rsidR="00FF648C" w:rsidRDefault="003C3A02">
      <w:pPr>
        <w:spacing w:after="240"/>
        <w:jc w:val="both"/>
        <w:rPr>
          <w:rFonts w:eastAsia="Times New Roman"/>
          <w:iCs/>
          <w:noProof/>
        </w:rPr>
      </w:pPr>
      <w:r>
        <w:rPr>
          <w:noProof/>
        </w:rPr>
        <w:t>За тази цел е важно ангажиментът на всички заинтер</w:t>
      </w:r>
      <w:r>
        <w:rPr>
          <w:noProof/>
        </w:rPr>
        <w:t xml:space="preserve">есовани страни във връзка със сигурността на 5G технологиите да остане висок, като ще се изисква постоянно сътрудничество между държавите членки, Комисията и ENISA. </w:t>
      </w:r>
    </w:p>
    <w:p w:rsidR="00FF648C" w:rsidRDefault="003C3A02">
      <w:pPr>
        <w:spacing w:after="240"/>
        <w:jc w:val="both"/>
        <w:rPr>
          <w:rFonts w:eastAsia="Times New Roman"/>
          <w:noProof/>
        </w:rPr>
      </w:pPr>
      <w:r>
        <w:rPr>
          <w:noProof/>
        </w:rPr>
        <w:t>Като непосредствена следваща стъпка, както е посочено по-горе, Комисията призовава държави</w:t>
      </w:r>
      <w:r>
        <w:rPr>
          <w:noProof/>
        </w:rPr>
        <w:t>те членки да предприемат бързи действия за ефективно и обективно прилагане на мерките, договорени като част от инструментариума, и да продължат да работят съвместно, с подкрепата на Комисията и ENISA, за осигуряването на координация на равнище ЕС. Успоредн</w:t>
      </w:r>
      <w:r>
        <w:rPr>
          <w:noProof/>
        </w:rPr>
        <w:t xml:space="preserve">о с това Комисията ще стартира всички съответни действия в рамките на своите правомощия, за да подкрепи прилагането на инструментариума от държавите членки и да засили неговото въздействие. </w:t>
      </w:r>
      <w:r>
        <w:rPr>
          <w:noProof/>
        </w:rPr>
        <w:br w:type="page"/>
      </w:r>
    </w:p>
    <w:p w:rsidR="00FF648C" w:rsidRDefault="003C3A02">
      <w:pPr>
        <w:spacing w:after="240"/>
        <w:rPr>
          <w:i/>
          <w:noProof/>
          <w:u w:val="single"/>
        </w:rPr>
      </w:pPr>
      <w:r>
        <w:rPr>
          <w:i/>
          <w:noProof/>
          <w:u w:val="single"/>
        </w:rPr>
        <w:t>Допълнение: Категории риск (източник: Координирана оценка на рис</w:t>
      </w:r>
      <w:r>
        <w:rPr>
          <w:i/>
          <w:noProof/>
          <w:u w:val="single"/>
        </w:rPr>
        <w:t>ка на равнището на ЕС)</w:t>
      </w:r>
    </w:p>
    <w:tbl>
      <w:tblPr>
        <w:tblStyle w:val="TableGrid"/>
        <w:tblW w:w="8075" w:type="dxa"/>
        <w:tblLook w:val="04A0" w:firstRow="1" w:lastRow="0" w:firstColumn="1" w:lastColumn="0" w:noHBand="0" w:noVBand="1"/>
      </w:tblPr>
      <w:tblGrid>
        <w:gridCol w:w="4106"/>
        <w:gridCol w:w="3969"/>
      </w:tblGrid>
      <w:tr w:rsidR="00FF648C">
        <w:tc>
          <w:tcPr>
            <w:tcW w:w="4106" w:type="dxa"/>
            <w:shd w:val="clear" w:color="auto" w:fill="8DB3E2" w:themeFill="text2" w:themeFillTint="66"/>
          </w:tcPr>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b/>
                <w:i/>
                <w:noProof/>
                <w:sz w:val="22"/>
                <w:szCs w:val="22"/>
              </w:rPr>
            </w:pPr>
            <w:r>
              <w:rPr>
                <w:b/>
                <w:i/>
                <w:noProof/>
                <w:sz w:val="22"/>
                <w:szCs w:val="22"/>
              </w:rPr>
              <w:t>Категории риск</w:t>
            </w:r>
          </w:p>
        </w:tc>
      </w:tr>
      <w:tr w:rsidR="00FF648C">
        <w:tc>
          <w:tcPr>
            <w:tcW w:w="4106" w:type="dxa"/>
            <w:vMerge w:val="restart"/>
            <w:shd w:val="clear" w:color="auto" w:fill="8DB3E2" w:themeFill="text2" w:themeFillTint="66"/>
          </w:tcPr>
          <w:p w:rsidR="00FF648C" w:rsidRDefault="00FF648C">
            <w:pPr>
              <w:spacing w:after="120"/>
              <w:rPr>
                <w:b/>
                <w:i/>
                <w:noProof/>
                <w:sz w:val="22"/>
                <w:szCs w:val="22"/>
              </w:rPr>
            </w:pPr>
          </w:p>
          <w:p w:rsidR="00FF648C" w:rsidRDefault="003C3A02">
            <w:pPr>
              <w:spacing w:after="120"/>
              <w:rPr>
                <w:b/>
                <w:i/>
                <w:noProof/>
                <w:sz w:val="22"/>
                <w:szCs w:val="22"/>
              </w:rPr>
            </w:pPr>
            <w:r>
              <w:rPr>
                <w:b/>
                <w:i/>
                <w:noProof/>
                <w:sz w:val="22"/>
                <w:szCs w:val="22"/>
              </w:rPr>
              <w:t>Рискови сценарии във връзка с недостатъчни мерки за сигурност</w:t>
            </w:r>
          </w:p>
        </w:tc>
        <w:tc>
          <w:tcPr>
            <w:tcW w:w="3969" w:type="dxa"/>
            <w:shd w:val="clear" w:color="auto" w:fill="FFFFFF" w:themeFill="background1"/>
          </w:tcPr>
          <w:p w:rsidR="00FF648C" w:rsidRDefault="003C3A02">
            <w:pPr>
              <w:spacing w:after="120"/>
              <w:rPr>
                <w:i/>
                <w:noProof/>
                <w:sz w:val="22"/>
                <w:szCs w:val="22"/>
              </w:rPr>
            </w:pPr>
            <w:r>
              <w:rPr>
                <w:i/>
                <w:noProof/>
                <w:sz w:val="22"/>
                <w:szCs w:val="22"/>
              </w:rPr>
              <w:t>R1: Неправилна конфигурация на мрежите</w:t>
            </w:r>
          </w:p>
          <w:p w:rsidR="00FF648C" w:rsidRDefault="00FF648C">
            <w:pPr>
              <w:spacing w:after="120"/>
              <w:jc w:val="both"/>
              <w:rPr>
                <w:b/>
                <w:i/>
                <w:noProof/>
                <w:sz w:val="22"/>
                <w:szCs w:val="22"/>
              </w:rPr>
            </w:pPr>
          </w:p>
        </w:tc>
      </w:tr>
      <w:tr w:rsidR="00FF648C">
        <w:tc>
          <w:tcPr>
            <w:tcW w:w="4106" w:type="dxa"/>
            <w:vMerge/>
            <w:shd w:val="clear" w:color="auto" w:fill="8DB3E2" w:themeFill="text2" w:themeFillTint="66"/>
          </w:tcPr>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R2: Липса на контрол на достъпа</w:t>
            </w:r>
          </w:p>
        </w:tc>
      </w:tr>
      <w:tr w:rsidR="00FF648C">
        <w:tc>
          <w:tcPr>
            <w:tcW w:w="4106" w:type="dxa"/>
            <w:vMerge w:val="restart"/>
            <w:shd w:val="clear" w:color="auto" w:fill="8DB3E2" w:themeFill="text2" w:themeFillTint="66"/>
          </w:tcPr>
          <w:p w:rsidR="00FF648C" w:rsidRDefault="00FF648C">
            <w:pPr>
              <w:spacing w:after="120"/>
              <w:rPr>
                <w:b/>
                <w:i/>
                <w:noProof/>
                <w:sz w:val="22"/>
                <w:szCs w:val="22"/>
              </w:rPr>
            </w:pPr>
          </w:p>
          <w:p w:rsidR="00FF648C" w:rsidRDefault="003C3A02">
            <w:pPr>
              <w:spacing w:after="120"/>
              <w:rPr>
                <w:b/>
                <w:i/>
                <w:noProof/>
                <w:sz w:val="22"/>
                <w:szCs w:val="22"/>
              </w:rPr>
            </w:pPr>
            <w:r>
              <w:rPr>
                <w:b/>
                <w:i/>
                <w:noProof/>
                <w:sz w:val="22"/>
                <w:szCs w:val="22"/>
              </w:rPr>
              <w:t>Рискови сценарии във връзка с веригата на доставка на 5G</w:t>
            </w:r>
          </w:p>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 xml:space="preserve">R3: Ниско качество на продуктите </w:t>
            </w:r>
          </w:p>
          <w:p w:rsidR="00FF648C" w:rsidRDefault="00FF648C">
            <w:pPr>
              <w:spacing w:after="120"/>
              <w:jc w:val="both"/>
              <w:rPr>
                <w:b/>
                <w:i/>
                <w:noProof/>
                <w:sz w:val="22"/>
                <w:szCs w:val="22"/>
              </w:rPr>
            </w:pPr>
          </w:p>
        </w:tc>
      </w:tr>
      <w:tr w:rsidR="00FF648C">
        <w:tc>
          <w:tcPr>
            <w:tcW w:w="4106" w:type="dxa"/>
            <w:vMerge/>
            <w:shd w:val="clear" w:color="auto" w:fill="8DB3E2" w:themeFill="text2" w:themeFillTint="66"/>
          </w:tcPr>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R4: Зависимост от отделен доставчик в рамките на отделни мрежи или липса на многообразие на общонационална основа</w:t>
            </w:r>
          </w:p>
        </w:tc>
      </w:tr>
      <w:tr w:rsidR="00FF648C">
        <w:tc>
          <w:tcPr>
            <w:tcW w:w="4106" w:type="dxa"/>
            <w:vMerge w:val="restart"/>
            <w:shd w:val="clear" w:color="auto" w:fill="8DB3E2" w:themeFill="text2" w:themeFillTint="66"/>
          </w:tcPr>
          <w:p w:rsidR="00FF648C" w:rsidRDefault="003C3A02">
            <w:pPr>
              <w:spacing w:after="120"/>
              <w:rPr>
                <w:b/>
                <w:i/>
                <w:noProof/>
                <w:sz w:val="22"/>
                <w:szCs w:val="22"/>
              </w:rPr>
            </w:pPr>
            <w:r>
              <w:rPr>
                <w:b/>
                <w:i/>
                <w:noProof/>
                <w:sz w:val="22"/>
                <w:szCs w:val="22"/>
              </w:rPr>
              <w:t>Рискови сценарии във връзка с начина на действие на основните участници в заплахи</w:t>
            </w:r>
          </w:p>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R5: Държавна намеса ч</w:t>
            </w:r>
            <w:r>
              <w:rPr>
                <w:i/>
                <w:noProof/>
                <w:sz w:val="22"/>
                <w:szCs w:val="22"/>
              </w:rPr>
              <w:t>рез веригата на доставки на 5G технологии</w:t>
            </w:r>
          </w:p>
          <w:p w:rsidR="00FF648C" w:rsidRDefault="00FF648C">
            <w:pPr>
              <w:spacing w:after="120"/>
              <w:jc w:val="both"/>
              <w:rPr>
                <w:b/>
                <w:i/>
                <w:noProof/>
                <w:sz w:val="22"/>
                <w:szCs w:val="22"/>
              </w:rPr>
            </w:pPr>
          </w:p>
        </w:tc>
      </w:tr>
      <w:tr w:rsidR="00FF648C">
        <w:tc>
          <w:tcPr>
            <w:tcW w:w="4106" w:type="dxa"/>
            <w:vMerge/>
            <w:shd w:val="clear" w:color="auto" w:fill="8DB3E2" w:themeFill="text2" w:themeFillTint="66"/>
          </w:tcPr>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 xml:space="preserve">R6: Зловредно използване на 5G мрежите от организираната престъпност или организирана престъпна група, ориентирано към крайните потребители </w:t>
            </w:r>
          </w:p>
        </w:tc>
      </w:tr>
      <w:tr w:rsidR="00FF648C">
        <w:tc>
          <w:tcPr>
            <w:tcW w:w="4106" w:type="dxa"/>
            <w:vMerge w:val="restart"/>
            <w:shd w:val="clear" w:color="auto" w:fill="8DB3E2" w:themeFill="text2" w:themeFillTint="66"/>
          </w:tcPr>
          <w:p w:rsidR="00FF648C" w:rsidRDefault="003C3A02">
            <w:pPr>
              <w:spacing w:after="120"/>
              <w:rPr>
                <w:b/>
                <w:i/>
                <w:noProof/>
                <w:sz w:val="22"/>
                <w:szCs w:val="22"/>
              </w:rPr>
            </w:pPr>
            <w:r>
              <w:rPr>
                <w:b/>
                <w:i/>
                <w:noProof/>
                <w:sz w:val="22"/>
                <w:szCs w:val="22"/>
              </w:rPr>
              <w:t xml:space="preserve">Рискови сценарии във връзка с взаимозависимостите между 5G мрежите и </w:t>
            </w:r>
            <w:r>
              <w:rPr>
                <w:b/>
                <w:i/>
                <w:noProof/>
                <w:sz w:val="22"/>
                <w:szCs w:val="22"/>
              </w:rPr>
              <w:t>други системи с критично значение</w:t>
            </w:r>
          </w:p>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b/>
                <w:i/>
                <w:noProof/>
                <w:sz w:val="22"/>
                <w:szCs w:val="22"/>
              </w:rPr>
            </w:pPr>
            <w:r>
              <w:rPr>
                <w:i/>
                <w:noProof/>
                <w:sz w:val="22"/>
                <w:szCs w:val="22"/>
              </w:rPr>
              <w:t>R7: Съществени смущения в работата на критични инфраструктури или услуги</w:t>
            </w:r>
          </w:p>
        </w:tc>
      </w:tr>
      <w:tr w:rsidR="00FF648C">
        <w:tc>
          <w:tcPr>
            <w:tcW w:w="4106" w:type="dxa"/>
            <w:vMerge/>
            <w:shd w:val="clear" w:color="auto" w:fill="8DB3E2" w:themeFill="text2" w:themeFillTint="66"/>
          </w:tcPr>
          <w:p w:rsidR="00FF648C" w:rsidRDefault="00FF648C">
            <w:pPr>
              <w:spacing w:after="120"/>
              <w:rPr>
                <w:b/>
                <w:i/>
                <w:noProof/>
                <w:sz w:val="22"/>
                <w:szCs w:val="22"/>
              </w:rPr>
            </w:pP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R8: Широкообхватен отказ на мрежи, дължащ се на прекъсване на електроснабдяването или на други поддържащи системи</w:t>
            </w:r>
          </w:p>
        </w:tc>
      </w:tr>
      <w:tr w:rsidR="00FF648C">
        <w:tc>
          <w:tcPr>
            <w:tcW w:w="4106" w:type="dxa"/>
            <w:shd w:val="clear" w:color="auto" w:fill="8DB3E2" w:themeFill="text2" w:themeFillTint="66"/>
          </w:tcPr>
          <w:p w:rsidR="00FF648C" w:rsidRDefault="003C3A02">
            <w:pPr>
              <w:spacing w:after="120"/>
              <w:rPr>
                <w:b/>
                <w:i/>
                <w:noProof/>
                <w:sz w:val="22"/>
                <w:szCs w:val="22"/>
              </w:rPr>
            </w:pPr>
            <w:r>
              <w:rPr>
                <w:b/>
                <w:i/>
                <w:noProof/>
                <w:sz w:val="22"/>
                <w:szCs w:val="22"/>
              </w:rPr>
              <w:t>Рискови сценарии във връзка с у</w:t>
            </w:r>
            <w:r>
              <w:rPr>
                <w:b/>
                <w:i/>
                <w:noProof/>
                <w:sz w:val="22"/>
                <w:szCs w:val="22"/>
              </w:rPr>
              <w:t>стройствата за крайни потребители</w:t>
            </w:r>
          </w:p>
        </w:tc>
        <w:tc>
          <w:tcPr>
            <w:tcW w:w="3969" w:type="dxa"/>
            <w:shd w:val="clear" w:color="auto" w:fill="FFFFFF" w:themeFill="background1"/>
          </w:tcPr>
          <w:p w:rsidR="00FF648C" w:rsidRDefault="003C3A02">
            <w:pPr>
              <w:spacing w:after="120"/>
              <w:jc w:val="both"/>
              <w:rPr>
                <w:i/>
                <w:noProof/>
                <w:sz w:val="22"/>
                <w:szCs w:val="22"/>
              </w:rPr>
            </w:pPr>
            <w:r>
              <w:rPr>
                <w:i/>
                <w:noProof/>
                <w:sz w:val="22"/>
                <w:szCs w:val="22"/>
              </w:rPr>
              <w:t>R9: Зловредно използване на интернет на нещата</w:t>
            </w:r>
          </w:p>
        </w:tc>
      </w:tr>
    </w:tbl>
    <w:p w:rsidR="00FF648C" w:rsidRDefault="00FF648C">
      <w:pPr>
        <w:spacing w:after="240"/>
        <w:contextualSpacing/>
        <w:jc w:val="both"/>
        <w:rPr>
          <w:noProof/>
        </w:rPr>
      </w:pPr>
    </w:p>
    <w:p w:rsidR="00FF648C" w:rsidRDefault="00FF648C">
      <w:pPr>
        <w:spacing w:after="240"/>
        <w:contextualSpacing/>
        <w:jc w:val="both"/>
        <w:rPr>
          <w:noProof/>
        </w:rPr>
      </w:pPr>
    </w:p>
    <w:sectPr w:rsidR="00FF648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8C" w:rsidRDefault="003C3A02">
      <w:r>
        <w:separator/>
      </w:r>
    </w:p>
  </w:endnote>
  <w:endnote w:type="continuationSeparator" w:id="0">
    <w:p w:rsidR="00FF648C" w:rsidRDefault="003C3A02">
      <w:r>
        <w:continuationSeparator/>
      </w:r>
    </w:p>
  </w:endnote>
  <w:endnote w:type="continuationNotice" w:id="1">
    <w:p w:rsidR="00FF648C" w:rsidRDefault="00FF6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3C3A0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52909"/>
      <w:docPartObj>
        <w:docPartGallery w:val="Page Numbers (Bottom of Page)"/>
        <w:docPartUnique/>
      </w:docPartObj>
    </w:sdtPr>
    <w:sdtEndPr>
      <w:rPr>
        <w:noProof/>
        <w:sz w:val="20"/>
        <w:szCs w:val="20"/>
      </w:rPr>
    </w:sdtEndPr>
    <w:sdtContent>
      <w:p w:rsidR="00FF648C" w:rsidRDefault="003C3A02">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12</w:t>
        </w:r>
        <w:r>
          <w:rPr>
            <w:sz w:val="20"/>
            <w:szCs w:val="20"/>
          </w:rPr>
          <w:fldChar w:fldCharType="end"/>
        </w:r>
      </w:p>
    </w:sdtContent>
  </w:sdt>
  <w:p w:rsidR="00FF648C" w:rsidRDefault="00FF64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8C" w:rsidRDefault="003C3A02">
      <w:r>
        <w:separator/>
      </w:r>
    </w:p>
  </w:footnote>
  <w:footnote w:type="continuationSeparator" w:id="0">
    <w:p w:rsidR="00FF648C" w:rsidRDefault="003C3A02">
      <w:r>
        <w:continuationSeparator/>
      </w:r>
    </w:p>
  </w:footnote>
  <w:footnote w:type="continuationNotice" w:id="1">
    <w:p w:rsidR="00FF648C" w:rsidRDefault="00FF648C"/>
  </w:footnote>
  <w:footnote w:id="2">
    <w:p w:rsidR="00FF648C" w:rsidRDefault="003C3A02">
      <w:pPr>
        <w:pStyle w:val="FootnoteText"/>
      </w:pPr>
      <w:r>
        <w:rPr>
          <w:rStyle w:val="FootnoteReference"/>
        </w:rPr>
        <w:footnoteRef/>
      </w:r>
      <w:r>
        <w:t xml:space="preserve"> </w:t>
      </w:r>
      <w:r>
        <w:rPr>
          <w:rFonts w:ascii="Times New Roman" w:hAnsi="Times New Roman"/>
          <w:sz w:val="18"/>
          <w:szCs w:val="18"/>
        </w:rPr>
        <w:t xml:space="preserve">Препоръка (ЕС) 2019/534 относно киберсигурността на 5G мрежите, ОВ L 88, 29.3.2019 г., стр. 42—47. </w:t>
      </w:r>
    </w:p>
  </w:footnote>
  <w:footnote w:id="3">
    <w:p w:rsidR="00FF648C" w:rsidRDefault="003C3A02">
      <w:pPr>
        <w:pStyle w:val="FootnoteText"/>
      </w:pPr>
      <w:r>
        <w:rPr>
          <w:rStyle w:val="FootnoteReference"/>
        </w:rPr>
        <w:footnoteRef/>
      </w:r>
      <w:r>
        <w:t xml:space="preserve"> </w:t>
      </w:r>
      <w:r>
        <w:rPr>
          <w:rFonts w:ascii="Times New Roman" w:hAnsi="Times New Roman"/>
          <w:sz w:val="18"/>
          <w:szCs w:val="18"/>
        </w:rPr>
        <w:t xml:space="preserve">COM (2016) 588 от 14 юни </w:t>
      </w:r>
      <w:r>
        <w:rPr>
          <w:rFonts w:ascii="Times New Roman" w:hAnsi="Times New Roman"/>
          <w:sz w:val="18"/>
          <w:szCs w:val="18"/>
        </w:rPr>
        <w:t>2016 г. относно 5G за Европа: план за действие.</w:t>
      </w:r>
    </w:p>
  </w:footnote>
  <w:footnote w:id="4">
    <w:p w:rsidR="00FF648C" w:rsidRDefault="003C3A02">
      <w:pPr>
        <w:pStyle w:val="FootnoteText"/>
      </w:pPr>
      <w:r>
        <w:rPr>
          <w:rStyle w:val="FootnoteReference"/>
        </w:rPr>
        <w:footnoteRef/>
      </w:r>
      <w:r>
        <w:t xml:space="preserve"> </w:t>
      </w:r>
      <w:r>
        <w:rPr>
          <w:rFonts w:ascii="Times New Roman" w:hAnsi="Times New Roman"/>
          <w:sz w:val="18"/>
          <w:szCs w:val="18"/>
        </w:rPr>
        <w:t>COM(2016)587 „Свързаност за изграждане на конкурентоспособен цифров единен пазар – към европейско общество на гигабитов интернет“.</w:t>
      </w:r>
      <w:r>
        <w:rPr>
          <w:color w:val="1F497D"/>
        </w:rPr>
        <w:t xml:space="preserve"> </w:t>
      </w:r>
    </w:p>
  </w:footnote>
  <w:footnote w:id="5">
    <w:p w:rsidR="00FF648C" w:rsidRDefault="003C3A02">
      <w:pPr>
        <w:pStyle w:val="FootnoteText"/>
      </w:pPr>
      <w:r>
        <w:rPr>
          <w:rStyle w:val="FootnoteReference"/>
        </w:rPr>
        <w:footnoteRef/>
      </w:r>
      <w:r>
        <w:t xml:space="preserve"> </w:t>
      </w:r>
      <w:hyperlink r:id="rId1" w:history="1">
        <w:r>
          <w:rPr>
            <w:rFonts w:ascii="Times New Roman" w:hAnsi="Times New Roman"/>
            <w:sz w:val="18"/>
            <w:szCs w:val="18"/>
          </w:rPr>
          <w:t>http://www.5GObservatory.eu</w:t>
        </w:r>
      </w:hyperlink>
    </w:p>
  </w:footnote>
  <w:footnote w:id="6">
    <w:p w:rsidR="00FF648C" w:rsidRDefault="003C3A02">
      <w:pPr>
        <w:pStyle w:val="FootnoteText"/>
        <w:jc w:val="both"/>
      </w:pPr>
      <w:r>
        <w:rPr>
          <w:rStyle w:val="FootnoteReference"/>
        </w:rPr>
        <w:footnoteRef/>
      </w:r>
      <w:r>
        <w:t xml:space="preserve"> </w:t>
      </w:r>
      <w:hyperlink r:id="rId2" w:history="1">
        <w:r>
          <w:rPr>
            <w:rFonts w:ascii="Times New Roman" w:hAnsi="Times New Roman"/>
            <w:sz w:val="18"/>
            <w:szCs w:val="18"/>
          </w:rPr>
          <w:t>http://www.5GObservatory.eu</w:t>
        </w:r>
      </w:hyperlink>
    </w:p>
  </w:footnote>
  <w:footnote w:id="7">
    <w:p w:rsidR="00FF648C" w:rsidRDefault="003C3A02">
      <w:pPr>
        <w:pStyle w:val="FootnoteText"/>
        <w:jc w:val="both"/>
      </w:pPr>
      <w:r>
        <w:rPr>
          <w:rStyle w:val="FootnoteReference"/>
        </w:rPr>
        <w:footnoteRef/>
      </w:r>
      <w:r>
        <w:t xml:space="preserve"> </w:t>
      </w:r>
      <w:r>
        <w:rPr>
          <w:rFonts w:ascii="Times New Roman" w:hAnsi="Times New Roman"/>
          <w:sz w:val="18"/>
          <w:szCs w:val="18"/>
        </w:rPr>
        <w:t>Някои от новите функции на 5G ще бъдат въведени следвайки поетапен подход. През първия етап (в краткосрочен или много краткосрочен план) внедряването на 5G ще включва основно „неса</w:t>
      </w:r>
      <w:r>
        <w:rPr>
          <w:rFonts w:ascii="Times New Roman" w:hAnsi="Times New Roman"/>
          <w:sz w:val="18"/>
          <w:szCs w:val="18"/>
        </w:rPr>
        <w:t>мостоятелни“ мрежи, при които единствено мрежата за радиодостъп ще е модернизирана до 5G технология, докато останалите ѝ части ще продължават да разчитат на съществуващите 4G опорни мрежи, които ще предоставят на крайните потребители подобрени мобилни широ</w:t>
      </w:r>
      <w:r>
        <w:rPr>
          <w:rFonts w:ascii="Times New Roman" w:hAnsi="Times New Roman"/>
          <w:sz w:val="18"/>
          <w:szCs w:val="18"/>
        </w:rPr>
        <w:t>колентови показатели. През следващите етапи (в краткосрочен/средносрочен до дългосрочен план) внедряването на „самостоятелни“ 5G мрежи, включително функции на 5G опорни мрежи, ще наложи и ще доведе с течение на времето до много по-мащабна промяна в архитек</w:t>
      </w:r>
      <w:r>
        <w:rPr>
          <w:rFonts w:ascii="Times New Roman" w:hAnsi="Times New Roman"/>
          <w:sz w:val="18"/>
          <w:szCs w:val="18"/>
        </w:rPr>
        <w:t>турата на мрежата.</w:t>
      </w:r>
      <w:r>
        <w:t xml:space="preserve"> </w:t>
      </w:r>
    </w:p>
  </w:footnote>
  <w:footnote w:id="8">
    <w:p w:rsidR="00FF648C" w:rsidRDefault="003C3A02">
      <w:pPr>
        <w:pStyle w:val="FootnoteText"/>
        <w:jc w:val="both"/>
        <w:rPr>
          <w:rFonts w:ascii="Times New Roman" w:hAnsi="Times New Roman" w:cs="Times New Roman"/>
          <w:sz w:val="18"/>
          <w:szCs w:val="18"/>
        </w:rPr>
      </w:pPr>
      <w:r>
        <w:rPr>
          <w:rStyle w:val="FootnoteReference"/>
        </w:rPr>
        <w:footnoteRef/>
      </w:r>
      <w:r>
        <w:rPr>
          <w:rStyle w:val="FootnoteReference"/>
        </w:rPr>
        <w:t xml:space="preserve"> </w:t>
      </w:r>
      <w:r>
        <w:rPr>
          <w:rFonts w:ascii="Times New Roman" w:hAnsi="Times New Roman"/>
          <w:sz w:val="18"/>
          <w:szCs w:val="18"/>
        </w:rPr>
        <w:t>Директива (ЕС) 2018/1972 на Европейския парламент и на Съвета за установяване на Европейски кодекс за електронни съобщения (преработена).</w:t>
      </w:r>
    </w:p>
  </w:footnote>
  <w:footnote w:id="9">
    <w:p w:rsidR="00FF648C" w:rsidRDefault="003C3A02">
      <w:pPr>
        <w:pStyle w:val="FootnoteText"/>
        <w:jc w:val="both"/>
      </w:pPr>
      <w:r>
        <w:rPr>
          <w:rStyle w:val="FootnoteReference"/>
        </w:rPr>
        <w:footnoteRef/>
      </w:r>
      <w:r>
        <w:rPr>
          <w:rFonts w:ascii="Times New Roman" w:hAnsi="Times New Roman"/>
          <w:sz w:val="18"/>
          <w:szCs w:val="18"/>
        </w:rPr>
        <w:t>Предложение за Регламент COM(2018)438 от 6 юни 2018 г. за създаване на Механизма за свързване н</w:t>
      </w:r>
      <w:r>
        <w:rPr>
          <w:rFonts w:ascii="Times New Roman" w:hAnsi="Times New Roman"/>
          <w:sz w:val="18"/>
          <w:szCs w:val="18"/>
        </w:rPr>
        <w:t xml:space="preserve">а Европа и за отмяна на регламенти (ЕС) № 1316/2013 и (ЕС) № 283/2014. </w:t>
      </w:r>
    </w:p>
  </w:footnote>
  <w:footnote w:id="10">
    <w:p w:rsidR="00FF648C" w:rsidRDefault="003C3A02">
      <w:pPr>
        <w:pStyle w:val="PlainText"/>
        <w:jc w:val="both"/>
      </w:pPr>
      <w:r>
        <w:rPr>
          <w:rStyle w:val="FootnoteReference"/>
        </w:rPr>
        <w:footnoteRef/>
      </w:r>
      <w:r>
        <w:t xml:space="preserve"> </w:t>
      </w:r>
      <w:r>
        <w:rPr>
          <w:rFonts w:ascii="Times New Roman" w:hAnsi="Times New Roman"/>
          <w:sz w:val="18"/>
          <w:szCs w:val="18"/>
        </w:rPr>
        <w:t>Разделянето на физическата 5G мрежа на логически мрежи позволява висока степен на разграничаване на различните пластове на услугите, използващи една и съща физическа мрежа, като по т</w:t>
      </w:r>
      <w:r>
        <w:rPr>
          <w:rFonts w:ascii="Times New Roman" w:hAnsi="Times New Roman"/>
          <w:sz w:val="18"/>
          <w:szCs w:val="18"/>
        </w:rPr>
        <w:t xml:space="preserve">ози начин се увеличават възможностите за предлагане на разграничени услуги по цялата мрежа. </w:t>
      </w:r>
    </w:p>
  </w:footnote>
  <w:footnote w:id="11">
    <w:p w:rsidR="00FF648C" w:rsidRDefault="003C3A02">
      <w:pPr>
        <w:pStyle w:val="FootnoteText"/>
        <w:jc w:val="both"/>
      </w:pPr>
      <w:r>
        <w:rPr>
          <w:rStyle w:val="FootnoteReference"/>
        </w:rPr>
        <w:footnoteRef/>
      </w:r>
      <w:r>
        <w:t xml:space="preserve"> </w:t>
      </w:r>
      <w:r>
        <w:rPr>
          <w:rFonts w:ascii="Times New Roman" w:hAnsi="Times New Roman"/>
          <w:sz w:val="18"/>
          <w:szCs w:val="18"/>
        </w:rPr>
        <w:t xml:space="preserve">Периферните изчисления са вид </w:t>
      </w:r>
      <w:hyperlink r:id="rId3" w:tooltip="Разпределени изчисления" w:history="1">
        <w:r>
          <w:rPr>
            <w:rFonts w:ascii="Times New Roman" w:hAnsi="Times New Roman"/>
            <w:sz w:val="18"/>
            <w:szCs w:val="18"/>
          </w:rPr>
          <w:t>разпределени изчисления</w:t>
        </w:r>
      </w:hyperlink>
      <w:r>
        <w:rPr>
          <w:rFonts w:ascii="Times New Roman" w:hAnsi="Times New Roman"/>
          <w:sz w:val="18"/>
          <w:szCs w:val="18"/>
        </w:rPr>
        <w:t xml:space="preserve"> — парадигм</w:t>
      </w:r>
      <w:r>
        <w:rPr>
          <w:rFonts w:ascii="Times New Roman" w:hAnsi="Times New Roman"/>
          <w:sz w:val="18"/>
          <w:szCs w:val="18"/>
        </w:rPr>
        <w:t xml:space="preserve">а, която предвижда </w:t>
      </w:r>
      <w:hyperlink r:id="rId4" w:tooltip="Изчисления" w:history="1">
        <w:r>
          <w:rPr>
            <w:rFonts w:ascii="Times New Roman" w:hAnsi="Times New Roman"/>
            <w:sz w:val="18"/>
            <w:szCs w:val="18"/>
          </w:rPr>
          <w:t>изчисленията</w:t>
        </w:r>
      </w:hyperlink>
      <w:r>
        <w:rPr>
          <w:rFonts w:ascii="Times New Roman" w:hAnsi="Times New Roman"/>
          <w:sz w:val="18"/>
          <w:szCs w:val="18"/>
        </w:rPr>
        <w:t xml:space="preserve"> и </w:t>
      </w:r>
      <w:hyperlink r:id="rId5" w:tooltip="Устройства за съхранение на данни" w:history="1">
        <w:r>
          <w:rPr>
            <w:rFonts w:ascii="Times New Roman" w:hAnsi="Times New Roman"/>
            <w:sz w:val="18"/>
            <w:szCs w:val="18"/>
          </w:rPr>
          <w:t>съхраняването на данни</w:t>
        </w:r>
      </w:hyperlink>
      <w:r>
        <w:rPr>
          <w:rFonts w:ascii="Times New Roman" w:hAnsi="Times New Roman"/>
          <w:sz w:val="18"/>
          <w:szCs w:val="18"/>
        </w:rPr>
        <w:t xml:space="preserve"> да стават по-близо до място</w:t>
      </w:r>
      <w:r>
        <w:rPr>
          <w:rFonts w:ascii="Times New Roman" w:hAnsi="Times New Roman"/>
          <w:sz w:val="18"/>
          <w:szCs w:val="18"/>
        </w:rPr>
        <w:t>то, където са необходими, с цел да се намали времето за отговор на системата и натоварването на комуникационния канал.</w:t>
      </w:r>
    </w:p>
  </w:footnote>
  <w:footnote w:id="12">
    <w:p w:rsidR="00FF648C" w:rsidRDefault="003C3A02">
      <w:pPr>
        <w:pStyle w:val="FootnoteText"/>
        <w:jc w:val="both"/>
      </w:pPr>
      <w:r>
        <w:rPr>
          <w:rStyle w:val="FootnoteReference"/>
        </w:rPr>
        <w:footnoteRef/>
      </w:r>
      <w:r>
        <w:t xml:space="preserve"> </w:t>
      </w:r>
      <w:r>
        <w:rPr>
          <w:rFonts w:ascii="Times New Roman" w:hAnsi="Times New Roman"/>
          <w:sz w:val="18"/>
          <w:szCs w:val="18"/>
        </w:rPr>
        <w:t>Препоръка на Съвета от 12 юли 1999 г. за ограничаване излагането на населението на електромагнитни полета (0 Hz до 300 GHz) (1999/519/Е</w:t>
      </w:r>
      <w:r>
        <w:rPr>
          <w:rFonts w:ascii="Times New Roman" w:hAnsi="Times New Roman"/>
          <w:sz w:val="18"/>
          <w:szCs w:val="18"/>
        </w:rPr>
        <w:t>О).</w:t>
      </w:r>
    </w:p>
  </w:footnote>
  <w:footnote w:id="13">
    <w:p w:rsidR="00FF648C" w:rsidRDefault="003C3A02">
      <w:pPr>
        <w:pStyle w:val="FootnoteText"/>
        <w:jc w:val="both"/>
        <w:rPr>
          <w:rFonts w:ascii="Times New Roman" w:hAnsi="Times New Roman" w:cs="Times New Roman"/>
          <w:sz w:val="18"/>
          <w:szCs w:val="18"/>
        </w:rPr>
      </w:pPr>
      <w:r>
        <w:rPr>
          <w:rStyle w:val="FootnoteReference"/>
        </w:rPr>
        <w:footnoteRef/>
      </w:r>
      <w:r>
        <w:rPr>
          <w:rFonts w:ascii="Times New Roman" w:hAnsi="Times New Roman"/>
          <w:sz w:val="18"/>
          <w:szCs w:val="18"/>
        </w:rPr>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 (директива за МИС). Групата за сътрудничество за МИС е създадена с директивата з</w:t>
      </w:r>
      <w:r>
        <w:rPr>
          <w:rFonts w:ascii="Times New Roman" w:hAnsi="Times New Roman"/>
          <w:sz w:val="18"/>
          <w:szCs w:val="18"/>
        </w:rPr>
        <w:t>а МИС с цел да се осигури стратегическо сътрудничество и обмен на информация между държавите — членки на ЕС, в областта на киберсигурността.</w:t>
      </w:r>
    </w:p>
  </w:footnote>
  <w:footnote w:id="14">
    <w:p w:rsidR="00FF648C" w:rsidRDefault="003C3A0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6" w:history="1">
        <w:r>
          <w:rPr>
            <w:rStyle w:val="Hyperlink"/>
            <w:rFonts w:ascii="Times New Roman" w:hAnsi="Times New Roman"/>
            <w:sz w:val="18"/>
            <w:szCs w:val="18"/>
          </w:rPr>
          <w:t>https://ec.europa.eu/digital-single-market/en/news/eu-wide-coordinated-risk-assessment-5g-networks-security</w:t>
        </w:r>
      </w:hyperlink>
    </w:p>
  </w:footnote>
  <w:footnote w:id="15">
    <w:p w:rsidR="00FF648C" w:rsidRDefault="003C3A0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Карта на ENISA относно з</w:t>
      </w:r>
      <w:r>
        <w:rPr>
          <w:rFonts w:ascii="Times New Roman" w:hAnsi="Times New Roman"/>
          <w:sz w:val="18"/>
          <w:szCs w:val="18"/>
        </w:rPr>
        <w:t>аплахите за 5G мрежите: https://www.enisa.europa.eu/publications/enisa-threat-landscape-for-5g-networks.</w:t>
      </w:r>
    </w:p>
  </w:footnote>
  <w:footnote w:id="16">
    <w:p w:rsidR="00FF648C" w:rsidRDefault="003C3A02">
      <w:pPr>
        <w:pStyle w:val="FootnoteText"/>
        <w:jc w:val="both"/>
        <w:rPr>
          <w:rFonts w:ascii="Times New Roman" w:hAnsi="Times New Roman" w:cs="Times New Roman"/>
          <w:sz w:val="16"/>
          <w:szCs w:val="16"/>
        </w:rPr>
      </w:pPr>
      <w:r>
        <w:rPr>
          <w:rStyle w:val="FootnoteReference"/>
          <w:rFonts w:ascii="Times New Roman" w:hAnsi="Times New Roman" w:cs="Times New Roman"/>
          <w:sz w:val="18"/>
          <w:szCs w:val="18"/>
        </w:rPr>
        <w:footnoteRef/>
      </w:r>
      <w:r>
        <w:rPr>
          <w:rFonts w:ascii="Times New Roman" w:hAnsi="Times New Roman"/>
          <w:sz w:val="18"/>
          <w:szCs w:val="18"/>
        </w:rPr>
        <w:t xml:space="preserve"> Заключения на Съвета относно значението на 5G за европейската икономика и необходимостта от смекчаване на рисковете за сигурността, свързани с 5G. 3 </w:t>
      </w:r>
      <w:r>
        <w:rPr>
          <w:rFonts w:ascii="Times New Roman" w:hAnsi="Times New Roman"/>
          <w:sz w:val="18"/>
          <w:szCs w:val="18"/>
        </w:rPr>
        <w:t xml:space="preserve">декември 2019 г., 14517/19 </w:t>
      </w:r>
      <w:hyperlink r:id="rId7" w:history="1">
        <w:r>
          <w:rPr>
            <w:rStyle w:val="Hyperlink"/>
            <w:rFonts w:ascii="Times New Roman" w:hAnsi="Times New Roman"/>
            <w:sz w:val="18"/>
            <w:szCs w:val="18"/>
          </w:rPr>
          <w:t>https://www.consilium.europa.eu/media/41595/st14517-en19.pdf</w:t>
        </w:r>
      </w:hyperlink>
    </w:p>
  </w:footnote>
  <w:footnote w:id="17">
    <w:p w:rsidR="00FF648C" w:rsidRDefault="003C3A02">
      <w:pPr>
        <w:pStyle w:val="FootnoteText"/>
        <w:jc w:val="both"/>
      </w:pPr>
      <w:r>
        <w:rPr>
          <w:rStyle w:val="FootnoteReference"/>
        </w:rPr>
        <w:footnoteRef/>
      </w:r>
      <w:r>
        <w:t xml:space="preserve"> </w:t>
      </w:r>
      <w:r>
        <w:rPr>
          <w:rFonts w:ascii="Times New Roman" w:hAnsi="Times New Roman"/>
          <w:sz w:val="16"/>
          <w:szCs w:val="16"/>
        </w:rPr>
        <w:t xml:space="preserve">Киберсигурност на 5G мрежите — инструментариум на ЕС от мерки за смекчаване на риска, 29 </w:t>
      </w:r>
      <w:r>
        <w:rPr>
          <w:rFonts w:ascii="Times New Roman" w:hAnsi="Times New Roman"/>
          <w:sz w:val="16"/>
          <w:szCs w:val="16"/>
        </w:rPr>
        <w:t>януари 2020 г. https://ec.europa.eu/digital-single-market/en/nis-cooperation-group</w:t>
      </w:r>
      <w:r>
        <w:t>.</w:t>
      </w:r>
    </w:p>
  </w:footnote>
  <w:footnote w:id="18">
    <w:p w:rsidR="00FF648C" w:rsidRDefault="003C3A02">
      <w:pPr>
        <w:pStyle w:val="FootnoteText"/>
        <w:jc w:val="both"/>
      </w:pPr>
      <w:r>
        <w:rPr>
          <w:rStyle w:val="FootnoteReference"/>
        </w:rPr>
        <w:footnoteRef/>
      </w:r>
      <w:r>
        <w:t xml:space="preserve"> </w:t>
      </w:r>
      <w:r>
        <w:rPr>
          <w:rFonts w:ascii="Times New Roman" w:hAnsi="Times New Roman"/>
          <w:sz w:val="18"/>
          <w:szCs w:val="18"/>
        </w:rPr>
        <w:t>Параграф 2.37 от координираната оценка на риска на равнището на ЕС.</w:t>
      </w:r>
      <w:r>
        <w:t xml:space="preserve"> </w:t>
      </w:r>
    </w:p>
  </w:footnote>
  <w:footnote w:id="19">
    <w:p w:rsidR="00FF648C" w:rsidRDefault="003C3A02">
      <w:pPr>
        <w:pStyle w:val="FootnoteText"/>
        <w:jc w:val="both"/>
      </w:pPr>
      <w:r>
        <w:rPr>
          <w:rStyle w:val="FootnoteReference"/>
        </w:rPr>
        <w:footnoteRef/>
      </w:r>
      <w:r>
        <w:t xml:space="preserve"> </w:t>
      </w:r>
      <w:r>
        <w:rPr>
          <w:rFonts w:ascii="Times New Roman" w:hAnsi="Times New Roman"/>
          <w:sz w:val="18"/>
          <w:szCs w:val="18"/>
        </w:rPr>
        <w:t>В параграф 2.21 от координираната оценка на риска на равнището на ЕС са представени основните катег</w:t>
      </w:r>
      <w:r>
        <w:rPr>
          <w:rFonts w:ascii="Times New Roman" w:hAnsi="Times New Roman"/>
          <w:sz w:val="18"/>
          <w:szCs w:val="18"/>
        </w:rPr>
        <w:t>ории елементи и функции и общото им ниво на чувствителност и са изброени редица ключови елементи, посочени от държавите членки за всяка категория, а в параграфи 2.28 и 2.29 са посочени редица други видове чувствителни активи или области (напр. конкретни об</w:t>
      </w:r>
      <w:r>
        <w:rPr>
          <w:rFonts w:ascii="Times New Roman" w:hAnsi="Times New Roman"/>
          <w:sz w:val="18"/>
          <w:szCs w:val="18"/>
        </w:rPr>
        <w:t>разувания или географски райони).</w:t>
      </w:r>
      <w:r>
        <w:t xml:space="preserve"> </w:t>
      </w:r>
    </w:p>
  </w:footnote>
  <w:footnote w:id="20">
    <w:p w:rsidR="00FF648C" w:rsidRDefault="003C3A02">
      <w:pPr>
        <w:pStyle w:val="FootnoteText"/>
      </w:pPr>
      <w:r>
        <w:rPr>
          <w:rStyle w:val="FootnoteReference"/>
        </w:rPr>
        <w:footnoteRef/>
      </w:r>
      <w:r>
        <w:t xml:space="preserve"> </w:t>
      </w:r>
      <w:r>
        <w:rPr>
          <w:rFonts w:ascii="Times New Roman" w:hAnsi="Times New Roman"/>
          <w:sz w:val="18"/>
          <w:szCs w:val="18"/>
        </w:rPr>
        <w:t>COM (2016) 588 от 14 септември 2016 г., „5G за Европа: план за действие“.</w:t>
      </w:r>
    </w:p>
  </w:footnote>
  <w:footnote w:id="21">
    <w:p w:rsidR="00FF648C" w:rsidRDefault="003C3A02">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Препоръка на Комисията относно координирана реакция при мащабни киберинциденти и кризи (ЕС 2017/1584).</w:t>
      </w:r>
    </w:p>
  </w:footnote>
  <w:footnote w:id="22">
    <w:p w:rsidR="00FF648C" w:rsidRDefault="003C3A02">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Заключения на Съвета</w:t>
      </w:r>
      <w:r>
        <w:rPr>
          <w:rFonts w:ascii="Times New Roman" w:hAnsi="Times New Roman"/>
          <w:b/>
          <w:sz w:val="18"/>
          <w:szCs w:val="18"/>
        </w:rPr>
        <w:t xml:space="preserve"> </w:t>
      </w:r>
      <w:r>
        <w:rPr>
          <w:rFonts w:ascii="Times New Roman" w:hAnsi="Times New Roman"/>
          <w:sz w:val="18"/>
          <w:szCs w:val="18"/>
        </w:rPr>
        <w:t>от 20 ноември 201</w:t>
      </w:r>
      <w:r>
        <w:rPr>
          <w:rFonts w:ascii="Times New Roman" w:hAnsi="Times New Roman"/>
          <w:sz w:val="18"/>
          <w:szCs w:val="18"/>
        </w:rPr>
        <w:t>7 г. (9916/17).</w:t>
      </w:r>
    </w:p>
  </w:footnote>
  <w:footnote w:id="23">
    <w:p w:rsidR="00FF648C" w:rsidRDefault="003C3A02">
      <w:pPr>
        <w:pStyle w:val="FootnoteText"/>
      </w:pPr>
      <w:r>
        <w:rPr>
          <w:rStyle w:val="FootnoteReference"/>
        </w:rPr>
        <w:footnoteRef/>
      </w:r>
      <w:r>
        <w:t xml:space="preserve"> </w:t>
      </w:r>
      <w:r>
        <w:rPr>
          <w:rFonts w:ascii="Times New Roman" w:hAnsi="Times New Roman"/>
          <w:sz w:val="18"/>
          <w:szCs w:val="18"/>
        </w:rPr>
        <w:t>Финансиране може да бъде предоставено и по програмите „Механизъм за свързване на Европа 2.0“ и „Цифрова Европа“.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C" w:rsidRDefault="00FF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AF463A"/>
    <w:multiLevelType w:val="hybridMultilevel"/>
    <w:tmpl w:val="DBC4B0B0"/>
    <w:lvl w:ilvl="0" w:tplc="3BEC51E2">
      <w:start w:val="4"/>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C57465"/>
    <w:multiLevelType w:val="hybridMultilevel"/>
    <w:tmpl w:val="0C5205C2"/>
    <w:lvl w:ilvl="0" w:tplc="6DB4F02C">
      <w:numFmt w:val="bullet"/>
      <w:lvlText w:val="-"/>
      <w:lvlJc w:val="left"/>
      <w:pPr>
        <w:ind w:left="1080" w:hanging="360"/>
      </w:pPr>
      <w:rPr>
        <w:rFonts w:ascii="Arial" w:eastAsiaTheme="minorHAnsi" w:hAnsi="Arial" w:cs="Aria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814255F"/>
    <w:multiLevelType w:val="multilevel"/>
    <w:tmpl w:val="E1F06DB2"/>
    <w:lvl w:ilvl="0">
      <w:start w:val="1"/>
      <w:numFmt w:val="bullet"/>
      <w:lvlText w:val=""/>
      <w:lvlJc w:val="left"/>
      <w:pPr>
        <w:tabs>
          <w:tab w:val="num" w:pos="654"/>
        </w:tabs>
        <w:ind w:left="654" w:hanging="360"/>
      </w:pPr>
      <w:rPr>
        <w:rFonts w:ascii="Symbol" w:hAnsi="Symbol" w:hint="default"/>
        <w:sz w:val="20"/>
      </w:rPr>
    </w:lvl>
    <w:lvl w:ilvl="1">
      <w:start w:val="1"/>
      <w:numFmt w:val="bullet"/>
      <w:lvlText w:val="o"/>
      <w:lvlJc w:val="left"/>
      <w:pPr>
        <w:tabs>
          <w:tab w:val="num" w:pos="1374"/>
        </w:tabs>
        <w:ind w:left="1374" w:hanging="360"/>
      </w:pPr>
      <w:rPr>
        <w:rFonts w:ascii="Courier New" w:hAnsi="Courier New" w:cs="Times New Roman" w:hint="default"/>
        <w:sz w:val="20"/>
      </w:rPr>
    </w:lvl>
    <w:lvl w:ilvl="2">
      <w:start w:val="1"/>
      <w:numFmt w:val="bullet"/>
      <w:lvlText w:val=""/>
      <w:lvlJc w:val="left"/>
      <w:pPr>
        <w:tabs>
          <w:tab w:val="num" w:pos="2094"/>
        </w:tabs>
        <w:ind w:left="2094" w:hanging="360"/>
      </w:pPr>
      <w:rPr>
        <w:rFonts w:ascii="Wingdings" w:hAnsi="Wingdings" w:hint="default"/>
        <w:sz w:val="20"/>
      </w:rPr>
    </w:lvl>
    <w:lvl w:ilvl="3">
      <w:start w:val="1"/>
      <w:numFmt w:val="bullet"/>
      <w:lvlText w:val=""/>
      <w:lvlJc w:val="left"/>
      <w:pPr>
        <w:tabs>
          <w:tab w:val="num" w:pos="2814"/>
        </w:tabs>
        <w:ind w:left="2814" w:hanging="360"/>
      </w:pPr>
      <w:rPr>
        <w:rFonts w:ascii="Wingdings" w:hAnsi="Wingdings" w:hint="default"/>
        <w:sz w:val="20"/>
      </w:rPr>
    </w:lvl>
    <w:lvl w:ilvl="4">
      <w:start w:val="1"/>
      <w:numFmt w:val="bullet"/>
      <w:lvlText w:val=""/>
      <w:lvlJc w:val="left"/>
      <w:pPr>
        <w:tabs>
          <w:tab w:val="num" w:pos="3534"/>
        </w:tabs>
        <w:ind w:left="3534" w:hanging="360"/>
      </w:pPr>
      <w:rPr>
        <w:rFonts w:ascii="Wingdings" w:hAnsi="Wingdings" w:hint="default"/>
        <w:sz w:val="20"/>
      </w:rPr>
    </w:lvl>
    <w:lvl w:ilvl="5">
      <w:start w:val="1"/>
      <w:numFmt w:val="bullet"/>
      <w:lvlText w:val=""/>
      <w:lvlJc w:val="left"/>
      <w:pPr>
        <w:tabs>
          <w:tab w:val="num" w:pos="4254"/>
        </w:tabs>
        <w:ind w:left="4254" w:hanging="360"/>
      </w:pPr>
      <w:rPr>
        <w:rFonts w:ascii="Wingdings" w:hAnsi="Wingdings" w:hint="default"/>
        <w:sz w:val="20"/>
      </w:rPr>
    </w:lvl>
    <w:lvl w:ilvl="6">
      <w:start w:val="1"/>
      <w:numFmt w:val="bullet"/>
      <w:lvlText w:val=""/>
      <w:lvlJc w:val="left"/>
      <w:pPr>
        <w:tabs>
          <w:tab w:val="num" w:pos="4974"/>
        </w:tabs>
        <w:ind w:left="4974" w:hanging="360"/>
      </w:pPr>
      <w:rPr>
        <w:rFonts w:ascii="Wingdings" w:hAnsi="Wingdings" w:hint="default"/>
        <w:sz w:val="20"/>
      </w:rPr>
    </w:lvl>
    <w:lvl w:ilvl="7">
      <w:start w:val="1"/>
      <w:numFmt w:val="bullet"/>
      <w:lvlText w:val=""/>
      <w:lvlJc w:val="left"/>
      <w:pPr>
        <w:tabs>
          <w:tab w:val="num" w:pos="5694"/>
        </w:tabs>
        <w:ind w:left="5694" w:hanging="360"/>
      </w:pPr>
      <w:rPr>
        <w:rFonts w:ascii="Wingdings" w:hAnsi="Wingdings" w:hint="default"/>
        <w:sz w:val="20"/>
      </w:rPr>
    </w:lvl>
    <w:lvl w:ilvl="8">
      <w:start w:val="1"/>
      <w:numFmt w:val="bullet"/>
      <w:lvlText w:val=""/>
      <w:lvlJc w:val="left"/>
      <w:pPr>
        <w:tabs>
          <w:tab w:val="num" w:pos="6414"/>
        </w:tabs>
        <w:ind w:left="6414" w:hanging="360"/>
      </w:pPr>
      <w:rPr>
        <w:rFonts w:ascii="Wingdings" w:hAnsi="Wingdings" w:hint="default"/>
        <w:sz w:val="20"/>
      </w:rPr>
    </w:lvl>
  </w:abstractNum>
  <w:abstractNum w:abstractNumId="4" w15:restartNumberingAfterBreak="0">
    <w:nsid w:val="10D1540F"/>
    <w:multiLevelType w:val="hybridMultilevel"/>
    <w:tmpl w:val="20A4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04444"/>
    <w:multiLevelType w:val="multilevel"/>
    <w:tmpl w:val="4F0C0336"/>
    <w:lvl w:ilvl="0">
      <w:start w:val="1"/>
      <w:numFmt w:val="bullet"/>
      <w:lvlText w:val=""/>
      <w:lvlJc w:val="left"/>
      <w:pPr>
        <w:tabs>
          <w:tab w:val="num" w:pos="426"/>
        </w:tabs>
        <w:ind w:left="426" w:hanging="360"/>
      </w:pPr>
      <w:rPr>
        <w:rFonts w:ascii="Symbol" w:hAnsi="Symbol" w:hint="default"/>
        <w:sz w:val="20"/>
      </w:rPr>
    </w:lvl>
    <w:lvl w:ilvl="1">
      <w:start w:val="1"/>
      <w:numFmt w:val="bullet"/>
      <w:lvlText w:val="o"/>
      <w:lvlJc w:val="left"/>
      <w:pPr>
        <w:tabs>
          <w:tab w:val="num" w:pos="1146"/>
        </w:tabs>
        <w:ind w:left="1146" w:hanging="360"/>
      </w:pPr>
      <w:rPr>
        <w:rFonts w:ascii="Courier New" w:hAnsi="Courier New" w:cs="Times New Roman" w:hint="default"/>
        <w:sz w:val="20"/>
      </w:rPr>
    </w:lvl>
    <w:lvl w:ilvl="2">
      <w:start w:val="1"/>
      <w:numFmt w:val="bullet"/>
      <w:lvlText w:val=""/>
      <w:lvlJc w:val="left"/>
      <w:pPr>
        <w:tabs>
          <w:tab w:val="num" w:pos="1866"/>
        </w:tabs>
        <w:ind w:left="1866" w:hanging="360"/>
      </w:pPr>
      <w:rPr>
        <w:rFonts w:ascii="Wingdings" w:hAnsi="Wingdings" w:hint="default"/>
        <w:sz w:val="20"/>
      </w:rPr>
    </w:lvl>
    <w:lvl w:ilvl="3">
      <w:start w:val="1"/>
      <w:numFmt w:val="bullet"/>
      <w:lvlText w:val=""/>
      <w:lvlJc w:val="left"/>
      <w:pPr>
        <w:tabs>
          <w:tab w:val="num" w:pos="2586"/>
        </w:tabs>
        <w:ind w:left="2586" w:hanging="360"/>
      </w:pPr>
      <w:rPr>
        <w:rFonts w:ascii="Wingdings" w:hAnsi="Wingdings" w:hint="default"/>
        <w:sz w:val="20"/>
      </w:rPr>
    </w:lvl>
    <w:lvl w:ilvl="4">
      <w:start w:val="1"/>
      <w:numFmt w:val="bullet"/>
      <w:lvlText w:val=""/>
      <w:lvlJc w:val="left"/>
      <w:pPr>
        <w:tabs>
          <w:tab w:val="num" w:pos="3306"/>
        </w:tabs>
        <w:ind w:left="3306" w:hanging="360"/>
      </w:pPr>
      <w:rPr>
        <w:rFonts w:ascii="Wingdings" w:hAnsi="Wingdings" w:hint="default"/>
        <w:sz w:val="20"/>
      </w:rPr>
    </w:lvl>
    <w:lvl w:ilvl="5">
      <w:start w:val="1"/>
      <w:numFmt w:val="bullet"/>
      <w:lvlText w:val=""/>
      <w:lvlJc w:val="left"/>
      <w:pPr>
        <w:tabs>
          <w:tab w:val="num" w:pos="4026"/>
        </w:tabs>
        <w:ind w:left="4026" w:hanging="360"/>
      </w:pPr>
      <w:rPr>
        <w:rFonts w:ascii="Wingdings" w:hAnsi="Wingdings" w:hint="default"/>
        <w:sz w:val="20"/>
      </w:rPr>
    </w:lvl>
    <w:lvl w:ilvl="6">
      <w:start w:val="1"/>
      <w:numFmt w:val="bullet"/>
      <w:lvlText w:val=""/>
      <w:lvlJc w:val="left"/>
      <w:pPr>
        <w:tabs>
          <w:tab w:val="num" w:pos="4746"/>
        </w:tabs>
        <w:ind w:left="4746" w:hanging="360"/>
      </w:pPr>
      <w:rPr>
        <w:rFonts w:ascii="Wingdings" w:hAnsi="Wingdings" w:hint="default"/>
        <w:sz w:val="20"/>
      </w:rPr>
    </w:lvl>
    <w:lvl w:ilvl="7">
      <w:start w:val="1"/>
      <w:numFmt w:val="bullet"/>
      <w:lvlText w:val=""/>
      <w:lvlJc w:val="left"/>
      <w:pPr>
        <w:tabs>
          <w:tab w:val="num" w:pos="5466"/>
        </w:tabs>
        <w:ind w:left="5466" w:hanging="360"/>
      </w:pPr>
      <w:rPr>
        <w:rFonts w:ascii="Wingdings" w:hAnsi="Wingdings" w:hint="default"/>
        <w:sz w:val="20"/>
      </w:rPr>
    </w:lvl>
    <w:lvl w:ilvl="8">
      <w:start w:val="1"/>
      <w:numFmt w:val="bullet"/>
      <w:lvlText w:val=""/>
      <w:lvlJc w:val="left"/>
      <w:pPr>
        <w:tabs>
          <w:tab w:val="num" w:pos="6186"/>
        </w:tabs>
        <w:ind w:left="6186" w:hanging="360"/>
      </w:pPr>
      <w:rPr>
        <w:rFonts w:ascii="Wingdings" w:hAnsi="Wingdings" w:hint="default"/>
        <w:sz w:val="20"/>
      </w:rPr>
    </w:lvl>
  </w:abstractNum>
  <w:abstractNum w:abstractNumId="6" w15:restartNumberingAfterBreak="0">
    <w:nsid w:val="204E0ABA"/>
    <w:multiLevelType w:val="multilevel"/>
    <w:tmpl w:val="6D62B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F38A4"/>
    <w:multiLevelType w:val="hybridMultilevel"/>
    <w:tmpl w:val="29A64B4E"/>
    <w:lvl w:ilvl="0" w:tplc="2DA466C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270079"/>
    <w:multiLevelType w:val="hybridMultilevel"/>
    <w:tmpl w:val="B8FE5DBA"/>
    <w:lvl w:ilvl="0" w:tplc="58E22F3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C0470D"/>
    <w:multiLevelType w:val="hybridMultilevel"/>
    <w:tmpl w:val="E58CEDE0"/>
    <w:lvl w:ilvl="0" w:tplc="080C0001">
      <w:start w:val="1"/>
      <w:numFmt w:val="bullet"/>
      <w:lvlText w:val=""/>
      <w:lvlJc w:val="left"/>
      <w:pPr>
        <w:ind w:left="784" w:hanging="360"/>
      </w:pPr>
      <w:rPr>
        <w:rFonts w:ascii="Symbol" w:hAnsi="Symbol" w:hint="default"/>
      </w:rPr>
    </w:lvl>
    <w:lvl w:ilvl="1" w:tplc="080C0003" w:tentative="1">
      <w:start w:val="1"/>
      <w:numFmt w:val="bullet"/>
      <w:lvlText w:val="o"/>
      <w:lvlJc w:val="left"/>
      <w:pPr>
        <w:ind w:left="1504" w:hanging="360"/>
      </w:pPr>
      <w:rPr>
        <w:rFonts w:ascii="Courier New" w:hAnsi="Courier New" w:cs="Courier New" w:hint="default"/>
      </w:rPr>
    </w:lvl>
    <w:lvl w:ilvl="2" w:tplc="080C0005" w:tentative="1">
      <w:start w:val="1"/>
      <w:numFmt w:val="bullet"/>
      <w:lvlText w:val=""/>
      <w:lvlJc w:val="left"/>
      <w:pPr>
        <w:ind w:left="2224" w:hanging="360"/>
      </w:pPr>
      <w:rPr>
        <w:rFonts w:ascii="Wingdings" w:hAnsi="Wingdings" w:hint="default"/>
      </w:rPr>
    </w:lvl>
    <w:lvl w:ilvl="3" w:tplc="080C0001" w:tentative="1">
      <w:start w:val="1"/>
      <w:numFmt w:val="bullet"/>
      <w:lvlText w:val=""/>
      <w:lvlJc w:val="left"/>
      <w:pPr>
        <w:ind w:left="2944" w:hanging="360"/>
      </w:pPr>
      <w:rPr>
        <w:rFonts w:ascii="Symbol" w:hAnsi="Symbol" w:hint="default"/>
      </w:rPr>
    </w:lvl>
    <w:lvl w:ilvl="4" w:tplc="080C0003" w:tentative="1">
      <w:start w:val="1"/>
      <w:numFmt w:val="bullet"/>
      <w:lvlText w:val="o"/>
      <w:lvlJc w:val="left"/>
      <w:pPr>
        <w:ind w:left="3664" w:hanging="360"/>
      </w:pPr>
      <w:rPr>
        <w:rFonts w:ascii="Courier New" w:hAnsi="Courier New" w:cs="Courier New" w:hint="default"/>
      </w:rPr>
    </w:lvl>
    <w:lvl w:ilvl="5" w:tplc="080C0005" w:tentative="1">
      <w:start w:val="1"/>
      <w:numFmt w:val="bullet"/>
      <w:lvlText w:val=""/>
      <w:lvlJc w:val="left"/>
      <w:pPr>
        <w:ind w:left="4384" w:hanging="360"/>
      </w:pPr>
      <w:rPr>
        <w:rFonts w:ascii="Wingdings" w:hAnsi="Wingdings" w:hint="default"/>
      </w:rPr>
    </w:lvl>
    <w:lvl w:ilvl="6" w:tplc="080C0001" w:tentative="1">
      <w:start w:val="1"/>
      <w:numFmt w:val="bullet"/>
      <w:lvlText w:val=""/>
      <w:lvlJc w:val="left"/>
      <w:pPr>
        <w:ind w:left="5104" w:hanging="360"/>
      </w:pPr>
      <w:rPr>
        <w:rFonts w:ascii="Symbol" w:hAnsi="Symbol" w:hint="default"/>
      </w:rPr>
    </w:lvl>
    <w:lvl w:ilvl="7" w:tplc="080C0003" w:tentative="1">
      <w:start w:val="1"/>
      <w:numFmt w:val="bullet"/>
      <w:lvlText w:val="o"/>
      <w:lvlJc w:val="left"/>
      <w:pPr>
        <w:ind w:left="5824" w:hanging="360"/>
      </w:pPr>
      <w:rPr>
        <w:rFonts w:ascii="Courier New" w:hAnsi="Courier New" w:cs="Courier New" w:hint="default"/>
      </w:rPr>
    </w:lvl>
    <w:lvl w:ilvl="8" w:tplc="080C0005" w:tentative="1">
      <w:start w:val="1"/>
      <w:numFmt w:val="bullet"/>
      <w:lvlText w:val=""/>
      <w:lvlJc w:val="left"/>
      <w:pPr>
        <w:ind w:left="6544" w:hanging="360"/>
      </w:pPr>
      <w:rPr>
        <w:rFonts w:ascii="Wingdings" w:hAnsi="Wingdings" w:hint="default"/>
      </w:rPr>
    </w:lvl>
  </w:abstractNum>
  <w:abstractNum w:abstractNumId="10" w15:restartNumberingAfterBreak="0">
    <w:nsid w:val="352808C7"/>
    <w:multiLevelType w:val="hybridMultilevel"/>
    <w:tmpl w:val="1A08F25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5E42105"/>
    <w:multiLevelType w:val="multilevel"/>
    <w:tmpl w:val="0950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956A5"/>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B65E1"/>
    <w:multiLevelType w:val="multilevel"/>
    <w:tmpl w:val="60DEADA8"/>
    <w:lvl w:ilvl="0">
      <w:start w:val="1"/>
      <w:numFmt w:val="bullet"/>
      <w:lvlText w:val=""/>
      <w:lvlJc w:val="left"/>
      <w:pPr>
        <w:tabs>
          <w:tab w:val="num" w:pos="709"/>
        </w:tabs>
        <w:ind w:left="709" w:hanging="360"/>
      </w:pPr>
      <w:rPr>
        <w:rFonts w:ascii="Symbol" w:hAnsi="Symbol" w:hint="default"/>
        <w:sz w:val="20"/>
      </w:rPr>
    </w:lvl>
    <w:lvl w:ilvl="1">
      <w:start w:val="1"/>
      <w:numFmt w:val="bullet"/>
      <w:lvlText w:val="o"/>
      <w:lvlJc w:val="left"/>
      <w:pPr>
        <w:tabs>
          <w:tab w:val="num" w:pos="1429"/>
        </w:tabs>
        <w:ind w:left="1429" w:hanging="360"/>
      </w:pPr>
      <w:rPr>
        <w:rFonts w:ascii="Courier New" w:hAnsi="Courier New" w:cs="Times New Roman" w:hint="default"/>
        <w:sz w:val="20"/>
      </w:rPr>
    </w:lvl>
    <w:lvl w:ilvl="2">
      <w:start w:val="1"/>
      <w:numFmt w:val="bullet"/>
      <w:lvlText w:val=""/>
      <w:lvlJc w:val="left"/>
      <w:pPr>
        <w:tabs>
          <w:tab w:val="num" w:pos="2149"/>
        </w:tabs>
        <w:ind w:left="2149" w:hanging="360"/>
      </w:pPr>
      <w:rPr>
        <w:rFonts w:ascii="Wingdings" w:hAnsi="Wingdings" w:hint="default"/>
        <w:sz w:val="20"/>
      </w:rPr>
    </w:lvl>
    <w:lvl w:ilvl="3">
      <w:start w:val="1"/>
      <w:numFmt w:val="bullet"/>
      <w:lvlText w:val=""/>
      <w:lvlJc w:val="left"/>
      <w:pPr>
        <w:tabs>
          <w:tab w:val="num" w:pos="2869"/>
        </w:tabs>
        <w:ind w:left="2869" w:hanging="360"/>
      </w:pPr>
      <w:rPr>
        <w:rFonts w:ascii="Wingdings" w:hAnsi="Wingdings" w:hint="default"/>
        <w:sz w:val="20"/>
      </w:rPr>
    </w:lvl>
    <w:lvl w:ilvl="4">
      <w:start w:val="1"/>
      <w:numFmt w:val="bullet"/>
      <w:lvlText w:val=""/>
      <w:lvlJc w:val="left"/>
      <w:pPr>
        <w:tabs>
          <w:tab w:val="num" w:pos="3589"/>
        </w:tabs>
        <w:ind w:left="3589" w:hanging="360"/>
      </w:pPr>
      <w:rPr>
        <w:rFonts w:ascii="Wingdings" w:hAnsi="Wingdings" w:hint="default"/>
        <w:sz w:val="20"/>
      </w:rPr>
    </w:lvl>
    <w:lvl w:ilvl="5">
      <w:start w:val="1"/>
      <w:numFmt w:val="bullet"/>
      <w:lvlText w:val=""/>
      <w:lvlJc w:val="left"/>
      <w:pPr>
        <w:tabs>
          <w:tab w:val="num" w:pos="4309"/>
        </w:tabs>
        <w:ind w:left="4309" w:hanging="360"/>
      </w:pPr>
      <w:rPr>
        <w:rFonts w:ascii="Wingdings" w:hAnsi="Wingdings" w:hint="default"/>
        <w:sz w:val="20"/>
      </w:rPr>
    </w:lvl>
    <w:lvl w:ilvl="6">
      <w:start w:val="1"/>
      <w:numFmt w:val="bullet"/>
      <w:lvlText w:val=""/>
      <w:lvlJc w:val="left"/>
      <w:pPr>
        <w:tabs>
          <w:tab w:val="num" w:pos="5029"/>
        </w:tabs>
        <w:ind w:left="5029" w:hanging="360"/>
      </w:pPr>
      <w:rPr>
        <w:rFonts w:ascii="Wingdings" w:hAnsi="Wingdings" w:hint="default"/>
        <w:sz w:val="20"/>
      </w:rPr>
    </w:lvl>
    <w:lvl w:ilvl="7">
      <w:start w:val="1"/>
      <w:numFmt w:val="bullet"/>
      <w:lvlText w:val=""/>
      <w:lvlJc w:val="left"/>
      <w:pPr>
        <w:tabs>
          <w:tab w:val="num" w:pos="5749"/>
        </w:tabs>
        <w:ind w:left="5749" w:hanging="360"/>
      </w:pPr>
      <w:rPr>
        <w:rFonts w:ascii="Wingdings" w:hAnsi="Wingdings" w:hint="default"/>
        <w:sz w:val="20"/>
      </w:rPr>
    </w:lvl>
    <w:lvl w:ilvl="8">
      <w:start w:val="1"/>
      <w:numFmt w:val="bullet"/>
      <w:lvlText w:val=""/>
      <w:lvlJc w:val="left"/>
      <w:pPr>
        <w:tabs>
          <w:tab w:val="num" w:pos="6469"/>
        </w:tabs>
        <w:ind w:left="6469" w:hanging="360"/>
      </w:pPr>
      <w:rPr>
        <w:rFonts w:ascii="Wingdings" w:hAnsi="Wingdings" w:hint="default"/>
        <w:sz w:val="20"/>
      </w:rPr>
    </w:lvl>
  </w:abstractNum>
  <w:abstractNum w:abstractNumId="14" w15:restartNumberingAfterBreak="0">
    <w:nsid w:val="46D76EFE"/>
    <w:multiLevelType w:val="hybridMultilevel"/>
    <w:tmpl w:val="E6FE65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DEA5C29"/>
    <w:multiLevelType w:val="hybridMultilevel"/>
    <w:tmpl w:val="9C224BFA"/>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F105B17"/>
    <w:multiLevelType w:val="hybridMultilevel"/>
    <w:tmpl w:val="997C8F92"/>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50285F5D"/>
    <w:multiLevelType w:val="hybridMultilevel"/>
    <w:tmpl w:val="398AE9B2"/>
    <w:lvl w:ilvl="0" w:tplc="CFDCDBD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A857623"/>
    <w:multiLevelType w:val="multilevel"/>
    <w:tmpl w:val="C16E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A67"/>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2610B"/>
    <w:multiLevelType w:val="hybridMultilevel"/>
    <w:tmpl w:val="23E8D4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2F4E58"/>
    <w:multiLevelType w:val="hybridMultilevel"/>
    <w:tmpl w:val="6E46D102"/>
    <w:lvl w:ilvl="0" w:tplc="080C0005">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76F0320B"/>
    <w:multiLevelType w:val="hybridMultilevel"/>
    <w:tmpl w:val="3F3C6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4042F7"/>
    <w:multiLevelType w:val="multilevel"/>
    <w:tmpl w:val="7E723804"/>
    <w:lvl w:ilvl="0">
      <w:start w:val="1"/>
      <w:numFmt w:val="bullet"/>
      <w:lvlText w:val=""/>
      <w:lvlJc w:val="left"/>
      <w:pPr>
        <w:tabs>
          <w:tab w:val="num" w:pos="588"/>
        </w:tabs>
        <w:ind w:left="588" w:hanging="360"/>
      </w:pPr>
      <w:rPr>
        <w:rFonts w:ascii="Symbol" w:hAnsi="Symbol" w:hint="default"/>
        <w:sz w:val="20"/>
      </w:rPr>
    </w:lvl>
    <w:lvl w:ilvl="1">
      <w:start w:val="1"/>
      <w:numFmt w:val="bullet"/>
      <w:lvlText w:val="o"/>
      <w:lvlJc w:val="left"/>
      <w:pPr>
        <w:tabs>
          <w:tab w:val="num" w:pos="1308"/>
        </w:tabs>
        <w:ind w:left="1308" w:hanging="360"/>
      </w:pPr>
      <w:rPr>
        <w:rFonts w:ascii="Courier New" w:hAnsi="Courier New" w:cs="Times New Roman" w:hint="default"/>
        <w:sz w:val="20"/>
      </w:rPr>
    </w:lvl>
    <w:lvl w:ilvl="2">
      <w:start w:val="1"/>
      <w:numFmt w:val="bullet"/>
      <w:lvlText w:val=""/>
      <w:lvlJc w:val="left"/>
      <w:pPr>
        <w:tabs>
          <w:tab w:val="num" w:pos="2028"/>
        </w:tabs>
        <w:ind w:left="2028" w:hanging="360"/>
      </w:pPr>
      <w:rPr>
        <w:rFonts w:ascii="Wingdings" w:hAnsi="Wingdings" w:hint="default"/>
        <w:sz w:val="20"/>
      </w:rPr>
    </w:lvl>
    <w:lvl w:ilvl="3">
      <w:start w:val="1"/>
      <w:numFmt w:val="bullet"/>
      <w:lvlText w:val=""/>
      <w:lvlJc w:val="left"/>
      <w:pPr>
        <w:tabs>
          <w:tab w:val="num" w:pos="2748"/>
        </w:tabs>
        <w:ind w:left="2748" w:hanging="360"/>
      </w:pPr>
      <w:rPr>
        <w:rFonts w:ascii="Wingdings" w:hAnsi="Wingdings" w:hint="default"/>
        <w:sz w:val="20"/>
      </w:rPr>
    </w:lvl>
    <w:lvl w:ilvl="4">
      <w:start w:val="1"/>
      <w:numFmt w:val="bullet"/>
      <w:lvlText w:val=""/>
      <w:lvlJc w:val="left"/>
      <w:pPr>
        <w:tabs>
          <w:tab w:val="num" w:pos="3468"/>
        </w:tabs>
        <w:ind w:left="3468" w:hanging="360"/>
      </w:pPr>
      <w:rPr>
        <w:rFonts w:ascii="Wingdings" w:hAnsi="Wingdings" w:hint="default"/>
        <w:sz w:val="20"/>
      </w:rPr>
    </w:lvl>
    <w:lvl w:ilvl="5">
      <w:start w:val="1"/>
      <w:numFmt w:val="bullet"/>
      <w:lvlText w:val=""/>
      <w:lvlJc w:val="left"/>
      <w:pPr>
        <w:tabs>
          <w:tab w:val="num" w:pos="4188"/>
        </w:tabs>
        <w:ind w:left="4188" w:hanging="360"/>
      </w:pPr>
      <w:rPr>
        <w:rFonts w:ascii="Wingdings" w:hAnsi="Wingdings" w:hint="default"/>
        <w:sz w:val="20"/>
      </w:rPr>
    </w:lvl>
    <w:lvl w:ilvl="6">
      <w:start w:val="1"/>
      <w:numFmt w:val="bullet"/>
      <w:lvlText w:val=""/>
      <w:lvlJc w:val="left"/>
      <w:pPr>
        <w:tabs>
          <w:tab w:val="num" w:pos="4908"/>
        </w:tabs>
        <w:ind w:left="4908" w:hanging="360"/>
      </w:pPr>
      <w:rPr>
        <w:rFonts w:ascii="Wingdings" w:hAnsi="Wingdings" w:hint="default"/>
        <w:sz w:val="20"/>
      </w:rPr>
    </w:lvl>
    <w:lvl w:ilvl="7">
      <w:start w:val="1"/>
      <w:numFmt w:val="bullet"/>
      <w:lvlText w:val=""/>
      <w:lvlJc w:val="left"/>
      <w:pPr>
        <w:tabs>
          <w:tab w:val="num" w:pos="5628"/>
        </w:tabs>
        <w:ind w:left="5628" w:hanging="360"/>
      </w:pPr>
      <w:rPr>
        <w:rFonts w:ascii="Wingdings" w:hAnsi="Wingdings" w:hint="default"/>
        <w:sz w:val="20"/>
      </w:rPr>
    </w:lvl>
    <w:lvl w:ilvl="8">
      <w:start w:val="1"/>
      <w:numFmt w:val="bullet"/>
      <w:lvlText w:val=""/>
      <w:lvlJc w:val="left"/>
      <w:pPr>
        <w:tabs>
          <w:tab w:val="num" w:pos="6348"/>
        </w:tabs>
        <w:ind w:left="6348" w:hanging="360"/>
      </w:pPr>
      <w:rPr>
        <w:rFonts w:ascii="Wingdings" w:hAnsi="Wingdings" w:hint="default"/>
        <w:sz w:val="20"/>
      </w:rPr>
    </w:lvl>
  </w:abstractNum>
  <w:abstractNum w:abstractNumId="24" w15:restartNumberingAfterBreak="0">
    <w:nsid w:val="7E391CC1"/>
    <w:multiLevelType w:val="hybridMultilevel"/>
    <w:tmpl w:val="B802BCE6"/>
    <w:lvl w:ilvl="0" w:tplc="6A38404A">
      <w:start w:val="1"/>
      <w:numFmt w:val="bullet"/>
      <w:lvlText w:val=""/>
      <w:lvlJc w:val="left"/>
      <w:pPr>
        <w:ind w:left="1080" w:hanging="360"/>
      </w:pPr>
      <w:rPr>
        <w:rFonts w:ascii="Symbol" w:hAnsi="Symbol" w:hint="default"/>
        <w:b w:val="0"/>
        <w:i w:val="0"/>
        <w:caps w:val="0"/>
        <w:strike w:val="0"/>
        <w:dstrike w:val="0"/>
        <w:vanish w:val="0"/>
        <w:vertAlign w:val="baseline"/>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13"/>
  </w:num>
  <w:num w:numId="4">
    <w:abstractNumId w:val="11"/>
  </w:num>
  <w:num w:numId="5">
    <w:abstractNumId w:val="3"/>
  </w:num>
  <w:num w:numId="6">
    <w:abstractNumId w:val="23"/>
  </w:num>
  <w:num w:numId="7">
    <w:abstractNumId w:val="5"/>
  </w:num>
  <w:num w:numId="8">
    <w:abstractNumId w:val="6"/>
  </w:num>
  <w:num w:numId="9">
    <w:abstractNumId w:val="17"/>
  </w:num>
  <w:num w:numId="10">
    <w:abstractNumId w:val="9"/>
  </w:num>
  <w:num w:numId="11">
    <w:abstractNumId w:val="0"/>
  </w:num>
  <w:num w:numId="12">
    <w:abstractNumId w:val="10"/>
  </w:num>
  <w:num w:numId="13">
    <w:abstractNumId w:val="12"/>
  </w:num>
  <w:num w:numId="14">
    <w:abstractNumId w:val="10"/>
  </w:num>
  <w:num w:numId="15">
    <w:abstractNumId w:val="4"/>
  </w:num>
  <w:num w:numId="16">
    <w:abstractNumId w:val="7"/>
  </w:num>
  <w:num w:numId="17">
    <w:abstractNumId w:val="21"/>
  </w:num>
  <w:num w:numId="18">
    <w:abstractNumId w:val="1"/>
  </w:num>
  <w:num w:numId="19">
    <w:abstractNumId w:val="14"/>
  </w:num>
  <w:num w:numId="20">
    <w:abstractNumId w:val="2"/>
  </w:num>
  <w:num w:numId="21">
    <w:abstractNumId w:val="22"/>
  </w:num>
  <w:num w:numId="22">
    <w:abstractNumId w:val="15"/>
  </w:num>
  <w:num w:numId="23">
    <w:abstractNumId w:val="16"/>
  </w:num>
  <w:num w:numId="24">
    <w:abstractNumId w:val="24"/>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18DC4B-A930-4AC2-A7F9-BA96A92DBC75"/>
    <w:docVar w:name="LW_COVERPAGE_TYPE" w:val="1"/>
    <w:docVar w:name="LW_CROSSREFERENCE" w:val="&lt;UNUSED&gt;"/>
    <w:docVar w:name="LW_DocType" w:val="NORMAL"/>
    <w:docVar w:name="LW_EMISSION" w:val="29.1.2020"/>
    <w:docVar w:name="LW_EMISSION_ISODATE" w:val="2020-01-2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80?\u1075?\u1091?\u1088?\u1085?\u1086? \u1074?\u1085?\u1077?\u1076?\u1088?\u1103?\u1074?\u1072?\u1085?\u1077? \u1085?\u1072? 5G \u1074? \u1045?\u1057? \u8212? \u1087?\u1088?\u1080?\u1083?\u1072?\u1075?\u1072?\u1085?\u1077? \u1085?\u1072? \u1080?\u1085?\u1089?\u1090?\u1088?\u1091?\u1084?\u1077?\u1085?\u1090?\u1072?\u1088?\u1080?\u1091?\u1084?\u1072? \u1085?\u1072? \u1045?\u105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FF648C"/>
    <w:rsid w:val="003C3A02"/>
    <w:rsid w:val="00FF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spacing w:after="200" w:line="276" w:lineRule="auto"/>
      <w:ind w:left="720"/>
      <w:contextualSpacing/>
    </w:pPr>
    <w:rPr>
      <w:rFonts w:asciiTheme="minorHAnsi" w:hAnsiTheme="minorHAnsi" w:cstheme="minorBidi"/>
      <w:sz w:val="22"/>
      <w:szCs w:val="22"/>
      <w:lang w:eastAsia="en-US"/>
    </w:r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Schriftart: 10 pt,o,f t,f"/>
    <w:basedOn w:val="Normal"/>
    <w:link w:val="FootnoteTextChar"/>
    <w:uiPriority w:val="99"/>
    <w:unhideWhenUsed/>
    <w:qFormat/>
    <w:rPr>
      <w:rFonts w:asciiTheme="minorHAnsi" w:hAnsiTheme="minorHAnsi" w:cstheme="minorBidi"/>
      <w:sz w:val="20"/>
      <w:szCs w:val="20"/>
      <w:lang w:eastAsia="en-US"/>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qFormat/>
    <w:rPr>
      <w:sz w:val="20"/>
      <w:szCs w:val="20"/>
    </w:rPr>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Exposant 3 Point"/>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ingtextChar">
    <w:name w:val="Briefing text Char"/>
    <w:link w:val="Briefingtext"/>
    <w:locked/>
    <w:rPr>
      <w:rFonts w:ascii="Arial" w:eastAsia="Times New Roman" w:hAnsi="Arial" w:cs="Arial"/>
      <w:szCs w:val="24"/>
    </w:rPr>
  </w:style>
  <w:style w:type="paragraph" w:customStyle="1" w:styleId="Briefingtext">
    <w:name w:val="Briefing text"/>
    <w:basedOn w:val="Normal"/>
    <w:link w:val="BriefingtextChar"/>
    <w:pPr>
      <w:spacing w:after="240"/>
      <w:jc w:val="both"/>
    </w:pPr>
    <w:rPr>
      <w:rFonts w:ascii="Arial" w:eastAsia="Times New Roman" w:hAnsi="Arial" w:cs="Arial"/>
      <w:sz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eastAsia="fr-B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fr-B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bg-BG" w:eastAsia="fr-B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bg-B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Pr>
      <w:rFonts w:ascii="Calibri" w:hAnsi="Calibri" w:cstheme="minorBidi"/>
      <w:sz w:val="22"/>
      <w:szCs w:val="21"/>
      <w:lang w:eastAsia="en-US"/>
    </w:rPr>
  </w:style>
  <w:style w:type="character" w:customStyle="1" w:styleId="PlainTextChar">
    <w:name w:val="Plain Text Char"/>
    <w:basedOn w:val="DefaultParagraphFont"/>
    <w:link w:val="PlainText"/>
    <w:uiPriority w:val="99"/>
    <w:rPr>
      <w:rFonts w:ascii="Calibri" w:hAnsi="Calibri"/>
      <w:szCs w:val="21"/>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fr-B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0961">
      <w:bodyDiv w:val="1"/>
      <w:marLeft w:val="0"/>
      <w:marRight w:val="0"/>
      <w:marTop w:val="0"/>
      <w:marBottom w:val="0"/>
      <w:divBdr>
        <w:top w:val="none" w:sz="0" w:space="0" w:color="auto"/>
        <w:left w:val="none" w:sz="0" w:space="0" w:color="auto"/>
        <w:bottom w:val="none" w:sz="0" w:space="0" w:color="auto"/>
        <w:right w:val="none" w:sz="0" w:space="0" w:color="auto"/>
      </w:divBdr>
    </w:div>
    <w:div w:id="358162347">
      <w:bodyDiv w:val="1"/>
      <w:marLeft w:val="0"/>
      <w:marRight w:val="0"/>
      <w:marTop w:val="0"/>
      <w:marBottom w:val="0"/>
      <w:divBdr>
        <w:top w:val="none" w:sz="0" w:space="0" w:color="auto"/>
        <w:left w:val="none" w:sz="0" w:space="0" w:color="auto"/>
        <w:bottom w:val="none" w:sz="0" w:space="0" w:color="auto"/>
        <w:right w:val="none" w:sz="0" w:space="0" w:color="auto"/>
      </w:divBdr>
    </w:div>
    <w:div w:id="708458875">
      <w:bodyDiv w:val="1"/>
      <w:marLeft w:val="0"/>
      <w:marRight w:val="0"/>
      <w:marTop w:val="0"/>
      <w:marBottom w:val="0"/>
      <w:divBdr>
        <w:top w:val="none" w:sz="0" w:space="0" w:color="auto"/>
        <w:left w:val="none" w:sz="0" w:space="0" w:color="auto"/>
        <w:bottom w:val="none" w:sz="0" w:space="0" w:color="auto"/>
        <w:right w:val="none" w:sz="0" w:space="0" w:color="auto"/>
      </w:divBdr>
    </w:div>
    <w:div w:id="750002460">
      <w:bodyDiv w:val="1"/>
      <w:marLeft w:val="0"/>
      <w:marRight w:val="0"/>
      <w:marTop w:val="0"/>
      <w:marBottom w:val="0"/>
      <w:divBdr>
        <w:top w:val="none" w:sz="0" w:space="0" w:color="auto"/>
        <w:left w:val="none" w:sz="0" w:space="0" w:color="auto"/>
        <w:bottom w:val="none" w:sz="0" w:space="0" w:color="auto"/>
        <w:right w:val="none" w:sz="0" w:space="0" w:color="auto"/>
      </w:divBdr>
    </w:div>
    <w:div w:id="817184220">
      <w:bodyDiv w:val="1"/>
      <w:marLeft w:val="0"/>
      <w:marRight w:val="0"/>
      <w:marTop w:val="0"/>
      <w:marBottom w:val="0"/>
      <w:divBdr>
        <w:top w:val="none" w:sz="0" w:space="0" w:color="auto"/>
        <w:left w:val="none" w:sz="0" w:space="0" w:color="auto"/>
        <w:bottom w:val="none" w:sz="0" w:space="0" w:color="auto"/>
        <w:right w:val="none" w:sz="0" w:space="0" w:color="auto"/>
      </w:divBdr>
    </w:div>
    <w:div w:id="953244100">
      <w:bodyDiv w:val="1"/>
      <w:marLeft w:val="0"/>
      <w:marRight w:val="0"/>
      <w:marTop w:val="0"/>
      <w:marBottom w:val="0"/>
      <w:divBdr>
        <w:top w:val="none" w:sz="0" w:space="0" w:color="auto"/>
        <w:left w:val="none" w:sz="0" w:space="0" w:color="auto"/>
        <w:bottom w:val="none" w:sz="0" w:space="0" w:color="auto"/>
        <w:right w:val="none" w:sz="0" w:space="0" w:color="auto"/>
      </w:divBdr>
    </w:div>
    <w:div w:id="1119033273">
      <w:bodyDiv w:val="1"/>
      <w:marLeft w:val="0"/>
      <w:marRight w:val="0"/>
      <w:marTop w:val="0"/>
      <w:marBottom w:val="0"/>
      <w:divBdr>
        <w:top w:val="none" w:sz="0" w:space="0" w:color="auto"/>
        <w:left w:val="none" w:sz="0" w:space="0" w:color="auto"/>
        <w:bottom w:val="none" w:sz="0" w:space="0" w:color="auto"/>
        <w:right w:val="none" w:sz="0" w:space="0" w:color="auto"/>
      </w:divBdr>
    </w:div>
    <w:div w:id="1149900911">
      <w:bodyDiv w:val="1"/>
      <w:marLeft w:val="0"/>
      <w:marRight w:val="0"/>
      <w:marTop w:val="0"/>
      <w:marBottom w:val="0"/>
      <w:divBdr>
        <w:top w:val="none" w:sz="0" w:space="0" w:color="auto"/>
        <w:left w:val="none" w:sz="0" w:space="0" w:color="auto"/>
        <w:bottom w:val="none" w:sz="0" w:space="0" w:color="auto"/>
        <w:right w:val="none" w:sz="0" w:space="0" w:color="auto"/>
      </w:divBdr>
    </w:div>
    <w:div w:id="1239484386">
      <w:bodyDiv w:val="1"/>
      <w:marLeft w:val="0"/>
      <w:marRight w:val="0"/>
      <w:marTop w:val="0"/>
      <w:marBottom w:val="0"/>
      <w:divBdr>
        <w:top w:val="none" w:sz="0" w:space="0" w:color="auto"/>
        <w:left w:val="none" w:sz="0" w:space="0" w:color="auto"/>
        <w:bottom w:val="none" w:sz="0" w:space="0" w:color="auto"/>
        <w:right w:val="none" w:sz="0" w:space="0" w:color="auto"/>
      </w:divBdr>
    </w:div>
    <w:div w:id="1423843548">
      <w:bodyDiv w:val="1"/>
      <w:marLeft w:val="0"/>
      <w:marRight w:val="0"/>
      <w:marTop w:val="0"/>
      <w:marBottom w:val="0"/>
      <w:divBdr>
        <w:top w:val="none" w:sz="0" w:space="0" w:color="auto"/>
        <w:left w:val="none" w:sz="0" w:space="0" w:color="auto"/>
        <w:bottom w:val="none" w:sz="0" w:space="0" w:color="auto"/>
        <w:right w:val="none" w:sz="0" w:space="0" w:color="auto"/>
      </w:divBdr>
    </w:div>
    <w:div w:id="1744062838">
      <w:bodyDiv w:val="1"/>
      <w:marLeft w:val="0"/>
      <w:marRight w:val="0"/>
      <w:marTop w:val="0"/>
      <w:marBottom w:val="0"/>
      <w:divBdr>
        <w:top w:val="none" w:sz="0" w:space="0" w:color="auto"/>
        <w:left w:val="none" w:sz="0" w:space="0" w:color="auto"/>
        <w:bottom w:val="none" w:sz="0" w:space="0" w:color="auto"/>
        <w:right w:val="none" w:sz="0" w:space="0" w:color="auto"/>
      </w:divBdr>
    </w:div>
    <w:div w:id="19268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istributed_computing" TargetMode="External"/><Relationship Id="rId7" Type="http://schemas.openxmlformats.org/officeDocument/2006/relationships/hyperlink" Target="https://www.consilium.europa.eu/media/41595/st14517-en19.pdf" TargetMode="External"/><Relationship Id="rId2" Type="http://schemas.openxmlformats.org/officeDocument/2006/relationships/hyperlink" Target="http://www.5GObservatory.eu" TargetMode="External"/><Relationship Id="rId1" Type="http://schemas.openxmlformats.org/officeDocument/2006/relationships/hyperlink" Target="http://www.5GObservatory.eu" TargetMode="External"/><Relationship Id="rId6" Type="http://schemas.openxmlformats.org/officeDocument/2006/relationships/hyperlink" Target="https://ec.europa.eu/digital-single-market/en/news/eu-wide-coordinated-risk-assessment-5g-networks-security" TargetMode="External"/><Relationship Id="rId5" Type="http://schemas.openxmlformats.org/officeDocument/2006/relationships/hyperlink" Target="https://en.wikipedia.org/wiki/Data_storage" TargetMode="External"/><Relationship Id="rId4" Type="http://schemas.openxmlformats.org/officeDocument/2006/relationships/hyperlink" Target="https://en.wikipedia.org/wiki/Comp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9DDECD-05B1-4715-AFF9-25083E26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5502</Words>
  <Characters>32462</Characters>
  <Application>Microsoft Office Word</Application>
  <DocSecurity>0</DocSecurity>
  <Lines>601</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2020-01-27T21:47:00Z</dcterms:created>
  <dcterms:modified xsi:type="dcterms:W3CDTF">2020-02-05T09:01:00Z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