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F5" w:rsidRDefault="006C02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A371666-1E65-4DBB-8165-7E7EA803B709" style="width:450.25pt;height:321.3pt">
            <v:imagedata r:id="rId8" o:title=""/>
          </v:shape>
        </w:pict>
      </w:r>
    </w:p>
    <w:bookmarkEnd w:id="0"/>
    <w:p w:rsidR="00224CF5" w:rsidRDefault="00224CF5">
      <w:pPr>
        <w:rPr>
          <w:noProof/>
        </w:rPr>
        <w:sectPr w:rsidR="00224CF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224CF5" w:rsidRDefault="006C0217">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Enhancing the accession process – A credible EU perspective for the Western Balkans  </w:t>
      </w:r>
    </w:p>
    <w:p w:rsidR="00224CF5" w:rsidRDefault="00224CF5">
      <w:pPr>
        <w:spacing w:after="120" w:line="240" w:lineRule="auto"/>
        <w:rPr>
          <w:rFonts w:ascii="Times New Roman" w:hAnsi="Times New Roman" w:cs="Times New Roman"/>
          <w:b/>
          <w:noProof/>
          <w:sz w:val="24"/>
          <w:szCs w:val="24"/>
          <w:u w:val="single"/>
        </w:rPr>
      </w:pPr>
    </w:p>
    <w:p w:rsidR="00224CF5" w:rsidRDefault="006C0217">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cs="Times New Roman"/>
          <w:b/>
          <w:noProof/>
          <w:sz w:val="24"/>
          <w:szCs w:val="24"/>
        </w:rPr>
        <w:t>Introduction</w:t>
      </w:r>
    </w:p>
    <w:p w:rsidR="00224CF5" w:rsidRDefault="00224CF5">
      <w:pPr>
        <w:spacing w:after="120" w:line="240" w:lineRule="auto"/>
        <w:jc w:val="both"/>
        <w:rPr>
          <w:rFonts w:ascii="Times New Roman" w:hAnsi="Times New Roman" w:cs="Times New Roman"/>
          <w:noProof/>
          <w:sz w:val="24"/>
          <w:szCs w:val="24"/>
        </w:rPr>
      </w:pPr>
    </w:p>
    <w:p w:rsidR="00224CF5" w:rsidRDefault="006C0217">
      <w:pPr>
        <w:spacing w:after="120" w:line="240" w:lineRule="auto"/>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The European Union and its Member States have consistently, since the Feira and Thessaloniki Summits in 2000 and 2003, expressed their </w:t>
      </w:r>
      <w:r>
        <w:rPr>
          <w:rFonts w:ascii="Times New Roman" w:eastAsia="Calibri" w:hAnsi="Times New Roman" w:cs="Times New Roman"/>
          <w:b/>
          <w:bCs/>
          <w:noProof/>
          <w:sz w:val="24"/>
          <w:szCs w:val="24"/>
        </w:rPr>
        <w:t>unequivocal support for the European perspective of the Western Balkans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Council conclusions adopted at the General A</w:t>
      </w:r>
      <w:r>
        <w:rPr>
          <w:rFonts w:ascii="Times New Roman" w:hAnsi="Times New Roman" w:cs="Times New Roman"/>
          <w:noProof/>
          <w:sz w:val="24"/>
          <w:szCs w:val="24"/>
        </w:rPr>
        <w:t xml:space="preserve">ffairs Council in June 2019 has also reaffirmed </w:t>
      </w:r>
      <w:r>
        <w:rPr>
          <w:rFonts w:ascii="Times New Roman" w:eastAsia="Calibri" w:hAnsi="Times New Roman" w:cs="Times New Roman"/>
          <w:i/>
          <w:iCs/>
          <w:noProof/>
          <w:sz w:val="24"/>
          <w:szCs w:val="24"/>
        </w:rPr>
        <w:t xml:space="preserve">“its </w:t>
      </w:r>
      <w:r>
        <w:rPr>
          <w:rFonts w:ascii="Times New Roman" w:eastAsia="Calibri" w:hAnsi="Times New Roman" w:cs="Times New Roman"/>
          <w:b/>
          <w:bCs/>
          <w:i/>
          <w:iCs/>
          <w:noProof/>
          <w:sz w:val="24"/>
          <w:szCs w:val="24"/>
        </w:rPr>
        <w:t>commitment to enlargement</w:t>
      </w:r>
      <w:r>
        <w:rPr>
          <w:rFonts w:ascii="Times New Roman" w:eastAsia="Calibri" w:hAnsi="Times New Roman" w:cs="Times New Roman"/>
          <w:i/>
          <w:iCs/>
          <w:noProof/>
          <w:sz w:val="24"/>
          <w:szCs w:val="24"/>
        </w:rPr>
        <w:t xml:space="preserve">, which remains a key policy of the European Union, in line with the renewed consensus on enlargement approved by the European Council on 14 and 15 December 2006 and subsequent </w:t>
      </w:r>
      <w:r>
        <w:rPr>
          <w:rFonts w:ascii="Times New Roman" w:eastAsia="Calibri" w:hAnsi="Times New Roman" w:cs="Times New Roman"/>
          <w:i/>
          <w:iCs/>
          <w:noProof/>
          <w:sz w:val="24"/>
          <w:szCs w:val="24"/>
        </w:rPr>
        <w:t>Council conclusions.”</w:t>
      </w:r>
      <w:r>
        <w:rPr>
          <w:rFonts w:ascii="Times New Roman" w:eastAsia="Calibri" w:hAnsi="Times New Roman" w:cs="Times New Roman"/>
          <w:iCs/>
          <w:noProof/>
          <w:sz w:val="24"/>
          <w:szCs w:val="24"/>
        </w:rPr>
        <w:t xml:space="preserve"> At the Council in November 2019, there was a common understanding of the usefulness of examining the effectiveness of the accession negotiation process.</w:t>
      </w:r>
    </w:p>
    <w:p w:rsidR="00224CF5" w:rsidRDefault="006C021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This </w:t>
      </w:r>
      <w:r>
        <w:rPr>
          <w:rFonts w:ascii="Times New Roman" w:eastAsia="Calibri" w:hAnsi="Times New Roman" w:cs="Times New Roman"/>
          <w:b/>
          <w:noProof/>
          <w:sz w:val="24"/>
          <w:szCs w:val="24"/>
        </w:rPr>
        <w:t>firm, merit-based prospect of full EU membership</w:t>
      </w:r>
      <w:r>
        <w:rPr>
          <w:rFonts w:ascii="Times New Roman" w:eastAsia="Calibri" w:hAnsi="Times New Roman" w:cs="Times New Roman"/>
          <w:noProof/>
          <w:sz w:val="24"/>
          <w:szCs w:val="24"/>
        </w:rPr>
        <w:t xml:space="preserve"> for the Western Balkans is </w:t>
      </w:r>
      <w:r>
        <w:rPr>
          <w:rFonts w:ascii="Times New Roman" w:eastAsia="Calibri" w:hAnsi="Times New Roman" w:cs="Times New Roman"/>
          <w:noProof/>
          <w:sz w:val="24"/>
          <w:szCs w:val="24"/>
        </w:rPr>
        <w:t xml:space="preserve">in the Union's very own political, security and economic interest. In times of increasing global challenges and divisions, it remains more than ever </w:t>
      </w:r>
      <w:r>
        <w:rPr>
          <w:rFonts w:ascii="Times New Roman" w:eastAsia="Calibri" w:hAnsi="Times New Roman" w:cs="Times New Roman"/>
          <w:b/>
          <w:noProof/>
          <w:sz w:val="24"/>
          <w:szCs w:val="24"/>
        </w:rPr>
        <w:t>a geostrategic investment</w:t>
      </w:r>
      <w:r>
        <w:rPr>
          <w:rFonts w:ascii="Times New Roman" w:eastAsia="Calibri" w:hAnsi="Times New Roman" w:cs="Times New Roman"/>
          <w:noProof/>
          <w:sz w:val="24"/>
          <w:szCs w:val="24"/>
        </w:rPr>
        <w:t xml:space="preserve"> in a stable, strong and united Europe. A credible accession perspective is the ke</w:t>
      </w:r>
      <w:r>
        <w:rPr>
          <w:rFonts w:ascii="Times New Roman" w:eastAsia="Calibri" w:hAnsi="Times New Roman" w:cs="Times New Roman"/>
          <w:noProof/>
          <w:sz w:val="24"/>
          <w:szCs w:val="24"/>
        </w:rPr>
        <w:t>y incentive and driver of transformation in the region and thus enhances our collective security and prosperity. It is a key tool to promote democracy, rule of law and the respect for fundamental rights, which are also the main engines of economic integrat</w:t>
      </w:r>
      <w:r>
        <w:rPr>
          <w:rFonts w:ascii="Times New Roman" w:eastAsia="Calibri" w:hAnsi="Times New Roman" w:cs="Times New Roman"/>
          <w:noProof/>
          <w:sz w:val="24"/>
          <w:szCs w:val="24"/>
        </w:rPr>
        <w:t xml:space="preserve">ion and the essential anchor for fostering regional reconciliation and stability. Maintaining and enhancing this policy is thus indispensable for the </w:t>
      </w:r>
      <w:r>
        <w:rPr>
          <w:rFonts w:ascii="Times New Roman" w:eastAsia="Calibri" w:hAnsi="Times New Roman" w:cs="Times New Roman"/>
          <w:b/>
          <w:noProof/>
          <w:sz w:val="24"/>
          <w:szCs w:val="24"/>
        </w:rPr>
        <w:t>EU’s</w:t>
      </w:r>
      <w:r>
        <w:rPr>
          <w:rFonts w:ascii="Times New Roman" w:hAnsi="Times New Roman"/>
          <w:b/>
          <w:noProof/>
          <w:sz w:val="24"/>
        </w:rPr>
        <w:t xml:space="preserve"> credibility</w:t>
      </w:r>
      <w:r>
        <w:rPr>
          <w:rFonts w:ascii="Times New Roman" w:eastAsia="Calibri" w:hAnsi="Times New Roman" w:cs="Times New Roman"/>
          <w:b/>
          <w:noProof/>
          <w:sz w:val="24"/>
          <w:szCs w:val="24"/>
        </w:rPr>
        <w:t>, for the EU’ success and for the EU’s influence in the region and beyond</w:t>
      </w:r>
      <w:r>
        <w:rPr>
          <w:rFonts w:ascii="Times New Roman" w:eastAsia="Calibri" w:hAnsi="Times New Roman" w:cs="Times New Roman"/>
          <w:noProof/>
          <w:sz w:val="24"/>
          <w:szCs w:val="24"/>
        </w:rPr>
        <w:t xml:space="preserve"> - especially at </w:t>
      </w:r>
      <w:r>
        <w:rPr>
          <w:rFonts w:ascii="Times New Roman" w:eastAsia="Calibri" w:hAnsi="Times New Roman" w:cs="Times New Roman"/>
          <w:noProof/>
          <w:sz w:val="24"/>
          <w:szCs w:val="24"/>
        </w:rPr>
        <w:t xml:space="preserve">times of heightened geopolitical competition. </w:t>
      </w:r>
    </w:p>
    <w:p w:rsidR="00224CF5" w:rsidRDefault="006C021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However, it is also clear that the </w:t>
      </w:r>
      <w:r>
        <w:rPr>
          <w:rFonts w:ascii="Times New Roman" w:eastAsia="Calibri" w:hAnsi="Times New Roman" w:cs="Times New Roman"/>
          <w:b/>
          <w:noProof/>
          <w:sz w:val="24"/>
          <w:szCs w:val="24"/>
        </w:rPr>
        <w:t>effectiveness of the</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overall accession process and of its implementation</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must be improved further</w:t>
      </w:r>
      <w:r>
        <w:rPr>
          <w:rFonts w:ascii="Times New Roman" w:eastAsia="Calibri" w:hAnsi="Times New Roman" w:cs="Times New Roman"/>
          <w:noProof/>
          <w:sz w:val="24"/>
          <w:szCs w:val="24"/>
        </w:rPr>
        <w:t xml:space="preserve">. While the strategic direction of the policy remains more valid than ever, it must get much better traction on the ground. </w:t>
      </w:r>
    </w:p>
    <w:p w:rsidR="00224CF5" w:rsidRDefault="006C021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Despite successive reforms, such as the new approach on the rule of law, the focus on the fundamentals and the improvements under t</w:t>
      </w:r>
      <w:r>
        <w:rPr>
          <w:rFonts w:ascii="Times New Roman" w:eastAsia="Calibri" w:hAnsi="Times New Roman" w:cs="Times New Roman"/>
          <w:noProof/>
          <w:sz w:val="24"/>
          <w:szCs w:val="24"/>
        </w:rPr>
        <w:t>he Commission’s 2018 Western Balkans Strategy</w:t>
      </w:r>
      <w:r>
        <w:rPr>
          <w:rStyle w:val="FootnoteReference"/>
          <w:noProof/>
        </w:rPr>
        <w:footnoteReference w:id="2"/>
      </w:r>
      <w:r>
        <w:rPr>
          <w:rFonts w:ascii="Times New Roman" w:eastAsia="Calibri" w:hAnsi="Times New Roman" w:cs="Times New Roman"/>
          <w:noProof/>
          <w:sz w:val="24"/>
          <w:szCs w:val="24"/>
        </w:rPr>
        <w:t xml:space="preserve">, the process needs to be better equipped to deal with </w:t>
      </w:r>
      <w:r>
        <w:rPr>
          <w:rFonts w:ascii="Times New Roman" w:eastAsia="Calibri" w:hAnsi="Times New Roman" w:cs="Times New Roman"/>
          <w:b/>
          <w:noProof/>
          <w:sz w:val="24"/>
          <w:szCs w:val="24"/>
        </w:rPr>
        <w:t>structural weaknesses</w:t>
      </w:r>
      <w:r>
        <w:rPr>
          <w:rFonts w:ascii="Times New Roman" w:eastAsia="Calibri" w:hAnsi="Times New Roman" w:cs="Times New Roman"/>
          <w:noProof/>
          <w:sz w:val="24"/>
          <w:szCs w:val="24"/>
        </w:rPr>
        <w:t xml:space="preserve"> in the countries, in particular in the area of the fundamentals. </w:t>
      </w:r>
    </w:p>
    <w:p w:rsidR="00224CF5" w:rsidRDefault="006C021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of major importance to</w:t>
      </w:r>
      <w:r>
        <w:rPr>
          <w:rFonts w:ascii="Times New Roman" w:eastAsia="Calibri" w:hAnsi="Times New Roman" w:cs="Times New Roman"/>
          <w:b/>
          <w:noProof/>
          <w:sz w:val="24"/>
          <w:szCs w:val="24"/>
        </w:rPr>
        <w:t xml:space="preserve"> build more trust among all stakeholder</w:t>
      </w:r>
      <w:r>
        <w:rPr>
          <w:rFonts w:ascii="Times New Roman" w:eastAsia="Calibri" w:hAnsi="Times New Roman" w:cs="Times New Roman"/>
          <w:b/>
          <w:noProof/>
          <w:sz w:val="24"/>
          <w:szCs w:val="24"/>
        </w:rPr>
        <w:t>s</w:t>
      </w:r>
      <w:r>
        <w:rPr>
          <w:rFonts w:ascii="Times New Roman" w:eastAsia="Calibri" w:hAnsi="Times New Roman" w:cs="Times New Roman"/>
          <w:noProof/>
          <w:sz w:val="24"/>
          <w:szCs w:val="24"/>
        </w:rPr>
        <w:t xml:space="preserve"> and to enhance </w:t>
      </w:r>
      <w:r>
        <w:rPr>
          <w:rFonts w:ascii="Times New Roman" w:eastAsia="Calibri" w:hAnsi="Times New Roman" w:cs="Times New Roman"/>
          <w:b/>
          <w:noProof/>
          <w:sz w:val="24"/>
          <w:szCs w:val="24"/>
        </w:rPr>
        <w:t xml:space="preserve">the accession process and make it more effective. </w:t>
      </w:r>
      <w:r>
        <w:rPr>
          <w:rFonts w:ascii="Times New Roman" w:eastAsia="Calibri" w:hAnsi="Times New Roman" w:cs="Times New Roman"/>
          <w:noProof/>
          <w:sz w:val="24"/>
          <w:szCs w:val="24"/>
        </w:rPr>
        <w:t>It has to become</w:t>
      </w:r>
      <w:r>
        <w:rPr>
          <w:rFonts w:ascii="Times New Roman" w:eastAsia="Calibri" w:hAnsi="Times New Roman" w:cs="Times New Roman"/>
          <w:b/>
          <w:noProof/>
          <w:sz w:val="24"/>
          <w:szCs w:val="24"/>
        </w:rPr>
        <w:t xml:space="preserve"> more predictable, more credible - </w:t>
      </w:r>
      <w:r>
        <w:rPr>
          <w:rFonts w:ascii="Times New Roman" w:eastAsia="Calibri" w:hAnsi="Times New Roman" w:cs="Times New Roman"/>
          <w:noProof/>
          <w:sz w:val="24"/>
          <w:szCs w:val="24"/>
        </w:rPr>
        <w:t xml:space="preserve">based on objective criteria and rigorous positive and negative conditionality, and reversibility - </w:t>
      </w:r>
      <w:r>
        <w:rPr>
          <w:rFonts w:ascii="Times New Roman" w:eastAsia="Calibri" w:hAnsi="Times New Roman" w:cs="Times New Roman"/>
          <w:b/>
          <w:noProof/>
          <w:sz w:val="24"/>
          <w:szCs w:val="24"/>
        </w:rPr>
        <w:t>more dynamic and subject to stronger po</w:t>
      </w:r>
      <w:r>
        <w:rPr>
          <w:rFonts w:ascii="Times New Roman" w:eastAsia="Calibri" w:hAnsi="Times New Roman" w:cs="Times New Roman"/>
          <w:b/>
          <w:noProof/>
          <w:sz w:val="24"/>
          <w:szCs w:val="24"/>
        </w:rPr>
        <w:t>litical steering.</w:t>
      </w:r>
    </w:p>
    <w:p w:rsidR="00224CF5" w:rsidRDefault="006C0217">
      <w:pPr>
        <w:spacing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This Communication sets out the</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Commission’s concrete </w:t>
      </w:r>
      <w:r>
        <w:rPr>
          <w:rFonts w:ascii="Times New Roman" w:hAnsi="Times New Roman"/>
          <w:b/>
          <w:noProof/>
          <w:sz w:val="24"/>
        </w:rPr>
        <w:t>proposals</w:t>
      </w:r>
      <w:r>
        <w:rPr>
          <w:rFonts w:ascii="Times New Roman" w:hAnsi="Times New Roman"/>
          <w:noProof/>
          <w:sz w:val="24"/>
        </w:rPr>
        <w:t xml:space="preserve"> for strengthening the whole accession process</w:t>
      </w:r>
      <w:r>
        <w:rPr>
          <w:rFonts w:ascii="Times New Roman" w:eastAsia="Calibri" w:hAnsi="Times New Roman" w:cs="Times New Roman"/>
          <w:noProof/>
          <w:sz w:val="24"/>
          <w:szCs w:val="24"/>
        </w:rPr>
        <w:t xml:space="preserve">. Their overall aim is to enhance credibility and trust on both sides and yield better results on the ground. The proposed changes can be accommodated within existing negotiating frameworks, ensuring a level playing field in the region. </w:t>
      </w:r>
      <w:r>
        <w:rPr>
          <w:rFonts w:ascii="Times New Roman" w:hAnsi="Times New Roman" w:cs="Times New Roman"/>
          <w:noProof/>
          <w:sz w:val="24"/>
          <w:szCs w:val="24"/>
        </w:rPr>
        <w:t>This means that the</w:t>
      </w:r>
      <w:r>
        <w:rPr>
          <w:rFonts w:ascii="Times New Roman" w:hAnsi="Times New Roman" w:cs="Times New Roman"/>
          <w:noProof/>
          <w:sz w:val="24"/>
          <w:szCs w:val="24"/>
        </w:rPr>
        <w:t xml:space="preserve"> negotiating frameworks for Serbia and Montenegro will not be amended but the proposed changes could be accommodated within the existing frameworks with the agreement of these two countries</w:t>
      </w:r>
      <w:r>
        <w:rPr>
          <w:rFonts w:ascii="Times New Roman" w:eastAsia="Calibri" w:hAnsi="Times New Roman" w:cs="Times New Roman"/>
          <w:noProof/>
          <w:sz w:val="24"/>
          <w:szCs w:val="24"/>
        </w:rPr>
        <w:t>.</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 core objective of the European Union’s engagement with the West</w:t>
      </w:r>
      <w:r>
        <w:rPr>
          <w:rFonts w:ascii="Times New Roman" w:hAnsi="Times New Roman" w:cs="Times New Roman"/>
          <w:noProof/>
          <w:sz w:val="24"/>
          <w:szCs w:val="24"/>
        </w:rPr>
        <w:t xml:space="preserve">ern Balkans is to prepare them to meet all the requirements of membership. This includes supporting </w:t>
      </w:r>
      <w:r>
        <w:rPr>
          <w:rFonts w:ascii="Times New Roman" w:hAnsi="Times New Roman"/>
          <w:b/>
          <w:noProof/>
          <w:sz w:val="24"/>
        </w:rPr>
        <w:t>fundamental democratic, rule of law and economic reforms</w:t>
      </w:r>
      <w:r>
        <w:rPr>
          <w:rFonts w:ascii="Times New Roman" w:hAnsi="Times New Roman" w:cs="Times New Roman"/>
          <w:noProof/>
          <w:sz w:val="24"/>
          <w:szCs w:val="24"/>
        </w:rPr>
        <w:t xml:space="preserve"> and alignment with core European values. This will in turn foster </w:t>
      </w:r>
      <w:r>
        <w:rPr>
          <w:rFonts w:ascii="Times New Roman" w:hAnsi="Times New Roman"/>
          <w:noProof/>
          <w:sz w:val="24"/>
        </w:rPr>
        <w:t>solid and accelerated</w:t>
      </w:r>
      <w:r>
        <w:rPr>
          <w:rFonts w:ascii="Times New Roman" w:hAnsi="Times New Roman" w:cs="Times New Roman"/>
          <w:b/>
          <w:noProof/>
          <w:sz w:val="24"/>
          <w:szCs w:val="24"/>
        </w:rPr>
        <w:t xml:space="preserve"> economic gr</w:t>
      </w:r>
      <w:r>
        <w:rPr>
          <w:rFonts w:ascii="Times New Roman" w:hAnsi="Times New Roman" w:cs="Times New Roman"/>
          <w:b/>
          <w:noProof/>
          <w:sz w:val="24"/>
          <w:szCs w:val="24"/>
        </w:rPr>
        <w:t>owth and social convergence</w:t>
      </w:r>
      <w:r>
        <w:rPr>
          <w:rFonts w:ascii="Times New Roman" w:hAnsi="Times New Roman" w:cs="Times New Roman"/>
          <w:noProof/>
          <w:sz w:val="24"/>
          <w:szCs w:val="24"/>
        </w:rPr>
        <w:t xml:space="preserve">. </w:t>
      </w:r>
    </w:p>
    <w:p w:rsidR="00224CF5" w:rsidRDefault="006C0217">
      <w:pPr>
        <w:pStyle w:val="Briefingtext"/>
        <w:spacing w:after="120"/>
        <w:rPr>
          <w:rFonts w:ascii="Times New Roman" w:eastAsia="Calibri" w:hAnsi="Times New Roman" w:cs="Times New Roman"/>
          <w:noProof/>
          <w:sz w:val="24"/>
        </w:rPr>
      </w:pPr>
      <w:r>
        <w:rPr>
          <w:rFonts w:ascii="Times New Roman" w:eastAsia="Calibri" w:hAnsi="Times New Roman" w:cs="Times New Roman"/>
          <w:noProof/>
          <w:sz w:val="24"/>
        </w:rPr>
        <w:t xml:space="preserve">Furthermore, for the accession process to be more effective, </w:t>
      </w:r>
      <w:r>
        <w:rPr>
          <w:rFonts w:ascii="Times New Roman" w:eastAsia="Calibri" w:hAnsi="Times New Roman"/>
          <w:b/>
          <w:noProof/>
          <w:sz w:val="24"/>
        </w:rPr>
        <w:t>strategic communication</w:t>
      </w:r>
      <w:r>
        <w:rPr>
          <w:rFonts w:ascii="Times New Roman" w:eastAsia="Calibri" w:hAnsi="Times New Roman" w:cs="Times New Roman"/>
          <w:noProof/>
          <w:sz w:val="24"/>
        </w:rPr>
        <w:t xml:space="preserve"> will be instrumental. It is critical to raise awareness in the region of the opportunities closer integration and reforms entail, and to tack</w:t>
      </w:r>
      <w:r>
        <w:rPr>
          <w:rFonts w:ascii="Times New Roman" w:eastAsia="Calibri" w:hAnsi="Times New Roman" w:cs="Times New Roman"/>
          <w:noProof/>
          <w:sz w:val="24"/>
        </w:rPr>
        <w:t xml:space="preserve">le malign third country influence. This also requires more credible efforts by the countries themselves. The public political commitment of their authorities to the strategic goal of EU accession will be assessed more clearly in the annual reports.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w:t>
      </w:r>
      <w:r>
        <w:rPr>
          <w:rFonts w:ascii="Times New Roman" w:hAnsi="Times New Roman" w:cs="Times New Roman"/>
          <w:noProof/>
          <w:sz w:val="24"/>
          <w:szCs w:val="24"/>
        </w:rPr>
        <w:t xml:space="preserve">olicy approach will thus be the cornerstone of </w:t>
      </w:r>
      <w:r>
        <w:rPr>
          <w:rFonts w:ascii="Times New Roman" w:hAnsi="Times New Roman"/>
          <w:b/>
          <w:noProof/>
          <w:sz w:val="24"/>
        </w:rPr>
        <w:t>a forward-looking agenda</w:t>
      </w:r>
      <w:r>
        <w:rPr>
          <w:rFonts w:ascii="Times New Roman" w:hAnsi="Times New Roman" w:cs="Times New Roman"/>
          <w:noProof/>
          <w:sz w:val="24"/>
          <w:szCs w:val="24"/>
        </w:rPr>
        <w:t xml:space="preserve">. This agenda will support the transformation of the Western Balkans into </w:t>
      </w:r>
      <w:r>
        <w:rPr>
          <w:rFonts w:ascii="Times New Roman" w:hAnsi="Times New Roman"/>
          <w:noProof/>
          <w:sz w:val="24"/>
        </w:rPr>
        <w:t>functioning market economies</w:t>
      </w:r>
      <w:r>
        <w:rPr>
          <w:rFonts w:ascii="Times New Roman" w:hAnsi="Times New Roman" w:cs="Times New Roman"/>
          <w:noProof/>
          <w:sz w:val="24"/>
          <w:szCs w:val="24"/>
        </w:rPr>
        <w:t xml:space="preserve"> able to integrate fully into the EU’s single market, to create jobs and entreprene</w:t>
      </w:r>
      <w:r>
        <w:rPr>
          <w:rFonts w:ascii="Times New Roman" w:hAnsi="Times New Roman" w:cs="Times New Roman"/>
          <w:noProof/>
          <w:sz w:val="24"/>
          <w:szCs w:val="24"/>
        </w:rPr>
        <w:t>urial opportunities, to improve the business and investment climate, to promote the rule of law and to stop the brain drain from the region. These reforms are essential to boost the economies of the Balkans and to anchor them to the EU markets by accelerat</w:t>
      </w:r>
      <w:r>
        <w:rPr>
          <w:rFonts w:ascii="Times New Roman" w:hAnsi="Times New Roman" w:cs="Times New Roman"/>
          <w:noProof/>
          <w:sz w:val="24"/>
          <w:szCs w:val="24"/>
        </w:rPr>
        <w:t>ing the necessary convergence with the EU. The Commission will particularly consider how to bring forward investment, socio-economic integration, and the rule of law, enhance access to the EU single market, strengthen connectivity as well as embrace the op</w:t>
      </w:r>
      <w:r>
        <w:rPr>
          <w:rFonts w:ascii="Times New Roman" w:hAnsi="Times New Roman" w:cs="Times New Roman"/>
          <w:noProof/>
          <w:sz w:val="24"/>
          <w:szCs w:val="24"/>
        </w:rPr>
        <w:t xml:space="preserve">portunities of the green economy. The Commission will present a Communication in this regard before the May 2020 Zagreb Summit. </w:t>
      </w:r>
    </w:p>
    <w:p w:rsidR="00224CF5" w:rsidRDefault="00224CF5">
      <w:pPr>
        <w:spacing w:after="120" w:line="240" w:lineRule="auto"/>
        <w:jc w:val="both"/>
        <w:rPr>
          <w:rFonts w:ascii="Times New Roman" w:hAnsi="Times New Roman" w:cs="Times New Roman"/>
          <w:noProof/>
          <w:sz w:val="24"/>
          <w:szCs w:val="24"/>
        </w:rPr>
      </w:pPr>
    </w:p>
    <w:p w:rsidR="00224CF5" w:rsidRDefault="006C0217">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cs="Times New Roman"/>
          <w:b/>
          <w:noProof/>
          <w:sz w:val="24"/>
          <w:szCs w:val="24"/>
        </w:rPr>
        <w:t>Reinvigorating the accession process</w:t>
      </w:r>
    </w:p>
    <w:p w:rsidR="00224CF5" w:rsidRDefault="00224CF5">
      <w:pPr>
        <w:pStyle w:val="ListParagraph"/>
        <w:spacing w:after="120" w:line="240" w:lineRule="auto"/>
        <w:ind w:left="1080"/>
        <w:contextualSpacing w:val="0"/>
        <w:rPr>
          <w:rFonts w:ascii="Times New Roman" w:hAnsi="Times New Roman" w:cs="Times New Roman"/>
          <w:b/>
          <w:noProof/>
          <w:sz w:val="24"/>
          <w:szCs w:val="24"/>
          <w:u w:val="single"/>
        </w:rPr>
      </w:pPr>
    </w:p>
    <w:p w:rsidR="00224CF5" w:rsidRDefault="006C0217">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More credibility</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accession process to regain credibility on both sides and deliver to its full potential, it needs to rest on solid </w:t>
      </w:r>
      <w:r>
        <w:rPr>
          <w:rFonts w:ascii="Times New Roman" w:hAnsi="Times New Roman"/>
          <w:b/>
          <w:noProof/>
          <w:sz w:val="24"/>
        </w:rPr>
        <w:t>trust</w:t>
      </w:r>
      <w:r>
        <w:rPr>
          <w:rFonts w:ascii="Times New Roman" w:hAnsi="Times New Roman" w:cs="Times New Roman"/>
          <w:b/>
          <w:noProof/>
          <w:sz w:val="24"/>
          <w:szCs w:val="24"/>
        </w:rPr>
        <w:t>,</w:t>
      </w:r>
      <w:r>
        <w:rPr>
          <w:rFonts w:ascii="Times New Roman" w:hAnsi="Times New Roman"/>
          <w:b/>
          <w:noProof/>
          <w:sz w:val="24"/>
        </w:rPr>
        <w:t xml:space="preserve"> mutual confidence</w:t>
      </w:r>
      <w:r>
        <w:rPr>
          <w:rFonts w:ascii="Times New Roman" w:hAnsi="Times New Roman" w:cs="Times New Roman"/>
          <w:b/>
          <w:noProof/>
          <w:sz w:val="24"/>
          <w:szCs w:val="24"/>
        </w:rPr>
        <w:t xml:space="preserve"> and clear commitments on both sides</w:t>
      </w:r>
      <w:r>
        <w:rPr>
          <w:rFonts w:ascii="Times New Roman" w:hAnsi="Times New Roman" w:cs="Times New Roman"/>
          <w:noProof/>
          <w:sz w:val="24"/>
          <w:szCs w:val="24"/>
        </w:rPr>
        <w:t xml:space="preserve">.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w:t>
      </w:r>
      <w:r>
        <w:rPr>
          <w:rFonts w:ascii="Times New Roman" w:hAnsi="Times New Roman" w:cs="Times New Roman"/>
          <w:b/>
          <w:noProof/>
          <w:sz w:val="24"/>
          <w:szCs w:val="24"/>
        </w:rPr>
        <w:t>means the Western Balkans leaders must deliver more credibly on the</w:t>
      </w:r>
      <w:r>
        <w:rPr>
          <w:rFonts w:ascii="Times New Roman" w:hAnsi="Times New Roman" w:cs="Times New Roman"/>
          <w:b/>
          <w:noProof/>
          <w:sz w:val="24"/>
          <w:szCs w:val="24"/>
        </w:rPr>
        <w:t xml:space="preserve">ir commitment </w:t>
      </w:r>
      <w:r>
        <w:rPr>
          <w:rFonts w:ascii="Times New Roman" w:hAnsi="Times New Roman"/>
          <w:noProof/>
          <w:sz w:val="24"/>
        </w:rPr>
        <w:t>to implement the fundamental reforms</w:t>
      </w:r>
      <w:r>
        <w:rPr>
          <w:rFonts w:ascii="Times New Roman" w:hAnsi="Times New Roman" w:cs="Times New Roman"/>
          <w:noProof/>
          <w:sz w:val="24"/>
          <w:szCs w:val="24"/>
        </w:rPr>
        <w:t xml:space="preserve"> required, whether on rule of law, fighting corruption, the economy or ensuring the proper functioning of democratic institutions and public administration, and foreign policy alignment. EU Member States an</w:t>
      </w:r>
      <w:r>
        <w:rPr>
          <w:rFonts w:ascii="Times New Roman" w:hAnsi="Times New Roman" w:cs="Times New Roman"/>
          <w:noProof/>
          <w:sz w:val="24"/>
          <w:szCs w:val="24"/>
        </w:rPr>
        <w:t xml:space="preserve">d citizens have legitimate concerns and need to be reassured of the unequivocal political will of the countries, proven by structural, tangible reforms. Western Balkans leaders </w:t>
      </w:r>
      <w:r>
        <w:rPr>
          <w:rFonts w:ascii="Times New Roman" w:hAnsi="Times New Roman" w:cs="Times New Roman"/>
          <w:noProof/>
          <w:sz w:val="24"/>
          <w:szCs w:val="24"/>
          <w:lang w:val="en-IE"/>
        </w:rPr>
        <w:t xml:space="preserve">must </w:t>
      </w:r>
      <w:r>
        <w:rPr>
          <w:rFonts w:ascii="Times New Roman" w:hAnsi="Times New Roman"/>
          <w:noProof/>
          <w:sz w:val="24"/>
          <w:lang w:val="en-IE"/>
        </w:rPr>
        <w:t xml:space="preserve">also </w:t>
      </w:r>
      <w:r>
        <w:rPr>
          <w:rFonts w:ascii="Times New Roman" w:hAnsi="Times New Roman" w:cs="Times New Roman"/>
          <w:noProof/>
          <w:sz w:val="24"/>
          <w:szCs w:val="24"/>
          <w:lang w:val="en-IE"/>
        </w:rPr>
        <w:t>show further efforts to strengthen regional cooperation and good neig</w:t>
      </w:r>
      <w:r>
        <w:rPr>
          <w:rFonts w:ascii="Times New Roman" w:hAnsi="Times New Roman" w:cs="Times New Roman"/>
          <w:noProof/>
          <w:sz w:val="24"/>
          <w:szCs w:val="24"/>
          <w:lang w:val="en-IE"/>
        </w:rPr>
        <w:t xml:space="preserve">hbourly relations </w:t>
      </w:r>
      <w:r>
        <w:rPr>
          <w:rFonts w:ascii="Times New Roman" w:hAnsi="Times New Roman" w:cs="Times New Roman"/>
          <w:noProof/>
          <w:sz w:val="24"/>
          <w:szCs w:val="24"/>
        </w:rPr>
        <w:t>to bring stability and prosperity to their citizens, while giving confidence to the EU that the region is addressing the legacy of its past.</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also means the </w:t>
      </w:r>
      <w:r>
        <w:rPr>
          <w:rFonts w:ascii="Times New Roman" w:hAnsi="Times New Roman" w:cs="Times New Roman"/>
          <w:b/>
          <w:noProof/>
          <w:sz w:val="24"/>
          <w:szCs w:val="24"/>
        </w:rPr>
        <w:t>European Union delivers on its unwavering commitment to a merit-based process</w:t>
      </w:r>
      <w:r>
        <w:rPr>
          <w:rFonts w:ascii="Times New Roman" w:hAnsi="Times New Roman" w:cs="Times New Roman"/>
          <w:b/>
          <w:noProof/>
          <w:sz w:val="24"/>
          <w:szCs w:val="24"/>
        </w:rPr>
        <w:t>.</w:t>
      </w:r>
      <w:r>
        <w:rPr>
          <w:rFonts w:ascii="Times New Roman" w:hAnsi="Times New Roman" w:cs="Times New Roman"/>
          <w:noProof/>
          <w:sz w:val="24"/>
          <w:szCs w:val="24"/>
        </w:rPr>
        <w:t xml:space="preserve"> When partner countries meet the objective criteria and the established objective conditions, the Member States shall agree to move forward to the next stage of the process. All parties must abstain from misusing outstanding issues in the EU accession pro</w:t>
      </w:r>
      <w:r>
        <w:rPr>
          <w:rFonts w:ascii="Times New Roman" w:hAnsi="Times New Roman" w:cs="Times New Roman"/>
          <w:noProof/>
          <w:sz w:val="24"/>
          <w:szCs w:val="24"/>
        </w:rPr>
        <w:t xml:space="preserve">cess. In the same vein, Member States and institutions must speak with one voice in the region, sending clear signals of support and encouragement, and speaking clearly and honestly on shortcomings when they occur.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Credibility should be reinforced throug</w:t>
      </w:r>
      <w:r>
        <w:rPr>
          <w:rFonts w:ascii="Times New Roman" w:hAnsi="Times New Roman" w:cs="Times New Roman"/>
          <w:noProof/>
          <w:sz w:val="24"/>
          <w:szCs w:val="24"/>
        </w:rPr>
        <w:t>h an</w:t>
      </w:r>
      <w:r>
        <w:rPr>
          <w:rFonts w:ascii="Times New Roman" w:hAnsi="Times New Roman" w:cs="Times New Roman"/>
          <w:b/>
          <w:noProof/>
          <w:sz w:val="24"/>
          <w:szCs w:val="24"/>
        </w:rPr>
        <w:t xml:space="preserve"> even stronger focus on the fundamental reforms</w:t>
      </w:r>
      <w:r>
        <w:rPr>
          <w:rFonts w:ascii="Times New Roman" w:hAnsi="Times New Roman" w:cs="Times New Roman"/>
          <w:noProof/>
          <w:sz w:val="24"/>
          <w:szCs w:val="24"/>
        </w:rPr>
        <w:t xml:space="preserve"> essential for success on the EU path. These fundamentals </w:t>
      </w:r>
      <w:r>
        <w:rPr>
          <w:rFonts w:ascii="Times New Roman" w:hAnsi="Times New Roman" w:cs="Times New Roman"/>
          <w:noProof/>
          <w:sz w:val="24"/>
          <w:szCs w:val="24"/>
          <w:lang w:val="en-IE"/>
        </w:rPr>
        <w:t xml:space="preserve">will become even more central in the accession negotiations. </w:t>
      </w:r>
      <w:r>
        <w:rPr>
          <w:rFonts w:ascii="Times New Roman" w:hAnsi="Times New Roman" w:cs="Times New Roman"/>
          <w:b/>
          <w:noProof/>
          <w:sz w:val="24"/>
          <w:szCs w:val="24"/>
        </w:rPr>
        <w:t xml:space="preserve">Negotiations </w:t>
      </w:r>
      <w:r>
        <w:rPr>
          <w:rFonts w:ascii="Times New Roman" w:hAnsi="Times New Roman"/>
          <w:b/>
          <w:noProof/>
          <w:sz w:val="24"/>
        </w:rPr>
        <w:t xml:space="preserve">on the fundamentals will be </w:t>
      </w:r>
      <w:r>
        <w:rPr>
          <w:rFonts w:ascii="Times New Roman" w:hAnsi="Times New Roman" w:cs="Times New Roman"/>
          <w:b/>
          <w:noProof/>
          <w:sz w:val="24"/>
          <w:szCs w:val="24"/>
        </w:rPr>
        <w:t xml:space="preserve">opened first </w:t>
      </w:r>
      <w:r>
        <w:rPr>
          <w:rFonts w:ascii="Times New Roman" w:hAnsi="Times New Roman" w:cs="Times New Roman"/>
          <w:b/>
          <w:noProof/>
          <w:sz w:val="24"/>
          <w:szCs w:val="24"/>
        </w:rPr>
        <w:lastRenderedPageBreak/>
        <w:t>and closed last</w:t>
      </w:r>
      <w:r>
        <w:rPr>
          <w:rFonts w:ascii="Times New Roman" w:hAnsi="Times New Roman" w:cs="Times New Roman"/>
          <w:noProof/>
          <w:sz w:val="24"/>
          <w:szCs w:val="24"/>
        </w:rPr>
        <w:t xml:space="preserve"> and progress on </w:t>
      </w:r>
      <w:r>
        <w:rPr>
          <w:rFonts w:ascii="Times New Roman" w:hAnsi="Times New Roman"/>
          <w:noProof/>
          <w:sz w:val="24"/>
        </w:rPr>
        <w:t xml:space="preserve">these </w:t>
      </w:r>
      <w:r>
        <w:rPr>
          <w:rFonts w:ascii="Times New Roman" w:hAnsi="Times New Roman" w:cs="Times New Roman"/>
          <w:noProof/>
          <w:sz w:val="24"/>
          <w:szCs w:val="24"/>
        </w:rPr>
        <w:t>will determine the overall pace</w:t>
      </w:r>
      <w:r>
        <w:rPr>
          <w:rFonts w:ascii="Times New Roman" w:hAnsi="Times New Roman"/>
          <w:noProof/>
          <w:sz w:val="24"/>
        </w:rPr>
        <w:t xml:space="preserve"> of </w:t>
      </w:r>
      <w:r>
        <w:rPr>
          <w:rFonts w:ascii="Times New Roman" w:hAnsi="Times New Roman" w:cs="Times New Roman"/>
          <w:noProof/>
          <w:sz w:val="24"/>
          <w:szCs w:val="24"/>
        </w:rPr>
        <w:t xml:space="preserve">negotiations. Negotiations on </w:t>
      </w:r>
      <w:r>
        <w:rPr>
          <w:rFonts w:ascii="Times New Roman" w:hAnsi="Times New Roman"/>
          <w:noProof/>
          <w:sz w:val="24"/>
        </w:rPr>
        <w:t xml:space="preserve">the </w:t>
      </w:r>
      <w:r>
        <w:rPr>
          <w:rFonts w:ascii="Times New Roman" w:hAnsi="Times New Roman" w:cs="Times New Roman"/>
          <w:noProof/>
          <w:sz w:val="24"/>
          <w:szCs w:val="24"/>
        </w:rPr>
        <w:t>fundamentals will be guided by:</w:t>
      </w:r>
    </w:p>
    <w:p w:rsidR="00224CF5" w:rsidRDefault="006C0217">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roadmap for the rule of law</w:t>
      </w:r>
      <w:r>
        <w:rPr>
          <w:rFonts w:ascii="Times New Roman" w:hAnsi="Times New Roman" w:cs="Times New Roman"/>
          <w:noProof/>
          <w:sz w:val="24"/>
          <w:szCs w:val="24"/>
        </w:rPr>
        <w:t xml:space="preserve"> chapters equivalent to the previous action plans will constitute the opening benchmark. Interim benchmarks will continu</w:t>
      </w:r>
      <w:r>
        <w:rPr>
          <w:rFonts w:ascii="Times New Roman" w:hAnsi="Times New Roman" w:cs="Times New Roman"/>
          <w:noProof/>
          <w:sz w:val="24"/>
          <w:szCs w:val="24"/>
        </w:rPr>
        <w:t xml:space="preserve">e to be set. </w:t>
      </w:r>
      <w:r>
        <w:rPr>
          <w:rFonts w:ascii="Times New Roman" w:hAnsi="Times New Roman" w:cs="Times New Roman"/>
          <w:noProof/>
          <w:sz w:val="24"/>
          <w:szCs w:val="24"/>
          <w:lang w:val="en-IE"/>
        </w:rPr>
        <w:t>No other chapter will be provisionally closed before these benchmarks are met.</w:t>
      </w:r>
    </w:p>
    <w:p w:rsidR="00224CF5" w:rsidRDefault="006C0217">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roadmap on the functioning of democratic institutions</w:t>
      </w:r>
      <w:r>
        <w:rPr>
          <w:rFonts w:ascii="Times New Roman" w:hAnsi="Times New Roman" w:cs="Times New Roman"/>
          <w:noProof/>
          <w:sz w:val="24"/>
          <w:szCs w:val="24"/>
        </w:rPr>
        <w:t xml:space="preserve"> and public administration reform.  </w:t>
      </w:r>
    </w:p>
    <w:p w:rsidR="00224CF5" w:rsidRDefault="006C0217">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stronger link with the economic reform programme</w:t>
      </w:r>
      <w:r>
        <w:rPr>
          <w:rFonts w:ascii="Times New Roman" w:hAnsi="Times New Roman" w:cs="Times New Roman"/>
          <w:noProof/>
          <w:sz w:val="24"/>
          <w:szCs w:val="24"/>
        </w:rPr>
        <w:t xml:space="preserve"> process to help the countries meet the economic criteria. </w:t>
      </w:r>
    </w:p>
    <w:p w:rsidR="00224CF5" w:rsidRDefault="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also further strengthen measures on the rule of law and institution-building. Results on these reforms will be a requirement for deeper sectoral integration and progress overal</w:t>
      </w:r>
      <w:r>
        <w:rPr>
          <w:rFonts w:ascii="Times New Roman" w:hAnsi="Times New Roman" w:cs="Times New Roman"/>
          <w:noProof/>
          <w:sz w:val="24"/>
          <w:szCs w:val="24"/>
          <w:lang w:val="en-IE"/>
        </w:rPr>
        <w:t>l.</w:t>
      </w:r>
      <w:r>
        <w:rPr>
          <w:rFonts w:ascii="Times New Roman" w:hAnsi="Times New Roman"/>
          <w:noProof/>
          <w:sz w:val="24"/>
        </w:rPr>
        <w:t xml:space="preserve"> </w:t>
      </w:r>
      <w:r>
        <w:rPr>
          <w:rFonts w:ascii="Times New Roman" w:hAnsi="Times New Roman" w:cs="Times New Roman"/>
          <w:noProof/>
          <w:sz w:val="24"/>
          <w:szCs w:val="24"/>
          <w:lang w:val="en-IE"/>
        </w:rPr>
        <w:t xml:space="preserve">In addition, </w:t>
      </w:r>
      <w:r>
        <w:rPr>
          <w:rFonts w:ascii="Times New Roman" w:hAnsi="Times New Roman" w:cs="Times New Roman"/>
          <w:noProof/>
          <w:sz w:val="24"/>
          <w:szCs w:val="24"/>
        </w:rPr>
        <w:t>anti-corruption work will be mainstreamed through a strong focus in relevant chapters.</w:t>
      </w:r>
      <w:r>
        <w:rPr>
          <w:rFonts w:ascii="Times New Roman" w:hAnsi="Times New Roman" w:cs="Times New Roman"/>
          <w:noProof/>
          <w:sz w:val="24"/>
          <w:szCs w:val="24"/>
          <w:lang w:val="en-IE"/>
        </w:rPr>
        <w:t xml:space="preserve"> Support to regional cooperation will continue unabated. All efforts need to be undertaken to resolve bilateral disputes, with a particular emphasis on th</w:t>
      </w:r>
      <w:r>
        <w:rPr>
          <w:rFonts w:ascii="Times New Roman" w:hAnsi="Times New Roman" w:cs="Times New Roman"/>
          <w:noProof/>
          <w:sz w:val="24"/>
          <w:szCs w:val="24"/>
          <w:lang w:val="en-IE"/>
        </w:rPr>
        <w:t xml:space="preserve">e EU-facilitated dialogue between Belgrade and Pristina, which should be concluded with a comprehensive, legally binding normalisation agreement. </w:t>
      </w:r>
    </w:p>
    <w:p w:rsidR="00224CF5" w:rsidRDefault="00224CF5">
      <w:pPr>
        <w:spacing w:after="120" w:line="240" w:lineRule="auto"/>
        <w:jc w:val="both"/>
        <w:rPr>
          <w:rFonts w:ascii="Times New Roman" w:hAnsi="Times New Roman" w:cs="Times New Roman"/>
          <w:noProof/>
          <w:sz w:val="24"/>
          <w:szCs w:val="24"/>
          <w:lang w:val="en-IE"/>
        </w:rPr>
      </w:pPr>
    </w:p>
    <w:p w:rsidR="00224CF5" w:rsidRDefault="006C0217">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 stronger political steer</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Accession to the European Union is a process requiring and supporting fundamental</w:t>
      </w:r>
      <w:r>
        <w:rPr>
          <w:rFonts w:ascii="Times New Roman" w:hAnsi="Times New Roman" w:cs="Times New Roman"/>
          <w:noProof/>
          <w:sz w:val="24"/>
          <w:szCs w:val="24"/>
        </w:rPr>
        <w:t xml:space="preserve"> reform and political and economic change in the countries aspiring to join, and also to demonstrate the ability to take on the shared responsibilities as a Member State of the EU. It is not moving on autopilot but must reflect </w:t>
      </w:r>
      <w:r>
        <w:rPr>
          <w:rFonts w:ascii="Times New Roman" w:hAnsi="Times New Roman" w:cs="Times New Roman"/>
          <w:b/>
          <w:noProof/>
          <w:sz w:val="24"/>
          <w:szCs w:val="24"/>
        </w:rPr>
        <w:t xml:space="preserve">an active </w:t>
      </w:r>
      <w:r>
        <w:rPr>
          <w:rFonts w:ascii="Times New Roman" w:hAnsi="Times New Roman"/>
          <w:b/>
          <w:noProof/>
          <w:sz w:val="24"/>
        </w:rPr>
        <w:t>societal choice</w:t>
      </w:r>
      <w:r>
        <w:rPr>
          <w:rFonts w:ascii="Times New Roman" w:hAnsi="Times New Roman" w:cs="Times New Roman"/>
          <w:noProof/>
          <w:sz w:val="24"/>
          <w:szCs w:val="24"/>
        </w:rPr>
        <w:t xml:space="preserve"> on</w:t>
      </w:r>
      <w:r>
        <w:rPr>
          <w:rFonts w:ascii="Times New Roman" w:hAnsi="Times New Roman" w:cs="Times New Roman"/>
          <w:noProof/>
          <w:sz w:val="24"/>
          <w:szCs w:val="24"/>
        </w:rPr>
        <w:t xml:space="preserve"> their part to reach and respect the highest European standards and values. Equally, the commitment of the Member States to share a common future with the Western Balkans as full members of the Union is a significant political and not simply technical unde</w:t>
      </w:r>
      <w:r>
        <w:rPr>
          <w:rFonts w:ascii="Times New Roman" w:hAnsi="Times New Roman" w:cs="Times New Roman"/>
          <w:noProof/>
          <w:sz w:val="24"/>
          <w:szCs w:val="24"/>
        </w:rPr>
        <w:t xml:space="preserve">rtaking.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means both sides should </w:t>
      </w:r>
      <w:r>
        <w:rPr>
          <w:rFonts w:ascii="Times New Roman" w:hAnsi="Times New Roman"/>
          <w:b/>
          <w:noProof/>
          <w:sz w:val="24"/>
        </w:rPr>
        <w:t xml:space="preserve">show </w:t>
      </w:r>
      <w:r>
        <w:rPr>
          <w:rFonts w:ascii="Times New Roman" w:hAnsi="Times New Roman" w:cs="Times New Roman"/>
          <w:b/>
          <w:noProof/>
          <w:sz w:val="24"/>
          <w:szCs w:val="24"/>
        </w:rPr>
        <w:t xml:space="preserve">more </w:t>
      </w:r>
      <w:r>
        <w:rPr>
          <w:rFonts w:ascii="Times New Roman" w:hAnsi="Times New Roman"/>
          <w:b/>
          <w:noProof/>
          <w:sz w:val="24"/>
        </w:rPr>
        <w:t>leadership</w:t>
      </w:r>
      <w:r>
        <w:rPr>
          <w:rFonts w:ascii="Times New Roman" w:hAnsi="Times New Roman" w:cs="Times New Roman"/>
          <w:noProof/>
          <w:sz w:val="24"/>
          <w:szCs w:val="24"/>
        </w:rPr>
        <w:t xml:space="preserve"> and live up to their respective commitments in public, while coming in more directly on matters of concern. Given what is at stake, it is time to </w:t>
      </w:r>
      <w:r>
        <w:rPr>
          <w:rFonts w:ascii="Times New Roman" w:hAnsi="Times New Roman" w:cs="Times New Roman"/>
          <w:b/>
          <w:noProof/>
          <w:sz w:val="24"/>
          <w:szCs w:val="24"/>
        </w:rPr>
        <w:t xml:space="preserve">put the political nature of the process front and centre </w:t>
      </w:r>
      <w:r>
        <w:rPr>
          <w:rFonts w:ascii="Times New Roman" w:hAnsi="Times New Roman"/>
          <w:noProof/>
          <w:sz w:val="24"/>
        </w:rPr>
        <w:t>and ensure stronger steering and high-level engagement from the Member States.</w:t>
      </w:r>
      <w:r>
        <w:rPr>
          <w:rFonts w:ascii="Times New Roman" w:hAnsi="Times New Roman" w:cs="Times New Roman"/>
          <w:noProof/>
          <w:sz w:val="24"/>
          <w:szCs w:val="24"/>
        </w:rPr>
        <w:t xml:space="preserve">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should include creating </w:t>
      </w:r>
      <w:r>
        <w:rPr>
          <w:rFonts w:ascii="Times New Roman" w:hAnsi="Times New Roman"/>
          <w:noProof/>
          <w:sz w:val="24"/>
        </w:rPr>
        <w:t>new opportunities for</w:t>
      </w:r>
      <w:r>
        <w:rPr>
          <w:rFonts w:ascii="Times New Roman" w:hAnsi="Times New Roman" w:cs="Times New Roman"/>
          <w:b/>
          <w:noProof/>
          <w:sz w:val="24"/>
          <w:szCs w:val="24"/>
        </w:rPr>
        <w:t xml:space="preserve"> high level political and policy dialogue </w:t>
      </w:r>
      <w:r>
        <w:rPr>
          <w:rFonts w:ascii="Times New Roman" w:hAnsi="Times New Roman" w:cs="Times New Roman"/>
          <w:noProof/>
          <w:sz w:val="24"/>
          <w:szCs w:val="24"/>
        </w:rPr>
        <w:t>with the countries,</w:t>
      </w:r>
      <w:r>
        <w:rPr>
          <w:rFonts w:ascii="Times New Roman" w:hAnsi="Times New Roman" w:cs="Times New Roman"/>
          <w:b/>
          <w:noProof/>
          <w:sz w:val="24"/>
          <w:szCs w:val="24"/>
        </w:rPr>
        <w:t xml:space="preserve"> through</w:t>
      </w:r>
      <w:r>
        <w:rPr>
          <w:rFonts w:ascii="Times New Roman" w:hAnsi="Times New Roman" w:cs="Times New Roman"/>
          <w:b/>
          <w:noProof/>
          <w:sz w:val="24"/>
          <w:szCs w:val="24"/>
        </w:rPr>
        <w:t xml:space="preserve"> regular EU-Western Balkans summits and intensified ministerial contacts</w:t>
      </w:r>
      <w:r>
        <w:rPr>
          <w:rFonts w:ascii="Times New Roman" w:hAnsi="Times New Roman" w:cs="Times New Roman"/>
          <w:noProof/>
          <w:sz w:val="24"/>
          <w:szCs w:val="24"/>
        </w:rPr>
        <w:t xml:space="preserve">, especially in areas where alignment is progressing well and key criteria are being met. Such increased engagement could lead to the countries participating as </w:t>
      </w:r>
      <w:r>
        <w:rPr>
          <w:rFonts w:ascii="Times New Roman" w:hAnsi="Times New Roman"/>
          <w:b/>
          <w:noProof/>
          <w:sz w:val="24"/>
        </w:rPr>
        <w:t>observers</w:t>
      </w:r>
      <w:r>
        <w:rPr>
          <w:rFonts w:ascii="Times New Roman" w:hAnsi="Times New Roman" w:cs="Times New Roman"/>
          <w:noProof/>
          <w:sz w:val="24"/>
          <w:szCs w:val="24"/>
        </w:rPr>
        <w:t xml:space="preserve"> in key Europe</w:t>
      </w:r>
      <w:r>
        <w:rPr>
          <w:rFonts w:ascii="Times New Roman" w:hAnsi="Times New Roman" w:cs="Times New Roman"/>
          <w:noProof/>
          <w:sz w:val="24"/>
          <w:szCs w:val="24"/>
        </w:rPr>
        <w:t xml:space="preserve">an Union meetings on matters of substantial importance to them.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will be important to ensure that </w:t>
      </w:r>
      <w:r>
        <w:rPr>
          <w:rFonts w:ascii="Times New Roman" w:hAnsi="Times New Roman" w:cs="Times New Roman"/>
          <w:b/>
          <w:noProof/>
          <w:sz w:val="24"/>
          <w:szCs w:val="24"/>
        </w:rPr>
        <w:t>all bodies under the Stabilisation and Association Agreement (SAA) focus much more on the key political issues</w:t>
      </w:r>
      <w:r>
        <w:rPr>
          <w:rFonts w:ascii="Times New Roman" w:hAnsi="Times New Roman" w:cs="Times New Roman"/>
          <w:noProof/>
          <w:sz w:val="24"/>
          <w:szCs w:val="24"/>
        </w:rPr>
        <w:t xml:space="preserve"> </w:t>
      </w:r>
      <w:r>
        <w:rPr>
          <w:rFonts w:ascii="Times New Roman" w:hAnsi="Times New Roman" w:cs="Times New Roman"/>
          <w:b/>
          <w:noProof/>
          <w:sz w:val="24"/>
          <w:szCs w:val="24"/>
        </w:rPr>
        <w:t>and reforms</w:t>
      </w:r>
      <w:r>
        <w:rPr>
          <w:rFonts w:ascii="Times New Roman" w:hAnsi="Times New Roman" w:cs="Times New Roman"/>
          <w:noProof/>
          <w:sz w:val="24"/>
          <w:szCs w:val="24"/>
        </w:rPr>
        <w:t xml:space="preserve">, and allow for a real political </w:t>
      </w:r>
      <w:r>
        <w:rPr>
          <w:rFonts w:ascii="Times New Roman" w:hAnsi="Times New Roman" w:cs="Times New Roman"/>
          <w:noProof/>
          <w:sz w:val="24"/>
          <w:szCs w:val="24"/>
        </w:rPr>
        <w:t xml:space="preserve">dialogue. Inter-Governmental Conferences (IGCs) should provide for stronger political steering of the accession negotiations process. </w:t>
      </w:r>
    </w:p>
    <w:p w:rsidR="00224CF5" w:rsidRDefault="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u w:val="single"/>
          <w:lang w:val="en-IE"/>
        </w:rPr>
        <w:t>Member States</w:t>
      </w:r>
      <w:r>
        <w:rPr>
          <w:rFonts w:ascii="Times New Roman" w:hAnsi="Times New Roman" w:cs="Times New Roman"/>
          <w:b/>
          <w:noProof/>
          <w:sz w:val="24"/>
          <w:szCs w:val="24"/>
          <w:lang w:val="en-IE"/>
        </w:rPr>
        <w:t xml:space="preserve"> will be invited to contribute more systematically to the accession process</w:t>
      </w:r>
      <w:r>
        <w:rPr>
          <w:rFonts w:ascii="Times New Roman" w:hAnsi="Times New Roman" w:cs="Times New Roman"/>
          <w:noProof/>
          <w:sz w:val="24"/>
          <w:szCs w:val="24"/>
          <w:lang w:val="en-IE"/>
        </w:rPr>
        <w:t xml:space="preserve">, </w:t>
      </w:r>
      <w:r>
        <w:rPr>
          <w:rFonts w:ascii="Times New Roman" w:hAnsi="Times New Roman"/>
          <w:noProof/>
          <w:sz w:val="24"/>
          <w:lang w:val="en-IE"/>
        </w:rPr>
        <w:t>including via monitoring on the</w:t>
      </w:r>
      <w:r>
        <w:rPr>
          <w:rFonts w:ascii="Times New Roman" w:hAnsi="Times New Roman"/>
          <w:noProof/>
          <w:sz w:val="24"/>
          <w:lang w:val="en-IE"/>
        </w:rPr>
        <w:t xml:space="preserve"> ground</w:t>
      </w:r>
      <w:r>
        <w:rPr>
          <w:rFonts w:ascii="Times New Roman" w:hAnsi="Times New Roman" w:cs="Times New Roman"/>
          <w:noProof/>
          <w:sz w:val="24"/>
          <w:szCs w:val="24"/>
          <w:lang w:val="en-IE"/>
        </w:rPr>
        <w:t xml:space="preserve"> through their experts, through direct contributions to the annual reports and through sectoral expertise. Member States will also have the opportunity to review and monitor overall progress more regularly.   </w:t>
      </w:r>
    </w:p>
    <w:p w:rsidR="00224CF5" w:rsidRDefault="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u w:val="single"/>
          <w:lang w:val="en-IE"/>
        </w:rPr>
        <w:t>The Commission</w:t>
      </w:r>
      <w:r>
        <w:rPr>
          <w:rFonts w:ascii="Times New Roman" w:hAnsi="Times New Roman" w:cs="Times New Roman"/>
          <w:noProof/>
          <w:sz w:val="24"/>
          <w:szCs w:val="24"/>
          <w:lang w:val="en-IE"/>
        </w:rPr>
        <w:t xml:space="preserve"> will continue to take st</w:t>
      </w:r>
      <w:r>
        <w:rPr>
          <w:rFonts w:ascii="Times New Roman" w:hAnsi="Times New Roman" w:cs="Times New Roman"/>
          <w:noProof/>
          <w:sz w:val="24"/>
          <w:szCs w:val="24"/>
          <w:lang w:val="en-IE"/>
        </w:rPr>
        <w:t xml:space="preserve">ock of overall progress in negotiations. It will </w:t>
      </w:r>
      <w:r>
        <w:rPr>
          <w:rFonts w:ascii="Times New Roman" w:hAnsi="Times New Roman" w:cs="Times New Roman"/>
          <w:b/>
          <w:noProof/>
          <w:sz w:val="24"/>
          <w:szCs w:val="24"/>
          <w:lang w:val="en-IE"/>
        </w:rPr>
        <w:t>propose in its annual enlargement package the way ahead</w:t>
      </w:r>
      <w:r>
        <w:rPr>
          <w:rFonts w:ascii="Times New Roman" w:hAnsi="Times New Roman" w:cs="Times New Roman"/>
          <w:noProof/>
          <w:sz w:val="24"/>
          <w:szCs w:val="24"/>
          <w:lang w:val="en-IE"/>
        </w:rPr>
        <w:t xml:space="preserve"> for the following year in greater reform detail, for approval by Member States, </w:t>
      </w:r>
      <w:r>
        <w:rPr>
          <w:rFonts w:ascii="Times New Roman" w:hAnsi="Times New Roman" w:cs="Times New Roman"/>
          <w:b/>
          <w:noProof/>
          <w:sz w:val="24"/>
          <w:szCs w:val="24"/>
          <w:lang w:val="en-IE"/>
        </w:rPr>
        <w:t>including proposals for corrective measures</w:t>
      </w:r>
      <w:r>
        <w:rPr>
          <w:rFonts w:ascii="Times New Roman" w:hAnsi="Times New Roman" w:cs="Times New Roman"/>
          <w:noProof/>
          <w:sz w:val="24"/>
          <w:szCs w:val="24"/>
          <w:lang w:val="en-IE"/>
        </w:rPr>
        <w:t xml:space="preserve">.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Country-specific IGCs</w:t>
      </w:r>
      <w:r>
        <w:rPr>
          <w:rFonts w:ascii="Times New Roman" w:hAnsi="Times New Roman" w:cs="Times New Roman"/>
          <w:b/>
          <w:noProof/>
          <w:sz w:val="24"/>
          <w:szCs w:val="24"/>
        </w:rPr>
        <w:t xml:space="preserve"> sho</w:t>
      </w:r>
      <w:r>
        <w:rPr>
          <w:rFonts w:ascii="Times New Roman" w:hAnsi="Times New Roman" w:cs="Times New Roman"/>
          <w:b/>
          <w:noProof/>
          <w:sz w:val="24"/>
          <w:szCs w:val="24"/>
        </w:rPr>
        <w:t xml:space="preserve">uld take place after publication of the Commission’s annual package </w:t>
      </w:r>
      <w:r>
        <w:rPr>
          <w:rFonts w:ascii="Times New Roman" w:hAnsi="Times New Roman"/>
          <w:noProof/>
          <w:sz w:val="24"/>
        </w:rPr>
        <w:t>of reports on each country and</w:t>
      </w:r>
      <w:r>
        <w:rPr>
          <w:rFonts w:ascii="Times New Roman" w:hAnsi="Times New Roman" w:cs="Times New Roman"/>
          <w:b/>
          <w:noProof/>
          <w:sz w:val="24"/>
          <w:szCs w:val="24"/>
        </w:rPr>
        <w:t xml:space="preserve"> provide the fora for political dialogue </w:t>
      </w:r>
      <w:r>
        <w:rPr>
          <w:rFonts w:ascii="Times New Roman" w:hAnsi="Times New Roman"/>
          <w:noProof/>
          <w:sz w:val="24"/>
        </w:rPr>
        <w:t>on reforms</w:t>
      </w:r>
      <w:r>
        <w:rPr>
          <w:rFonts w:ascii="Times New Roman" w:hAnsi="Times New Roman" w:cs="Times New Roman"/>
          <w:noProof/>
          <w:sz w:val="24"/>
          <w:szCs w:val="24"/>
        </w:rPr>
        <w:t>, take stock of the overall accession process, and set out the planning for the year ahead, including openi</w:t>
      </w:r>
      <w:r>
        <w:rPr>
          <w:rFonts w:ascii="Times New Roman" w:hAnsi="Times New Roman" w:cs="Times New Roman"/>
          <w:noProof/>
          <w:sz w:val="24"/>
          <w:szCs w:val="24"/>
        </w:rPr>
        <w:t xml:space="preserve">ng and closing of chapters / clusters of chapters and possible corrective measures. All sides will have to ensure representation in the IGC at the </w:t>
      </w:r>
      <w:r>
        <w:rPr>
          <w:rFonts w:ascii="Times New Roman" w:hAnsi="Times New Roman" w:cs="Times New Roman"/>
          <w:b/>
          <w:noProof/>
          <w:sz w:val="24"/>
          <w:szCs w:val="24"/>
        </w:rPr>
        <w:t>appropriate level to allow for a productive political dialogue</w:t>
      </w:r>
      <w:r>
        <w:rPr>
          <w:rFonts w:ascii="Times New Roman" w:hAnsi="Times New Roman" w:cs="Times New Roman"/>
          <w:noProof/>
          <w:sz w:val="24"/>
          <w:szCs w:val="24"/>
        </w:rPr>
        <w:t>.</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The Stabilisation and Association Councils</w:t>
      </w:r>
      <w:r>
        <w:rPr>
          <w:rFonts w:ascii="Times New Roman" w:hAnsi="Times New Roman" w:cs="Times New Roman"/>
          <w:noProof/>
          <w:sz w:val="24"/>
          <w:szCs w:val="24"/>
        </w:rPr>
        <w:t xml:space="preserve"> wi</w:t>
      </w:r>
      <w:r>
        <w:rPr>
          <w:rFonts w:ascii="Times New Roman" w:hAnsi="Times New Roman" w:cs="Times New Roman"/>
          <w:noProof/>
          <w:sz w:val="24"/>
          <w:szCs w:val="24"/>
        </w:rPr>
        <w:t xml:space="preserve">ll also provide an important and complimentary moment for political dialogue on reforms. In addition they can allow together with the Stabilisation and Association Committees and sub-committees, </w:t>
      </w:r>
      <w:r>
        <w:rPr>
          <w:rFonts w:ascii="Times New Roman" w:hAnsi="Times New Roman" w:cs="Times New Roman"/>
          <w:b/>
          <w:noProof/>
          <w:sz w:val="24"/>
          <w:szCs w:val="24"/>
        </w:rPr>
        <w:t>stronger monitoring of progress and address aspects of accele</w:t>
      </w:r>
      <w:r>
        <w:rPr>
          <w:rFonts w:ascii="Times New Roman" w:hAnsi="Times New Roman" w:cs="Times New Roman"/>
          <w:b/>
          <w:noProof/>
          <w:sz w:val="24"/>
          <w:szCs w:val="24"/>
        </w:rPr>
        <w:t>rated integration</w:t>
      </w:r>
      <w:r>
        <w:rPr>
          <w:rFonts w:ascii="Times New Roman" w:hAnsi="Times New Roman" w:cs="Times New Roman"/>
          <w:noProof/>
          <w:sz w:val="24"/>
          <w:szCs w:val="24"/>
        </w:rPr>
        <w:t xml:space="preserve"> in the respective clusters (see below). </w:t>
      </w:r>
    </w:p>
    <w:p w:rsidR="00224CF5" w:rsidRDefault="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Deeper political stocktaking should occur at key moments of each partner’s accession process, for example, once interim benchmarks are met on fundamental reforms, at each time when the Council deci</w:t>
      </w:r>
      <w:r>
        <w:rPr>
          <w:rFonts w:ascii="Times New Roman" w:hAnsi="Times New Roman" w:cs="Times New Roman"/>
          <w:noProof/>
          <w:sz w:val="24"/>
          <w:szCs w:val="24"/>
          <w:lang w:val="en-IE"/>
        </w:rPr>
        <w:t>des whether the conditions for opening a cluster are met, and once overall negotiations are technically ready to close.</w:t>
      </w:r>
    </w:p>
    <w:p w:rsidR="00224CF5" w:rsidRDefault="00224CF5">
      <w:pPr>
        <w:spacing w:after="120" w:line="240" w:lineRule="auto"/>
        <w:jc w:val="both"/>
        <w:rPr>
          <w:rFonts w:ascii="Times New Roman" w:hAnsi="Times New Roman" w:cs="Times New Roman"/>
          <w:noProof/>
          <w:sz w:val="24"/>
          <w:szCs w:val="24"/>
          <w:lang w:val="en-IE"/>
        </w:rPr>
      </w:pPr>
    </w:p>
    <w:p w:rsidR="00224CF5" w:rsidRDefault="006C0217">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 more dynamic process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order to inject further dynamism into the negotiating process and to foster cross-fertilisation of efforts b</w:t>
      </w:r>
      <w:r>
        <w:rPr>
          <w:rFonts w:ascii="Times New Roman" w:hAnsi="Times New Roman" w:cs="Times New Roman"/>
          <w:noProof/>
          <w:sz w:val="24"/>
          <w:szCs w:val="24"/>
          <w:lang w:val="en-IE"/>
        </w:rPr>
        <w:t xml:space="preserve">eyond individual chapters, the </w:t>
      </w:r>
      <w:r>
        <w:rPr>
          <w:rFonts w:ascii="Times New Roman" w:hAnsi="Times New Roman" w:cs="Times New Roman"/>
          <w:b/>
          <w:noProof/>
          <w:sz w:val="24"/>
          <w:szCs w:val="24"/>
          <w:lang w:val="en-IE"/>
        </w:rPr>
        <w:t>negotiating chapters will be organised in thematic clusters</w:t>
      </w:r>
      <w:r>
        <w:rPr>
          <w:rFonts w:ascii="Times New Roman" w:hAnsi="Times New Roman" w:cs="Times New Roman"/>
          <w:noProof/>
          <w:sz w:val="24"/>
          <w:szCs w:val="24"/>
          <w:lang w:val="en-IE"/>
        </w:rPr>
        <w:t xml:space="preserve">. These clusters follow broad themes such as good governance, internal market, economic competitiveness and connectivity.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Clustering chapters will allow </w:t>
      </w:r>
      <w:r>
        <w:rPr>
          <w:rFonts w:ascii="Times New Roman" w:hAnsi="Times New Roman" w:cs="Times New Roman"/>
          <w:b/>
          <w:noProof/>
          <w:sz w:val="24"/>
          <w:szCs w:val="24"/>
          <w:lang w:val="en-IE"/>
        </w:rPr>
        <w:t>a stronger</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focus on core sectors in the political dialogue</w:t>
      </w:r>
      <w:r>
        <w:rPr>
          <w:rFonts w:ascii="Times New Roman" w:hAnsi="Times New Roman" w:cs="Times New Roman"/>
          <w:noProof/>
          <w:sz w:val="24"/>
          <w:szCs w:val="24"/>
          <w:lang w:val="en-IE"/>
        </w:rPr>
        <w:t xml:space="preserve"> and provide an improved framing for higher level political engagement. It will</w:t>
      </w:r>
      <w:r>
        <w:rPr>
          <w:rFonts w:ascii="Times New Roman" w:hAnsi="Times New Roman"/>
          <w:noProof/>
          <w:sz w:val="24"/>
          <w:lang w:val="en-IE"/>
        </w:rPr>
        <w:t xml:space="preserve"> </w:t>
      </w:r>
      <w:r>
        <w:rPr>
          <w:rFonts w:ascii="Times New Roman" w:hAnsi="Times New Roman" w:cs="Times New Roman"/>
          <w:noProof/>
          <w:sz w:val="24"/>
          <w:szCs w:val="24"/>
          <w:lang w:val="en-IE"/>
        </w:rPr>
        <w:t xml:space="preserve">allow the </w:t>
      </w:r>
      <w:r>
        <w:rPr>
          <w:rFonts w:ascii="Times New Roman" w:hAnsi="Times New Roman" w:cs="Times New Roman"/>
          <w:b/>
          <w:noProof/>
          <w:sz w:val="24"/>
          <w:szCs w:val="24"/>
          <w:lang w:val="en-IE"/>
        </w:rPr>
        <w:t>most important and urgent reforms per sector to be identified.</w:t>
      </w:r>
      <w:r>
        <w:rPr>
          <w:rFonts w:ascii="Times New Roman" w:hAnsi="Times New Roman" w:cs="Times New Roman"/>
          <w:noProof/>
          <w:sz w:val="24"/>
          <w:szCs w:val="24"/>
          <w:lang w:val="en-IE"/>
        </w:rPr>
        <w:t xml:space="preserve">  This will give overall reform processes more traction o</w:t>
      </w:r>
      <w:r>
        <w:rPr>
          <w:rFonts w:ascii="Times New Roman" w:hAnsi="Times New Roman" w:cs="Times New Roman"/>
          <w:noProof/>
          <w:sz w:val="24"/>
          <w:szCs w:val="24"/>
          <w:lang w:val="en-IE"/>
        </w:rPr>
        <w:t>n the ground, by better incentivizing sectoral reforms in the interests of citizens and business.</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Negotiations on each cluster will be opened as a whole</w:t>
      </w:r>
      <w:r>
        <w:rPr>
          <w:rFonts w:ascii="Times New Roman" w:hAnsi="Times New Roman"/>
          <w:noProof/>
          <w:sz w:val="24"/>
          <w:lang w:val="en-IE"/>
        </w:rPr>
        <w:t xml:space="preserve"> </w:t>
      </w:r>
      <w:r>
        <w:rPr>
          <w:rFonts w:ascii="Times New Roman" w:hAnsi="Times New Roman" w:cs="Times New Roman"/>
          <w:b/>
          <w:noProof/>
          <w:sz w:val="24"/>
          <w:szCs w:val="24"/>
          <w:lang w:val="en-IE"/>
        </w:rPr>
        <w:t>– after fulfilling the opening benchmarks -</w:t>
      </w:r>
      <w:r>
        <w:rPr>
          <w:rFonts w:ascii="Times New Roman" w:hAnsi="Times New Roman" w:cs="Times New Roman"/>
          <w:noProof/>
          <w:sz w:val="24"/>
          <w:szCs w:val="24"/>
          <w:lang w:val="en-IE"/>
        </w:rPr>
        <w:t xml:space="preserve"> rather than on an individual chapter basis. As a result of </w:t>
      </w:r>
      <w:r>
        <w:rPr>
          <w:rFonts w:ascii="Times New Roman" w:hAnsi="Times New Roman" w:cs="Times New Roman"/>
          <w:noProof/>
          <w:sz w:val="24"/>
          <w:szCs w:val="24"/>
          <w:lang w:val="en-IE"/>
        </w:rPr>
        <w:t>the screening process, carried out per cluster, priorities for accelerated integration and key reforms will be agreed between the EU and the candidate country. When these priorities have been sufficiently addressed, the cluster (covering all associated cha</w:t>
      </w:r>
      <w:r>
        <w:rPr>
          <w:rFonts w:ascii="Times New Roman" w:hAnsi="Times New Roman" w:cs="Times New Roman"/>
          <w:noProof/>
          <w:sz w:val="24"/>
          <w:szCs w:val="24"/>
          <w:lang w:val="en-IE"/>
        </w:rPr>
        <w:t>pters) is opened without further conditions and closing benchmarks are set for each chapter. Where important reforms will already have been implemented before opening, the timeframe between opening the cluster and closing individual chapters should be limi</w:t>
      </w:r>
      <w:r>
        <w:rPr>
          <w:rFonts w:ascii="Times New Roman" w:hAnsi="Times New Roman" w:cs="Times New Roman"/>
          <w:noProof/>
          <w:sz w:val="24"/>
          <w:szCs w:val="24"/>
          <w:lang w:val="en-IE"/>
        </w:rPr>
        <w:t xml:space="preserve">ted, preferably within a year fully dependent on the progress of the reforms, with the focus on remaining measures needed to ensure full alignment.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clusters will be aligned with SAA sub-committees,</w:t>
      </w:r>
      <w:r>
        <w:rPr>
          <w:rFonts w:ascii="Times New Roman" w:hAnsi="Times New Roman" w:cs="Times New Roman"/>
          <w:noProof/>
          <w:sz w:val="24"/>
          <w:szCs w:val="24"/>
        </w:rPr>
        <w:t xml:space="preserve"> so that progress in the cluster can be monitored and </w:t>
      </w:r>
      <w:r>
        <w:rPr>
          <w:rFonts w:ascii="Times New Roman" w:hAnsi="Times New Roman" w:cs="Times New Roman"/>
          <w:noProof/>
          <w:sz w:val="24"/>
          <w:szCs w:val="24"/>
        </w:rPr>
        <w:t>specific measures of accelerated alignment taken under the SAA structures.</w:t>
      </w:r>
      <w:r>
        <w:rPr>
          <w:rFonts w:ascii="Times New Roman" w:hAnsi="Times New Roman" w:cs="Times New Roman"/>
          <w:noProof/>
          <w:sz w:val="24"/>
          <w:szCs w:val="24"/>
          <w:lang w:val="en-IE"/>
        </w:rPr>
        <w:t xml:space="preserve"> This will allow for targeted dialogues and identification of </w:t>
      </w:r>
      <w:r>
        <w:rPr>
          <w:rFonts w:ascii="Times New Roman" w:hAnsi="Times New Roman" w:cs="Times New Roman"/>
          <w:b/>
          <w:noProof/>
          <w:sz w:val="24"/>
          <w:szCs w:val="24"/>
          <w:lang w:val="en-IE"/>
        </w:rPr>
        <w:t>opportunities for accelerated alignment</w:t>
      </w:r>
      <w:r>
        <w:rPr>
          <w:rFonts w:ascii="Times New Roman" w:hAnsi="Times New Roman" w:cs="Times New Roman"/>
          <w:noProof/>
          <w:sz w:val="24"/>
          <w:szCs w:val="24"/>
          <w:lang w:val="en-IE"/>
        </w:rPr>
        <w:t xml:space="preserve"> and integration in all EU policy areas, with clear benefits for </w:t>
      </w:r>
      <w:r>
        <w:rPr>
          <w:rFonts w:ascii="Times New Roman" w:hAnsi="Times New Roman" w:cs="Times New Roman"/>
          <w:noProof/>
          <w:sz w:val="24"/>
          <w:szCs w:val="24"/>
        </w:rPr>
        <w:t xml:space="preserve">European Union </w:t>
      </w:r>
      <w:r>
        <w:rPr>
          <w:rFonts w:ascii="Times New Roman" w:hAnsi="Times New Roman" w:cs="Times New Roman"/>
          <w:noProof/>
          <w:sz w:val="24"/>
          <w:szCs w:val="24"/>
          <w:lang w:val="en-IE"/>
        </w:rPr>
        <w:t>a</w:t>
      </w:r>
      <w:r>
        <w:rPr>
          <w:rFonts w:ascii="Times New Roman" w:hAnsi="Times New Roman" w:cs="Times New Roman"/>
          <w:noProof/>
          <w:sz w:val="24"/>
          <w:szCs w:val="24"/>
          <w:lang w:val="en-IE"/>
        </w:rPr>
        <w:t>nd candidate countries.</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To inject more dynamism in the </w:t>
      </w:r>
      <w:r>
        <w:rPr>
          <w:rFonts w:ascii="Times New Roman" w:hAnsi="Times New Roman" w:cs="Times New Roman"/>
          <w:b/>
          <w:noProof/>
          <w:sz w:val="24"/>
          <w:szCs w:val="24"/>
          <w:lang w:val="en-IE"/>
        </w:rPr>
        <w:t>negotiations with Serbia and Montenegro</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work on chapters can also be organised around clusters, while respecting the existing </w:t>
      </w:r>
      <w:r>
        <w:rPr>
          <w:rFonts w:ascii="Times New Roman" w:hAnsi="Times New Roman" w:cs="Times New Roman"/>
          <w:noProof/>
          <w:sz w:val="24"/>
          <w:szCs w:val="24"/>
          <w:lang w:val="en-IE"/>
        </w:rPr>
        <w:t>negotiating frameworks and with the agreement of these countries. This wil</w:t>
      </w:r>
      <w:r>
        <w:rPr>
          <w:rFonts w:ascii="Times New Roman" w:hAnsi="Times New Roman" w:cs="Times New Roman"/>
          <w:noProof/>
          <w:sz w:val="24"/>
          <w:szCs w:val="24"/>
          <w:lang w:val="en-IE"/>
        </w:rPr>
        <w:t xml:space="preserve">l also allow </w:t>
      </w:r>
      <w:r>
        <w:rPr>
          <w:rFonts w:ascii="Times New Roman" w:hAnsi="Times New Roman" w:cs="Times New Roman"/>
          <w:noProof/>
          <w:sz w:val="24"/>
          <w:szCs w:val="24"/>
        </w:rPr>
        <w:t xml:space="preserve">more political focus on key sectors and build political momentum in the countries around key issues for alignment. The </w:t>
      </w:r>
      <w:r>
        <w:rPr>
          <w:rFonts w:ascii="Times New Roman" w:hAnsi="Times New Roman" w:cs="Times New Roman"/>
          <w:noProof/>
          <w:sz w:val="24"/>
          <w:szCs w:val="24"/>
          <w:lang w:val="en-IE"/>
        </w:rPr>
        <w:t>possibility of engaging in an exercise to</w:t>
      </w:r>
      <w:r>
        <w:rPr>
          <w:rFonts w:ascii="Times New Roman" w:hAnsi="Times New Roman" w:cs="Times New Roman"/>
          <w:noProof/>
          <w:sz w:val="24"/>
          <w:szCs w:val="24"/>
        </w:rPr>
        <w:t xml:space="preserve"> identify areas of interest for accelerated sectoral alignment and integration will</w:t>
      </w:r>
      <w:r>
        <w:rPr>
          <w:rFonts w:ascii="Times New Roman" w:hAnsi="Times New Roman" w:cs="Times New Roman"/>
          <w:noProof/>
          <w:sz w:val="24"/>
          <w:szCs w:val="24"/>
        </w:rPr>
        <w:t xml:space="preserve"> be offered, with common roadmaps to be agreed and followed-up in the SAA structures.</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24CF5" w:rsidRDefault="006C0217">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 xml:space="preserve">Predictability, positive and negative conditionality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strong calls from Member States, as well as from Western Balkans countries for a process that is more pr</w:t>
      </w:r>
      <w:r>
        <w:rPr>
          <w:rFonts w:ascii="Times New Roman" w:hAnsi="Times New Roman" w:cs="Times New Roman"/>
          <w:noProof/>
          <w:sz w:val="24"/>
          <w:szCs w:val="24"/>
        </w:rPr>
        <w:t xml:space="preserve">edictable and which ensures </w:t>
      </w:r>
      <w:r>
        <w:rPr>
          <w:rFonts w:ascii="Times New Roman" w:hAnsi="Times New Roman" w:cs="Times New Roman"/>
          <w:b/>
          <w:noProof/>
          <w:sz w:val="24"/>
          <w:szCs w:val="24"/>
        </w:rPr>
        <w:t xml:space="preserve">greater clarity on what the Union expects </w:t>
      </w:r>
      <w:r>
        <w:rPr>
          <w:rFonts w:ascii="Times New Roman" w:hAnsi="Times New Roman"/>
          <w:noProof/>
          <w:sz w:val="24"/>
        </w:rPr>
        <w:t xml:space="preserve">of </w:t>
      </w:r>
      <w:r>
        <w:rPr>
          <w:rFonts w:ascii="Times New Roman" w:hAnsi="Times New Roman" w:cs="Times New Roman"/>
          <w:noProof/>
          <w:sz w:val="24"/>
          <w:szCs w:val="24"/>
        </w:rPr>
        <w:t>enlargement</w:t>
      </w:r>
      <w:r>
        <w:rPr>
          <w:rFonts w:ascii="Times New Roman" w:hAnsi="Times New Roman"/>
          <w:noProof/>
          <w:sz w:val="24"/>
        </w:rPr>
        <w:t xml:space="preserve"> countries</w:t>
      </w:r>
      <w:r>
        <w:rPr>
          <w:rFonts w:ascii="Times New Roman" w:hAnsi="Times New Roman" w:cs="Times New Roman"/>
          <w:noProof/>
          <w:sz w:val="24"/>
          <w:szCs w:val="24"/>
        </w:rPr>
        <w:t xml:space="preserve"> </w:t>
      </w:r>
      <w:r>
        <w:rPr>
          <w:rFonts w:ascii="Times New Roman" w:hAnsi="Times New Roman"/>
          <w:noProof/>
          <w:sz w:val="24"/>
        </w:rPr>
        <w:t>at different stages of the process</w:t>
      </w:r>
      <w:r>
        <w:rPr>
          <w:rFonts w:ascii="Times New Roman" w:hAnsi="Times New Roman" w:cs="Times New Roman"/>
          <w:noProof/>
          <w:sz w:val="24"/>
          <w:szCs w:val="24"/>
        </w:rPr>
        <w:t>,</w:t>
      </w:r>
      <w:r>
        <w:rPr>
          <w:rFonts w:ascii="Times New Roman" w:hAnsi="Times New Roman"/>
          <w:noProof/>
          <w:sz w:val="24"/>
        </w:rPr>
        <w:t xml:space="preserve"> and what the</w:t>
      </w:r>
      <w:r>
        <w:rPr>
          <w:rFonts w:ascii="Times New Roman" w:hAnsi="Times New Roman" w:cs="Times New Roman"/>
          <w:b/>
          <w:noProof/>
          <w:sz w:val="24"/>
          <w:szCs w:val="24"/>
        </w:rPr>
        <w:t xml:space="preserve"> </w:t>
      </w:r>
      <w:r>
        <w:rPr>
          <w:rFonts w:ascii="Times New Roman" w:hAnsi="Times New Roman"/>
          <w:b/>
          <w:noProof/>
          <w:sz w:val="24"/>
        </w:rPr>
        <w:t xml:space="preserve">positive and negative </w:t>
      </w:r>
      <w:r>
        <w:rPr>
          <w:rFonts w:ascii="Times New Roman" w:hAnsi="Times New Roman" w:cs="Times New Roman"/>
          <w:b/>
          <w:noProof/>
          <w:sz w:val="24"/>
          <w:szCs w:val="24"/>
        </w:rPr>
        <w:t xml:space="preserve">consequences </w:t>
      </w:r>
      <w:r>
        <w:rPr>
          <w:rFonts w:ascii="Times New Roman" w:hAnsi="Times New Roman" w:cs="Times New Roman"/>
          <w:noProof/>
          <w:sz w:val="24"/>
          <w:szCs w:val="24"/>
        </w:rPr>
        <w:t>are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of progress or lack thereof. </w:t>
      </w:r>
    </w:p>
    <w:p w:rsidR="00224CF5" w:rsidRDefault="006C021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use the </w:t>
      </w:r>
      <w:r>
        <w:rPr>
          <w:rFonts w:ascii="Times New Roman" w:hAnsi="Times New Roman" w:cs="Times New Roman"/>
          <w:b/>
          <w:noProof/>
          <w:sz w:val="24"/>
          <w:szCs w:val="24"/>
        </w:rPr>
        <w:t xml:space="preserve">enlargement </w:t>
      </w:r>
      <w:r>
        <w:rPr>
          <w:rFonts w:ascii="Times New Roman" w:hAnsi="Times New Roman" w:cs="Times New Roman"/>
          <w:b/>
          <w:noProof/>
          <w:sz w:val="24"/>
          <w:szCs w:val="24"/>
        </w:rPr>
        <w:t>package to check the compliance</w:t>
      </w:r>
      <w:r>
        <w:rPr>
          <w:rFonts w:ascii="Times New Roman" w:hAnsi="Times New Roman" w:cs="Times New Roman"/>
          <w:noProof/>
          <w:sz w:val="24"/>
          <w:szCs w:val="24"/>
        </w:rPr>
        <w:t xml:space="preserve"> of the candidates with the acquis and </w:t>
      </w:r>
      <w:r>
        <w:rPr>
          <w:rFonts w:ascii="Times New Roman" w:hAnsi="Times New Roman" w:cs="Times New Roman"/>
          <w:b/>
          <w:noProof/>
          <w:sz w:val="24"/>
          <w:szCs w:val="24"/>
        </w:rPr>
        <w:t>provide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clearer </w:t>
      </w:r>
      <w:r>
        <w:rPr>
          <w:rFonts w:ascii="Times New Roman" w:hAnsi="Times New Roman"/>
          <w:b/>
          <w:noProof/>
          <w:sz w:val="24"/>
        </w:rPr>
        <w:t xml:space="preserve">guidance </w:t>
      </w:r>
      <w:r>
        <w:rPr>
          <w:rFonts w:ascii="Times New Roman" w:hAnsi="Times New Roman"/>
          <w:noProof/>
          <w:sz w:val="24"/>
        </w:rPr>
        <w:t>on</w:t>
      </w:r>
      <w:r>
        <w:rPr>
          <w:rFonts w:ascii="Times New Roman" w:hAnsi="Times New Roman" w:cs="Times New Roman"/>
          <w:noProof/>
          <w:sz w:val="24"/>
          <w:szCs w:val="24"/>
        </w:rPr>
        <w:t xml:space="preserve"> specific</w:t>
      </w:r>
      <w:r>
        <w:rPr>
          <w:rFonts w:ascii="Times New Roman" w:hAnsi="Times New Roman"/>
          <w:noProof/>
          <w:sz w:val="24"/>
        </w:rPr>
        <w:t xml:space="preserve"> reform priorities and alignment criteria as well as expectations for next steps in the process</w:t>
      </w:r>
      <w:r>
        <w:rPr>
          <w:rFonts w:ascii="Times New Roman" w:hAnsi="Times New Roman" w:cs="Times New Roman"/>
          <w:noProof/>
          <w:sz w:val="24"/>
          <w:szCs w:val="24"/>
        </w:rPr>
        <w:t>. A stronger political steer and refocused IGCs will in</w:t>
      </w:r>
      <w:r>
        <w:rPr>
          <w:rFonts w:ascii="Times New Roman" w:hAnsi="Times New Roman" w:cs="Times New Roman"/>
          <w:noProof/>
          <w:sz w:val="24"/>
          <w:szCs w:val="24"/>
        </w:rPr>
        <w:t>crease predictability, with clearer</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planning for the year ahead. The political actors in the countries will thus have a clearer indication of what must be done to move ahead. This will include an indication of what clusters / chapters could potentially be </w:t>
      </w:r>
      <w:r>
        <w:rPr>
          <w:rFonts w:ascii="Times New Roman" w:hAnsi="Times New Roman" w:cs="Times New Roman"/>
          <w:noProof/>
          <w:sz w:val="24"/>
          <w:szCs w:val="24"/>
        </w:rPr>
        <w:t xml:space="preserve">opened or closed and, where relevant, which conditions would still need to be met for this to happen.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 xml:space="preserve">The core element of the merit-based accession process is its conditionality. </w:t>
      </w:r>
      <w:r>
        <w:rPr>
          <w:rFonts w:ascii="Times New Roman" w:hAnsi="Times New Roman" w:cs="Times New Roman"/>
          <w:noProof/>
          <w:sz w:val="24"/>
          <w:szCs w:val="24"/>
          <w:lang w:val="en-IE"/>
        </w:rPr>
        <w:t xml:space="preserve">However, in order to achieve that, </w:t>
      </w:r>
      <w:r>
        <w:rPr>
          <w:rFonts w:ascii="Times New Roman" w:hAnsi="Times New Roman" w:cs="Times New Roman"/>
          <w:b/>
          <w:noProof/>
          <w:sz w:val="24"/>
          <w:szCs w:val="24"/>
          <w:lang w:val="en-IE"/>
        </w:rPr>
        <w:t>conditions must be clear</w:t>
      </w:r>
      <w:r>
        <w:rPr>
          <w:rFonts w:ascii="Times New Roman" w:hAnsi="Times New Roman" w:cs="Times New Roman"/>
          <w:noProof/>
          <w:sz w:val="24"/>
          <w:szCs w:val="24"/>
          <w:lang w:val="en-IE"/>
        </w:rPr>
        <w:t xml:space="preserve"> from the outset.</w:t>
      </w:r>
      <w:r>
        <w:rPr>
          <w:rFonts w:ascii="Times New Roman" w:hAnsi="Times New Roman" w:cs="Times New Roman"/>
          <w:noProof/>
          <w:sz w:val="24"/>
          <w:szCs w:val="24"/>
          <w:lang w:val="en-IE"/>
        </w:rPr>
        <w:t xml:space="preserve"> It is important that candidate countries know the benchmarks against which their performance will be measured and that Member States share a clear understanding of what exactly is requested from the candidates. </w:t>
      </w:r>
      <w:r>
        <w:rPr>
          <w:rFonts w:ascii="Times New Roman" w:hAnsi="Times New Roman" w:cs="Times New Roman"/>
          <w:b/>
          <w:noProof/>
          <w:sz w:val="24"/>
          <w:szCs w:val="24"/>
          <w:lang w:val="en-IE"/>
        </w:rPr>
        <w:t>The Commission will better define the condit</w:t>
      </w:r>
      <w:r>
        <w:rPr>
          <w:rFonts w:ascii="Times New Roman" w:hAnsi="Times New Roman" w:cs="Times New Roman"/>
          <w:b/>
          <w:noProof/>
          <w:sz w:val="24"/>
          <w:szCs w:val="24"/>
          <w:lang w:val="en-IE"/>
        </w:rPr>
        <w:t>ions set for candidates</w:t>
      </w:r>
      <w:r>
        <w:rPr>
          <w:rFonts w:ascii="Times New Roman" w:hAnsi="Times New Roman" w:cs="Times New Roman"/>
          <w:noProof/>
          <w:sz w:val="24"/>
          <w:szCs w:val="24"/>
          <w:lang w:val="en-IE"/>
        </w:rPr>
        <w:t xml:space="preserve"> to progress, in particular through its annual reports. These conditions must be objective, precise, detailed, strict and verifiable. The Commission will also use third party indicators where relevant to provide Member States with th</w:t>
      </w:r>
      <w:r>
        <w:rPr>
          <w:rFonts w:ascii="Times New Roman" w:hAnsi="Times New Roman" w:cs="Times New Roman"/>
          <w:noProof/>
          <w:sz w:val="24"/>
          <w:szCs w:val="24"/>
          <w:lang w:val="en-IE"/>
        </w:rPr>
        <w:t xml:space="preserve">e broadest possible base for their decisions. </w:t>
      </w:r>
    </w:p>
    <w:p w:rsidR="00224CF5" w:rsidRDefault="006C0217">
      <w:pPr>
        <w:spacing w:after="12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By providing </w:t>
      </w:r>
      <w:r>
        <w:rPr>
          <w:rFonts w:ascii="Times New Roman" w:hAnsi="Times New Roman" w:cs="Times New Roman"/>
          <w:b/>
          <w:noProof/>
          <w:sz w:val="24"/>
          <w:szCs w:val="24"/>
        </w:rPr>
        <w:t>clear and tangible incentives of direct interest to citizens, the EU can encourage real political will</w:t>
      </w:r>
      <w:r>
        <w:rPr>
          <w:rFonts w:ascii="Times New Roman" w:hAnsi="Times New Roman" w:cs="Times New Roman"/>
          <w:noProof/>
          <w:sz w:val="24"/>
          <w:szCs w:val="24"/>
        </w:rPr>
        <w:t xml:space="preserve"> and reward results arising from demanding reforms and the process of political, economic and </w:t>
      </w:r>
      <w:r>
        <w:rPr>
          <w:rFonts w:ascii="Times New Roman" w:hAnsi="Times New Roman" w:cs="Times New Roman"/>
          <w:noProof/>
          <w:sz w:val="24"/>
          <w:szCs w:val="24"/>
        </w:rPr>
        <w:t xml:space="preserve">societal change. </w:t>
      </w:r>
      <w:r>
        <w:rPr>
          <w:rFonts w:ascii="Times New Roman" w:hAnsi="Times New Roman" w:cs="Times New Roman"/>
          <w:b/>
          <w:noProof/>
          <w:sz w:val="24"/>
          <w:szCs w:val="24"/>
        </w:rPr>
        <w:t>I</w:t>
      </w:r>
      <w:r>
        <w:rPr>
          <w:rFonts w:ascii="Times New Roman" w:hAnsi="Times New Roman" w:cs="Times New Roman"/>
          <w:b/>
          <w:noProof/>
          <w:sz w:val="24"/>
          <w:szCs w:val="24"/>
          <w:lang w:val="en-IE"/>
        </w:rPr>
        <w:t xml:space="preserve">f countries move on reform priorities agreed in the negotiations sufficiently, this should lead to: </w:t>
      </w:r>
    </w:p>
    <w:p w:rsidR="00224CF5" w:rsidRDefault="006C0217">
      <w:pPr>
        <w:numPr>
          <w:ilvl w:val="0"/>
          <w:numId w:val="24"/>
        </w:num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Closer integration</w:t>
      </w:r>
      <w:r>
        <w:rPr>
          <w:rFonts w:ascii="Times New Roman" w:hAnsi="Times New Roman" w:cs="Times New Roman"/>
          <w:noProof/>
          <w:sz w:val="24"/>
          <w:szCs w:val="24"/>
          <w:lang w:val="en-IE"/>
        </w:rPr>
        <w:t xml:space="preserve"> of the country with the </w:t>
      </w:r>
      <w:r>
        <w:rPr>
          <w:rFonts w:ascii="Times New Roman" w:hAnsi="Times New Roman" w:cs="Times New Roman"/>
          <w:noProof/>
          <w:sz w:val="24"/>
          <w:szCs w:val="24"/>
        </w:rPr>
        <w:t xml:space="preserve">European Union, </w:t>
      </w:r>
      <w:r>
        <w:rPr>
          <w:rFonts w:ascii="Times New Roman" w:hAnsi="Times New Roman" w:cs="Times New Roman"/>
          <w:noProof/>
          <w:sz w:val="24"/>
          <w:szCs w:val="24"/>
          <w:u w:val="single"/>
          <w:lang w:val="en-IE"/>
        </w:rPr>
        <w:t>work for accelerated integration and “phasing-in” to individual EU policies</w:t>
      </w:r>
      <w:r>
        <w:rPr>
          <w:rFonts w:ascii="Times New Roman" w:hAnsi="Times New Roman" w:cs="Times New Roman"/>
          <w:noProof/>
          <w:sz w:val="24"/>
          <w:szCs w:val="24"/>
          <w:lang w:val="en-IE"/>
        </w:rPr>
        <w:t>, t</w:t>
      </w:r>
      <w:r>
        <w:rPr>
          <w:rFonts w:ascii="Times New Roman" w:hAnsi="Times New Roman" w:cs="Times New Roman"/>
          <w:noProof/>
          <w:sz w:val="24"/>
          <w:szCs w:val="24"/>
          <w:lang w:val="en-IE"/>
        </w:rPr>
        <w:t xml:space="preserve">he EU market and EU programmes, while ensuring a level playing field. </w:t>
      </w:r>
    </w:p>
    <w:p w:rsidR="00224CF5" w:rsidRDefault="006C0217">
      <w:pPr>
        <w:numPr>
          <w:ilvl w:val="0"/>
          <w:numId w:val="24"/>
        </w:num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Increased funding and investments</w:t>
      </w:r>
      <w:r>
        <w:rPr>
          <w:rFonts w:ascii="Times New Roman" w:hAnsi="Times New Roman" w:cs="Times New Roman"/>
          <w:noProof/>
          <w:sz w:val="24"/>
          <w:szCs w:val="24"/>
          <w:lang w:val="en-IE"/>
        </w:rPr>
        <w:t xml:space="preserve"> – including through a performance-based </w:t>
      </w:r>
      <w:r>
        <w:rPr>
          <w:rFonts w:ascii="Times New Roman" w:eastAsia="Times New Roman" w:hAnsi="Times New Roman" w:cs="Times New Roman"/>
          <w:noProof/>
          <w:sz w:val="24"/>
          <w:szCs w:val="24"/>
        </w:rPr>
        <w:t xml:space="preserve">and reform-oriented </w:t>
      </w:r>
      <w:r>
        <w:rPr>
          <w:rFonts w:ascii="Times New Roman" w:hAnsi="Times New Roman" w:cs="Times New Roman"/>
          <w:noProof/>
          <w:sz w:val="24"/>
          <w:szCs w:val="24"/>
          <w:lang w:val="en-IE"/>
        </w:rPr>
        <w:t>Instrument for Pre-accession support and closer cooperation with IFIs to leverage support.</w:t>
      </w:r>
    </w:p>
    <w:p w:rsidR="00224CF5" w:rsidRDefault="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These measures should help, through the use of EU Funds, to create a strong European preference that is WTO-compatible, while creating a strong local economy.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While reform progress needs to be incentivised and rewarded more tangibly, </w:t>
      </w:r>
      <w:r>
        <w:rPr>
          <w:rFonts w:ascii="Times New Roman" w:hAnsi="Times New Roman"/>
          <w:noProof/>
          <w:sz w:val="24"/>
          <w:lang w:val="en-IE"/>
        </w:rPr>
        <w:t xml:space="preserve">there is equally a need for </w:t>
      </w:r>
      <w:r>
        <w:rPr>
          <w:rFonts w:ascii="Times New Roman" w:hAnsi="Times New Roman" w:cs="Times New Roman"/>
          <w:b/>
          <w:noProof/>
          <w:sz w:val="24"/>
          <w:szCs w:val="24"/>
          <w:lang w:val="en-IE"/>
        </w:rPr>
        <w:t>more decisive measures proportionally sanctioning any serious or prolonged stagnation or even backsliding</w:t>
      </w:r>
      <w:r>
        <w:rPr>
          <w:rFonts w:ascii="Times New Roman" w:hAnsi="Times New Roman" w:cs="Times New Roman"/>
          <w:noProof/>
          <w:sz w:val="24"/>
          <w:szCs w:val="24"/>
          <w:lang w:val="en-IE"/>
        </w:rPr>
        <w:t xml:space="preserve"> in reform implementation and meeting the requirements of the accession process.</w:t>
      </w:r>
    </w:p>
    <w:p w:rsidR="00224CF5" w:rsidRDefault="006C0217" w:rsidP="006C0217">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Such decisions to halt or even reverse the</w:t>
      </w:r>
      <w:r>
        <w:rPr>
          <w:rFonts w:ascii="Times New Roman" w:hAnsi="Times New Roman" w:cs="Times New Roman"/>
          <w:noProof/>
          <w:sz w:val="24"/>
          <w:szCs w:val="24"/>
          <w:lang w:val="en-IE"/>
        </w:rPr>
        <w:t xml:space="preserve"> process should be informed by the</w:t>
      </w:r>
      <w:r>
        <w:rPr>
          <w:rFonts w:ascii="Times New Roman" w:hAnsi="Times New Roman" w:cs="Times New Roman"/>
          <w:b/>
          <w:noProof/>
          <w:sz w:val="24"/>
          <w:szCs w:val="24"/>
          <w:lang w:val="en-IE"/>
        </w:rPr>
        <w:t xml:space="preserve"> annual assessment by the Commission</w:t>
      </w:r>
      <w:r>
        <w:rPr>
          <w:rFonts w:ascii="Times New Roman" w:hAnsi="Times New Roman" w:cs="Times New Roman"/>
          <w:noProof/>
          <w:sz w:val="24"/>
          <w:szCs w:val="24"/>
          <w:lang w:val="en-IE"/>
        </w:rPr>
        <w:t xml:space="preserve"> in its enlargement package on the overall balance in accession negotiations and the extent to which fundamental reforms, in particular on the rule of law are being implemented, Member S</w:t>
      </w:r>
      <w:r>
        <w:rPr>
          <w:rFonts w:ascii="Times New Roman" w:hAnsi="Times New Roman" w:cs="Times New Roman"/>
          <w:noProof/>
          <w:sz w:val="24"/>
          <w:szCs w:val="24"/>
          <w:lang w:val="en-IE"/>
        </w:rPr>
        <w:t xml:space="preserve">tates will continue to be able  to contribute to this process by signalling to the Commission any stagnation or serious backsliding in the reform process. </w:t>
      </w: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serious cases, the Commission can make proposals at any time on its own or at the duly motivated </w:t>
      </w:r>
      <w:r>
        <w:rPr>
          <w:rFonts w:ascii="Times New Roman" w:hAnsi="Times New Roman" w:cs="Times New Roman"/>
          <w:noProof/>
          <w:sz w:val="24"/>
          <w:szCs w:val="24"/>
          <w:lang w:val="en-IE"/>
        </w:rPr>
        <w:t xml:space="preserve">request of a Member State in order to ensure a quick response to the situation through, whenever relevant, simplified procedures, including reverse qualified majority voting.   </w:t>
      </w:r>
    </w:p>
    <w:p w:rsidR="006C0217" w:rsidRDefault="006C0217">
      <w:pPr>
        <w:widowControl w:val="0"/>
        <w:spacing w:after="120" w:line="240" w:lineRule="auto"/>
        <w:jc w:val="both"/>
        <w:rPr>
          <w:rFonts w:ascii="Times New Roman" w:hAnsi="Times New Roman" w:cs="Times New Roman"/>
          <w:noProof/>
          <w:sz w:val="24"/>
          <w:szCs w:val="24"/>
          <w:lang w:val="en-IE"/>
        </w:rPr>
      </w:pPr>
    </w:p>
    <w:p w:rsidR="00224CF5" w:rsidRDefault="006C0217">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 xml:space="preserve">EU could address potential problems in several ways: </w:t>
      </w:r>
    </w:p>
    <w:p w:rsidR="00224CF5" w:rsidRDefault="006C0217">
      <w:pPr>
        <w:widowControl w:val="0"/>
        <w:numPr>
          <w:ilvl w:val="0"/>
          <w:numId w:val="24"/>
        </w:num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Member States coul</w:t>
      </w:r>
      <w:r>
        <w:rPr>
          <w:rFonts w:ascii="Times New Roman" w:hAnsi="Times New Roman" w:cs="Times New Roman"/>
          <w:noProof/>
          <w:sz w:val="24"/>
          <w:szCs w:val="24"/>
        </w:rPr>
        <w:t xml:space="preserve">d decide that </w:t>
      </w:r>
      <w:r>
        <w:rPr>
          <w:rFonts w:ascii="Times New Roman" w:hAnsi="Times New Roman" w:cs="Times New Roman"/>
          <w:noProof/>
          <w:sz w:val="24"/>
          <w:szCs w:val="24"/>
          <w:u w:val="single"/>
        </w:rPr>
        <w:t>negotiations</w:t>
      </w:r>
      <w:r>
        <w:rPr>
          <w:rFonts w:ascii="Times New Roman" w:hAnsi="Times New Roman" w:cs="Times New Roman"/>
          <w:noProof/>
          <w:sz w:val="24"/>
          <w:szCs w:val="24"/>
        </w:rPr>
        <w:t xml:space="preserve"> can be </w:t>
      </w:r>
      <w:r>
        <w:rPr>
          <w:rFonts w:ascii="Times New Roman" w:hAnsi="Times New Roman" w:cs="Times New Roman"/>
          <w:noProof/>
          <w:sz w:val="24"/>
          <w:szCs w:val="24"/>
          <w:u w:val="single"/>
        </w:rPr>
        <w:t>put on hold</w:t>
      </w:r>
      <w:r>
        <w:rPr>
          <w:rFonts w:ascii="Times New Roman" w:hAnsi="Times New Roman" w:cs="Times New Roman"/>
          <w:noProof/>
          <w:sz w:val="24"/>
          <w:szCs w:val="24"/>
        </w:rPr>
        <w:t xml:space="preserve"> in certain areas, or in the most serious cases, </w:t>
      </w:r>
      <w:r>
        <w:rPr>
          <w:rFonts w:ascii="Times New Roman" w:hAnsi="Times New Roman" w:cs="Times New Roman"/>
          <w:noProof/>
          <w:sz w:val="24"/>
          <w:szCs w:val="24"/>
          <w:u w:val="single"/>
        </w:rPr>
        <w:t>suspended</w:t>
      </w:r>
      <w:r>
        <w:rPr>
          <w:rFonts w:ascii="Times New Roman" w:hAnsi="Times New Roman" w:cs="Times New Roman"/>
          <w:noProof/>
          <w:sz w:val="24"/>
          <w:szCs w:val="24"/>
        </w:rPr>
        <w:t xml:space="preserve"> overall. </w:t>
      </w:r>
      <w:r>
        <w:rPr>
          <w:rFonts w:ascii="Times New Roman" w:hAnsi="Times New Roman" w:cs="Times New Roman"/>
          <w:noProof/>
          <w:sz w:val="24"/>
          <w:szCs w:val="24"/>
          <w:u w:val="single"/>
        </w:rPr>
        <w:t xml:space="preserve">Already closed chapters could be re-opened </w:t>
      </w:r>
      <w:r>
        <w:rPr>
          <w:rFonts w:ascii="Times New Roman" w:hAnsi="Times New Roman" w:cs="Times New Roman"/>
          <w:noProof/>
          <w:sz w:val="24"/>
          <w:szCs w:val="24"/>
        </w:rPr>
        <w:t>or reset if issues need to be reassessed.</w:t>
      </w:r>
    </w:p>
    <w:p w:rsidR="00224CF5" w:rsidRDefault="006C0217">
      <w:pPr>
        <w:widowControl w:val="0"/>
        <w:numPr>
          <w:ilvl w:val="0"/>
          <w:numId w:val="24"/>
        </w:num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noProof/>
          <w:sz w:val="24"/>
          <w:szCs w:val="24"/>
          <w:u w:val="single"/>
          <w:lang w:val="en-IE"/>
        </w:rPr>
        <w:t>scope and intensity of EU funding could be adjusted do</w:t>
      </w:r>
      <w:r>
        <w:rPr>
          <w:rFonts w:ascii="Times New Roman" w:hAnsi="Times New Roman" w:cs="Times New Roman"/>
          <w:noProof/>
          <w:sz w:val="24"/>
          <w:szCs w:val="24"/>
          <w:u w:val="single"/>
          <w:lang w:val="en-IE"/>
        </w:rPr>
        <w:t>wnward, with the exception of support to civil society</w:t>
      </w:r>
      <w:r>
        <w:rPr>
          <w:rFonts w:ascii="Times New Roman" w:hAnsi="Times New Roman" w:cs="Times New Roman"/>
          <w:noProof/>
          <w:sz w:val="24"/>
          <w:szCs w:val="24"/>
          <w:lang w:val="en-IE"/>
        </w:rPr>
        <w:t xml:space="preserve">. </w:t>
      </w:r>
    </w:p>
    <w:p w:rsidR="00224CF5" w:rsidRDefault="006C0217">
      <w:pPr>
        <w:widowControl w:val="0"/>
        <w:numPr>
          <w:ilvl w:val="0"/>
          <w:numId w:val="24"/>
        </w:num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Benefits of closer integration</w:t>
      </w:r>
      <w:r>
        <w:rPr>
          <w:rFonts w:ascii="Times New Roman" w:hAnsi="Times New Roman" w:cs="Times New Roman"/>
          <w:noProof/>
          <w:sz w:val="24"/>
          <w:szCs w:val="24"/>
          <w:lang w:val="en-IE"/>
        </w:rPr>
        <w:t xml:space="preserve">, e.g. access to EU programmes, unilateral concessions for market access </w:t>
      </w:r>
      <w:r>
        <w:rPr>
          <w:rFonts w:ascii="Times New Roman" w:hAnsi="Times New Roman" w:cs="Times New Roman"/>
          <w:noProof/>
          <w:sz w:val="24"/>
          <w:szCs w:val="24"/>
          <w:u w:val="single"/>
          <w:lang w:val="en-IE"/>
        </w:rPr>
        <w:t>could be paused or withdrawn</w:t>
      </w:r>
      <w:r>
        <w:rPr>
          <w:rFonts w:ascii="Times New Roman" w:hAnsi="Times New Roman" w:cs="Times New Roman"/>
          <w:noProof/>
          <w:sz w:val="24"/>
          <w:szCs w:val="24"/>
          <w:lang w:val="en-IE"/>
        </w:rPr>
        <w:t>.</w:t>
      </w:r>
    </w:p>
    <w:p w:rsidR="00224CF5" w:rsidRDefault="006C0217">
      <w:pPr>
        <w:widowControl w:val="0"/>
        <w:spacing w:after="120" w:line="240" w:lineRule="auto"/>
        <w:jc w:val="both"/>
        <w:rPr>
          <w:rFonts w:ascii="Times New Roman" w:hAnsi="Times New Roman" w:cs="Times New Roman"/>
          <w:noProof/>
          <w:sz w:val="24"/>
          <w:szCs w:val="24"/>
          <w:u w:val="single"/>
          <w:lang w:val="en-IE"/>
        </w:rPr>
      </w:pPr>
      <w:r>
        <w:rPr>
          <w:rFonts w:ascii="Times New Roman" w:hAnsi="Times New Roman" w:cs="Times New Roman"/>
          <w:noProof/>
          <w:sz w:val="24"/>
          <w:szCs w:val="24"/>
          <w:lang w:val="en-IE"/>
        </w:rPr>
        <w:t xml:space="preserve">Predictability and conditionality will also be enhanced through </w:t>
      </w:r>
      <w:r>
        <w:rPr>
          <w:rFonts w:ascii="Times New Roman" w:hAnsi="Times New Roman"/>
          <w:b/>
          <w:noProof/>
          <w:sz w:val="24"/>
          <w:lang w:val="en-IE"/>
        </w:rPr>
        <w:t>greater transparency</w:t>
      </w:r>
      <w:r>
        <w:rPr>
          <w:rFonts w:ascii="Times New Roman" w:hAnsi="Times New Roman" w:cs="Times New Roman"/>
          <w:noProof/>
          <w:sz w:val="24"/>
          <w:szCs w:val="24"/>
          <w:lang w:val="en-IE"/>
        </w:rPr>
        <w:t xml:space="preserve">. To ensure sustainability of reforms and facilitate monitoring of implementation, all key reforms in the countries should be carried out in a fully transparent and inclusive way, with key stakeholder involvement. For its part, the </w:t>
      </w:r>
      <w:r>
        <w:rPr>
          <w:rFonts w:ascii="Times New Roman" w:hAnsi="Times New Roman" w:cs="Times New Roman"/>
          <w:noProof/>
          <w:sz w:val="24"/>
          <w:szCs w:val="24"/>
        </w:rPr>
        <w:t>Euro</w:t>
      </w:r>
      <w:r>
        <w:rPr>
          <w:rFonts w:ascii="Times New Roman" w:hAnsi="Times New Roman" w:cs="Times New Roman"/>
          <w:noProof/>
          <w:sz w:val="24"/>
          <w:szCs w:val="24"/>
        </w:rPr>
        <w:t xml:space="preserve">pean Union </w:t>
      </w:r>
      <w:r>
        <w:rPr>
          <w:rFonts w:ascii="Times New Roman" w:hAnsi="Times New Roman" w:cs="Times New Roman"/>
          <w:noProof/>
          <w:sz w:val="24"/>
          <w:szCs w:val="24"/>
          <w:lang w:val="en-IE"/>
        </w:rPr>
        <w:t>should endeavour to make the process more transparent, with wider publication of key documents.</w:t>
      </w:r>
      <w:r>
        <w:rPr>
          <w:rFonts w:ascii="Times New Roman" w:hAnsi="Times New Roman" w:cs="Times New Roman"/>
          <w:noProof/>
          <w:sz w:val="24"/>
          <w:szCs w:val="24"/>
          <w:u w:val="single"/>
          <w:lang w:val="en-IE"/>
        </w:rPr>
        <w:t xml:space="preserve"> </w:t>
      </w:r>
    </w:p>
    <w:p w:rsidR="00224CF5" w:rsidRDefault="006C0217">
      <w:pPr>
        <w:pStyle w:val="Briefingtext"/>
        <w:spacing w:after="120"/>
        <w:rPr>
          <w:rFonts w:ascii="Times New Roman" w:eastAsia="Calibri" w:hAnsi="Times New Roman" w:cs="Times New Roman"/>
          <w:noProof/>
          <w:sz w:val="24"/>
        </w:rPr>
      </w:pPr>
      <w:r>
        <w:rPr>
          <w:rFonts w:ascii="Times New Roman" w:eastAsia="Calibri" w:hAnsi="Times New Roman" w:cs="Times New Roman"/>
          <w:noProof/>
          <w:sz w:val="24"/>
        </w:rPr>
        <w:t>The Commission will also continue its communication and information activities, including in EU Member States, where it is primarily for Member Stat</w:t>
      </w:r>
      <w:r>
        <w:rPr>
          <w:rFonts w:ascii="Times New Roman" w:eastAsia="Calibri" w:hAnsi="Times New Roman" w:cs="Times New Roman"/>
          <w:noProof/>
          <w:sz w:val="24"/>
        </w:rPr>
        <w:t xml:space="preserve">es to inform their citizens and provide them with the facts about the strategic opportunities and challenges of the process. </w:t>
      </w:r>
    </w:p>
    <w:p w:rsidR="00224CF5" w:rsidRDefault="006C0217">
      <w:pPr>
        <w:pStyle w:val="Briefingtext"/>
        <w:spacing w:after="120"/>
        <w:rPr>
          <w:rFonts w:ascii="Times New Roman" w:hAnsi="Times New Roman" w:cs="Times New Roman"/>
          <w:noProof/>
          <w:sz w:val="24"/>
        </w:rPr>
      </w:pPr>
      <w:r>
        <w:rPr>
          <w:rFonts w:ascii="Times New Roman" w:hAnsi="Times New Roman" w:cs="Times New Roman"/>
          <w:noProof/>
          <w:sz w:val="24"/>
        </w:rPr>
        <w:t>A table setting out the proposed clusters of chapters is attached in annex. Chapter 34 "</w:t>
      </w:r>
      <w:r>
        <w:rPr>
          <w:rFonts w:ascii="Times New Roman" w:hAnsi="Times New Roman" w:cs="Times New Roman"/>
          <w:i/>
          <w:noProof/>
          <w:sz w:val="24"/>
        </w:rPr>
        <w:t>Institutions</w:t>
      </w:r>
      <w:r>
        <w:rPr>
          <w:rFonts w:ascii="Times New Roman" w:hAnsi="Times New Roman" w:cs="Times New Roman"/>
          <w:noProof/>
          <w:sz w:val="24"/>
        </w:rPr>
        <w:t>" and chapter 35 "</w:t>
      </w:r>
      <w:r>
        <w:rPr>
          <w:rFonts w:ascii="Times New Roman" w:hAnsi="Times New Roman" w:cs="Times New Roman"/>
          <w:i/>
          <w:noProof/>
          <w:sz w:val="24"/>
        </w:rPr>
        <w:t>Other issues</w:t>
      </w:r>
      <w:r>
        <w:rPr>
          <w:rFonts w:ascii="Times New Roman" w:hAnsi="Times New Roman" w:cs="Times New Roman"/>
          <w:noProof/>
          <w:sz w:val="24"/>
        </w:rPr>
        <w:t xml:space="preserve">" will be handled separately. </w:t>
      </w:r>
      <w:r>
        <w:rPr>
          <w:rFonts w:ascii="Times New Roman" w:hAnsi="Times New Roman" w:cs="Times New Roman"/>
          <w:noProof/>
        </w:rPr>
        <w:br w:type="page"/>
      </w:r>
    </w:p>
    <w:p w:rsidR="00224CF5" w:rsidRDefault="006C0217">
      <w:pPr>
        <w:pageBreakBefore/>
        <w:spacing w:after="120" w:line="240" w:lineRule="auto"/>
        <w:jc w:val="both"/>
        <w:rPr>
          <w:rFonts w:ascii="Times New Roman" w:hAnsi="Times New Roman"/>
          <w:b/>
          <w:noProof/>
          <w:sz w:val="24"/>
          <w:u w:val="single"/>
        </w:rPr>
      </w:pPr>
      <w:r>
        <w:rPr>
          <w:rFonts w:ascii="Times New Roman" w:hAnsi="Times New Roman"/>
          <w:b/>
          <w:noProof/>
          <w:sz w:val="24"/>
          <w:u w:val="single"/>
        </w:rPr>
        <w:t xml:space="preserve">Technical </w:t>
      </w:r>
      <w:r>
        <w:rPr>
          <w:rFonts w:ascii="Times New Roman" w:hAnsi="Times New Roman" w:cs="Times New Roman"/>
          <w:b/>
          <w:noProof/>
          <w:sz w:val="24"/>
          <w:szCs w:val="24"/>
          <w:u w:val="single"/>
        </w:rPr>
        <w:t>annex:</w:t>
      </w:r>
      <w:r>
        <w:rPr>
          <w:rFonts w:ascii="Times New Roman" w:hAnsi="Times New Roman"/>
          <w:b/>
          <w:noProof/>
          <w:sz w:val="24"/>
          <w:u w:val="single"/>
        </w:rPr>
        <w:t xml:space="preserve"> clusters of negotiating chapters</w:t>
      </w:r>
    </w:p>
    <w:p w:rsidR="00224CF5" w:rsidRDefault="00224CF5">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Fundamentals </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23 - Judiciary and fundamental rights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24 - Justice, Freedom and Security</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Economic criteria</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Functioning of democratic institutions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Public administration reform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5 - Public procurement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18 - Statistics</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32 - Financial control</w:t>
            </w:r>
          </w:p>
        </w:tc>
        <w:bookmarkStart w:id="1" w:name="_GoBack"/>
        <w:bookmarkEnd w:id="1"/>
      </w:tr>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color w:val="000000" w:themeColor="text1"/>
                <w:sz w:val="24"/>
                <w:szCs w:val="24"/>
              </w:rPr>
              <w:t>Internal Market</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1 - Free movement of goods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2 - Freedom of movement for workers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3 - Right of establishment and freedom to provide services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4 - Free movement of </w:t>
            </w:r>
            <w:r>
              <w:rPr>
                <w:rFonts w:ascii="Times New Roman" w:hAnsi="Times New Roman" w:cs="Times New Roman"/>
                <w:noProof/>
                <w:sz w:val="24"/>
                <w:szCs w:val="24"/>
              </w:rPr>
              <w:t>capital</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6 - Company law</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7 - Intellectual property law</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8 - Competition policy</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9 - Financial services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28 - Consumer and health protection</w:t>
            </w:r>
          </w:p>
        </w:tc>
      </w:tr>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color w:val="000000" w:themeColor="text1"/>
                <w:sz w:val="24"/>
                <w:szCs w:val="24"/>
              </w:rPr>
              <w:t>Competitiveness and inclusive growth</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10 - Information society and media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16 - Taxation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17 - Economic and monetary pol</w:t>
            </w:r>
            <w:r>
              <w:rPr>
                <w:rFonts w:ascii="Times New Roman" w:hAnsi="Times New Roman" w:cs="Times New Roman"/>
                <w:noProof/>
                <w:sz w:val="24"/>
                <w:szCs w:val="24"/>
              </w:rPr>
              <w:t xml:space="preserve">icy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19 - Social policy and employment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20 - Enterprise and industrial policy</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25 - Science and research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26 - Education and culture</w:t>
            </w:r>
          </w:p>
          <w:p w:rsidR="00224CF5" w:rsidRDefault="006C0217">
            <w:pPr>
              <w:rPr>
                <w:rFonts w:ascii="Times New Roman" w:hAnsi="Times New Roman" w:cs="Times New Roman"/>
                <w:b/>
                <w:noProof/>
                <w:color w:val="C00000"/>
                <w:sz w:val="24"/>
                <w:szCs w:val="24"/>
              </w:rPr>
            </w:pPr>
            <w:r>
              <w:rPr>
                <w:rFonts w:ascii="Times New Roman" w:hAnsi="Times New Roman" w:cs="Times New Roman"/>
                <w:noProof/>
                <w:sz w:val="24"/>
                <w:szCs w:val="24"/>
              </w:rPr>
              <w:t>29 - Customs union</w:t>
            </w:r>
          </w:p>
        </w:tc>
      </w:tr>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color w:val="000000" w:themeColor="text1"/>
                <w:sz w:val="24"/>
                <w:szCs w:val="24"/>
              </w:rPr>
              <w:t>Green agenda and sustainable connectivity</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14 - Transport policy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15 - Energy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21 - Trans-European networks </w:t>
            </w:r>
          </w:p>
          <w:p w:rsidR="00224CF5" w:rsidRDefault="006C0217">
            <w:pPr>
              <w:rPr>
                <w:rFonts w:ascii="Times New Roman" w:hAnsi="Times New Roman" w:cs="Times New Roman"/>
                <w:b/>
                <w:noProof/>
                <w:color w:val="C00000"/>
                <w:sz w:val="24"/>
                <w:szCs w:val="24"/>
              </w:rPr>
            </w:pPr>
            <w:r>
              <w:rPr>
                <w:rFonts w:ascii="Times New Roman" w:hAnsi="Times New Roman" w:cs="Times New Roman"/>
                <w:noProof/>
                <w:sz w:val="24"/>
                <w:szCs w:val="24"/>
              </w:rPr>
              <w:t>27 - Environment and climate change</w:t>
            </w:r>
          </w:p>
        </w:tc>
      </w:tr>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color w:val="000000" w:themeColor="text1"/>
                <w:sz w:val="24"/>
                <w:szCs w:val="24"/>
              </w:rPr>
              <w:t>Resources, agriculture and cohesion</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11 - Agriculture and rural development</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12 - Food safety, veterinary and phytosanitary policy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13 - Fisheries </w:t>
            </w:r>
          </w:p>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22 - Regional policy &amp; coordination of stru</w:t>
            </w:r>
            <w:r>
              <w:rPr>
                <w:rFonts w:ascii="Times New Roman" w:hAnsi="Times New Roman" w:cs="Times New Roman"/>
                <w:noProof/>
                <w:sz w:val="24"/>
                <w:szCs w:val="24"/>
              </w:rPr>
              <w:t xml:space="preserve">ctural instruments </w:t>
            </w:r>
          </w:p>
          <w:p w:rsidR="00224CF5" w:rsidRDefault="006C0217">
            <w:pPr>
              <w:rPr>
                <w:rFonts w:ascii="Times New Roman" w:hAnsi="Times New Roman" w:cs="Times New Roman"/>
                <w:b/>
                <w:noProof/>
                <w:color w:val="C00000"/>
                <w:sz w:val="24"/>
                <w:szCs w:val="24"/>
              </w:rPr>
            </w:pPr>
            <w:r>
              <w:rPr>
                <w:rFonts w:ascii="Times New Roman" w:hAnsi="Times New Roman" w:cs="Times New Roman"/>
                <w:noProof/>
                <w:sz w:val="24"/>
                <w:szCs w:val="24"/>
              </w:rPr>
              <w:t>33 - Financial &amp; budgetary provisions</w:t>
            </w:r>
          </w:p>
        </w:tc>
      </w:tr>
      <w:tr w:rsidR="00224CF5">
        <w:tc>
          <w:tcPr>
            <w:tcW w:w="4656" w:type="dxa"/>
          </w:tcPr>
          <w:p w:rsidR="00224CF5" w:rsidRDefault="006C0217">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color w:val="000000" w:themeColor="text1"/>
                <w:sz w:val="24"/>
                <w:szCs w:val="24"/>
              </w:rPr>
              <w:t>External relations</w:t>
            </w:r>
          </w:p>
        </w:tc>
        <w:tc>
          <w:tcPr>
            <w:tcW w:w="4630" w:type="dxa"/>
          </w:tcPr>
          <w:p w:rsidR="00224CF5" w:rsidRDefault="006C0217">
            <w:pPr>
              <w:rPr>
                <w:rFonts w:ascii="Times New Roman" w:hAnsi="Times New Roman" w:cs="Times New Roman"/>
                <w:noProof/>
                <w:sz w:val="24"/>
                <w:szCs w:val="24"/>
              </w:rPr>
            </w:pPr>
            <w:r>
              <w:rPr>
                <w:rFonts w:ascii="Times New Roman" w:hAnsi="Times New Roman" w:cs="Times New Roman"/>
                <w:noProof/>
                <w:sz w:val="24"/>
                <w:szCs w:val="24"/>
              </w:rPr>
              <w:t xml:space="preserve">30 - External relations </w:t>
            </w:r>
          </w:p>
          <w:p w:rsidR="00224CF5" w:rsidRDefault="006C0217">
            <w:pPr>
              <w:rPr>
                <w:rFonts w:ascii="Times New Roman" w:hAnsi="Times New Roman" w:cs="Times New Roman"/>
                <w:b/>
                <w:noProof/>
                <w:color w:val="C00000"/>
                <w:sz w:val="24"/>
                <w:szCs w:val="24"/>
              </w:rPr>
            </w:pPr>
            <w:r>
              <w:rPr>
                <w:rFonts w:ascii="Times New Roman" w:hAnsi="Times New Roman" w:cs="Times New Roman"/>
                <w:noProof/>
                <w:sz w:val="24"/>
                <w:szCs w:val="24"/>
              </w:rPr>
              <w:t>31 - Foreign, security &amp; defence policy</w:t>
            </w:r>
          </w:p>
        </w:tc>
      </w:tr>
    </w:tbl>
    <w:p w:rsidR="00224CF5" w:rsidRDefault="00224CF5">
      <w:pPr>
        <w:spacing w:after="120" w:line="240" w:lineRule="auto"/>
        <w:rPr>
          <w:noProof/>
        </w:rPr>
      </w:pPr>
    </w:p>
    <w:p w:rsidR="00224CF5" w:rsidRDefault="006C0217">
      <w:pPr>
        <w:spacing w:before="100" w:beforeAutospacing="1" w:after="100" w:afterAutospacing="1"/>
        <w:rPr>
          <w:noProof/>
          <w:color w:val="1F497D"/>
        </w:rPr>
      </w:pPr>
      <w:r>
        <w:rPr>
          <w:noProof/>
          <w:color w:val="1F497D"/>
        </w:rPr>
        <w:t xml:space="preserve"> </w:t>
      </w:r>
    </w:p>
    <w:p w:rsidR="00224CF5" w:rsidRDefault="00224CF5">
      <w:pPr>
        <w:rPr>
          <w:noProof/>
        </w:rPr>
      </w:pPr>
    </w:p>
    <w:sectPr w:rsidR="00224CF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F5" w:rsidRDefault="006C0217">
      <w:pPr>
        <w:spacing w:after="0" w:line="240" w:lineRule="auto"/>
      </w:pPr>
      <w:r>
        <w:separator/>
      </w:r>
    </w:p>
  </w:endnote>
  <w:endnote w:type="continuationSeparator" w:id="0">
    <w:p w:rsidR="00224CF5" w:rsidRDefault="006C0217">
      <w:pPr>
        <w:spacing w:after="0" w:line="240" w:lineRule="auto"/>
      </w:pPr>
      <w:r>
        <w:continuationSeparator/>
      </w:r>
    </w:p>
  </w:endnote>
  <w:endnote w:type="continuationNotice" w:id="1">
    <w:p w:rsidR="00224CF5" w:rsidRDefault="0022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6C021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4416"/>
      <w:docPartObj>
        <w:docPartGallery w:val="Page Numbers (Bottom of Page)"/>
        <w:docPartUnique/>
      </w:docPartObj>
    </w:sdtPr>
    <w:sdtEndPr>
      <w:rPr>
        <w:rFonts w:ascii="Times New Roman" w:hAnsi="Times New Roman"/>
      </w:rPr>
    </w:sdtEndPr>
    <w:sdtContent>
      <w:p w:rsidR="00224CF5" w:rsidRDefault="006C0217">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3</w:t>
        </w:r>
        <w:r>
          <w:rPr>
            <w:rFonts w:ascii="Times New Roman" w:hAnsi="Times New Roman"/>
          </w:rPr>
          <w:fldChar w:fldCharType="end"/>
        </w:r>
      </w:p>
    </w:sdtContent>
  </w:sdt>
  <w:p w:rsidR="00224CF5" w:rsidRDefault="00224C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F5" w:rsidRDefault="006C0217">
      <w:pPr>
        <w:spacing w:after="0" w:line="240" w:lineRule="auto"/>
      </w:pPr>
      <w:r>
        <w:separator/>
      </w:r>
    </w:p>
  </w:footnote>
  <w:footnote w:type="continuationSeparator" w:id="0">
    <w:p w:rsidR="00224CF5" w:rsidRDefault="006C0217">
      <w:pPr>
        <w:spacing w:after="0" w:line="240" w:lineRule="auto"/>
      </w:pPr>
      <w:r>
        <w:continuationSeparator/>
      </w:r>
    </w:p>
  </w:footnote>
  <w:footnote w:type="continuationNotice" w:id="1">
    <w:p w:rsidR="00224CF5" w:rsidRDefault="00224CF5">
      <w:pPr>
        <w:spacing w:after="0" w:line="240" w:lineRule="auto"/>
      </w:pPr>
    </w:p>
  </w:footnote>
  <w:footnote w:id="2">
    <w:p w:rsidR="00224CF5" w:rsidRDefault="006C02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credible enlargement perspective for and enhanced EU engagement with the Western Balkans, COM(2018) 65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5" w:rsidRDefault="0022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371666-1E65-4DBB-8165-7E7EA803B709"/>
    <w:docVar w:name="LW_COVERPAGE_TYPE" w:val="1"/>
    <w:docVar w:name="LW_CROSSREFERENCE" w:val="&lt;UNUSED&gt;"/>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hancing the accession process - A credible EU perspective for the Western Balkans"/>
    <w:docVar w:name="LW_TYPE.DOC.CP" w:val="COMMUNICATION FROM THE COMMISSION TO THE EUROPEAN PARLIAMENT, THE COUNCIL, THE EUROPEAN ECONOMIC AND SOCIAL COMMITTEE AND THE COMMITTEE OF THE REGIONS"/>
    <w:docVar w:name="LW_TYPE.DOC.CP.USERTEXT" w:val="&lt;EMPTY&gt;"/>
  </w:docVars>
  <w:rsids>
    <w:rsidRoot w:val="00224CF5"/>
    <w:rsid w:val="00224CF5"/>
    <w:rsid w:val="006C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Pr>
      <w:rFonts w:ascii="Calibri" w:hAnsi="Calibri"/>
      <w:szCs w:val="21"/>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B443-F66E-48DE-80A1-21A1DCF7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3099</Words>
  <Characters>17202</Characters>
  <Application>Microsoft Office Word</Application>
  <DocSecurity>0</DocSecurity>
  <Lines>301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2020-02-05T07:39:00Z</dcterms:created>
  <dcterms:modified xsi:type="dcterms:W3CDTF">2020-02-05T08:14:00Z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