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C0A" w:rsidRDefault="00961E7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9B83B29-092B-48CE-99CC-1F1352C0A983" style="width:450.95pt;height:485.05pt">
            <v:imagedata r:id="rId11" o:title=""/>
          </v:shape>
        </w:pict>
      </w:r>
    </w:p>
    <w:bookmarkEnd w:id="0"/>
    <w:p w:rsidR="00630C0A" w:rsidRDefault="00630C0A">
      <w:pPr>
        <w:rPr>
          <w:noProof/>
          <w:lang w:eastAsia="en-US"/>
        </w:rPr>
        <w:sectPr w:rsidR="00630C0A">
          <w:headerReference w:type="even" r:id="rId12"/>
          <w:headerReference w:type="default" r:id="rId13"/>
          <w:footerReference w:type="even" r:id="rId14"/>
          <w:footerReference w:type="default" r:id="rId15"/>
          <w:headerReference w:type="first" r:id="rId16"/>
          <w:footerReference w:type="first" r:id="rId17"/>
          <w:footnotePr>
            <w:pos w:val="beneathText"/>
          </w:footnotePr>
          <w:endnotePr>
            <w:numFmt w:val="decimal"/>
          </w:endnotePr>
          <w:pgSz w:w="11906" w:h="16838" w:code="9"/>
          <w:pgMar w:top="1134" w:right="1417" w:bottom="1134" w:left="1417" w:header="709" w:footer="709" w:gutter="0"/>
          <w:pgNumType w:start="0"/>
          <w:cols w:space="720"/>
          <w:docGrid w:linePitch="360"/>
        </w:sectPr>
      </w:pPr>
    </w:p>
    <w:p w:rsidR="00630C0A" w:rsidRDefault="00961E71">
      <w:pPr>
        <w:autoSpaceDE w:val="0"/>
        <w:autoSpaceDN w:val="0"/>
        <w:adjustRightInd w:val="0"/>
        <w:jc w:val="center"/>
        <w:rPr>
          <w:b/>
          <w:bCs/>
          <w:noProof/>
          <w:lang w:eastAsia="en-US"/>
        </w:rPr>
      </w:pPr>
      <w:r>
        <w:rPr>
          <w:b/>
          <w:bCs/>
          <w:noProof/>
          <w:lang w:eastAsia="en-US"/>
        </w:rPr>
        <w:lastRenderedPageBreak/>
        <w:t>COMMISSION STAFF WORKING DOCUMENT</w:t>
      </w:r>
    </w:p>
    <w:p w:rsidR="00630C0A" w:rsidRDefault="00630C0A">
      <w:pPr>
        <w:autoSpaceDE w:val="0"/>
        <w:autoSpaceDN w:val="0"/>
        <w:adjustRightInd w:val="0"/>
        <w:jc w:val="center"/>
        <w:rPr>
          <w:b/>
          <w:bCs/>
          <w:noProof/>
          <w:lang w:eastAsia="en-US"/>
        </w:rPr>
      </w:pPr>
    </w:p>
    <w:p w:rsidR="00630C0A" w:rsidRDefault="00961E71">
      <w:pPr>
        <w:autoSpaceDE w:val="0"/>
        <w:autoSpaceDN w:val="0"/>
        <w:adjustRightInd w:val="0"/>
        <w:jc w:val="center"/>
        <w:rPr>
          <w:b/>
          <w:bCs/>
          <w:noProof/>
          <w:lang w:eastAsia="en-US"/>
        </w:rPr>
      </w:pPr>
      <w:r>
        <w:rPr>
          <w:b/>
          <w:bCs/>
          <w:noProof/>
          <w:lang w:eastAsia="en-US"/>
        </w:rPr>
        <w:t>Report on the application of Regulations (EU) No 1173/2011, 1174/2011, 1175/2011,</w:t>
      </w:r>
    </w:p>
    <w:p w:rsidR="00630C0A" w:rsidRDefault="00961E71">
      <w:pPr>
        <w:autoSpaceDE w:val="0"/>
        <w:autoSpaceDN w:val="0"/>
        <w:adjustRightInd w:val="0"/>
        <w:jc w:val="center"/>
        <w:rPr>
          <w:b/>
          <w:bCs/>
          <w:noProof/>
          <w:lang w:eastAsia="en-US"/>
        </w:rPr>
      </w:pPr>
      <w:r>
        <w:rPr>
          <w:b/>
          <w:bCs/>
          <w:noProof/>
          <w:lang w:eastAsia="en-US"/>
        </w:rPr>
        <w:t xml:space="preserve">1176/2011, 1177/2011, </w:t>
      </w:r>
      <w:r>
        <w:rPr>
          <w:b/>
          <w:bCs/>
          <w:noProof/>
          <w:lang w:eastAsia="en-US"/>
        </w:rPr>
        <w:t>472/2013 and 473/2013 and Council Directive 2011/85/EU</w:t>
      </w:r>
    </w:p>
    <w:p w:rsidR="00630C0A" w:rsidRDefault="00630C0A">
      <w:pPr>
        <w:autoSpaceDE w:val="0"/>
        <w:autoSpaceDN w:val="0"/>
        <w:adjustRightInd w:val="0"/>
        <w:jc w:val="center"/>
        <w:rPr>
          <w:b/>
          <w:bCs/>
          <w:noProof/>
          <w:lang w:eastAsia="en-US"/>
        </w:rPr>
      </w:pPr>
    </w:p>
    <w:p w:rsidR="00630C0A" w:rsidRDefault="00961E71">
      <w:pPr>
        <w:autoSpaceDE w:val="0"/>
        <w:autoSpaceDN w:val="0"/>
        <w:adjustRightInd w:val="0"/>
        <w:jc w:val="center"/>
        <w:rPr>
          <w:b/>
          <w:bCs/>
          <w:i/>
          <w:noProof/>
          <w:lang w:eastAsia="en-US"/>
        </w:rPr>
      </w:pPr>
      <w:r>
        <w:rPr>
          <w:b/>
          <w:bCs/>
          <w:i/>
          <w:noProof/>
          <w:lang w:eastAsia="en-US"/>
        </w:rPr>
        <w:t>Accompanying the document</w:t>
      </w:r>
    </w:p>
    <w:p w:rsidR="00630C0A" w:rsidRDefault="00630C0A">
      <w:pPr>
        <w:autoSpaceDE w:val="0"/>
        <w:autoSpaceDN w:val="0"/>
        <w:adjustRightInd w:val="0"/>
        <w:jc w:val="center"/>
        <w:rPr>
          <w:b/>
          <w:bCs/>
          <w:noProof/>
          <w:lang w:eastAsia="en-US"/>
        </w:rPr>
      </w:pPr>
    </w:p>
    <w:p w:rsidR="00630C0A" w:rsidRDefault="00961E71">
      <w:pPr>
        <w:autoSpaceDE w:val="0"/>
        <w:autoSpaceDN w:val="0"/>
        <w:adjustRightInd w:val="0"/>
        <w:jc w:val="center"/>
        <w:rPr>
          <w:b/>
          <w:bCs/>
          <w:noProof/>
          <w:lang w:eastAsia="en-US"/>
        </w:rPr>
      </w:pPr>
      <w:r>
        <w:rPr>
          <w:b/>
          <w:bCs/>
          <w:noProof/>
          <w:lang w:eastAsia="en-US"/>
        </w:rPr>
        <w:t>COMMUNICATION FROM THE COMMISSION TO THE EUROPEAN PARLIAMENT, THE COUNCIL, THE EUROPEAN CENTRAL BANK, THE EUROPEAN ECONOMIC AND SOCIAL COMMITTEE AND THE COMMITTEE OF THE REG</w:t>
      </w:r>
      <w:r>
        <w:rPr>
          <w:b/>
          <w:bCs/>
          <w:noProof/>
          <w:lang w:eastAsia="en-US"/>
        </w:rPr>
        <w:t>IONS</w:t>
      </w:r>
    </w:p>
    <w:p w:rsidR="00630C0A" w:rsidRDefault="00630C0A">
      <w:pPr>
        <w:autoSpaceDE w:val="0"/>
        <w:autoSpaceDN w:val="0"/>
        <w:adjustRightInd w:val="0"/>
        <w:jc w:val="center"/>
        <w:rPr>
          <w:b/>
          <w:bCs/>
          <w:noProof/>
          <w:lang w:eastAsia="en-US"/>
        </w:rPr>
      </w:pPr>
    </w:p>
    <w:p w:rsidR="00630C0A" w:rsidRDefault="00630C0A">
      <w:pPr>
        <w:autoSpaceDE w:val="0"/>
        <w:autoSpaceDN w:val="0"/>
        <w:adjustRightInd w:val="0"/>
        <w:jc w:val="center"/>
        <w:rPr>
          <w:b/>
          <w:bCs/>
          <w:noProof/>
          <w:lang w:eastAsia="en-US"/>
        </w:rPr>
      </w:pPr>
    </w:p>
    <w:p w:rsidR="00630C0A" w:rsidRDefault="00961E71">
      <w:pPr>
        <w:autoSpaceDE w:val="0"/>
        <w:autoSpaceDN w:val="0"/>
        <w:adjustRightInd w:val="0"/>
        <w:jc w:val="center"/>
        <w:rPr>
          <w:b/>
          <w:bCs/>
          <w:noProof/>
          <w:lang w:eastAsia="en-US"/>
        </w:rPr>
      </w:pPr>
      <w:r>
        <w:rPr>
          <w:b/>
          <w:bCs/>
          <w:noProof/>
          <w:lang w:eastAsia="en-US"/>
        </w:rPr>
        <w:t>Economic governance review</w:t>
      </w:r>
    </w:p>
    <w:p w:rsidR="00630C0A" w:rsidRDefault="00630C0A">
      <w:pPr>
        <w:autoSpaceDE w:val="0"/>
        <w:autoSpaceDN w:val="0"/>
        <w:adjustRightInd w:val="0"/>
        <w:jc w:val="center"/>
        <w:rPr>
          <w:b/>
          <w:bCs/>
          <w:noProof/>
          <w:lang w:eastAsia="en-US"/>
        </w:rPr>
      </w:pPr>
    </w:p>
    <w:p w:rsidR="00630C0A" w:rsidRDefault="00961E71">
      <w:pPr>
        <w:autoSpaceDE w:val="0"/>
        <w:autoSpaceDN w:val="0"/>
        <w:adjustRightInd w:val="0"/>
        <w:jc w:val="center"/>
        <w:rPr>
          <w:b/>
          <w:bCs/>
          <w:noProof/>
          <w:lang w:eastAsia="en-US"/>
        </w:rPr>
      </w:pPr>
      <w:r>
        <w:rPr>
          <w:b/>
          <w:bCs/>
          <w:noProof/>
          <w:lang w:eastAsia="en-US"/>
        </w:rPr>
        <w:t>Report on the application of Regulations (EU) No 1173/2011, 1174/2011, 1175/2011,</w:t>
      </w:r>
    </w:p>
    <w:p w:rsidR="00630C0A" w:rsidRDefault="00961E71">
      <w:pPr>
        <w:spacing w:after="120"/>
        <w:jc w:val="center"/>
        <w:rPr>
          <w:b/>
          <w:bCs/>
          <w:noProof/>
          <w:sz w:val="16"/>
          <w:szCs w:val="16"/>
          <w:lang w:eastAsia="en-US"/>
        </w:rPr>
      </w:pPr>
      <w:r>
        <w:rPr>
          <w:b/>
          <w:bCs/>
          <w:noProof/>
          <w:lang w:eastAsia="en-US"/>
        </w:rPr>
        <w:t>1176/2011, 1177/2011, 472/2013 and 473/2013 and Council Directive 2011/85/EU</w:t>
      </w:r>
      <w:r>
        <w:rPr>
          <w:rStyle w:val="FootnoteReference"/>
          <w:b/>
          <w:bCs/>
          <w:noProof/>
          <w:lang w:eastAsia="en-US"/>
        </w:rPr>
        <w:footnoteReference w:id="2"/>
      </w:r>
    </w:p>
    <w:p w:rsidR="00630C0A" w:rsidRDefault="00630C0A">
      <w:pPr>
        <w:spacing w:after="120"/>
        <w:jc w:val="center"/>
        <w:rPr>
          <w:b/>
          <w:bCs/>
          <w:noProof/>
        </w:rPr>
      </w:pPr>
    </w:p>
    <w:p w:rsidR="00630C0A" w:rsidRDefault="00630C0A">
      <w:pPr>
        <w:spacing w:after="120"/>
        <w:jc w:val="center"/>
        <w:rPr>
          <w:b/>
          <w:bCs/>
          <w:noProof/>
        </w:rPr>
      </w:pPr>
    </w:p>
    <w:p w:rsidR="00630C0A" w:rsidRDefault="00630C0A">
      <w:pPr>
        <w:spacing w:after="120"/>
        <w:jc w:val="center"/>
        <w:rPr>
          <w:b/>
          <w:bCs/>
          <w:noProof/>
        </w:rPr>
      </w:pPr>
    </w:p>
    <w:p w:rsidR="00630C0A" w:rsidRDefault="00630C0A">
      <w:pPr>
        <w:spacing w:after="120"/>
        <w:jc w:val="center"/>
        <w:rPr>
          <w:b/>
          <w:bCs/>
          <w:noProof/>
        </w:rPr>
      </w:pPr>
    </w:p>
    <w:p w:rsidR="00630C0A" w:rsidRDefault="00630C0A">
      <w:pPr>
        <w:spacing w:after="120"/>
        <w:jc w:val="center"/>
        <w:rPr>
          <w:b/>
          <w:bCs/>
          <w:noProof/>
        </w:rPr>
      </w:pPr>
    </w:p>
    <w:p w:rsidR="00630C0A" w:rsidRDefault="00630C0A">
      <w:pPr>
        <w:spacing w:after="120"/>
        <w:jc w:val="center"/>
        <w:rPr>
          <w:b/>
          <w:bCs/>
          <w:noProof/>
        </w:rPr>
      </w:pPr>
    </w:p>
    <w:p w:rsidR="00630C0A" w:rsidRDefault="00630C0A">
      <w:pPr>
        <w:spacing w:after="120"/>
        <w:jc w:val="center"/>
        <w:rPr>
          <w:b/>
          <w:bCs/>
          <w:noProof/>
        </w:rPr>
      </w:pPr>
    </w:p>
    <w:p w:rsidR="00630C0A" w:rsidRDefault="00630C0A">
      <w:pPr>
        <w:spacing w:after="120"/>
        <w:jc w:val="center"/>
        <w:rPr>
          <w:b/>
          <w:bCs/>
          <w:noProof/>
        </w:rPr>
      </w:pPr>
    </w:p>
    <w:p w:rsidR="00630C0A" w:rsidRDefault="00630C0A">
      <w:pPr>
        <w:spacing w:after="120"/>
        <w:jc w:val="center"/>
        <w:rPr>
          <w:b/>
          <w:bCs/>
          <w:noProof/>
        </w:rPr>
      </w:pPr>
    </w:p>
    <w:p w:rsidR="00630C0A" w:rsidRDefault="00630C0A">
      <w:pPr>
        <w:spacing w:after="120"/>
        <w:jc w:val="center"/>
        <w:rPr>
          <w:b/>
          <w:bCs/>
          <w:noProof/>
        </w:rPr>
      </w:pPr>
    </w:p>
    <w:p w:rsidR="00630C0A" w:rsidRDefault="00961E71">
      <w:pPr>
        <w:spacing w:after="200" w:line="276" w:lineRule="auto"/>
        <w:rPr>
          <w:noProof/>
        </w:rPr>
      </w:pPr>
      <w:r>
        <w:rPr>
          <w:b/>
          <w:bCs/>
          <w:noProof/>
          <w:highlight w:val="yellow"/>
        </w:rPr>
        <w:br w:type="page"/>
      </w:r>
    </w:p>
    <w:sdt>
      <w:sdtPr>
        <w:rPr>
          <w:rFonts w:ascii="Times New Roman" w:eastAsiaTheme="minorHAnsi" w:hAnsi="Times New Roman" w:cs="Times New Roman"/>
          <w:noProof/>
          <w:color w:val="auto"/>
          <w:sz w:val="24"/>
          <w:szCs w:val="24"/>
          <w:lang w:val="en-GB" w:eastAsia="en-GB"/>
        </w:rPr>
        <w:id w:val="-4064103"/>
        <w:docPartObj>
          <w:docPartGallery w:val="Table of Contents"/>
          <w:docPartUnique/>
        </w:docPartObj>
      </w:sdtPr>
      <w:sdtEndPr>
        <w:rPr>
          <w:b/>
          <w:bCs/>
        </w:rPr>
      </w:sdtEndPr>
      <w:sdtContent>
        <w:p w:rsidR="00630C0A" w:rsidRDefault="00961E71">
          <w:pPr>
            <w:pStyle w:val="TOCHeading"/>
            <w:tabs>
              <w:tab w:val="left" w:pos="6670"/>
            </w:tabs>
            <w:ind w:firstLine="0"/>
            <w:rPr>
              <w:rFonts w:ascii="Times New Roman" w:hAnsi="Times New Roman" w:cs="Times New Roman"/>
              <w:b/>
              <w:noProof/>
              <w:color w:val="auto"/>
            </w:rPr>
          </w:pPr>
          <w:r>
            <w:rPr>
              <w:rFonts w:ascii="Times New Roman" w:hAnsi="Times New Roman" w:cs="Times New Roman"/>
              <w:b/>
              <w:noProof/>
              <w:color w:val="auto"/>
            </w:rPr>
            <w:t>Table of Contents</w:t>
          </w:r>
          <w:r>
            <w:rPr>
              <w:rFonts w:ascii="Times New Roman" w:hAnsi="Times New Roman" w:cs="Times New Roman"/>
              <w:b/>
              <w:noProof/>
              <w:color w:val="auto"/>
            </w:rPr>
            <w:tab/>
          </w:r>
        </w:p>
        <w:p w:rsidR="00630C0A" w:rsidRDefault="00630C0A">
          <w:pPr>
            <w:rPr>
              <w:noProof/>
              <w:lang w:val="en-US" w:eastAsia="en-US"/>
            </w:rPr>
          </w:pPr>
        </w:p>
        <w:p w:rsidR="00630C0A" w:rsidRDefault="00961E71">
          <w:pPr>
            <w:pStyle w:val="TOC1"/>
            <w:rPr>
              <w:rFonts w:asciiTheme="minorHAnsi" w:eastAsiaTheme="minorEastAsia" w:hAnsiTheme="minorHAnsi" w:cstheme="minorBidi"/>
              <w:noProof/>
              <w:sz w:val="22"/>
              <w:szCs w:val="22"/>
            </w:rPr>
          </w:pPr>
          <w:r>
            <w:rPr>
              <w:noProof/>
            </w:rPr>
            <w:fldChar w:fldCharType="begin"/>
          </w:r>
          <w:r>
            <w:rPr>
              <w:noProof/>
            </w:rPr>
            <w:instrText xml:space="preserve"> TOC \o "1-3" \h \z \u </w:instrText>
          </w:r>
          <w:r>
            <w:rPr>
              <w:noProof/>
            </w:rPr>
            <w:fldChar w:fldCharType="separate"/>
          </w:r>
          <w:hyperlink w:anchor="_Toc31115856" w:history="1">
            <w:r>
              <w:rPr>
                <w:rStyle w:val="Hyperlink"/>
                <w:noProof/>
              </w:rPr>
              <w:t>1.</w:t>
            </w:r>
            <w:r>
              <w:rPr>
                <w:rFonts w:asciiTheme="minorHAnsi" w:eastAsiaTheme="minorEastAsia" w:hAnsiTheme="minorHAnsi" w:cstheme="minorBidi"/>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_Toc31115856 \h </w:instrText>
            </w:r>
            <w:r>
              <w:rPr>
                <w:noProof/>
                <w:webHidden/>
              </w:rPr>
            </w:r>
            <w:r>
              <w:rPr>
                <w:noProof/>
                <w:webHidden/>
              </w:rPr>
              <w:fldChar w:fldCharType="separate"/>
            </w:r>
            <w:r>
              <w:rPr>
                <w:noProof/>
                <w:webHidden/>
              </w:rPr>
              <w:t>3</w:t>
            </w:r>
            <w:r>
              <w:rPr>
                <w:noProof/>
                <w:webHidden/>
              </w:rPr>
              <w:fldChar w:fldCharType="end"/>
            </w:r>
          </w:hyperlink>
        </w:p>
        <w:p w:rsidR="00630C0A" w:rsidRDefault="00961E71">
          <w:pPr>
            <w:pStyle w:val="TOC1"/>
            <w:rPr>
              <w:rFonts w:asciiTheme="minorHAnsi" w:eastAsiaTheme="minorEastAsia" w:hAnsiTheme="minorHAnsi" w:cstheme="minorBidi"/>
              <w:noProof/>
              <w:sz w:val="22"/>
              <w:szCs w:val="22"/>
            </w:rPr>
          </w:pPr>
          <w:hyperlink w:anchor="_Toc31115857" w:history="1">
            <w:r>
              <w:rPr>
                <w:rStyle w:val="Hyperlink"/>
                <w:noProof/>
              </w:rPr>
              <w:t>2.</w:t>
            </w:r>
            <w:r>
              <w:rPr>
                <w:rFonts w:asciiTheme="minorHAnsi" w:eastAsiaTheme="minorEastAsia" w:hAnsiTheme="minorHAnsi" w:cstheme="minorBidi"/>
                <w:noProof/>
                <w:sz w:val="22"/>
                <w:szCs w:val="22"/>
              </w:rPr>
              <w:tab/>
            </w:r>
            <w:r>
              <w:rPr>
                <w:rStyle w:val="Hyperlink"/>
                <w:noProof/>
              </w:rPr>
              <w:t>Fiscal surveillance</w:t>
            </w:r>
            <w:r>
              <w:rPr>
                <w:noProof/>
                <w:webHidden/>
              </w:rPr>
              <w:tab/>
            </w:r>
            <w:r>
              <w:rPr>
                <w:noProof/>
                <w:webHidden/>
              </w:rPr>
              <w:fldChar w:fldCharType="begin"/>
            </w:r>
            <w:r>
              <w:rPr>
                <w:noProof/>
                <w:webHidden/>
              </w:rPr>
              <w:instrText xml:space="preserve"> PAGEREF _Toc31115857 \h </w:instrText>
            </w:r>
            <w:r>
              <w:rPr>
                <w:noProof/>
                <w:webHidden/>
              </w:rPr>
            </w:r>
            <w:r>
              <w:rPr>
                <w:noProof/>
                <w:webHidden/>
              </w:rPr>
              <w:fldChar w:fldCharType="separate"/>
            </w:r>
            <w:r>
              <w:rPr>
                <w:noProof/>
                <w:webHidden/>
              </w:rPr>
              <w:t>3</w:t>
            </w:r>
            <w:r>
              <w:rPr>
                <w:noProof/>
                <w:webHidden/>
              </w:rPr>
              <w:fldChar w:fldCharType="end"/>
            </w:r>
          </w:hyperlink>
        </w:p>
        <w:p w:rsidR="00630C0A" w:rsidRDefault="00961E71">
          <w:pPr>
            <w:pStyle w:val="TOC2"/>
            <w:tabs>
              <w:tab w:val="right" w:leader="dot" w:pos="9060"/>
            </w:tabs>
            <w:rPr>
              <w:rFonts w:asciiTheme="minorHAnsi" w:eastAsiaTheme="minorEastAsia" w:hAnsiTheme="minorHAnsi" w:cstheme="minorBidi"/>
              <w:noProof/>
              <w:sz w:val="22"/>
              <w:szCs w:val="22"/>
            </w:rPr>
          </w:pPr>
          <w:hyperlink w:anchor="_Toc31115858" w:history="1">
            <w:r>
              <w:rPr>
                <w:rStyle w:val="Hyperlink"/>
                <w:noProof/>
              </w:rPr>
              <w:t>2.1 Objectives of the Stability and Growth Pact</w:t>
            </w:r>
            <w:r>
              <w:rPr>
                <w:noProof/>
                <w:webHidden/>
              </w:rPr>
              <w:tab/>
            </w:r>
            <w:r>
              <w:rPr>
                <w:noProof/>
                <w:webHidden/>
              </w:rPr>
              <w:fldChar w:fldCharType="begin"/>
            </w:r>
            <w:r>
              <w:rPr>
                <w:noProof/>
                <w:webHidden/>
              </w:rPr>
              <w:instrText xml:space="preserve"> PAGEREF _Toc31115858 \h </w:instrText>
            </w:r>
            <w:r>
              <w:rPr>
                <w:noProof/>
                <w:webHidden/>
              </w:rPr>
            </w:r>
            <w:r>
              <w:rPr>
                <w:noProof/>
                <w:webHidden/>
              </w:rPr>
              <w:fldChar w:fldCharType="separate"/>
            </w:r>
            <w:r>
              <w:rPr>
                <w:noProof/>
                <w:webHidden/>
              </w:rPr>
              <w:t>3</w:t>
            </w:r>
            <w:r>
              <w:rPr>
                <w:noProof/>
                <w:webHidden/>
              </w:rPr>
              <w:fldChar w:fldCharType="end"/>
            </w:r>
          </w:hyperlink>
        </w:p>
        <w:p w:rsidR="00630C0A" w:rsidRDefault="00961E71">
          <w:pPr>
            <w:pStyle w:val="TOC2"/>
            <w:tabs>
              <w:tab w:val="right" w:leader="dot" w:pos="9060"/>
            </w:tabs>
            <w:rPr>
              <w:rFonts w:asciiTheme="minorHAnsi" w:eastAsiaTheme="minorEastAsia" w:hAnsiTheme="minorHAnsi" w:cstheme="minorBidi"/>
              <w:noProof/>
              <w:sz w:val="22"/>
              <w:szCs w:val="22"/>
            </w:rPr>
          </w:pPr>
          <w:hyperlink w:anchor="_Toc31115859" w:history="1">
            <w:r>
              <w:rPr>
                <w:rStyle w:val="Hyperlink"/>
                <w:noProof/>
              </w:rPr>
              <w:t>2.2 Implementation</w:t>
            </w:r>
            <w:r>
              <w:rPr>
                <w:rStyle w:val="Hyperlink"/>
                <w:noProof/>
              </w:rPr>
              <w:t xml:space="preserve"> of the Stability and Growth Pact</w:t>
            </w:r>
            <w:r>
              <w:rPr>
                <w:noProof/>
                <w:webHidden/>
              </w:rPr>
              <w:tab/>
            </w:r>
            <w:r>
              <w:rPr>
                <w:noProof/>
                <w:webHidden/>
              </w:rPr>
              <w:fldChar w:fldCharType="begin"/>
            </w:r>
            <w:r>
              <w:rPr>
                <w:noProof/>
                <w:webHidden/>
              </w:rPr>
              <w:instrText xml:space="preserve"> PAGEREF _Toc31115859 \h </w:instrText>
            </w:r>
            <w:r>
              <w:rPr>
                <w:noProof/>
                <w:webHidden/>
              </w:rPr>
            </w:r>
            <w:r>
              <w:rPr>
                <w:noProof/>
                <w:webHidden/>
              </w:rPr>
              <w:fldChar w:fldCharType="separate"/>
            </w:r>
            <w:r>
              <w:rPr>
                <w:noProof/>
                <w:webHidden/>
              </w:rPr>
              <w:t>6</w:t>
            </w:r>
            <w:r>
              <w:rPr>
                <w:noProof/>
                <w:webHidden/>
              </w:rPr>
              <w:fldChar w:fldCharType="end"/>
            </w:r>
          </w:hyperlink>
        </w:p>
        <w:p w:rsidR="00630C0A" w:rsidRDefault="00961E71">
          <w:pPr>
            <w:pStyle w:val="TOC2"/>
            <w:tabs>
              <w:tab w:val="right" w:leader="dot" w:pos="9060"/>
            </w:tabs>
            <w:rPr>
              <w:rFonts w:asciiTheme="minorHAnsi" w:eastAsiaTheme="minorEastAsia" w:hAnsiTheme="minorHAnsi" w:cstheme="minorBidi"/>
              <w:noProof/>
              <w:sz w:val="22"/>
              <w:szCs w:val="22"/>
            </w:rPr>
          </w:pPr>
          <w:hyperlink w:anchor="_Toc31115860" w:history="1">
            <w:r>
              <w:rPr>
                <w:rStyle w:val="Hyperlink"/>
                <w:noProof/>
              </w:rPr>
              <w:t>2.3 Developments at the level of national fiscal frameworks</w:t>
            </w:r>
            <w:r>
              <w:rPr>
                <w:noProof/>
                <w:webHidden/>
              </w:rPr>
              <w:tab/>
            </w:r>
            <w:r>
              <w:rPr>
                <w:noProof/>
                <w:webHidden/>
              </w:rPr>
              <w:fldChar w:fldCharType="begin"/>
            </w:r>
            <w:r>
              <w:rPr>
                <w:noProof/>
                <w:webHidden/>
              </w:rPr>
              <w:instrText xml:space="preserve"> PAGEREF _Toc31115860 \h </w:instrText>
            </w:r>
            <w:r>
              <w:rPr>
                <w:noProof/>
                <w:webHidden/>
              </w:rPr>
            </w:r>
            <w:r>
              <w:rPr>
                <w:noProof/>
                <w:webHidden/>
              </w:rPr>
              <w:fldChar w:fldCharType="separate"/>
            </w:r>
            <w:r>
              <w:rPr>
                <w:noProof/>
                <w:webHidden/>
              </w:rPr>
              <w:t>9</w:t>
            </w:r>
            <w:r>
              <w:rPr>
                <w:noProof/>
                <w:webHidden/>
              </w:rPr>
              <w:fldChar w:fldCharType="end"/>
            </w:r>
          </w:hyperlink>
        </w:p>
        <w:p w:rsidR="00630C0A" w:rsidRDefault="00961E71">
          <w:pPr>
            <w:pStyle w:val="TOC2"/>
            <w:tabs>
              <w:tab w:val="right" w:leader="dot" w:pos="9060"/>
            </w:tabs>
            <w:rPr>
              <w:rFonts w:asciiTheme="minorHAnsi" w:eastAsiaTheme="minorEastAsia" w:hAnsiTheme="minorHAnsi" w:cstheme="minorBidi"/>
              <w:noProof/>
              <w:sz w:val="22"/>
              <w:szCs w:val="22"/>
            </w:rPr>
          </w:pPr>
          <w:hyperlink w:anchor="_Toc31115861" w:history="1">
            <w:r>
              <w:rPr>
                <w:rStyle w:val="Hyperlink"/>
                <w:noProof/>
              </w:rPr>
              <w:t>2.4 Effectiveness of the fiscal surveillance framework</w:t>
            </w:r>
            <w:r>
              <w:rPr>
                <w:noProof/>
                <w:webHidden/>
              </w:rPr>
              <w:tab/>
            </w:r>
            <w:r>
              <w:rPr>
                <w:noProof/>
                <w:webHidden/>
              </w:rPr>
              <w:fldChar w:fldCharType="begin"/>
            </w:r>
            <w:r>
              <w:rPr>
                <w:noProof/>
                <w:webHidden/>
              </w:rPr>
              <w:instrText xml:space="preserve"> PAGEREF _Toc31115861 \h </w:instrText>
            </w:r>
            <w:r>
              <w:rPr>
                <w:noProof/>
                <w:webHidden/>
              </w:rPr>
            </w:r>
            <w:r>
              <w:rPr>
                <w:noProof/>
                <w:webHidden/>
              </w:rPr>
              <w:fldChar w:fldCharType="separate"/>
            </w:r>
            <w:r>
              <w:rPr>
                <w:noProof/>
                <w:webHidden/>
              </w:rPr>
              <w:t>11</w:t>
            </w:r>
            <w:r>
              <w:rPr>
                <w:noProof/>
                <w:webHidden/>
              </w:rPr>
              <w:fldChar w:fldCharType="end"/>
            </w:r>
          </w:hyperlink>
        </w:p>
        <w:p w:rsidR="00630C0A" w:rsidRDefault="00961E71">
          <w:pPr>
            <w:pStyle w:val="TOC2"/>
            <w:tabs>
              <w:tab w:val="right" w:leader="dot" w:pos="9060"/>
            </w:tabs>
            <w:rPr>
              <w:rFonts w:asciiTheme="minorHAnsi" w:eastAsiaTheme="minorEastAsia" w:hAnsiTheme="minorHAnsi" w:cstheme="minorBidi"/>
              <w:noProof/>
              <w:sz w:val="22"/>
              <w:szCs w:val="22"/>
            </w:rPr>
          </w:pPr>
          <w:hyperlink w:anchor="_Toc31115862" w:history="1">
            <w:r>
              <w:rPr>
                <w:rStyle w:val="Hyperlink"/>
                <w:noProof/>
              </w:rPr>
              <w:t>2.5 Conclusions</w:t>
            </w:r>
            <w:r>
              <w:rPr>
                <w:noProof/>
                <w:webHidden/>
              </w:rPr>
              <w:tab/>
            </w:r>
            <w:r>
              <w:rPr>
                <w:noProof/>
                <w:webHidden/>
              </w:rPr>
              <w:fldChar w:fldCharType="begin"/>
            </w:r>
            <w:r>
              <w:rPr>
                <w:noProof/>
                <w:webHidden/>
              </w:rPr>
              <w:instrText xml:space="preserve"> PAGEREF _Toc31115862 \h </w:instrText>
            </w:r>
            <w:r>
              <w:rPr>
                <w:noProof/>
                <w:webHidden/>
              </w:rPr>
            </w:r>
            <w:r>
              <w:rPr>
                <w:noProof/>
                <w:webHidden/>
              </w:rPr>
              <w:fldChar w:fldCharType="separate"/>
            </w:r>
            <w:r>
              <w:rPr>
                <w:noProof/>
                <w:webHidden/>
              </w:rPr>
              <w:t>27</w:t>
            </w:r>
            <w:r>
              <w:rPr>
                <w:noProof/>
                <w:webHidden/>
              </w:rPr>
              <w:fldChar w:fldCharType="end"/>
            </w:r>
          </w:hyperlink>
        </w:p>
        <w:p w:rsidR="00630C0A" w:rsidRDefault="00961E71">
          <w:pPr>
            <w:pStyle w:val="TOC1"/>
            <w:rPr>
              <w:rFonts w:asciiTheme="minorHAnsi" w:eastAsiaTheme="minorEastAsia" w:hAnsiTheme="minorHAnsi" w:cstheme="minorBidi"/>
              <w:noProof/>
              <w:sz w:val="22"/>
              <w:szCs w:val="22"/>
            </w:rPr>
          </w:pPr>
          <w:hyperlink w:anchor="_Toc31115863" w:history="1">
            <w:r>
              <w:rPr>
                <w:rStyle w:val="Hyperlink"/>
                <w:noProof/>
              </w:rPr>
              <w:t>3.</w:t>
            </w:r>
            <w:r>
              <w:rPr>
                <w:rFonts w:asciiTheme="minorHAnsi" w:eastAsiaTheme="minorEastAsia" w:hAnsiTheme="minorHAnsi" w:cstheme="minorBidi"/>
                <w:noProof/>
                <w:sz w:val="22"/>
                <w:szCs w:val="22"/>
              </w:rPr>
              <w:tab/>
            </w:r>
            <w:r>
              <w:rPr>
                <w:rStyle w:val="Hyperlink"/>
                <w:noProof/>
              </w:rPr>
              <w:t>Macroeconomic Imbalance Procedure</w:t>
            </w:r>
            <w:r>
              <w:rPr>
                <w:noProof/>
                <w:webHidden/>
              </w:rPr>
              <w:tab/>
            </w:r>
            <w:r>
              <w:rPr>
                <w:noProof/>
                <w:webHidden/>
              </w:rPr>
              <w:fldChar w:fldCharType="begin"/>
            </w:r>
            <w:r>
              <w:rPr>
                <w:noProof/>
                <w:webHidden/>
              </w:rPr>
              <w:instrText xml:space="preserve"> PAGEREF _Toc31115863 \h </w:instrText>
            </w:r>
            <w:r>
              <w:rPr>
                <w:noProof/>
                <w:webHidden/>
              </w:rPr>
            </w:r>
            <w:r>
              <w:rPr>
                <w:noProof/>
                <w:webHidden/>
              </w:rPr>
              <w:fldChar w:fldCharType="separate"/>
            </w:r>
            <w:r>
              <w:rPr>
                <w:noProof/>
                <w:webHidden/>
              </w:rPr>
              <w:t>29</w:t>
            </w:r>
            <w:r>
              <w:rPr>
                <w:noProof/>
                <w:webHidden/>
              </w:rPr>
              <w:fldChar w:fldCharType="end"/>
            </w:r>
          </w:hyperlink>
        </w:p>
        <w:p w:rsidR="00630C0A" w:rsidRDefault="00961E71">
          <w:pPr>
            <w:pStyle w:val="TOC2"/>
            <w:tabs>
              <w:tab w:val="right" w:leader="dot" w:pos="9060"/>
            </w:tabs>
            <w:rPr>
              <w:rFonts w:asciiTheme="minorHAnsi" w:eastAsiaTheme="minorEastAsia" w:hAnsiTheme="minorHAnsi" w:cstheme="minorBidi"/>
              <w:noProof/>
              <w:sz w:val="22"/>
              <w:szCs w:val="22"/>
            </w:rPr>
          </w:pPr>
          <w:hyperlink w:anchor="_Toc31115864" w:history="1">
            <w:r>
              <w:rPr>
                <w:rStyle w:val="Hyperlink"/>
                <w:noProof/>
              </w:rPr>
              <w:t>3.1 Objectives of the Macroeconomic Imbalance Procedure</w:t>
            </w:r>
            <w:r>
              <w:rPr>
                <w:noProof/>
                <w:webHidden/>
              </w:rPr>
              <w:tab/>
            </w:r>
            <w:r>
              <w:rPr>
                <w:noProof/>
                <w:webHidden/>
              </w:rPr>
              <w:fldChar w:fldCharType="begin"/>
            </w:r>
            <w:r>
              <w:rPr>
                <w:noProof/>
                <w:webHidden/>
              </w:rPr>
              <w:instrText xml:space="preserve"> PAGEREF _Toc31115864 \h </w:instrText>
            </w:r>
            <w:r>
              <w:rPr>
                <w:noProof/>
                <w:webHidden/>
              </w:rPr>
            </w:r>
            <w:r>
              <w:rPr>
                <w:noProof/>
                <w:webHidden/>
              </w:rPr>
              <w:fldChar w:fldCharType="separate"/>
            </w:r>
            <w:r>
              <w:rPr>
                <w:noProof/>
                <w:webHidden/>
              </w:rPr>
              <w:t>29</w:t>
            </w:r>
            <w:r>
              <w:rPr>
                <w:noProof/>
                <w:webHidden/>
              </w:rPr>
              <w:fldChar w:fldCharType="end"/>
            </w:r>
          </w:hyperlink>
        </w:p>
        <w:p w:rsidR="00630C0A" w:rsidRDefault="00961E71">
          <w:pPr>
            <w:pStyle w:val="TOC2"/>
            <w:tabs>
              <w:tab w:val="right" w:leader="dot" w:pos="9060"/>
            </w:tabs>
            <w:rPr>
              <w:rFonts w:asciiTheme="minorHAnsi" w:eastAsiaTheme="minorEastAsia" w:hAnsiTheme="minorHAnsi" w:cstheme="minorBidi"/>
              <w:noProof/>
              <w:sz w:val="22"/>
              <w:szCs w:val="22"/>
            </w:rPr>
          </w:pPr>
          <w:hyperlink w:anchor="_Toc31115865" w:history="1">
            <w:r>
              <w:rPr>
                <w:rStyle w:val="Hyperlink"/>
                <w:noProof/>
              </w:rPr>
              <w:t>3.2 Implementation of the MIP</w:t>
            </w:r>
            <w:r>
              <w:rPr>
                <w:noProof/>
                <w:webHidden/>
              </w:rPr>
              <w:tab/>
            </w:r>
            <w:r>
              <w:rPr>
                <w:noProof/>
                <w:webHidden/>
              </w:rPr>
              <w:fldChar w:fldCharType="begin"/>
            </w:r>
            <w:r>
              <w:rPr>
                <w:noProof/>
                <w:webHidden/>
              </w:rPr>
              <w:instrText xml:space="preserve"> PAGEREF _Toc31115865 \h </w:instrText>
            </w:r>
            <w:r>
              <w:rPr>
                <w:noProof/>
                <w:webHidden/>
              </w:rPr>
            </w:r>
            <w:r>
              <w:rPr>
                <w:noProof/>
                <w:webHidden/>
              </w:rPr>
              <w:fldChar w:fldCharType="separate"/>
            </w:r>
            <w:r>
              <w:rPr>
                <w:noProof/>
                <w:webHidden/>
              </w:rPr>
              <w:t>30</w:t>
            </w:r>
            <w:r>
              <w:rPr>
                <w:noProof/>
                <w:webHidden/>
              </w:rPr>
              <w:fldChar w:fldCharType="end"/>
            </w:r>
          </w:hyperlink>
        </w:p>
        <w:p w:rsidR="00630C0A" w:rsidRDefault="00961E71">
          <w:pPr>
            <w:pStyle w:val="TOC3"/>
            <w:tabs>
              <w:tab w:val="right" w:leader="dot" w:pos="9060"/>
            </w:tabs>
            <w:rPr>
              <w:rFonts w:asciiTheme="minorHAnsi" w:eastAsiaTheme="minorEastAsia" w:hAnsiTheme="minorHAnsi" w:cstheme="minorBidi"/>
              <w:noProof/>
              <w:sz w:val="22"/>
              <w:szCs w:val="22"/>
            </w:rPr>
          </w:pPr>
          <w:hyperlink w:anchor="_Toc31115866" w:history="1">
            <w:r>
              <w:rPr>
                <w:rStyle w:val="Hyperlink"/>
                <w:noProof/>
              </w:rPr>
              <w:t>3.2.1 The Alert Mechanism Report</w:t>
            </w:r>
            <w:r>
              <w:rPr>
                <w:noProof/>
                <w:webHidden/>
              </w:rPr>
              <w:tab/>
            </w:r>
            <w:r>
              <w:rPr>
                <w:noProof/>
                <w:webHidden/>
              </w:rPr>
              <w:fldChar w:fldCharType="begin"/>
            </w:r>
            <w:r>
              <w:rPr>
                <w:noProof/>
                <w:webHidden/>
              </w:rPr>
              <w:instrText xml:space="preserve"> PAGEREF _Toc31115866 \h </w:instrText>
            </w:r>
            <w:r>
              <w:rPr>
                <w:noProof/>
                <w:webHidden/>
              </w:rPr>
            </w:r>
            <w:r>
              <w:rPr>
                <w:noProof/>
                <w:webHidden/>
              </w:rPr>
              <w:fldChar w:fldCharType="separate"/>
            </w:r>
            <w:r>
              <w:rPr>
                <w:noProof/>
                <w:webHidden/>
              </w:rPr>
              <w:t>30</w:t>
            </w:r>
            <w:r>
              <w:rPr>
                <w:noProof/>
                <w:webHidden/>
              </w:rPr>
              <w:fldChar w:fldCharType="end"/>
            </w:r>
          </w:hyperlink>
        </w:p>
        <w:p w:rsidR="00630C0A" w:rsidRDefault="00961E71">
          <w:pPr>
            <w:pStyle w:val="TOC3"/>
            <w:tabs>
              <w:tab w:val="right" w:leader="dot" w:pos="9060"/>
            </w:tabs>
            <w:rPr>
              <w:rFonts w:asciiTheme="minorHAnsi" w:eastAsiaTheme="minorEastAsia" w:hAnsiTheme="minorHAnsi" w:cstheme="minorBidi"/>
              <w:noProof/>
              <w:sz w:val="22"/>
              <w:szCs w:val="22"/>
            </w:rPr>
          </w:pPr>
          <w:hyperlink w:anchor="_Toc31115867" w:history="1">
            <w:r>
              <w:rPr>
                <w:rStyle w:val="Hyperlink"/>
                <w:noProof/>
              </w:rPr>
              <w:t>3.2.2 In-depth reviews and classification of imbalances</w:t>
            </w:r>
            <w:r>
              <w:rPr>
                <w:noProof/>
                <w:webHidden/>
              </w:rPr>
              <w:tab/>
            </w:r>
            <w:r>
              <w:rPr>
                <w:noProof/>
                <w:webHidden/>
              </w:rPr>
              <w:fldChar w:fldCharType="begin"/>
            </w:r>
            <w:r>
              <w:rPr>
                <w:noProof/>
                <w:webHidden/>
              </w:rPr>
              <w:instrText xml:space="preserve"> PAGEREF _Toc31115867 \h </w:instrText>
            </w:r>
            <w:r>
              <w:rPr>
                <w:noProof/>
                <w:webHidden/>
              </w:rPr>
            </w:r>
            <w:r>
              <w:rPr>
                <w:noProof/>
                <w:webHidden/>
              </w:rPr>
              <w:fldChar w:fldCharType="separate"/>
            </w:r>
            <w:r>
              <w:rPr>
                <w:noProof/>
                <w:webHidden/>
              </w:rPr>
              <w:t>33</w:t>
            </w:r>
            <w:r>
              <w:rPr>
                <w:noProof/>
                <w:webHidden/>
              </w:rPr>
              <w:fldChar w:fldCharType="end"/>
            </w:r>
          </w:hyperlink>
        </w:p>
        <w:p w:rsidR="00630C0A" w:rsidRDefault="00961E71">
          <w:pPr>
            <w:pStyle w:val="TOC3"/>
            <w:tabs>
              <w:tab w:val="right" w:leader="dot" w:pos="9060"/>
            </w:tabs>
            <w:rPr>
              <w:rFonts w:asciiTheme="minorHAnsi" w:eastAsiaTheme="minorEastAsia" w:hAnsiTheme="minorHAnsi" w:cstheme="minorBidi"/>
              <w:noProof/>
              <w:sz w:val="22"/>
              <w:szCs w:val="22"/>
            </w:rPr>
          </w:pPr>
          <w:hyperlink w:anchor="_Toc31115868" w:history="1">
            <w:r>
              <w:rPr>
                <w:rStyle w:val="Hyperlink"/>
                <w:noProof/>
              </w:rPr>
              <w:t>3.2.3 Recommendation, monitoring, and enforcement</w:t>
            </w:r>
            <w:r>
              <w:rPr>
                <w:noProof/>
                <w:webHidden/>
              </w:rPr>
              <w:tab/>
            </w:r>
            <w:r>
              <w:rPr>
                <w:noProof/>
                <w:webHidden/>
              </w:rPr>
              <w:fldChar w:fldCharType="begin"/>
            </w:r>
            <w:r>
              <w:rPr>
                <w:noProof/>
                <w:webHidden/>
              </w:rPr>
              <w:instrText xml:space="preserve"> PAGEREF _Toc31115868 \h</w:instrText>
            </w:r>
            <w:r>
              <w:rPr>
                <w:noProof/>
                <w:webHidden/>
              </w:rPr>
              <w:instrText xml:space="preserve"> </w:instrText>
            </w:r>
            <w:r>
              <w:rPr>
                <w:noProof/>
                <w:webHidden/>
              </w:rPr>
            </w:r>
            <w:r>
              <w:rPr>
                <w:noProof/>
                <w:webHidden/>
              </w:rPr>
              <w:fldChar w:fldCharType="separate"/>
            </w:r>
            <w:r>
              <w:rPr>
                <w:noProof/>
                <w:webHidden/>
              </w:rPr>
              <w:t>37</w:t>
            </w:r>
            <w:r>
              <w:rPr>
                <w:noProof/>
                <w:webHidden/>
              </w:rPr>
              <w:fldChar w:fldCharType="end"/>
            </w:r>
          </w:hyperlink>
        </w:p>
        <w:p w:rsidR="00630C0A" w:rsidRDefault="00961E71">
          <w:pPr>
            <w:pStyle w:val="TOC2"/>
            <w:tabs>
              <w:tab w:val="right" w:leader="dot" w:pos="9060"/>
            </w:tabs>
            <w:rPr>
              <w:rFonts w:asciiTheme="minorHAnsi" w:eastAsiaTheme="minorEastAsia" w:hAnsiTheme="minorHAnsi" w:cstheme="minorBidi"/>
              <w:noProof/>
              <w:sz w:val="22"/>
              <w:szCs w:val="22"/>
            </w:rPr>
          </w:pPr>
          <w:hyperlink w:anchor="_Toc31115869" w:history="1">
            <w:r>
              <w:rPr>
                <w:rStyle w:val="Hyperlink"/>
                <w:noProof/>
              </w:rPr>
              <w:t>3.3 Effectiveness of the MIP</w:t>
            </w:r>
            <w:r>
              <w:rPr>
                <w:noProof/>
                <w:webHidden/>
              </w:rPr>
              <w:tab/>
            </w:r>
            <w:r>
              <w:rPr>
                <w:noProof/>
                <w:webHidden/>
              </w:rPr>
              <w:fldChar w:fldCharType="begin"/>
            </w:r>
            <w:r>
              <w:rPr>
                <w:noProof/>
                <w:webHidden/>
              </w:rPr>
              <w:instrText xml:space="preserve"> PAGEREF _Toc31115869 \h </w:instrText>
            </w:r>
            <w:r>
              <w:rPr>
                <w:noProof/>
                <w:webHidden/>
              </w:rPr>
            </w:r>
            <w:r>
              <w:rPr>
                <w:noProof/>
                <w:webHidden/>
              </w:rPr>
              <w:fldChar w:fldCharType="separate"/>
            </w:r>
            <w:r>
              <w:rPr>
                <w:noProof/>
                <w:webHidden/>
              </w:rPr>
              <w:t>41</w:t>
            </w:r>
            <w:r>
              <w:rPr>
                <w:noProof/>
                <w:webHidden/>
              </w:rPr>
              <w:fldChar w:fldCharType="end"/>
            </w:r>
          </w:hyperlink>
        </w:p>
        <w:p w:rsidR="00630C0A" w:rsidRDefault="00961E71">
          <w:pPr>
            <w:pStyle w:val="TOC3"/>
            <w:tabs>
              <w:tab w:val="right" w:leader="dot" w:pos="9060"/>
            </w:tabs>
            <w:rPr>
              <w:rFonts w:asciiTheme="minorHAnsi" w:eastAsiaTheme="minorEastAsia" w:hAnsiTheme="minorHAnsi" w:cstheme="minorBidi"/>
              <w:noProof/>
              <w:sz w:val="22"/>
              <w:szCs w:val="22"/>
            </w:rPr>
          </w:pPr>
          <w:hyperlink w:anchor="_Toc31115870" w:history="1">
            <w:r>
              <w:rPr>
                <w:rStyle w:val="Hyperlink"/>
                <w:noProof/>
              </w:rPr>
              <w:t>3.3.1 Follow-up to policy recommendations</w:t>
            </w:r>
            <w:r>
              <w:rPr>
                <w:noProof/>
                <w:webHidden/>
              </w:rPr>
              <w:tab/>
            </w:r>
            <w:r>
              <w:rPr>
                <w:noProof/>
                <w:webHidden/>
              </w:rPr>
              <w:fldChar w:fldCharType="begin"/>
            </w:r>
            <w:r>
              <w:rPr>
                <w:noProof/>
                <w:webHidden/>
              </w:rPr>
              <w:instrText xml:space="preserve"> PAGEREF _Toc31115870 \h </w:instrText>
            </w:r>
            <w:r>
              <w:rPr>
                <w:noProof/>
                <w:webHidden/>
              </w:rPr>
            </w:r>
            <w:r>
              <w:rPr>
                <w:noProof/>
                <w:webHidden/>
              </w:rPr>
              <w:fldChar w:fldCharType="separate"/>
            </w:r>
            <w:r>
              <w:rPr>
                <w:noProof/>
                <w:webHidden/>
              </w:rPr>
              <w:t>41</w:t>
            </w:r>
            <w:r>
              <w:rPr>
                <w:noProof/>
                <w:webHidden/>
              </w:rPr>
              <w:fldChar w:fldCharType="end"/>
            </w:r>
          </w:hyperlink>
        </w:p>
        <w:p w:rsidR="00630C0A" w:rsidRDefault="00961E71">
          <w:pPr>
            <w:pStyle w:val="TOC3"/>
            <w:tabs>
              <w:tab w:val="right" w:leader="dot" w:pos="9060"/>
            </w:tabs>
            <w:rPr>
              <w:rFonts w:asciiTheme="minorHAnsi" w:eastAsiaTheme="minorEastAsia" w:hAnsiTheme="minorHAnsi" w:cstheme="minorBidi"/>
              <w:noProof/>
              <w:sz w:val="22"/>
              <w:szCs w:val="22"/>
            </w:rPr>
          </w:pPr>
          <w:hyperlink w:anchor="_Toc31115871" w:history="1">
            <w:r>
              <w:rPr>
                <w:rStyle w:val="Hyperlink"/>
                <w:noProof/>
              </w:rPr>
              <w:t>3.3.2 The development of a supportive policy environment</w:t>
            </w:r>
            <w:r>
              <w:rPr>
                <w:noProof/>
                <w:webHidden/>
              </w:rPr>
              <w:tab/>
            </w:r>
            <w:r>
              <w:rPr>
                <w:noProof/>
                <w:webHidden/>
              </w:rPr>
              <w:fldChar w:fldCharType="begin"/>
            </w:r>
            <w:r>
              <w:rPr>
                <w:noProof/>
                <w:webHidden/>
              </w:rPr>
              <w:instrText xml:space="preserve"> PAGEREF _Toc31115871 \h </w:instrText>
            </w:r>
            <w:r>
              <w:rPr>
                <w:noProof/>
                <w:webHidden/>
              </w:rPr>
            </w:r>
            <w:r>
              <w:rPr>
                <w:noProof/>
                <w:webHidden/>
              </w:rPr>
              <w:fldChar w:fldCharType="separate"/>
            </w:r>
            <w:r>
              <w:rPr>
                <w:noProof/>
                <w:webHidden/>
              </w:rPr>
              <w:t>43</w:t>
            </w:r>
            <w:r>
              <w:rPr>
                <w:noProof/>
                <w:webHidden/>
              </w:rPr>
              <w:fldChar w:fldCharType="end"/>
            </w:r>
          </w:hyperlink>
        </w:p>
        <w:p w:rsidR="00630C0A" w:rsidRDefault="00961E71">
          <w:pPr>
            <w:pStyle w:val="TOC3"/>
            <w:tabs>
              <w:tab w:val="right" w:leader="dot" w:pos="9060"/>
            </w:tabs>
            <w:rPr>
              <w:rFonts w:asciiTheme="minorHAnsi" w:eastAsiaTheme="minorEastAsia" w:hAnsiTheme="minorHAnsi" w:cstheme="minorBidi"/>
              <w:noProof/>
              <w:sz w:val="22"/>
              <w:szCs w:val="22"/>
            </w:rPr>
          </w:pPr>
          <w:hyperlink w:anchor="_Toc31115872" w:history="1">
            <w:r>
              <w:rPr>
                <w:rStyle w:val="Hyperlink"/>
                <w:noProof/>
              </w:rPr>
              <w:t>3.3.3 Impact on economic outcomes</w:t>
            </w:r>
            <w:r>
              <w:rPr>
                <w:noProof/>
                <w:webHidden/>
              </w:rPr>
              <w:tab/>
            </w:r>
            <w:r>
              <w:rPr>
                <w:noProof/>
                <w:webHidden/>
              </w:rPr>
              <w:fldChar w:fldCharType="begin"/>
            </w:r>
            <w:r>
              <w:rPr>
                <w:noProof/>
                <w:webHidden/>
              </w:rPr>
              <w:instrText xml:space="preserve"> PAGEREF _Toc31115872 \h </w:instrText>
            </w:r>
            <w:r>
              <w:rPr>
                <w:noProof/>
                <w:webHidden/>
              </w:rPr>
            </w:r>
            <w:r>
              <w:rPr>
                <w:noProof/>
                <w:webHidden/>
              </w:rPr>
              <w:fldChar w:fldCharType="separate"/>
            </w:r>
            <w:r>
              <w:rPr>
                <w:noProof/>
                <w:webHidden/>
              </w:rPr>
              <w:t>46</w:t>
            </w:r>
            <w:r>
              <w:rPr>
                <w:noProof/>
                <w:webHidden/>
              </w:rPr>
              <w:fldChar w:fldCharType="end"/>
            </w:r>
          </w:hyperlink>
        </w:p>
        <w:p w:rsidR="00630C0A" w:rsidRDefault="00961E71">
          <w:pPr>
            <w:pStyle w:val="TOC2"/>
            <w:tabs>
              <w:tab w:val="right" w:leader="dot" w:pos="9060"/>
            </w:tabs>
            <w:rPr>
              <w:rFonts w:asciiTheme="minorHAnsi" w:eastAsiaTheme="minorEastAsia" w:hAnsiTheme="minorHAnsi" w:cstheme="minorBidi"/>
              <w:noProof/>
              <w:sz w:val="22"/>
              <w:szCs w:val="22"/>
            </w:rPr>
          </w:pPr>
          <w:hyperlink w:anchor="_Toc31115873" w:history="1">
            <w:r>
              <w:rPr>
                <w:rStyle w:val="Hyperlink"/>
                <w:noProof/>
              </w:rPr>
              <w:t>3.4 Conclusions</w:t>
            </w:r>
            <w:r>
              <w:rPr>
                <w:noProof/>
                <w:webHidden/>
              </w:rPr>
              <w:tab/>
            </w:r>
            <w:r>
              <w:rPr>
                <w:noProof/>
                <w:webHidden/>
              </w:rPr>
              <w:fldChar w:fldCharType="begin"/>
            </w:r>
            <w:r>
              <w:rPr>
                <w:noProof/>
                <w:webHidden/>
              </w:rPr>
              <w:instrText xml:space="preserve"> PAGEREF _Toc31115873 \h </w:instrText>
            </w:r>
            <w:r>
              <w:rPr>
                <w:noProof/>
                <w:webHidden/>
              </w:rPr>
            </w:r>
            <w:r>
              <w:rPr>
                <w:noProof/>
                <w:webHidden/>
              </w:rPr>
              <w:fldChar w:fldCharType="separate"/>
            </w:r>
            <w:r>
              <w:rPr>
                <w:noProof/>
                <w:webHidden/>
              </w:rPr>
              <w:t>49</w:t>
            </w:r>
            <w:r>
              <w:rPr>
                <w:noProof/>
                <w:webHidden/>
              </w:rPr>
              <w:fldChar w:fldCharType="end"/>
            </w:r>
          </w:hyperlink>
        </w:p>
        <w:p w:rsidR="00630C0A" w:rsidRDefault="00961E71">
          <w:pPr>
            <w:pStyle w:val="TOC1"/>
            <w:rPr>
              <w:rFonts w:asciiTheme="minorHAnsi" w:eastAsiaTheme="minorEastAsia" w:hAnsiTheme="minorHAnsi" w:cstheme="minorBidi"/>
              <w:noProof/>
              <w:sz w:val="22"/>
              <w:szCs w:val="22"/>
            </w:rPr>
          </w:pPr>
          <w:hyperlink w:anchor="_Toc31115874" w:history="1">
            <w:r>
              <w:rPr>
                <w:rStyle w:val="Hyperlink"/>
                <w:noProof/>
              </w:rPr>
              <w:t>4. Euro area Member States experiencing or threatened with serious difficulties with financial stability</w:t>
            </w:r>
            <w:r>
              <w:rPr>
                <w:noProof/>
                <w:webHidden/>
              </w:rPr>
              <w:tab/>
            </w:r>
            <w:r>
              <w:rPr>
                <w:noProof/>
                <w:webHidden/>
              </w:rPr>
              <w:fldChar w:fldCharType="begin"/>
            </w:r>
            <w:r>
              <w:rPr>
                <w:noProof/>
                <w:webHidden/>
              </w:rPr>
              <w:instrText xml:space="preserve"> PAGEREF _Toc31115874 \h </w:instrText>
            </w:r>
            <w:r>
              <w:rPr>
                <w:noProof/>
                <w:webHidden/>
              </w:rPr>
            </w:r>
            <w:r>
              <w:rPr>
                <w:noProof/>
                <w:webHidden/>
              </w:rPr>
              <w:fldChar w:fldCharType="separate"/>
            </w:r>
            <w:r>
              <w:rPr>
                <w:noProof/>
                <w:webHidden/>
              </w:rPr>
              <w:t>54</w:t>
            </w:r>
            <w:r>
              <w:rPr>
                <w:noProof/>
                <w:webHidden/>
              </w:rPr>
              <w:fldChar w:fldCharType="end"/>
            </w:r>
          </w:hyperlink>
        </w:p>
        <w:p w:rsidR="00630C0A" w:rsidRDefault="00961E71">
          <w:pPr>
            <w:pStyle w:val="TOC2"/>
            <w:tabs>
              <w:tab w:val="right" w:leader="dot" w:pos="9060"/>
            </w:tabs>
            <w:rPr>
              <w:rFonts w:asciiTheme="minorHAnsi" w:eastAsiaTheme="minorEastAsia" w:hAnsiTheme="minorHAnsi" w:cstheme="minorBidi"/>
              <w:noProof/>
              <w:sz w:val="22"/>
              <w:szCs w:val="22"/>
            </w:rPr>
          </w:pPr>
          <w:hyperlink w:anchor="_Toc31115875" w:history="1">
            <w:r>
              <w:rPr>
                <w:rStyle w:val="Hyperlink"/>
                <w:noProof/>
              </w:rPr>
              <w:t>4.1 Objectives</w:t>
            </w:r>
            <w:r>
              <w:rPr>
                <w:noProof/>
                <w:webHidden/>
              </w:rPr>
              <w:tab/>
            </w:r>
            <w:r>
              <w:rPr>
                <w:noProof/>
                <w:webHidden/>
              </w:rPr>
              <w:fldChar w:fldCharType="begin"/>
            </w:r>
            <w:r>
              <w:rPr>
                <w:noProof/>
                <w:webHidden/>
              </w:rPr>
              <w:instrText xml:space="preserve"> PAGEREF _Toc31115875 \h </w:instrText>
            </w:r>
            <w:r>
              <w:rPr>
                <w:noProof/>
                <w:webHidden/>
              </w:rPr>
            </w:r>
            <w:r>
              <w:rPr>
                <w:noProof/>
                <w:webHidden/>
              </w:rPr>
              <w:fldChar w:fldCharType="separate"/>
            </w:r>
            <w:r>
              <w:rPr>
                <w:noProof/>
                <w:webHidden/>
              </w:rPr>
              <w:t>54</w:t>
            </w:r>
            <w:r>
              <w:rPr>
                <w:noProof/>
                <w:webHidden/>
              </w:rPr>
              <w:fldChar w:fldCharType="end"/>
            </w:r>
          </w:hyperlink>
        </w:p>
        <w:p w:rsidR="00630C0A" w:rsidRDefault="00961E71">
          <w:pPr>
            <w:pStyle w:val="TOC2"/>
            <w:tabs>
              <w:tab w:val="right" w:leader="dot" w:pos="9060"/>
            </w:tabs>
            <w:rPr>
              <w:rFonts w:asciiTheme="minorHAnsi" w:eastAsiaTheme="minorEastAsia" w:hAnsiTheme="minorHAnsi" w:cstheme="minorBidi"/>
              <w:noProof/>
              <w:sz w:val="22"/>
              <w:szCs w:val="22"/>
            </w:rPr>
          </w:pPr>
          <w:hyperlink w:anchor="_Toc31115876" w:history="1">
            <w:r>
              <w:rPr>
                <w:rStyle w:val="Hyperlink"/>
                <w:noProof/>
              </w:rPr>
              <w:t>4.2 Enhanced surveillance</w:t>
            </w:r>
            <w:r>
              <w:rPr>
                <w:noProof/>
                <w:webHidden/>
              </w:rPr>
              <w:tab/>
            </w:r>
            <w:r>
              <w:rPr>
                <w:noProof/>
                <w:webHidden/>
              </w:rPr>
              <w:fldChar w:fldCharType="begin"/>
            </w:r>
            <w:r>
              <w:rPr>
                <w:noProof/>
                <w:webHidden/>
              </w:rPr>
              <w:instrText xml:space="preserve"> PAGEREF _Toc31115876 \h </w:instrText>
            </w:r>
            <w:r>
              <w:rPr>
                <w:noProof/>
                <w:webHidden/>
              </w:rPr>
            </w:r>
            <w:r>
              <w:rPr>
                <w:noProof/>
                <w:webHidden/>
              </w:rPr>
              <w:fldChar w:fldCharType="separate"/>
            </w:r>
            <w:r>
              <w:rPr>
                <w:noProof/>
                <w:webHidden/>
              </w:rPr>
              <w:t>54</w:t>
            </w:r>
            <w:r>
              <w:rPr>
                <w:noProof/>
                <w:webHidden/>
              </w:rPr>
              <w:fldChar w:fldCharType="end"/>
            </w:r>
          </w:hyperlink>
        </w:p>
        <w:p w:rsidR="00630C0A" w:rsidRDefault="00961E71">
          <w:pPr>
            <w:pStyle w:val="TOC2"/>
            <w:tabs>
              <w:tab w:val="right" w:leader="dot" w:pos="9060"/>
            </w:tabs>
            <w:rPr>
              <w:rFonts w:asciiTheme="minorHAnsi" w:eastAsiaTheme="minorEastAsia" w:hAnsiTheme="minorHAnsi" w:cstheme="minorBidi"/>
              <w:noProof/>
              <w:sz w:val="22"/>
              <w:szCs w:val="22"/>
            </w:rPr>
          </w:pPr>
          <w:hyperlink w:anchor="_Toc31115877" w:history="1">
            <w:r>
              <w:rPr>
                <w:rStyle w:val="Hyperlink"/>
                <w:noProof/>
              </w:rPr>
              <w:t>4.3 Financial assistance and macroeconomic adjustment programmes</w:t>
            </w:r>
            <w:r>
              <w:rPr>
                <w:noProof/>
                <w:webHidden/>
              </w:rPr>
              <w:tab/>
            </w:r>
            <w:r>
              <w:rPr>
                <w:noProof/>
                <w:webHidden/>
              </w:rPr>
              <w:fldChar w:fldCharType="begin"/>
            </w:r>
            <w:r>
              <w:rPr>
                <w:noProof/>
                <w:webHidden/>
              </w:rPr>
              <w:instrText xml:space="preserve"> PAGEREF _Toc31115877 \h </w:instrText>
            </w:r>
            <w:r>
              <w:rPr>
                <w:noProof/>
                <w:webHidden/>
              </w:rPr>
            </w:r>
            <w:r>
              <w:rPr>
                <w:noProof/>
                <w:webHidden/>
              </w:rPr>
              <w:fldChar w:fldCharType="separate"/>
            </w:r>
            <w:r>
              <w:rPr>
                <w:noProof/>
                <w:webHidden/>
              </w:rPr>
              <w:t>55</w:t>
            </w:r>
            <w:r>
              <w:rPr>
                <w:noProof/>
                <w:webHidden/>
              </w:rPr>
              <w:fldChar w:fldCharType="end"/>
            </w:r>
          </w:hyperlink>
        </w:p>
        <w:p w:rsidR="00630C0A" w:rsidRDefault="00961E71">
          <w:pPr>
            <w:pStyle w:val="TOC2"/>
            <w:tabs>
              <w:tab w:val="right" w:leader="dot" w:pos="9060"/>
            </w:tabs>
            <w:rPr>
              <w:rFonts w:asciiTheme="minorHAnsi" w:eastAsiaTheme="minorEastAsia" w:hAnsiTheme="minorHAnsi" w:cstheme="minorBidi"/>
              <w:noProof/>
              <w:sz w:val="22"/>
              <w:szCs w:val="22"/>
            </w:rPr>
          </w:pPr>
          <w:hyperlink w:anchor="_Toc31115878" w:history="1">
            <w:r>
              <w:rPr>
                <w:rStyle w:val="Hyperlink"/>
                <w:noProof/>
              </w:rPr>
              <w:t>4.4 Post-programme surveillance</w:t>
            </w:r>
            <w:r>
              <w:rPr>
                <w:noProof/>
                <w:webHidden/>
              </w:rPr>
              <w:tab/>
            </w:r>
            <w:r>
              <w:rPr>
                <w:noProof/>
                <w:webHidden/>
              </w:rPr>
              <w:fldChar w:fldCharType="begin"/>
            </w:r>
            <w:r>
              <w:rPr>
                <w:noProof/>
                <w:webHidden/>
              </w:rPr>
              <w:instrText xml:space="preserve"> PAGEREF _Toc31115878 \h </w:instrText>
            </w:r>
            <w:r>
              <w:rPr>
                <w:noProof/>
                <w:webHidden/>
              </w:rPr>
            </w:r>
            <w:r>
              <w:rPr>
                <w:noProof/>
                <w:webHidden/>
              </w:rPr>
              <w:fldChar w:fldCharType="separate"/>
            </w:r>
            <w:r>
              <w:rPr>
                <w:noProof/>
                <w:webHidden/>
              </w:rPr>
              <w:t>56</w:t>
            </w:r>
            <w:r>
              <w:rPr>
                <w:noProof/>
                <w:webHidden/>
              </w:rPr>
              <w:fldChar w:fldCharType="end"/>
            </w:r>
          </w:hyperlink>
        </w:p>
        <w:p w:rsidR="00630C0A" w:rsidRDefault="00961E71">
          <w:pPr>
            <w:pStyle w:val="TOC2"/>
            <w:tabs>
              <w:tab w:val="right" w:leader="dot" w:pos="9060"/>
            </w:tabs>
            <w:rPr>
              <w:rFonts w:asciiTheme="minorHAnsi" w:eastAsiaTheme="minorEastAsia" w:hAnsiTheme="minorHAnsi" w:cstheme="minorBidi"/>
              <w:noProof/>
              <w:sz w:val="22"/>
              <w:szCs w:val="22"/>
            </w:rPr>
          </w:pPr>
          <w:hyperlink w:anchor="_Toc31115879" w:history="1">
            <w:r>
              <w:rPr>
                <w:rStyle w:val="Hyperlink"/>
                <w:noProof/>
              </w:rPr>
              <w:t>4.5 Conclusions</w:t>
            </w:r>
            <w:r>
              <w:rPr>
                <w:noProof/>
                <w:webHidden/>
              </w:rPr>
              <w:tab/>
            </w:r>
            <w:r>
              <w:rPr>
                <w:noProof/>
                <w:webHidden/>
              </w:rPr>
              <w:fldChar w:fldCharType="begin"/>
            </w:r>
            <w:r>
              <w:rPr>
                <w:noProof/>
                <w:webHidden/>
              </w:rPr>
              <w:instrText xml:space="preserve"> PAGEREF _Toc31115879 \h </w:instrText>
            </w:r>
            <w:r>
              <w:rPr>
                <w:noProof/>
                <w:webHidden/>
              </w:rPr>
            </w:r>
            <w:r>
              <w:rPr>
                <w:noProof/>
                <w:webHidden/>
              </w:rPr>
              <w:fldChar w:fldCharType="separate"/>
            </w:r>
            <w:r>
              <w:rPr>
                <w:noProof/>
                <w:webHidden/>
              </w:rPr>
              <w:t>56</w:t>
            </w:r>
            <w:r>
              <w:rPr>
                <w:noProof/>
                <w:webHidden/>
              </w:rPr>
              <w:fldChar w:fldCharType="end"/>
            </w:r>
          </w:hyperlink>
        </w:p>
        <w:p w:rsidR="00630C0A" w:rsidRDefault="00961E71">
          <w:pPr>
            <w:pStyle w:val="TOC1"/>
            <w:rPr>
              <w:rFonts w:asciiTheme="minorHAnsi" w:eastAsiaTheme="minorEastAsia" w:hAnsiTheme="minorHAnsi" w:cstheme="minorBidi"/>
              <w:noProof/>
              <w:sz w:val="22"/>
              <w:szCs w:val="22"/>
            </w:rPr>
          </w:pPr>
          <w:hyperlink w:anchor="_Toc31115880" w:history="1">
            <w:r>
              <w:rPr>
                <w:rStyle w:val="Hyperlink"/>
                <w:noProof/>
              </w:rPr>
              <w:t>5</w:t>
            </w:r>
            <w:r>
              <w:rPr>
                <w:rFonts w:asciiTheme="minorHAnsi" w:eastAsiaTheme="minorEastAsia" w:hAnsiTheme="minorHAnsi" w:cstheme="minorBidi"/>
                <w:noProof/>
                <w:sz w:val="22"/>
                <w:szCs w:val="22"/>
              </w:rPr>
              <w:tab/>
            </w:r>
            <w:r>
              <w:rPr>
                <w:rStyle w:val="Hyperlink"/>
                <w:noProof/>
              </w:rPr>
              <w:t>Overall findings</w:t>
            </w:r>
            <w:r>
              <w:rPr>
                <w:noProof/>
                <w:webHidden/>
              </w:rPr>
              <w:tab/>
            </w:r>
            <w:r>
              <w:rPr>
                <w:noProof/>
                <w:webHidden/>
              </w:rPr>
              <w:fldChar w:fldCharType="begin"/>
            </w:r>
            <w:r>
              <w:rPr>
                <w:noProof/>
                <w:webHidden/>
              </w:rPr>
              <w:instrText xml:space="preserve"> PAGEREF _Toc31115880 \h </w:instrText>
            </w:r>
            <w:r>
              <w:rPr>
                <w:noProof/>
                <w:webHidden/>
              </w:rPr>
            </w:r>
            <w:r>
              <w:rPr>
                <w:noProof/>
                <w:webHidden/>
              </w:rPr>
              <w:fldChar w:fldCharType="separate"/>
            </w:r>
            <w:r>
              <w:rPr>
                <w:noProof/>
                <w:webHidden/>
              </w:rPr>
              <w:t>58</w:t>
            </w:r>
            <w:r>
              <w:rPr>
                <w:noProof/>
                <w:webHidden/>
              </w:rPr>
              <w:fldChar w:fldCharType="end"/>
            </w:r>
          </w:hyperlink>
        </w:p>
        <w:p w:rsidR="00630C0A" w:rsidRDefault="00961E71">
          <w:pPr>
            <w:pStyle w:val="TOC1"/>
            <w:rPr>
              <w:rFonts w:asciiTheme="minorHAnsi" w:eastAsiaTheme="minorEastAsia" w:hAnsiTheme="minorHAnsi" w:cstheme="minorBidi"/>
              <w:noProof/>
              <w:sz w:val="22"/>
              <w:szCs w:val="22"/>
            </w:rPr>
          </w:pPr>
          <w:hyperlink w:anchor="_Toc31115881" w:history="1">
            <w:r>
              <w:rPr>
                <w:rStyle w:val="Hyperlink"/>
                <w:noProof/>
              </w:rPr>
              <w:t>Annex 1: Assessing the impact of t</w:t>
            </w:r>
            <w:r>
              <w:rPr>
                <w:rStyle w:val="Hyperlink"/>
                <w:noProof/>
              </w:rPr>
              <w:t>he SGP: empirical evidence</w:t>
            </w:r>
            <w:r>
              <w:rPr>
                <w:noProof/>
                <w:webHidden/>
              </w:rPr>
              <w:tab/>
            </w:r>
            <w:r>
              <w:rPr>
                <w:noProof/>
                <w:webHidden/>
              </w:rPr>
              <w:fldChar w:fldCharType="begin"/>
            </w:r>
            <w:r>
              <w:rPr>
                <w:noProof/>
                <w:webHidden/>
              </w:rPr>
              <w:instrText xml:space="preserve"> PAGEREF _Toc31115881 \h </w:instrText>
            </w:r>
            <w:r>
              <w:rPr>
                <w:noProof/>
                <w:webHidden/>
              </w:rPr>
            </w:r>
            <w:r>
              <w:rPr>
                <w:noProof/>
                <w:webHidden/>
              </w:rPr>
              <w:fldChar w:fldCharType="separate"/>
            </w:r>
            <w:r>
              <w:rPr>
                <w:noProof/>
                <w:webHidden/>
              </w:rPr>
              <w:t>60</w:t>
            </w:r>
            <w:r>
              <w:rPr>
                <w:noProof/>
                <w:webHidden/>
              </w:rPr>
              <w:fldChar w:fldCharType="end"/>
            </w:r>
          </w:hyperlink>
        </w:p>
        <w:p w:rsidR="00630C0A" w:rsidRDefault="00961E71">
          <w:pPr>
            <w:pStyle w:val="TOC1"/>
            <w:rPr>
              <w:rFonts w:asciiTheme="minorHAnsi" w:eastAsiaTheme="minorEastAsia" w:hAnsiTheme="minorHAnsi" w:cstheme="minorBidi"/>
              <w:noProof/>
              <w:sz w:val="22"/>
              <w:szCs w:val="22"/>
            </w:rPr>
          </w:pPr>
          <w:hyperlink w:anchor="_Toc31115882" w:history="1">
            <w:r>
              <w:rPr>
                <w:rStyle w:val="Hyperlink"/>
                <w:noProof/>
              </w:rPr>
              <w:t>Annex 2: Assessing the impact of the MIP on policy progress: an empirical assessment</w:t>
            </w:r>
            <w:r>
              <w:rPr>
                <w:noProof/>
                <w:webHidden/>
              </w:rPr>
              <w:tab/>
            </w:r>
            <w:r>
              <w:rPr>
                <w:noProof/>
                <w:webHidden/>
              </w:rPr>
              <w:fldChar w:fldCharType="begin"/>
            </w:r>
            <w:r>
              <w:rPr>
                <w:noProof/>
                <w:webHidden/>
              </w:rPr>
              <w:instrText xml:space="preserve"> PAGEREF _Toc31115882 \h </w:instrText>
            </w:r>
            <w:r>
              <w:rPr>
                <w:noProof/>
                <w:webHidden/>
              </w:rPr>
            </w:r>
            <w:r>
              <w:rPr>
                <w:noProof/>
                <w:webHidden/>
              </w:rPr>
              <w:fldChar w:fldCharType="separate"/>
            </w:r>
            <w:r>
              <w:rPr>
                <w:noProof/>
                <w:webHidden/>
              </w:rPr>
              <w:t>67</w:t>
            </w:r>
            <w:r>
              <w:rPr>
                <w:noProof/>
                <w:webHidden/>
              </w:rPr>
              <w:fldChar w:fldCharType="end"/>
            </w:r>
          </w:hyperlink>
        </w:p>
        <w:p w:rsidR="00630C0A" w:rsidRDefault="00961E71">
          <w:pPr>
            <w:rPr>
              <w:noProof/>
            </w:rPr>
          </w:pPr>
          <w:r>
            <w:rPr>
              <w:b/>
              <w:bCs/>
              <w:noProof/>
            </w:rPr>
            <w:fldChar w:fldCharType="end"/>
          </w:r>
        </w:p>
      </w:sdtContent>
    </w:sdt>
    <w:p w:rsidR="00630C0A" w:rsidRDefault="00961E71">
      <w:pPr>
        <w:spacing w:after="200" w:line="276" w:lineRule="auto"/>
        <w:rPr>
          <w:noProof/>
        </w:rPr>
      </w:pPr>
      <w:r>
        <w:rPr>
          <w:noProof/>
        </w:rPr>
        <w:br w:type="page"/>
      </w:r>
    </w:p>
    <w:p w:rsidR="00630C0A" w:rsidRDefault="00961E71">
      <w:pPr>
        <w:pStyle w:val="Heading1"/>
        <w:numPr>
          <w:ilvl w:val="0"/>
          <w:numId w:val="59"/>
        </w:numPr>
        <w:rPr>
          <w:noProof/>
        </w:rPr>
      </w:pPr>
      <w:bookmarkStart w:id="1" w:name="_Toc27126020"/>
      <w:bookmarkStart w:id="2" w:name="_Toc27127232"/>
      <w:bookmarkStart w:id="3" w:name="_Toc27132095"/>
      <w:bookmarkStart w:id="4" w:name="_Toc27145680"/>
      <w:bookmarkStart w:id="5" w:name="_Toc27146154"/>
      <w:bookmarkStart w:id="6" w:name="_Toc27156955"/>
      <w:bookmarkStart w:id="7" w:name="_Toc27158117"/>
      <w:bookmarkStart w:id="8" w:name="_Toc31115856"/>
      <w:r>
        <w:rPr>
          <w:noProof/>
        </w:rPr>
        <w:lastRenderedPageBreak/>
        <w:t>Introduction</w:t>
      </w:r>
      <w:bookmarkEnd w:id="1"/>
      <w:bookmarkEnd w:id="2"/>
      <w:bookmarkEnd w:id="3"/>
      <w:bookmarkEnd w:id="4"/>
      <w:bookmarkEnd w:id="5"/>
      <w:bookmarkEnd w:id="6"/>
      <w:bookmarkEnd w:id="7"/>
      <w:bookmarkEnd w:id="8"/>
    </w:p>
    <w:p w:rsidR="00630C0A" w:rsidRDefault="00961E71">
      <w:pPr>
        <w:spacing w:after="120"/>
        <w:jc w:val="both"/>
        <w:rPr>
          <w:noProof/>
        </w:rPr>
      </w:pPr>
      <w:r>
        <w:rPr>
          <w:b/>
          <w:bCs/>
          <w:noProof/>
        </w:rPr>
        <w:t>This Staff Working Document provides evidence and analytical underpinning for the Commission Communication on the economic governance review.</w:t>
      </w:r>
      <w:r>
        <w:rPr>
          <w:noProof/>
        </w:rPr>
        <w:t xml:space="preserve"> The review encompasses legislative packages known as the six-pack and two-pack, which were adopted with the aim of strengthening the EU’s economic governance system in response to the economic and financial crisis.</w:t>
      </w:r>
      <w:r>
        <w:rPr>
          <w:rStyle w:val="FootnoteReference"/>
          <w:noProof/>
        </w:rPr>
        <w:footnoteReference w:id="3"/>
      </w:r>
      <w:r>
        <w:rPr>
          <w:noProof/>
        </w:rPr>
        <w:t xml:space="preserve"> The objective of the review, which is t</w:t>
      </w:r>
      <w:r>
        <w:rPr>
          <w:noProof/>
        </w:rPr>
        <w:t>o be carried out every five years as mandated in the seven Regulations, is to assess their effectiveness, the progress in ensuring closer coordination of economic policies and sustained convergence in the economic performance of the Member States in accord</w:t>
      </w:r>
      <w:r>
        <w:rPr>
          <w:noProof/>
        </w:rPr>
        <w:t>ance with the Treaty of the Functioning of the European Union, and where applicable</w:t>
      </w:r>
      <w:r>
        <w:rPr>
          <w:rStyle w:val="FootnoteReference"/>
          <w:noProof/>
        </w:rPr>
        <w:footnoteReference w:id="4"/>
      </w:r>
      <w:r>
        <w:rPr>
          <w:noProof/>
        </w:rPr>
        <w:t xml:space="preserve"> the contribution of the Regulations to the achievement of the Union’s strategy for growth and jobs. All seven Regulations are equipped with a clause that the Commission sh</w:t>
      </w:r>
      <w:r>
        <w:rPr>
          <w:noProof/>
        </w:rPr>
        <w:t xml:space="preserve">all submit to the European Parliament and to the Council a report on the application of the legislation, accompanied, where appropriate, by proposals for amendments. </w:t>
      </w:r>
    </w:p>
    <w:p w:rsidR="00630C0A" w:rsidRDefault="00961E71">
      <w:pPr>
        <w:spacing w:after="120"/>
        <w:jc w:val="both"/>
        <w:rPr>
          <w:noProof/>
        </w:rPr>
      </w:pPr>
      <w:r>
        <w:rPr>
          <w:b/>
          <w:bCs/>
          <w:noProof/>
        </w:rPr>
        <w:t>In the following sections, the effectiveness of the individual surveillance strands is as</w:t>
      </w:r>
      <w:r>
        <w:rPr>
          <w:b/>
          <w:bCs/>
          <w:noProof/>
        </w:rPr>
        <w:t>sessed against their key objectives.</w:t>
      </w:r>
      <w:r>
        <w:rPr>
          <w:noProof/>
        </w:rPr>
        <w:t xml:space="preserve"> Section 2 outlines the main objectives of the EU fiscal framework, its evolution over time and the way it has been implemented. It also looks at the related developments within the national fiscal frameworks. It conclud</w:t>
      </w:r>
      <w:r>
        <w:rPr>
          <w:noProof/>
        </w:rPr>
        <w:t>es by assessing the effectiveness of both the EU and national fiscal frameworks in strengthening public finances in various respects. Section 3 presents the main objectives of the Macroeconomic Imbalance Procedure as well as the evolution in its implementa</w:t>
      </w:r>
      <w:r>
        <w:rPr>
          <w:noProof/>
        </w:rPr>
        <w:t>tion, and discusses its effectiveness in fostering policy action and favouring the correction of imbalances. Section 4 evaluates Regulation No 1173/2011 on the surveillance of Member States in the euro area experiencing or threatened with serious difficult</w:t>
      </w:r>
      <w:r>
        <w:rPr>
          <w:noProof/>
        </w:rPr>
        <w:t>ies with respect to their financial stability. It looks at provisions regarding enhanced surveillance, and macroeconomic adjustment programmes as well as post-programme surveillance and the implementation thereof. Finally, section 5 provides the key conclu</w:t>
      </w:r>
      <w:r>
        <w:rPr>
          <w:noProof/>
        </w:rPr>
        <w:t xml:space="preserve">sions. </w:t>
      </w:r>
    </w:p>
    <w:p w:rsidR="00630C0A" w:rsidRDefault="00961E71">
      <w:pPr>
        <w:spacing w:after="120"/>
        <w:ind w:left="284"/>
        <w:jc w:val="both"/>
        <w:rPr>
          <w:noProof/>
        </w:rPr>
      </w:pPr>
      <w:r>
        <w:rPr>
          <w:noProof/>
        </w:rPr>
        <w:t xml:space="preserve"> </w:t>
      </w:r>
    </w:p>
    <w:p w:rsidR="00630C0A" w:rsidRDefault="00961E71">
      <w:pPr>
        <w:pStyle w:val="Heading1"/>
        <w:numPr>
          <w:ilvl w:val="0"/>
          <w:numId w:val="59"/>
        </w:numPr>
        <w:rPr>
          <w:noProof/>
        </w:rPr>
      </w:pPr>
      <w:bookmarkStart w:id="9" w:name="_Toc27126021"/>
      <w:bookmarkStart w:id="10" w:name="_Toc27127233"/>
      <w:bookmarkStart w:id="11" w:name="_Toc27132096"/>
      <w:bookmarkStart w:id="12" w:name="_Toc27145681"/>
      <w:bookmarkStart w:id="13" w:name="_Toc27146155"/>
      <w:bookmarkStart w:id="14" w:name="_Toc27156956"/>
      <w:bookmarkStart w:id="15" w:name="_Toc27158118"/>
      <w:bookmarkStart w:id="16" w:name="_Toc31115857"/>
      <w:r>
        <w:rPr>
          <w:noProof/>
        </w:rPr>
        <w:t>Fiscal surveillance</w:t>
      </w:r>
      <w:bookmarkEnd w:id="9"/>
      <w:bookmarkEnd w:id="10"/>
      <w:bookmarkEnd w:id="11"/>
      <w:bookmarkEnd w:id="12"/>
      <w:bookmarkEnd w:id="13"/>
      <w:bookmarkEnd w:id="14"/>
      <w:bookmarkEnd w:id="15"/>
      <w:bookmarkEnd w:id="16"/>
    </w:p>
    <w:p w:rsidR="00630C0A" w:rsidRDefault="00961E71">
      <w:pPr>
        <w:pStyle w:val="Heading2"/>
        <w:rPr>
          <w:noProof/>
        </w:rPr>
      </w:pPr>
      <w:bookmarkStart w:id="17" w:name="_Toc31115858"/>
      <w:r>
        <w:rPr>
          <w:noProof/>
        </w:rPr>
        <w:t>2.1 Objectives of the Stability and Growth Pact</w:t>
      </w:r>
      <w:bookmarkEnd w:id="17"/>
    </w:p>
    <w:p w:rsidR="00630C0A" w:rsidRDefault="00961E71">
      <w:pPr>
        <w:pStyle w:val="ListParagraph"/>
        <w:spacing w:after="120"/>
        <w:ind w:left="0"/>
        <w:jc w:val="both"/>
        <w:rPr>
          <w:rFonts w:ascii="Times New Roman" w:hAnsi="Times New Roman" w:cs="Times New Roman"/>
          <w:noProof/>
          <w:sz w:val="24"/>
          <w:szCs w:val="24"/>
        </w:rPr>
      </w:pPr>
      <w:r>
        <w:rPr>
          <w:rFonts w:ascii="Times New Roman" w:hAnsi="Times New Roman" w:cs="Times New Roman"/>
          <w:b/>
          <w:bCs/>
          <w:noProof/>
          <w:sz w:val="24"/>
          <w:szCs w:val="24"/>
        </w:rPr>
        <w:t xml:space="preserve">The primary objective of the Pact is to ensure the sustainability of public debt. </w:t>
      </w:r>
      <w:r>
        <w:rPr>
          <w:rFonts w:ascii="Times New Roman" w:hAnsi="Times New Roman" w:cs="Times New Roman"/>
          <w:noProof/>
          <w:sz w:val="24"/>
          <w:szCs w:val="24"/>
        </w:rPr>
        <w:t xml:space="preserve">The Pact aims to prevent, and where necessary correct, excessive deficits so as to keep debt at </w:t>
      </w:r>
      <w:r>
        <w:rPr>
          <w:rFonts w:ascii="Times New Roman" w:hAnsi="Times New Roman" w:cs="Times New Roman"/>
          <w:noProof/>
          <w:sz w:val="24"/>
          <w:szCs w:val="24"/>
        </w:rPr>
        <w:t>sustainable levels.</w:t>
      </w:r>
      <w:r>
        <w:rPr>
          <w:rStyle w:val="FootnoteReference"/>
          <w:noProof/>
        </w:rPr>
        <w:footnoteReference w:id="5"/>
      </w:r>
      <w:r>
        <w:rPr>
          <w:rFonts w:ascii="Times New Roman" w:hAnsi="Times New Roman" w:cs="Times New Roman"/>
          <w:noProof/>
          <w:sz w:val="24"/>
          <w:szCs w:val="24"/>
        </w:rPr>
        <w:t xml:space="preserve"> Safe levels of debt allow so-called ‘automatic stabilisers’ to operate (e.g. higher expenditure on unemployment benefits and lower tax revenues during downturns) without leading to fiscal or financial market stress. Without prejudice t</w:t>
      </w:r>
      <w:r>
        <w:rPr>
          <w:rFonts w:ascii="Times New Roman" w:hAnsi="Times New Roman" w:cs="Times New Roman"/>
          <w:noProof/>
          <w:sz w:val="24"/>
          <w:szCs w:val="24"/>
        </w:rPr>
        <w:t>o the objective of sustainability, the Pact is also meant to allow for fiscal-based macroeconomic stabilisation. Differences in national preferences on the appropriate pace of debt reduction makes reconciling the sustainability and stabilisation objectives</w:t>
      </w:r>
      <w:r>
        <w:rPr>
          <w:rFonts w:ascii="Times New Roman" w:hAnsi="Times New Roman" w:cs="Times New Roman"/>
          <w:noProof/>
          <w:sz w:val="24"/>
          <w:szCs w:val="24"/>
        </w:rPr>
        <w:t xml:space="preserve"> challenging. </w:t>
      </w:r>
    </w:p>
    <w:p w:rsidR="00630C0A" w:rsidRDefault="00961E71">
      <w:pPr>
        <w:spacing w:after="120"/>
        <w:jc w:val="both"/>
        <w:rPr>
          <w:b/>
          <w:bCs/>
          <w:noProof/>
        </w:rPr>
      </w:pPr>
      <w:r>
        <w:rPr>
          <w:b/>
          <w:bCs/>
          <w:noProof/>
        </w:rPr>
        <w:t>The corrective arm of the Pact aims to correct excessive deficits when they occur.</w:t>
      </w:r>
      <w:r>
        <w:rPr>
          <w:noProof/>
        </w:rPr>
        <w:t xml:space="preserve"> The Treaty defines deficit and debt thresholds, i.e. a deficit below 3% of GDP and a debt-to-GDP ratio of below 60% of GDP, unless the ratio is sufficiently d</w:t>
      </w:r>
      <w:r>
        <w:rPr>
          <w:noProof/>
        </w:rPr>
        <w:t>iminishing towards that level at a satisfactory pace. Breaches of those thresholds are referred to as ‘gross policy errors’ and trigger an excessive deficit procedure (EDP), as set out in Article 126 TFEU. Member States in an EDP are required to correct th</w:t>
      </w:r>
      <w:r>
        <w:rPr>
          <w:noProof/>
        </w:rPr>
        <w:t>eir excessive deficit situation by a deadline set by the Council. If a Member State fails to put in practice the recommendations of the Council, the procedure may be stepped up. Member States concerned can be subject to the suspension of payments or commit</w:t>
      </w:r>
      <w:r>
        <w:rPr>
          <w:noProof/>
        </w:rPr>
        <w:t>ments under the European Structural and Investment Funds.</w:t>
      </w:r>
      <w:r>
        <w:rPr>
          <w:rStyle w:val="FootnoteReference"/>
          <w:noProof/>
        </w:rPr>
        <w:footnoteReference w:id="6"/>
      </w:r>
      <w:r>
        <w:rPr>
          <w:noProof/>
        </w:rPr>
        <w:t xml:space="preserve"> Euro-area Member States can also be subject to financial sanctions under the Pact.</w:t>
      </w:r>
    </w:p>
    <w:p w:rsidR="00630C0A" w:rsidRDefault="00961E71">
      <w:pPr>
        <w:spacing w:after="120"/>
        <w:jc w:val="both"/>
        <w:rPr>
          <w:bCs/>
          <w:noProof/>
        </w:rPr>
      </w:pPr>
      <w:r>
        <w:rPr>
          <w:b/>
          <w:bCs/>
          <w:noProof/>
        </w:rPr>
        <w:t>The preventive arm of the Pact aims to prevent the occurrence of excessive deficits and ensuring sound public fina</w:t>
      </w:r>
      <w:r>
        <w:rPr>
          <w:b/>
          <w:bCs/>
          <w:noProof/>
        </w:rPr>
        <w:t>nces.</w:t>
      </w:r>
      <w:r>
        <w:rPr>
          <w:noProof/>
        </w:rPr>
        <w:t xml:space="preserve"> It aims to ensure that Member States build fiscal buffers during economic good times so that they have sufficient fiscal space for economic stabilisation during downturns. It requires Member States to reach a country-specific medium-term budgetary ob</w:t>
      </w:r>
      <w:r>
        <w:rPr>
          <w:noProof/>
        </w:rPr>
        <w:t>jective (MTO), which is defined in structural terms, i.e. adjusted for the economic cycle. Meeting the MTO gives Member States scope to use fiscal policy for the purpose of macroeconomic stabilisation in bad economic times, i.e. by allowing automatic stabi</w:t>
      </w:r>
      <w:r>
        <w:rPr>
          <w:noProof/>
        </w:rPr>
        <w:t>lisers to operate or by making policy choices that support the economy (e.g. increasing investment). The minimum level of a country’s MTO is determined based on the Member State’s debt level, the budgetary impact of population ageing, and cyclical volatili</w:t>
      </w:r>
      <w:r>
        <w:rPr>
          <w:noProof/>
        </w:rPr>
        <w:t>ty of its economy in order to ensure an appropriate safety margin with regard to the 3% of GDP deficit threshold. For euro-area Member States, the MTO cannot be lower than a structural deficit of 1% of GDP.</w:t>
      </w:r>
      <w:r>
        <w:rPr>
          <w:rStyle w:val="FootnoteReference"/>
          <w:noProof/>
        </w:rPr>
        <w:footnoteReference w:id="7"/>
      </w:r>
      <w:r>
        <w:rPr>
          <w:noProof/>
        </w:rPr>
        <w:t xml:space="preserve"> Member States that have not reached their MTO ar</w:t>
      </w:r>
      <w:r>
        <w:rPr>
          <w:noProof/>
        </w:rPr>
        <w:t xml:space="preserve">e required to adjust towards that objective (by 0.5% of GDP per year as a benchmark). </w:t>
      </w:r>
    </w:p>
    <w:p w:rsidR="00630C0A" w:rsidRDefault="00961E71">
      <w:pPr>
        <w:spacing w:after="120"/>
        <w:jc w:val="both"/>
        <w:rPr>
          <w:noProof/>
        </w:rPr>
      </w:pPr>
      <w:r>
        <w:rPr>
          <w:b/>
          <w:bCs/>
          <w:noProof/>
        </w:rPr>
        <w:t>The Pact has developed considerably since its creation, largely in response to weaknesses that became apparent during periods of crisis.</w:t>
      </w:r>
      <w:r>
        <w:rPr>
          <w:noProof/>
        </w:rPr>
        <w:t xml:space="preserve"> The conceptual underpinning of t</w:t>
      </w:r>
      <w:r>
        <w:rPr>
          <w:noProof/>
        </w:rPr>
        <w:t>he framework has been gradually elaborated and its scope extended with a view to making the rules ‘smarter’, i.e. better adapted to the economic situation. Based on the observation that Member States fail to make necessary fiscal adjustments during economi</w:t>
      </w:r>
      <w:r>
        <w:rPr>
          <w:noProof/>
        </w:rPr>
        <w:t>c good times, and that debt levels tend to increase considerably during recessions, successive reforms have made the preventive arm of the Pact more central and increased the focus on debt developments. In particular, the economic and financial crisis shif</w:t>
      </w:r>
      <w:r>
        <w:rPr>
          <w:noProof/>
        </w:rPr>
        <w:t>ted the focus to risks arising from unsustainable levels of public debt, and to possible debt crises, which could threaten the financial stability of the euro area as a whole. In a context of heightened market pressure and rapidly rising debt levels, there</w:t>
      </w:r>
      <w:r>
        <w:rPr>
          <w:noProof/>
        </w:rPr>
        <w:t xml:space="preserve"> was a need to decisively strengthen safeguards for debt sustainability.</w:t>
      </w:r>
    </w:p>
    <w:p w:rsidR="00630C0A" w:rsidRDefault="00961E71">
      <w:pPr>
        <w:spacing w:after="120"/>
        <w:jc w:val="both"/>
        <w:rPr>
          <w:noProof/>
        </w:rPr>
      </w:pPr>
      <w:r>
        <w:rPr>
          <w:b/>
          <w:bCs/>
          <w:noProof/>
        </w:rPr>
        <w:t xml:space="preserve">The 2011 six-pack reform reinforced the preventive arm of the Pact, in particular to ensure adequate efforts in good times. </w:t>
      </w:r>
      <w:r>
        <w:rPr>
          <w:noProof/>
        </w:rPr>
        <w:t>It introduced a greater emphasis on aggregate expenditure d</w:t>
      </w:r>
      <w:r>
        <w:rPr>
          <w:noProof/>
        </w:rPr>
        <w:t>evelopments and revenue-increasing (or decreasing) policy measures, which are more directly under the control of governments than other fiscal indicators. Accordingly, a Member State’s adjustment towards its MTO is assessed annually on the basis of two mea</w:t>
      </w:r>
      <w:r>
        <w:rPr>
          <w:noProof/>
        </w:rPr>
        <w:t xml:space="preserve">sures: 1) the growth rate of primary expenditure developments net of discretionary revenue measures, relative to medium-term economic growth (the ‘expenditure benchmark’); and 2) the change in the cyclically-adjusted budget balance net of one-off measures </w:t>
      </w:r>
      <w:r>
        <w:rPr>
          <w:noProof/>
        </w:rPr>
        <w:t>(the ‘structural balance’). Member States that significantly deviate from their MTO or from the adjustment path towards it (i.e. by more than 0.5% of GDP), are required to correct the deviation within a given timeframe under the so-called ‘significant devi</w:t>
      </w:r>
      <w:r>
        <w:rPr>
          <w:noProof/>
        </w:rPr>
        <w:t>ation procedure’. For euro-area Member States, insufficient correction (i.e. no ‘effective action’) can lead to the application of sanctions in the form of an interest-bearing deposit. Finally, reflecting the economic and financial crisis, a collective ‘es</w:t>
      </w:r>
      <w:r>
        <w:rPr>
          <w:noProof/>
        </w:rPr>
        <w:t xml:space="preserve">cape clause’ was introduced, effectively allowing (but not prescribing) a suspension of the rules in case of ‘a severe economic downturn’ in the EU or the euro area as a whole. </w:t>
      </w:r>
    </w:p>
    <w:p w:rsidR="00630C0A" w:rsidRDefault="00961E71">
      <w:pPr>
        <w:spacing w:after="120"/>
        <w:jc w:val="both"/>
        <w:rPr>
          <w:b/>
          <w:bCs/>
          <w:noProof/>
        </w:rPr>
      </w:pPr>
      <w:r>
        <w:rPr>
          <w:b/>
          <w:bCs/>
          <w:noProof/>
        </w:rPr>
        <w:t xml:space="preserve">In the corrective arm, the six-pack reform operationalised the debt criterion </w:t>
      </w:r>
      <w:r>
        <w:rPr>
          <w:b/>
          <w:bCs/>
          <w:noProof/>
        </w:rPr>
        <w:t>and strengthened the sanction mechanism.</w:t>
      </w:r>
      <w:r>
        <w:rPr>
          <w:noProof/>
        </w:rPr>
        <w:t xml:space="preserve"> The six-pack introduced the debt reduction benchmark, making the Treaty’s debt criterion of sufficiently diminishing towards the 60% threshold operational. For euro-area Member States, sanctions under the excessive </w:t>
      </w:r>
      <w:r>
        <w:rPr>
          <w:noProof/>
        </w:rPr>
        <w:t>deficit procedure are now meant to kick in at an earlier stage and be more automatic, through the application of reverse qualified majority voting for Council decisions on Commission proposals.</w:t>
      </w:r>
      <w:r>
        <w:rPr>
          <w:rStyle w:val="FootnoteReference"/>
          <w:noProof/>
        </w:rPr>
        <w:footnoteReference w:id="8"/>
      </w:r>
      <w:r>
        <w:rPr>
          <w:noProof/>
        </w:rPr>
        <w:t xml:space="preserve"> </w:t>
      </w:r>
    </w:p>
    <w:p w:rsidR="00630C0A" w:rsidRDefault="00961E71">
      <w:pPr>
        <w:spacing w:after="120"/>
        <w:jc w:val="both"/>
        <w:rPr>
          <w:b/>
          <w:bCs/>
          <w:noProof/>
        </w:rPr>
      </w:pPr>
      <w:r>
        <w:rPr>
          <w:b/>
          <w:bCs/>
          <w:noProof/>
        </w:rPr>
        <w:t>The 2013 two-pack reform strengthened budgetary coordination</w:t>
      </w:r>
      <w:r>
        <w:rPr>
          <w:b/>
          <w:bCs/>
          <w:noProof/>
        </w:rPr>
        <w:t xml:space="preserve"> in the euro area in view of potential consequences of spillovers within the Economic and Monetary Union.</w:t>
      </w:r>
      <w:r>
        <w:rPr>
          <w:noProof/>
        </w:rPr>
        <w:t xml:space="preserve"> In particular, it established an obligation for euro-area Member States to submit their draft budgetary plans to the Commission for an opinion before </w:t>
      </w:r>
      <w:r>
        <w:rPr>
          <w:noProof/>
        </w:rPr>
        <w:t xml:space="preserve">their adoption by national parliaments. Furthermore, it strengthened budgetary coordination through a discussion in the Eurogroup of those Commission opinions and of the budgetary situation and prospects in the euro area as a whole. It also reinforced the </w:t>
      </w:r>
      <w:r>
        <w:rPr>
          <w:noProof/>
        </w:rPr>
        <w:t>surveillance for euro-area Member States with excessive deficits.</w:t>
      </w:r>
    </w:p>
    <w:p w:rsidR="00630C0A" w:rsidRDefault="00961E71">
      <w:pPr>
        <w:pStyle w:val="ListParagraph"/>
        <w:spacing w:after="120"/>
        <w:ind w:left="0"/>
        <w:jc w:val="both"/>
        <w:rPr>
          <w:rFonts w:ascii="Times New Roman" w:hAnsi="Times New Roman" w:cs="Times New Roman"/>
          <w:noProof/>
          <w:sz w:val="24"/>
          <w:szCs w:val="24"/>
        </w:rPr>
      </w:pPr>
      <w:r>
        <w:rPr>
          <w:rFonts w:ascii="Times New Roman" w:hAnsi="Times New Roman" w:cs="Times New Roman"/>
          <w:b/>
          <w:noProof/>
          <w:sz w:val="24"/>
          <w:szCs w:val="24"/>
        </w:rPr>
        <w:t>After the entry into force of the six- and two-pack, various implementation decisions and approaches have been codified and endorsed by the Council, in particular the use of flexibility with</w:t>
      </w:r>
      <w:r>
        <w:rPr>
          <w:rFonts w:ascii="Times New Roman" w:hAnsi="Times New Roman" w:cs="Times New Roman"/>
          <w:b/>
          <w:noProof/>
          <w:sz w:val="24"/>
          <w:szCs w:val="24"/>
        </w:rPr>
        <w:t>in the EU’s fiscal rules.</w:t>
      </w:r>
      <w:r>
        <w:rPr>
          <w:rFonts w:ascii="Times New Roman" w:hAnsi="Times New Roman" w:cs="Times New Roman"/>
          <w:noProof/>
          <w:sz w:val="24"/>
          <w:szCs w:val="24"/>
        </w:rPr>
        <w:t xml:space="preserve"> The need to restore market confidence between 2010 and 2012 forced some Member States to implement large fiscal adjustments, sometimes going beyond the requirements of the Pact. Moreover, after the economic and financial crisis, t</w:t>
      </w:r>
      <w:r>
        <w:rPr>
          <w:rFonts w:ascii="Times New Roman" w:hAnsi="Times New Roman" w:cs="Times New Roman"/>
          <w:noProof/>
          <w:sz w:val="24"/>
          <w:szCs w:val="24"/>
        </w:rPr>
        <w:t>he euro area experienced a second recession in 2012-2013. This was followed by a period of low growth relative to the pre-crisis period and low inflation, with monetary policy facing the zero lower bound and the European Central Bank introducing a number o</w:t>
      </w:r>
      <w:r>
        <w:rPr>
          <w:rFonts w:ascii="Times New Roman" w:hAnsi="Times New Roman" w:cs="Times New Roman"/>
          <w:noProof/>
          <w:sz w:val="24"/>
          <w:szCs w:val="24"/>
        </w:rPr>
        <w:t>f non-standard monetary policy measures. In the context of a slow recovery from the economic and financial crisis, the Commission has placed an emphasis on making best use of the flexibility within the EU’s fiscal rules. That was operationalised by an inte</w:t>
      </w:r>
      <w:r>
        <w:rPr>
          <w:rFonts w:ascii="Times New Roman" w:hAnsi="Times New Roman" w:cs="Times New Roman"/>
          <w:noProof/>
          <w:sz w:val="24"/>
          <w:szCs w:val="24"/>
        </w:rPr>
        <w:t>rpretative Commission’s Communication on Flexibility within the SGP in January 2015</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and a Commonly Agreed Position on flexibility endorsed by the Council.</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Namely, taking into account the need for the same highly-indebted Member States to implement reform</w:t>
      </w:r>
      <w:r>
        <w:rPr>
          <w:rFonts w:ascii="Times New Roman" w:hAnsi="Times New Roman" w:cs="Times New Roman"/>
          <w:noProof/>
          <w:sz w:val="24"/>
          <w:szCs w:val="24"/>
        </w:rPr>
        <w:t>s in labour and product markets, the Commission operationalised the so-called structural reform clause. The particular nature of investment has also been taken into account, to a limited extent, by allowing temporary deviations from the fiscal requirements</w:t>
      </w:r>
      <w:r>
        <w:rPr>
          <w:rFonts w:ascii="Times New Roman" w:hAnsi="Times New Roman" w:cs="Times New Roman"/>
          <w:noProof/>
          <w:sz w:val="24"/>
          <w:szCs w:val="24"/>
        </w:rPr>
        <w:t xml:space="preserve"> to cater for investment needs. Lastly, the Flexibility Communication and Commonly Agreed Position on flexibility introduced a matrix to determine the required adjustment under the preventive arm that takes into account cyclical conditions. Concretely,</w:t>
      </w:r>
      <w:r>
        <w:rPr>
          <w:noProof/>
        </w:rPr>
        <w:t xml:space="preserve"> </w:t>
      </w:r>
      <w:r>
        <w:rPr>
          <w:rFonts w:ascii="Times New Roman" w:hAnsi="Times New Roman" w:cs="Times New Roman"/>
          <w:noProof/>
          <w:sz w:val="24"/>
          <w:szCs w:val="24"/>
        </w:rPr>
        <w:t>the</w:t>
      </w:r>
      <w:r>
        <w:rPr>
          <w:rFonts w:ascii="Times New Roman" w:hAnsi="Times New Roman" w:cs="Times New Roman"/>
          <w:noProof/>
          <w:sz w:val="24"/>
          <w:szCs w:val="24"/>
        </w:rPr>
        <w:t xml:space="preserve"> required annual fiscal adjustment towards the MTO varies depending on the position in the economic cycle (i.e. higher in good times, lower in bad times) and the level of debt (below or above 60% of GDP).</w:t>
      </w:r>
    </w:p>
    <w:p w:rsidR="00630C0A" w:rsidRDefault="00961E71">
      <w:pPr>
        <w:pStyle w:val="ListParagraph"/>
        <w:spacing w:after="120"/>
        <w:ind w:left="0"/>
        <w:jc w:val="both"/>
        <w:rPr>
          <w:rFonts w:ascii="Times New Roman" w:hAnsi="Times New Roman" w:cs="Times New Roman"/>
          <w:noProof/>
          <w:sz w:val="24"/>
          <w:szCs w:val="24"/>
        </w:rPr>
      </w:pPr>
      <w:r>
        <w:rPr>
          <w:rFonts w:ascii="Times New Roman" w:hAnsi="Times New Roman" w:cs="Times New Roman"/>
          <w:b/>
          <w:noProof/>
          <w:sz w:val="24"/>
          <w:szCs w:val="24"/>
        </w:rPr>
        <w:t>Lastly, the Commission increasingly made use of the</w:t>
      </w:r>
      <w:r>
        <w:rPr>
          <w:rFonts w:ascii="Times New Roman" w:hAnsi="Times New Roman" w:cs="Times New Roman"/>
          <w:b/>
          <w:noProof/>
          <w:sz w:val="24"/>
          <w:szCs w:val="24"/>
        </w:rPr>
        <w:t xml:space="preserve"> discretion available within the framework when applying the fiscal rules.</w:t>
      </w:r>
      <w:r>
        <w:rPr>
          <w:rFonts w:ascii="Times New Roman" w:hAnsi="Times New Roman" w:cs="Times New Roman"/>
          <w:noProof/>
          <w:sz w:val="24"/>
          <w:szCs w:val="24"/>
        </w:rPr>
        <w:t xml:space="preserve"> It considered compliance with the preventive arm a key relevant factor when assessing compliance with the Treaty’s debt criterion. That discretion also included the use of the conce</w:t>
      </w:r>
      <w:r>
        <w:rPr>
          <w:rFonts w:ascii="Times New Roman" w:hAnsi="Times New Roman" w:cs="Times New Roman"/>
          <w:noProof/>
          <w:sz w:val="24"/>
          <w:szCs w:val="24"/>
        </w:rPr>
        <w:t>pt of ‘broad compliance’ with the preventive arm requirements as well as specific changes to the fiscal requirements, as recalled by the Court of Auditors.</w:t>
      </w:r>
      <w:r>
        <w:rPr>
          <w:rStyle w:val="FootnoteReference"/>
          <w:rFonts w:ascii="Times New Roman" w:hAnsi="Times New Roman" w:cs="Times New Roman"/>
          <w:noProof/>
        </w:rPr>
        <w:footnoteReference w:id="11"/>
      </w:r>
      <w:r>
        <w:rPr>
          <w:rFonts w:ascii="Times New Roman" w:hAnsi="Times New Roman" w:cs="Times New Roman"/>
          <w:noProof/>
          <w:sz w:val="24"/>
          <w:szCs w:val="24"/>
        </w:rPr>
        <w:t xml:space="preserve"> The Commission has fostered a regular dialogue with Member States and the European Parliament and h</w:t>
      </w:r>
      <w:r>
        <w:rPr>
          <w:rFonts w:ascii="Times New Roman" w:hAnsi="Times New Roman" w:cs="Times New Roman"/>
          <w:noProof/>
          <w:sz w:val="24"/>
          <w:szCs w:val="24"/>
        </w:rPr>
        <w:t>as consistently sought to clarify the rationale for its decisions in a cross-country perspective.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The framework has nevertheless become more complex and arguably less predictable. The increased use of discretion also reflected the fact that the six- and t</w:t>
      </w:r>
      <w:r>
        <w:rPr>
          <w:rFonts w:ascii="Times New Roman" w:hAnsi="Times New Roman" w:cs="Times New Roman"/>
          <w:noProof/>
          <w:sz w:val="24"/>
          <w:szCs w:val="24"/>
        </w:rPr>
        <w:t>wo-pack reforms increased the Commission’s responsibility for decisions, such as the imposition of sanctions, having far-reaching political implications in the Member States.</w:t>
      </w:r>
    </w:p>
    <w:p w:rsidR="00630C0A" w:rsidRDefault="00961E71">
      <w:pPr>
        <w:spacing w:after="120"/>
        <w:jc w:val="both"/>
        <w:rPr>
          <w:noProof/>
        </w:rPr>
      </w:pPr>
      <w:r>
        <w:rPr>
          <w:b/>
          <w:bCs/>
          <w:noProof/>
        </w:rPr>
        <w:t>In parallel to the evolution of the Pact, EU requirements for national fiscal fra</w:t>
      </w:r>
      <w:r>
        <w:rPr>
          <w:b/>
          <w:bCs/>
          <w:noProof/>
        </w:rPr>
        <w:t>meworks have been introduced and have become increasingly precise.</w:t>
      </w:r>
      <w:r>
        <w:rPr>
          <w:noProof/>
        </w:rPr>
        <w:t xml:space="preserve"> There has been a growing recognition of the importance of fiscal arrangements at the national level as a means of ensuring compliance with EU fiscal rules. In that respect, national framewo</w:t>
      </w:r>
      <w:r>
        <w:rPr>
          <w:noProof/>
        </w:rPr>
        <w:t xml:space="preserve">rks are perceived as serving two goals: first, to provide the necessary setting for the implementation of fiscal policy in compliance with EU rules; and second, as a means of strengthening national ‘ownership’ of EU rules. Member States agreed on a number </w:t>
      </w:r>
      <w:r>
        <w:rPr>
          <w:noProof/>
        </w:rPr>
        <w:t>of requirements for their fiscal frameworks with a view to improving their quality and effectiveness in the support of fiscal discipline in the EU context. Most of those requirements took the form of EU law, while others, more intrusive, were established i</w:t>
      </w:r>
      <w:r>
        <w:rPr>
          <w:noProof/>
        </w:rPr>
        <w:t>n the so-called ‘Fiscal Compact’ as part of the intergovernmental Treaty on Stability, Coordination and Governance in the Economic and Monetary Union.</w:t>
      </w:r>
      <w:r>
        <w:rPr>
          <w:rStyle w:val="FootnoteReference"/>
          <w:noProof/>
        </w:rPr>
        <w:footnoteReference w:id="13"/>
      </w:r>
    </w:p>
    <w:p w:rsidR="00630C0A" w:rsidRDefault="00961E71">
      <w:pPr>
        <w:pStyle w:val="Heading2"/>
        <w:rPr>
          <w:noProof/>
        </w:rPr>
      </w:pPr>
      <w:bookmarkStart w:id="18" w:name="_Toc31115859"/>
      <w:r>
        <w:rPr>
          <w:noProof/>
        </w:rPr>
        <w:t>2.2 Implementation of the Stability and Growth Pact</w:t>
      </w:r>
      <w:bookmarkEnd w:id="18"/>
    </w:p>
    <w:p w:rsidR="00630C0A" w:rsidRDefault="00961E71">
      <w:pPr>
        <w:spacing w:after="120"/>
        <w:jc w:val="both"/>
        <w:rPr>
          <w:noProof/>
        </w:rPr>
      </w:pPr>
      <w:r>
        <w:rPr>
          <w:b/>
          <w:bCs/>
          <w:noProof/>
        </w:rPr>
        <w:t xml:space="preserve">There were no Member States in an EDP at the end of 2019. </w:t>
      </w:r>
      <w:r>
        <w:rPr>
          <w:noProof/>
        </w:rPr>
        <w:t>While there have frequently been breaches of the Pact’s deficit threshold of 3% of GDP since its inception, the economic and financial crisis resulted in an exceptional situation in which almost all</w:t>
      </w:r>
      <w:r>
        <w:rPr>
          <w:noProof/>
        </w:rPr>
        <w:t xml:space="preserve"> Member States breached that threshold (see </w:t>
      </w:r>
      <w:r>
        <w:rPr>
          <w:noProof/>
        </w:rPr>
        <w:fldChar w:fldCharType="begin"/>
      </w:r>
      <w:r>
        <w:rPr>
          <w:noProof/>
        </w:rPr>
        <w:instrText xml:space="preserve"> REF _Ref29810805 \h  \* MERGEFORMAT </w:instrText>
      </w:r>
      <w:r>
        <w:rPr>
          <w:noProof/>
        </w:rPr>
      </w:r>
      <w:r>
        <w:rPr>
          <w:noProof/>
        </w:rPr>
        <w:fldChar w:fldCharType="separate"/>
      </w:r>
      <w:r>
        <w:rPr>
          <w:bCs/>
          <w:iCs/>
          <w:noProof/>
        </w:rPr>
        <w:t xml:space="preserve">Graph </w:t>
      </w:r>
      <w:r>
        <w:rPr>
          <w:noProof/>
        </w:rPr>
        <w:t>1</w:t>
      </w:r>
      <w:r>
        <w:rPr>
          <w:noProof/>
        </w:rPr>
        <w:fldChar w:fldCharType="end"/>
      </w:r>
      <w:r>
        <w:rPr>
          <w:noProof/>
        </w:rPr>
        <w:t>).</w:t>
      </w:r>
      <w:r>
        <w:rPr>
          <w:b/>
          <w:bCs/>
          <w:noProof/>
        </w:rPr>
        <w:t xml:space="preserve"> </w:t>
      </w:r>
      <w:r>
        <w:rPr>
          <w:noProof/>
        </w:rPr>
        <w:t>Due to the depth of the recession and bank recapitalisation needs in some Member States, the headl</w:t>
      </w:r>
      <w:r>
        <w:rPr>
          <w:noProof/>
        </w:rPr>
        <w:t>ine deficit at the aggregate EU level exceeded 6% of GDP in 2009-2010. As a consequence, 24 out of the then 27 Member States entered the EDP for breaching the Treaty’s deficit criterion.</w:t>
      </w:r>
      <w:r>
        <w:rPr>
          <w:rStyle w:val="FootnoteReference"/>
          <w:noProof/>
        </w:rPr>
        <w:footnoteReference w:id="14"/>
      </w:r>
      <w:r>
        <w:rPr>
          <w:noProof/>
        </w:rPr>
        <w:t xml:space="preserve"> By 2018, all Member States had brought their headline deficits below</w:t>
      </w:r>
      <w:r>
        <w:rPr>
          <w:noProof/>
        </w:rPr>
        <w:t xml:space="preserve"> 3% of GDP.</w:t>
      </w:r>
      <w:r>
        <w:rPr>
          <w:rStyle w:val="FootnoteReference"/>
          <w:noProof/>
        </w:rPr>
        <w:footnoteReference w:id="15"/>
      </w:r>
      <w:r>
        <w:rPr>
          <w:noProof/>
        </w:rPr>
        <w:t xml:space="preserve"> </w:t>
      </w:r>
      <w:r>
        <w:rPr>
          <w:rFonts w:eastAsia="Calibri"/>
          <w:noProof/>
        </w:rPr>
        <w:t xml:space="preserve">Since 2015, however, </w:t>
      </w:r>
      <w:r>
        <w:rPr>
          <w:noProof/>
        </w:rPr>
        <w:t>headline deficits have mainly been reduced thanks to improving macroeconomic conditions, which have generated additional revenues and lowered unemployment expenditure. Some Member States have therefore been able to correct</w:t>
      </w:r>
      <w:r>
        <w:rPr>
          <w:noProof/>
        </w:rPr>
        <w:t xml:space="preserve"> their excessive deficits without making any significant structural fiscal adjustments (the so-called ‘nominal strategy’, i.e. aiming at headline deficit targets). In addition, some Member States, including some of the largest, still have deficits that are</w:t>
      </w:r>
      <w:r>
        <w:rPr>
          <w:noProof/>
        </w:rPr>
        <w:t xml:space="preserve"> close to the 3% of GDP threshold.</w:t>
      </w:r>
    </w:p>
    <w:p w:rsidR="00630C0A" w:rsidRDefault="00961E71">
      <w:pPr>
        <w:pStyle w:val="Caption"/>
        <w:keepNext/>
        <w:jc w:val="center"/>
        <w:rPr>
          <w:noProof/>
        </w:rPr>
      </w:pPr>
      <w:bookmarkStart w:id="19" w:name="_Ref29810805"/>
      <w:r>
        <w:rPr>
          <w:b/>
          <w:bCs/>
          <w:i w:val="0"/>
          <w:iCs w:val="0"/>
          <w:noProof/>
          <w:color w:val="auto"/>
          <w:sz w:val="24"/>
          <w:szCs w:val="24"/>
        </w:rPr>
        <w:t xml:space="preserve">Graph </w:t>
      </w:r>
      <w:r>
        <w:rPr>
          <w:noProof/>
        </w:rPr>
        <w:fldChar w:fldCharType="begin"/>
      </w:r>
      <w:r>
        <w:rPr>
          <w:b/>
          <w:i w:val="0"/>
          <w:noProof/>
          <w:color w:val="auto"/>
          <w:sz w:val="24"/>
          <w:szCs w:val="24"/>
        </w:rPr>
        <w:instrText xml:space="preserve"> SEQ Graph \* ARABIC </w:instrText>
      </w:r>
      <w:r>
        <w:rPr>
          <w:b/>
          <w:i w:val="0"/>
          <w:noProof/>
          <w:color w:val="auto"/>
          <w:sz w:val="24"/>
          <w:szCs w:val="24"/>
        </w:rPr>
        <w:fldChar w:fldCharType="separate"/>
      </w:r>
      <w:r>
        <w:rPr>
          <w:b/>
          <w:i w:val="0"/>
          <w:noProof/>
          <w:color w:val="auto"/>
          <w:sz w:val="24"/>
          <w:szCs w:val="24"/>
        </w:rPr>
        <w:t>1</w:t>
      </w:r>
      <w:r>
        <w:rPr>
          <w:noProof/>
        </w:rPr>
        <w:fldChar w:fldCharType="end"/>
      </w:r>
      <w:bookmarkEnd w:id="19"/>
      <w:r>
        <w:rPr>
          <w:b/>
          <w:bCs/>
          <w:i w:val="0"/>
          <w:iCs w:val="0"/>
          <w:noProof/>
          <w:color w:val="auto"/>
          <w:sz w:val="24"/>
          <w:szCs w:val="24"/>
        </w:rPr>
        <w:t>: Member States’ headline deficits and EU output gap</w:t>
      </w:r>
    </w:p>
    <w:p w:rsidR="00630C0A" w:rsidRDefault="00961E71">
      <w:pPr>
        <w:jc w:val="center"/>
        <w:rPr>
          <w:b/>
          <w:noProof/>
        </w:rPr>
      </w:pPr>
      <w:r>
        <w:rPr>
          <w:b/>
          <w:noProof/>
        </w:rPr>
        <w:drawing>
          <wp:inline distT="0" distB="0" distL="0" distR="0">
            <wp:extent cx="3891600" cy="22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1600" cy="2271600"/>
                    </a:xfrm>
                    <a:prstGeom prst="rect">
                      <a:avLst/>
                    </a:prstGeom>
                    <a:noFill/>
                  </pic:spPr>
                </pic:pic>
              </a:graphicData>
            </a:graphic>
          </wp:inline>
        </w:drawing>
      </w:r>
    </w:p>
    <w:p w:rsidR="00630C0A" w:rsidRDefault="00630C0A">
      <w:pPr>
        <w:spacing w:after="120"/>
        <w:jc w:val="both"/>
        <w:rPr>
          <w:b/>
          <w:bCs/>
          <w:noProof/>
        </w:rPr>
      </w:pPr>
    </w:p>
    <w:p w:rsidR="00630C0A" w:rsidRDefault="00961E71">
      <w:pPr>
        <w:spacing w:after="120"/>
        <w:jc w:val="both"/>
        <w:rPr>
          <w:noProof/>
        </w:rPr>
      </w:pPr>
      <w:r>
        <w:rPr>
          <w:b/>
          <w:bCs/>
          <w:noProof/>
        </w:rPr>
        <w:t xml:space="preserve">Debt dynamics across Member States have been quite divergent since the economic and financial crisis. </w:t>
      </w:r>
      <w:r>
        <w:rPr>
          <w:noProof/>
        </w:rPr>
        <w:t>While the aggregate EU debt rema</w:t>
      </w:r>
      <w:r>
        <w:rPr>
          <w:noProof/>
        </w:rPr>
        <w:t>ined around 60% of GDP in the pre-crisis period, it increased to almost 90% between 2009 and 2014. Indeed, the crisis led to higher cyclical and structural deficits, pushing debt-to-GDP ratios substantially upwards. That was further amplified by the impact</w:t>
      </w:r>
      <w:r>
        <w:rPr>
          <w:noProof/>
        </w:rPr>
        <w:t xml:space="preserve"> of low real and nominal economic growth (which delays the reduction in the ratio for any given debt level in absolute terms)</w:t>
      </w:r>
      <w:r>
        <w:rPr>
          <w:rStyle w:val="FootnoteReference"/>
          <w:noProof/>
        </w:rPr>
        <w:footnoteReference w:id="16"/>
      </w:r>
      <w:r>
        <w:rPr>
          <w:noProof/>
        </w:rPr>
        <w:t xml:space="preserve"> and by direct intervention by some Member States in the financial sector. Aggregate debt ratios started to decline in 2015, on th</w:t>
      </w:r>
      <w:r>
        <w:rPr>
          <w:noProof/>
        </w:rPr>
        <w:t>e back of lower primary deficits/higher surpluses, higher economic growth and historically low interest rates on public debt. Overall, the Commission forecasts the debt-to-GDP ratio to continue the declining path of recent years and to fall to around 79% i</w:t>
      </w:r>
      <w:r>
        <w:rPr>
          <w:noProof/>
        </w:rPr>
        <w:t xml:space="preserve">n 2020, which is far lower than in the USA or Japan (around 114% and 237% respectively). However, debt dynamics across Member States overall have been quite divergent since the economic and financial crisis (see </w:t>
      </w:r>
      <w:r>
        <w:rPr>
          <w:noProof/>
        </w:rPr>
        <w:fldChar w:fldCharType="begin"/>
      </w:r>
      <w:r>
        <w:rPr>
          <w:noProof/>
        </w:rPr>
        <w:instrText xml:space="preserve"> REF _Ref29810836 \h  \* MERGEFORMAT </w:instrText>
      </w:r>
      <w:r>
        <w:rPr>
          <w:noProof/>
        </w:rPr>
      </w:r>
      <w:r>
        <w:rPr>
          <w:noProof/>
        </w:rPr>
        <w:fldChar w:fldCharType="separate"/>
      </w:r>
      <w:r>
        <w:rPr>
          <w:bCs/>
          <w:iCs/>
          <w:noProof/>
        </w:rPr>
        <w:t xml:space="preserve">Graph </w:t>
      </w:r>
      <w:r>
        <w:rPr>
          <w:noProof/>
        </w:rPr>
        <w:t>2</w:t>
      </w:r>
      <w:r>
        <w:rPr>
          <w:noProof/>
        </w:rPr>
        <w:fldChar w:fldCharType="end"/>
      </w:r>
      <w:r>
        <w:rPr>
          <w:noProof/>
        </w:rPr>
        <w:t xml:space="preserve">). This reflects large differences in the pace of fiscal consolidation and the impact of the economic growth-interest rate differential, as well as in country-specific fiscal costs related </w:t>
      </w:r>
      <w:r>
        <w:rPr>
          <w:noProof/>
        </w:rPr>
        <w:t>to support measures for the banking sector. As a consequence, around half of the Member States now have debt levels (again) below 60% of GDP while some others have their debt around or (well) above 100% of GDP. The latter group of Member States account for</w:t>
      </w:r>
      <w:r>
        <w:rPr>
          <w:noProof/>
        </w:rPr>
        <w:t xml:space="preserve"> half of the EU’s GDP.</w:t>
      </w:r>
    </w:p>
    <w:p w:rsidR="00630C0A" w:rsidRDefault="00961E71">
      <w:pPr>
        <w:pStyle w:val="Caption"/>
        <w:keepNext/>
        <w:jc w:val="center"/>
        <w:rPr>
          <w:i w:val="0"/>
          <w:noProof/>
          <w:color w:val="auto"/>
          <w:sz w:val="24"/>
          <w:szCs w:val="24"/>
        </w:rPr>
      </w:pPr>
      <w:bookmarkStart w:id="20" w:name="_Ref29810836"/>
      <w:r>
        <w:rPr>
          <w:b/>
          <w:bCs/>
          <w:i w:val="0"/>
          <w:iCs w:val="0"/>
          <w:noProof/>
          <w:color w:val="auto"/>
          <w:sz w:val="24"/>
          <w:szCs w:val="24"/>
        </w:rPr>
        <w:t xml:space="preserve">Graph </w:t>
      </w:r>
      <w:r>
        <w:rPr>
          <w:noProof/>
        </w:rPr>
        <w:fldChar w:fldCharType="begin"/>
      </w:r>
      <w:r>
        <w:rPr>
          <w:b/>
          <w:i w:val="0"/>
          <w:noProof/>
          <w:color w:val="auto"/>
          <w:sz w:val="24"/>
          <w:szCs w:val="24"/>
        </w:rPr>
        <w:instrText xml:space="preserve"> SEQ Graph \* ARABIC </w:instrText>
      </w:r>
      <w:r>
        <w:rPr>
          <w:b/>
          <w:i w:val="0"/>
          <w:noProof/>
          <w:color w:val="auto"/>
          <w:sz w:val="24"/>
          <w:szCs w:val="24"/>
        </w:rPr>
        <w:fldChar w:fldCharType="separate"/>
      </w:r>
      <w:r>
        <w:rPr>
          <w:b/>
          <w:i w:val="0"/>
          <w:noProof/>
          <w:color w:val="auto"/>
          <w:sz w:val="24"/>
          <w:szCs w:val="24"/>
        </w:rPr>
        <w:t>2</w:t>
      </w:r>
      <w:r>
        <w:rPr>
          <w:noProof/>
        </w:rPr>
        <w:fldChar w:fldCharType="end"/>
      </w:r>
      <w:bookmarkEnd w:id="20"/>
      <w:r>
        <w:rPr>
          <w:b/>
          <w:bCs/>
          <w:i w:val="0"/>
          <w:iCs w:val="0"/>
          <w:noProof/>
          <w:color w:val="auto"/>
          <w:sz w:val="24"/>
          <w:szCs w:val="24"/>
        </w:rPr>
        <w:t>: Debt dynamics</w:t>
      </w:r>
      <w:r>
        <w:rPr>
          <w:b/>
          <w:i w:val="0"/>
          <w:noProof/>
          <w:color w:val="auto"/>
          <w:sz w:val="24"/>
          <w:szCs w:val="24"/>
        </w:rPr>
        <w:br/>
      </w:r>
      <w:r>
        <w:rPr>
          <w:i w:val="0"/>
          <w:iCs w:val="0"/>
          <w:noProof/>
          <w:color w:val="auto"/>
          <w:sz w:val="24"/>
          <w:szCs w:val="24"/>
        </w:rPr>
        <w:t>(2018 debt levels versus pre-crisis low point and post-crisis peak)</w:t>
      </w:r>
    </w:p>
    <w:p w:rsidR="00630C0A" w:rsidRDefault="00961E71">
      <w:pPr>
        <w:rPr>
          <w:noProof/>
        </w:rPr>
      </w:pPr>
      <w:r>
        <w:rPr>
          <w:noProof/>
        </w:rPr>
        <w:drawing>
          <wp:inline distT="0" distB="0" distL="0" distR="0">
            <wp:extent cx="5760720" cy="2719287"/>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719287"/>
                    </a:xfrm>
                    <a:prstGeom prst="rect">
                      <a:avLst/>
                    </a:prstGeom>
                    <a:noFill/>
                    <a:ln>
                      <a:noFill/>
                    </a:ln>
                  </pic:spPr>
                </pic:pic>
              </a:graphicData>
            </a:graphic>
          </wp:inline>
        </w:drawing>
      </w:r>
    </w:p>
    <w:p w:rsidR="00630C0A" w:rsidRDefault="00630C0A">
      <w:pPr>
        <w:jc w:val="center"/>
        <w:rPr>
          <w:noProof/>
        </w:rPr>
      </w:pPr>
    </w:p>
    <w:p w:rsidR="00630C0A" w:rsidRDefault="00961E71">
      <w:pPr>
        <w:spacing w:after="120"/>
        <w:jc w:val="both"/>
        <w:rPr>
          <w:noProof/>
        </w:rPr>
      </w:pPr>
      <w:r>
        <w:rPr>
          <w:b/>
          <w:bCs/>
          <w:noProof/>
        </w:rPr>
        <w:t xml:space="preserve">Member States’ fiscal positions in relation to their MTOs also vary widely. </w:t>
      </w:r>
      <w:r>
        <w:rPr>
          <w:noProof/>
        </w:rPr>
        <w:t>All Member States have now moved to the preventive arm of the Pact and are thus required to maintain or make progress towards their MTOs. Around half of them have reached those objectives, with some accumulating structural surpluses (going beyond the requi</w:t>
      </w:r>
      <w:r>
        <w:rPr>
          <w:noProof/>
        </w:rPr>
        <w:t xml:space="preserve">rements of the preventive arm) and a few others being close to their MTOs (see </w:t>
      </w:r>
      <w:r>
        <w:rPr>
          <w:noProof/>
        </w:rPr>
        <w:fldChar w:fldCharType="begin"/>
      </w:r>
      <w:r>
        <w:rPr>
          <w:noProof/>
        </w:rPr>
        <w:instrText xml:space="preserve"> REF _Ref29810850 \h  \* MERGEFORMAT </w:instrText>
      </w:r>
      <w:r>
        <w:rPr>
          <w:noProof/>
        </w:rPr>
      </w:r>
      <w:r>
        <w:rPr>
          <w:noProof/>
        </w:rPr>
        <w:fldChar w:fldCharType="separate"/>
      </w:r>
      <w:r>
        <w:rPr>
          <w:bCs/>
          <w:noProof/>
        </w:rPr>
        <w:t xml:space="preserve">Graph </w:t>
      </w:r>
      <w:r>
        <w:rPr>
          <w:noProof/>
        </w:rPr>
        <w:t>3</w:t>
      </w:r>
      <w:r>
        <w:rPr>
          <w:noProof/>
        </w:rPr>
        <w:fldChar w:fldCharType="end"/>
      </w:r>
      <w:r>
        <w:rPr>
          <w:noProof/>
        </w:rPr>
        <w:t>). However, a group of Member States remains far away from their ob</w:t>
      </w:r>
      <w:r>
        <w:rPr>
          <w:noProof/>
        </w:rPr>
        <w:t>jectives and have not yet built sufficient fiscal buffers for the next downturn, notably with respect to the 3% of GDP headline deficit threshold. Most of those Member States also have the highest debt ratios in the EU.</w:t>
      </w:r>
      <w:r>
        <w:rPr>
          <w:rStyle w:val="FootnoteReference"/>
          <w:noProof/>
        </w:rPr>
        <w:footnoteReference w:id="17"/>
      </w:r>
    </w:p>
    <w:p w:rsidR="00630C0A" w:rsidRDefault="00961E71">
      <w:pPr>
        <w:keepNext/>
        <w:jc w:val="center"/>
        <w:rPr>
          <w:b/>
          <w:bCs/>
          <w:noProof/>
        </w:rPr>
      </w:pPr>
      <w:bookmarkStart w:id="21" w:name="_Ref29810850"/>
      <w:r>
        <w:rPr>
          <w:b/>
          <w:bCs/>
          <w:noProof/>
        </w:rPr>
        <w:t xml:space="preserve">Graph </w:t>
      </w:r>
      <w:r>
        <w:rPr>
          <w:noProof/>
        </w:rPr>
        <w:fldChar w:fldCharType="begin"/>
      </w:r>
      <w:r>
        <w:rPr>
          <w:b/>
          <w:noProof/>
        </w:rPr>
        <w:instrText xml:space="preserve"> SEQ Graph \* ARABIC </w:instrText>
      </w:r>
      <w:r>
        <w:rPr>
          <w:b/>
          <w:noProof/>
        </w:rPr>
        <w:fldChar w:fldCharType="separate"/>
      </w:r>
      <w:r>
        <w:rPr>
          <w:b/>
          <w:noProof/>
        </w:rPr>
        <w:t>3</w:t>
      </w:r>
      <w:r>
        <w:rPr>
          <w:noProof/>
        </w:rPr>
        <w:fldChar w:fldCharType="end"/>
      </w:r>
      <w:bookmarkEnd w:id="21"/>
      <w:r>
        <w:rPr>
          <w:b/>
          <w:bCs/>
          <w:noProof/>
        </w:rPr>
        <w:t xml:space="preserve">: </w:t>
      </w:r>
      <w:r>
        <w:rPr>
          <w:b/>
          <w:bCs/>
          <w:noProof/>
        </w:rPr>
        <w:t>How far Member States were from their MTO in 2018?</w:t>
      </w:r>
    </w:p>
    <w:p w:rsidR="00630C0A" w:rsidRDefault="00961E71">
      <w:pPr>
        <w:keepNext/>
        <w:jc w:val="center"/>
        <w:rPr>
          <w:b/>
          <w:bCs/>
          <w:noProof/>
        </w:rPr>
      </w:pPr>
      <w:r>
        <w:rPr>
          <w:b/>
          <w:bCs/>
          <w:noProof/>
        </w:rPr>
        <w:drawing>
          <wp:inline distT="0" distB="0" distL="0" distR="0">
            <wp:extent cx="5257800"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7800" cy="2514600"/>
                    </a:xfrm>
                    <a:prstGeom prst="rect">
                      <a:avLst/>
                    </a:prstGeom>
                    <a:noFill/>
                    <a:ln>
                      <a:noFill/>
                    </a:ln>
                  </pic:spPr>
                </pic:pic>
              </a:graphicData>
            </a:graphic>
          </wp:inline>
        </w:drawing>
      </w:r>
    </w:p>
    <w:p w:rsidR="00630C0A" w:rsidRDefault="00630C0A">
      <w:pPr>
        <w:jc w:val="center"/>
        <w:rPr>
          <w:noProof/>
        </w:rPr>
      </w:pPr>
    </w:p>
    <w:p w:rsidR="00630C0A" w:rsidRDefault="00630C0A">
      <w:pPr>
        <w:spacing w:after="120"/>
        <w:jc w:val="both"/>
        <w:rPr>
          <w:b/>
          <w:noProof/>
        </w:rPr>
      </w:pPr>
    </w:p>
    <w:p w:rsidR="00630C0A" w:rsidRDefault="00961E71">
      <w:pPr>
        <w:spacing w:after="120"/>
        <w:jc w:val="both"/>
        <w:rPr>
          <w:noProof/>
        </w:rPr>
      </w:pPr>
      <w:r>
        <w:rPr>
          <w:b/>
          <w:bCs/>
          <w:noProof/>
        </w:rPr>
        <w:t>Expenditure dynamics now seem better controlled than before the crisis.</w:t>
      </w:r>
      <w:r>
        <w:rPr>
          <w:noProof/>
        </w:rPr>
        <w:t xml:space="preserve"> The pre-crisis period saw government primary expenditure in most Member States grow faster than potential output. Since the crisi</w:t>
      </w:r>
      <w:r>
        <w:rPr>
          <w:noProof/>
        </w:rPr>
        <w:t>s, the growth rate of primary expenditure has slowed down in relation to potential output, which itself was significantly affected by the crisis. Average expenditure growth since the crisis has actually been at or below the growth of potential output in ne</w:t>
      </w:r>
      <w:r>
        <w:rPr>
          <w:noProof/>
        </w:rPr>
        <w:t xml:space="preserve">arly all Member States in spite of the concomitant slowdown in inflation (see </w:t>
      </w:r>
      <w:r>
        <w:rPr>
          <w:noProof/>
        </w:rPr>
        <w:fldChar w:fldCharType="begin"/>
      </w:r>
      <w:r>
        <w:rPr>
          <w:noProof/>
        </w:rPr>
        <w:instrText xml:space="preserve"> REF _Ref29810868 \h  \* MERGEFORMAT </w:instrText>
      </w:r>
      <w:r>
        <w:rPr>
          <w:noProof/>
        </w:rPr>
      </w:r>
      <w:r>
        <w:rPr>
          <w:noProof/>
        </w:rPr>
        <w:fldChar w:fldCharType="separate"/>
      </w:r>
      <w:r>
        <w:rPr>
          <w:bCs/>
          <w:noProof/>
        </w:rPr>
        <w:t xml:space="preserve">Graph </w:t>
      </w:r>
      <w:r>
        <w:rPr>
          <w:noProof/>
        </w:rPr>
        <w:t>4</w:t>
      </w:r>
      <w:r>
        <w:rPr>
          <w:noProof/>
        </w:rPr>
        <w:fldChar w:fldCharType="end"/>
      </w:r>
      <w:r>
        <w:rPr>
          <w:noProof/>
        </w:rPr>
        <w:t>). The difference between the two periods would likely be even larg</w:t>
      </w:r>
      <w:r>
        <w:rPr>
          <w:noProof/>
        </w:rPr>
        <w:t>er if discretionary revenue measures were also considered. Indeed, the pre-crisis period saw the majority of Member States cutting taxes, a trend that reversed in the aftermath of the economic and financial crisis (up to 2015).</w:t>
      </w:r>
    </w:p>
    <w:p w:rsidR="00630C0A" w:rsidRDefault="00630C0A">
      <w:pPr>
        <w:spacing w:after="120"/>
        <w:jc w:val="both"/>
        <w:rPr>
          <w:noProof/>
        </w:rPr>
      </w:pPr>
    </w:p>
    <w:p w:rsidR="00630C0A" w:rsidRDefault="00961E71">
      <w:pPr>
        <w:keepNext/>
        <w:jc w:val="center"/>
        <w:rPr>
          <w:b/>
          <w:bCs/>
          <w:noProof/>
        </w:rPr>
      </w:pPr>
      <w:bookmarkStart w:id="22" w:name="_Ref29810868"/>
      <w:r>
        <w:rPr>
          <w:b/>
          <w:bCs/>
          <w:noProof/>
        </w:rPr>
        <w:t xml:space="preserve">Graph </w:t>
      </w:r>
      <w:r>
        <w:rPr>
          <w:noProof/>
        </w:rPr>
        <w:fldChar w:fldCharType="begin"/>
      </w:r>
      <w:r>
        <w:rPr>
          <w:b/>
          <w:noProof/>
        </w:rPr>
        <w:instrText xml:space="preserve"> SEQ Graph \* ARABIC </w:instrText>
      </w:r>
      <w:r>
        <w:rPr>
          <w:b/>
          <w:noProof/>
        </w:rPr>
        <w:fldChar w:fldCharType="separate"/>
      </w:r>
      <w:r>
        <w:rPr>
          <w:b/>
          <w:noProof/>
        </w:rPr>
        <w:t>4</w:t>
      </w:r>
      <w:r>
        <w:rPr>
          <w:noProof/>
        </w:rPr>
        <w:fldChar w:fldCharType="end"/>
      </w:r>
      <w:bookmarkEnd w:id="22"/>
      <w:r>
        <w:rPr>
          <w:b/>
          <w:bCs/>
          <w:noProof/>
        </w:rPr>
        <w:t>: Controlling primary expenditure dynamics</w:t>
      </w:r>
      <w:r>
        <w:rPr>
          <w:b/>
          <w:noProof/>
        </w:rPr>
        <w:br/>
      </w:r>
      <w:r>
        <w:rPr>
          <w:b/>
          <w:noProof/>
        </w:rPr>
        <w:tab/>
      </w:r>
      <w:r>
        <w:rPr>
          <w:b/>
          <w:noProof/>
        </w:rPr>
        <w:tab/>
      </w:r>
      <w:r>
        <w:rPr>
          <w:b/>
          <w:bCs/>
          <w:noProof/>
        </w:rPr>
        <w:t>Pre-crisis period</w:t>
      </w:r>
      <w:r>
        <w:rPr>
          <w:b/>
          <w:noProof/>
        </w:rPr>
        <w:tab/>
      </w:r>
      <w:r>
        <w:rPr>
          <w:b/>
          <w:noProof/>
        </w:rPr>
        <w:tab/>
      </w:r>
      <w:r>
        <w:rPr>
          <w:b/>
          <w:noProof/>
        </w:rPr>
        <w:tab/>
      </w:r>
      <w:r>
        <w:rPr>
          <w:b/>
          <w:bCs/>
          <w:noProof/>
        </w:rPr>
        <w:t>Post-crisis period</w:t>
      </w:r>
    </w:p>
    <w:p w:rsidR="00630C0A" w:rsidRDefault="00630C0A">
      <w:pPr>
        <w:jc w:val="center"/>
        <w:rPr>
          <w:b/>
          <w:noProof/>
        </w:rPr>
      </w:pPr>
    </w:p>
    <w:p w:rsidR="00630C0A" w:rsidRDefault="00961E71">
      <w:pPr>
        <w:jc w:val="center"/>
        <w:rPr>
          <w:b/>
          <w:noProof/>
        </w:rPr>
      </w:pPr>
      <w:r>
        <w:rPr>
          <w:noProof/>
        </w:rPr>
        <w:drawing>
          <wp:inline distT="0" distB="0" distL="0" distR="0">
            <wp:extent cx="5079600" cy="228960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9600" cy="2289600"/>
                    </a:xfrm>
                    <a:prstGeom prst="rect">
                      <a:avLst/>
                    </a:prstGeom>
                    <a:noFill/>
                  </pic:spPr>
                </pic:pic>
              </a:graphicData>
            </a:graphic>
          </wp:inline>
        </w:drawing>
      </w:r>
    </w:p>
    <w:p w:rsidR="00630C0A" w:rsidRDefault="00630C0A">
      <w:pPr>
        <w:spacing w:after="120"/>
        <w:jc w:val="both"/>
        <w:rPr>
          <w:noProof/>
        </w:rPr>
      </w:pPr>
    </w:p>
    <w:p w:rsidR="00630C0A" w:rsidRDefault="00961E71">
      <w:pPr>
        <w:pStyle w:val="Heading2"/>
        <w:rPr>
          <w:noProof/>
        </w:rPr>
      </w:pPr>
      <w:bookmarkStart w:id="23" w:name="_Toc31115860"/>
      <w:r>
        <w:rPr>
          <w:noProof/>
        </w:rPr>
        <w:t>2.3 Developments at the level of national fiscal frameworks</w:t>
      </w:r>
      <w:bookmarkEnd w:id="23"/>
    </w:p>
    <w:p w:rsidR="00630C0A" w:rsidRDefault="00961E71">
      <w:pPr>
        <w:spacing w:after="120"/>
        <w:jc w:val="both"/>
        <w:rPr>
          <w:noProof/>
        </w:rPr>
      </w:pPr>
      <w:r>
        <w:rPr>
          <w:b/>
          <w:bCs/>
          <w:noProof/>
        </w:rPr>
        <w:t xml:space="preserve">EU requirements for national budgetary frameworks have evolved rapidly in terms of scope and granularity in recent years. </w:t>
      </w:r>
      <w:r>
        <w:rPr>
          <w:noProof/>
        </w:rPr>
        <w:t>While EU policy</w:t>
      </w:r>
      <w:r>
        <w:rPr>
          <w:noProof/>
        </w:rPr>
        <w:noBreakHyphen/>
        <w:t>makers have paid increasingly more attention to national fiscal frameworks since the introduction of the euro, Directi</w:t>
      </w:r>
      <w:r>
        <w:rPr>
          <w:noProof/>
        </w:rPr>
        <w:t>ve 2011/85 was the first EU legislative initiative in that area. The Directive introduced a set of binding minimum requirements for the main elements of budgetary frameworks,</w:t>
      </w:r>
      <w:r>
        <w:rPr>
          <w:rStyle w:val="FootnoteReference"/>
          <w:noProof/>
        </w:rPr>
        <w:footnoteReference w:id="18"/>
      </w:r>
      <w:r>
        <w:rPr>
          <w:noProof/>
          <w:vertAlign w:val="superscript"/>
        </w:rPr>
        <w:t>,</w:t>
      </w:r>
      <w:r>
        <w:rPr>
          <w:noProof/>
          <w:vertAlign w:val="superscript"/>
        </w:rPr>
        <w:footnoteReference w:id="19"/>
      </w:r>
      <w:r>
        <w:rPr>
          <w:noProof/>
        </w:rPr>
        <w:t xml:space="preserve"> although the requirements themselves remained fairly general. In particular, i</w:t>
      </w:r>
      <w:r>
        <w:rPr>
          <w:noProof/>
        </w:rPr>
        <w:t>t requires Member States to adopt numerical fiscal rules conducive to the respect of the Maastricht criteria and defines general requirements for their design and specification, while leaving the choice of specific rules to the discretion of Member States.</w:t>
      </w:r>
      <w:r>
        <w:rPr>
          <w:noProof/>
        </w:rPr>
        <w:t xml:space="preserve"> It was soon followed by further initiatives in the area of domestic budgetary frameworks, i.e. the Fiscal Compact and the two-pack. The Fiscal Compact, though not part of EU law, has had a big impact on national frameworks: it required its euro area signa</w:t>
      </w:r>
      <w:r>
        <w:rPr>
          <w:noProof/>
        </w:rPr>
        <w:t>tories</w:t>
      </w:r>
      <w:r>
        <w:rPr>
          <w:noProof/>
          <w:vertAlign w:val="superscript"/>
        </w:rPr>
        <w:footnoteReference w:id="20"/>
      </w:r>
      <w:r>
        <w:rPr>
          <w:noProof/>
        </w:rPr>
        <w:t xml:space="preserve"> to introduce in national legislation (preferably at constitutional level) a structural balanced budget rule – effectively reproducing the MTO - and to complement it with an automatic correction mechanism, as well as an independent fiscal institutio</w:t>
      </w:r>
      <w:r>
        <w:rPr>
          <w:noProof/>
        </w:rPr>
        <w:t xml:space="preserve">n to monitor the rule. Regulation No 473/2013, which concerns only euro-area Member States, introduced the criteria for establishing independent fiscal institutions into EU law and added requirements related to: </w:t>
      </w:r>
    </w:p>
    <w:p w:rsidR="00630C0A" w:rsidRDefault="00961E71">
      <w:pPr>
        <w:spacing w:after="120"/>
        <w:jc w:val="both"/>
        <w:rPr>
          <w:noProof/>
        </w:rPr>
      </w:pPr>
      <w:r>
        <w:rPr>
          <w:noProof/>
        </w:rPr>
        <w:t>1) independent macroeconomic forecasts bein</w:t>
      </w:r>
      <w:r>
        <w:rPr>
          <w:noProof/>
        </w:rPr>
        <w:t xml:space="preserve">g used for budgeting; and </w:t>
      </w:r>
    </w:p>
    <w:p w:rsidR="00630C0A" w:rsidRDefault="00961E71">
      <w:pPr>
        <w:spacing w:after="120"/>
        <w:jc w:val="both"/>
        <w:rPr>
          <w:noProof/>
        </w:rPr>
      </w:pPr>
      <w:r>
        <w:rPr>
          <w:noProof/>
        </w:rPr>
        <w:t xml:space="preserve">2) a common budgetary timeline across euro-area Member States. </w:t>
      </w:r>
    </w:p>
    <w:p w:rsidR="00630C0A" w:rsidRDefault="00961E71">
      <w:pPr>
        <w:spacing w:after="120"/>
        <w:jc w:val="both"/>
        <w:rPr>
          <w:b/>
          <w:bCs/>
          <w:noProof/>
        </w:rPr>
      </w:pPr>
      <w:r>
        <w:rPr>
          <w:noProof/>
        </w:rPr>
        <w:t>As a result, the current economic governance system blends various requirements for domestic budgetary frameworks, with Directive 2011/85 providing basic standards f</w:t>
      </w:r>
      <w:r>
        <w:rPr>
          <w:noProof/>
        </w:rPr>
        <w:t>or all Member States, complemented by reinforcements in specific areas introduced by Regulation No 473/2013 for euro-area Member States and by the Fiscal Compact for euro-area and voluntarily adhering non-euro-area Member States.</w:t>
      </w:r>
    </w:p>
    <w:p w:rsidR="00630C0A" w:rsidRDefault="00961E71">
      <w:pPr>
        <w:spacing w:after="120"/>
        <w:jc w:val="both"/>
        <w:rPr>
          <w:b/>
          <w:bCs/>
          <w:noProof/>
        </w:rPr>
      </w:pPr>
      <w:r>
        <w:rPr>
          <w:b/>
          <w:bCs/>
          <w:noProof/>
        </w:rPr>
        <w:t xml:space="preserve">Since the adoption of the </w:t>
      </w:r>
      <w:r>
        <w:rPr>
          <w:b/>
          <w:bCs/>
          <w:noProof/>
        </w:rPr>
        <w:t xml:space="preserve">EU legal requirements and the Fiscal Compact, there has been significant development of national budgetary frameworks in Member States. </w:t>
      </w:r>
      <w:r>
        <w:rPr>
          <w:noProof/>
        </w:rPr>
        <w:t>The progress is most noticeable in Member States that had no or only rudimentary frameworks before the crisis. For those</w:t>
      </w:r>
      <w:r>
        <w:rPr>
          <w:noProof/>
        </w:rPr>
        <w:t xml:space="preserve"> Member States, the EU requirements served as a basis for a modern fiscal framework.</w:t>
      </w:r>
      <w:r>
        <w:rPr>
          <w:b/>
          <w:bCs/>
          <w:noProof/>
        </w:rPr>
        <w:t xml:space="preserve"> </w:t>
      </w:r>
    </w:p>
    <w:p w:rsidR="00630C0A" w:rsidRDefault="00961E71">
      <w:pPr>
        <w:spacing w:before="120"/>
        <w:jc w:val="both"/>
        <w:rPr>
          <w:noProof/>
        </w:rPr>
      </w:pPr>
      <w:r>
        <w:rPr>
          <w:b/>
          <w:bCs/>
          <w:noProof/>
        </w:rPr>
        <w:t>Numerical fiscal rules are now at the centre of fiscal frameworks in all Member States and their quality has improved markedly</w:t>
      </w:r>
      <w:r>
        <w:rPr>
          <w:b/>
          <w:noProof/>
        </w:rPr>
        <w:t>.</w:t>
      </w:r>
      <w:r>
        <w:rPr>
          <w:noProof/>
        </w:rPr>
        <w:t xml:space="preserve"> The number of fiscal rules has increased s</w:t>
      </w:r>
      <w:r>
        <w:rPr>
          <w:noProof/>
        </w:rPr>
        <w:t xml:space="preserve">ignificantly in the Member States in recent years. However, rather than just the mere number of rules, which (if too high) can create challenges of its own, the greater quality of rules should be emphasised (see </w:t>
      </w:r>
      <w:r>
        <w:rPr>
          <w:noProof/>
        </w:rPr>
        <w:fldChar w:fldCharType="begin"/>
      </w:r>
      <w:r>
        <w:rPr>
          <w:noProof/>
        </w:rPr>
        <w:instrText xml:space="preserve"> REF _Ref29810886 \h  \* MERGEFORMAT </w:instrText>
      </w:r>
      <w:r>
        <w:rPr>
          <w:noProof/>
        </w:rPr>
      </w:r>
      <w:r>
        <w:rPr>
          <w:noProof/>
        </w:rPr>
        <w:fldChar w:fldCharType="separate"/>
      </w:r>
      <w:r>
        <w:rPr>
          <w:bCs/>
          <w:noProof/>
        </w:rPr>
        <w:t xml:space="preserve">Graph </w:t>
      </w:r>
      <w:r>
        <w:rPr>
          <w:noProof/>
        </w:rPr>
        <w:t>7</w:t>
      </w:r>
      <w:r>
        <w:rPr>
          <w:noProof/>
        </w:rPr>
        <w:fldChar w:fldCharType="end"/>
      </w:r>
      <w:r>
        <w:rPr>
          <w:noProof/>
        </w:rPr>
        <w:t>). Overall, the Member States now have sets of fiscal rules that are more specific in terms of target and scope, generally have some consequences for non-compliance and are usually monitore</w:t>
      </w:r>
      <w:r>
        <w:rPr>
          <w:noProof/>
        </w:rPr>
        <w:t xml:space="preserve">d on the basis of independent analysis. Where they contain escape clauses, these are limited in number and generally well-defined. </w:t>
      </w:r>
    </w:p>
    <w:p w:rsidR="00630C0A" w:rsidRDefault="00961E71">
      <w:pPr>
        <w:spacing w:before="120" w:after="120"/>
        <w:jc w:val="both"/>
        <w:rPr>
          <w:b/>
          <w:bCs/>
          <w:noProof/>
        </w:rPr>
      </w:pPr>
      <w:r>
        <w:rPr>
          <w:b/>
          <w:bCs/>
          <w:noProof/>
        </w:rPr>
        <w:t>All Member States have a medium-term budgetary framework</w:t>
      </w:r>
      <w:r>
        <w:rPr>
          <w:noProof/>
        </w:rPr>
        <w:t>. Extending the horizon of fiscal policy beyond the annual budget br</w:t>
      </w:r>
      <w:r>
        <w:rPr>
          <w:noProof/>
        </w:rPr>
        <w:t>ings benefits in terms of credibility, transparency and discipline. Recognising this, Directive 2011/85 required Member States to establish credible and effective medium-term budgetary frameworks (MTBF). Currently, all Member States have a more or less dev</w:t>
      </w:r>
      <w:r>
        <w:rPr>
          <w:noProof/>
        </w:rPr>
        <w:t>eloped MTBF based on multiannual objectives for the main budgetary aggregates, a noteworthy improvement over the period before the adoption of Directive 2011/85. However, as that Directive contains only general requirements on MTBFs, their design differs s</w:t>
      </w:r>
      <w:r>
        <w:rPr>
          <w:noProof/>
        </w:rPr>
        <w:t>ignificantly across the Member States.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507"/>
      </w:tblGrid>
      <w:tr w:rsidR="00630C0A">
        <w:tc>
          <w:tcPr>
            <w:tcW w:w="5096" w:type="dxa"/>
            <w:shd w:val="clear" w:color="auto" w:fill="auto"/>
          </w:tcPr>
          <w:p w:rsidR="00630C0A" w:rsidRDefault="00630C0A">
            <w:pPr>
              <w:keepNext/>
              <w:jc w:val="both"/>
              <w:rPr>
                <w:noProof/>
              </w:rPr>
            </w:pPr>
          </w:p>
        </w:tc>
        <w:tc>
          <w:tcPr>
            <w:tcW w:w="4190" w:type="dxa"/>
          </w:tcPr>
          <w:p w:rsidR="00630C0A" w:rsidRDefault="00630C0A">
            <w:pPr>
              <w:keepNext/>
              <w:jc w:val="both"/>
              <w:rPr>
                <w:b/>
                <w:bCs/>
                <w:noProof/>
              </w:rPr>
            </w:pPr>
          </w:p>
        </w:tc>
      </w:tr>
      <w:tr w:rsidR="00630C0A">
        <w:tc>
          <w:tcPr>
            <w:tcW w:w="5096" w:type="dxa"/>
            <w:shd w:val="clear" w:color="auto" w:fill="auto"/>
          </w:tcPr>
          <w:p w:rsidR="00630C0A" w:rsidRDefault="00961E71">
            <w:pPr>
              <w:pStyle w:val="Caption"/>
              <w:keepNext/>
              <w:jc w:val="both"/>
              <w:rPr>
                <w:b/>
                <w:i w:val="0"/>
                <w:noProof/>
                <w:color w:val="auto"/>
                <w:sz w:val="24"/>
                <w:szCs w:val="24"/>
              </w:rPr>
            </w:pPr>
            <w:bookmarkStart w:id="24" w:name="_Ref31031616"/>
            <w:r>
              <w:rPr>
                <w:b/>
                <w:i w:val="0"/>
                <w:noProof/>
                <w:color w:val="auto"/>
                <w:sz w:val="24"/>
                <w:szCs w:val="24"/>
              </w:rPr>
              <w:t xml:space="preserve">Graph </w:t>
            </w:r>
            <w:r>
              <w:rPr>
                <w:b/>
                <w:i w:val="0"/>
                <w:noProof/>
                <w:color w:val="auto"/>
                <w:sz w:val="24"/>
                <w:szCs w:val="24"/>
              </w:rPr>
              <w:fldChar w:fldCharType="begin"/>
            </w:r>
            <w:r>
              <w:rPr>
                <w:b/>
                <w:i w:val="0"/>
                <w:noProof/>
                <w:color w:val="auto"/>
                <w:sz w:val="24"/>
                <w:szCs w:val="24"/>
              </w:rPr>
              <w:instrText xml:space="preserve"> SEQ Graph \* ARABIC </w:instrText>
            </w:r>
            <w:r>
              <w:rPr>
                <w:b/>
                <w:i w:val="0"/>
                <w:noProof/>
                <w:color w:val="auto"/>
                <w:sz w:val="24"/>
                <w:szCs w:val="24"/>
              </w:rPr>
              <w:fldChar w:fldCharType="separate"/>
            </w:r>
            <w:r>
              <w:rPr>
                <w:b/>
                <w:i w:val="0"/>
                <w:noProof/>
                <w:color w:val="auto"/>
                <w:sz w:val="24"/>
                <w:szCs w:val="24"/>
              </w:rPr>
              <w:t>5</w:t>
            </w:r>
            <w:r>
              <w:rPr>
                <w:b/>
                <w:i w:val="0"/>
                <w:noProof/>
                <w:color w:val="auto"/>
                <w:sz w:val="24"/>
                <w:szCs w:val="24"/>
              </w:rPr>
              <w:fldChar w:fldCharType="end"/>
            </w:r>
            <w:bookmarkEnd w:id="24"/>
            <w:r>
              <w:rPr>
                <w:b/>
                <w:i w:val="0"/>
                <w:noProof/>
                <w:color w:val="auto"/>
                <w:sz w:val="24"/>
                <w:szCs w:val="24"/>
              </w:rPr>
              <w:t>: Main design features of new or reformed national rules</w:t>
            </w:r>
          </w:p>
          <w:p w:rsidR="00630C0A" w:rsidRDefault="00961E71">
            <w:pPr>
              <w:jc w:val="both"/>
              <w:rPr>
                <w:noProof/>
              </w:rPr>
            </w:pPr>
            <w:r>
              <w:rPr>
                <w:noProof/>
              </w:rPr>
              <w:drawing>
                <wp:inline distT="0" distB="0" distL="0" distR="0">
                  <wp:extent cx="2958353" cy="20078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7722" cy="2007440"/>
                          </a:xfrm>
                          <a:prstGeom prst="rect">
                            <a:avLst/>
                          </a:prstGeom>
                          <a:noFill/>
                          <a:ln>
                            <a:noFill/>
                          </a:ln>
                        </pic:spPr>
                      </pic:pic>
                    </a:graphicData>
                  </a:graphic>
                </wp:inline>
              </w:drawing>
            </w:r>
          </w:p>
        </w:tc>
        <w:tc>
          <w:tcPr>
            <w:tcW w:w="4190" w:type="dxa"/>
          </w:tcPr>
          <w:p w:rsidR="00630C0A" w:rsidRDefault="00961E71">
            <w:pPr>
              <w:pStyle w:val="Caption"/>
              <w:keepNext/>
              <w:jc w:val="both"/>
              <w:rPr>
                <w:b/>
                <w:i w:val="0"/>
                <w:noProof/>
                <w:color w:val="auto"/>
                <w:sz w:val="24"/>
                <w:szCs w:val="24"/>
              </w:rPr>
            </w:pPr>
            <w:bookmarkStart w:id="25" w:name="_Ref31031683"/>
            <w:r>
              <w:rPr>
                <w:b/>
                <w:i w:val="0"/>
                <w:noProof/>
                <w:color w:val="auto"/>
                <w:sz w:val="24"/>
                <w:szCs w:val="24"/>
              </w:rPr>
              <w:t xml:space="preserve">Graph </w:t>
            </w:r>
            <w:r>
              <w:rPr>
                <w:b/>
                <w:i w:val="0"/>
                <w:noProof/>
                <w:color w:val="auto"/>
                <w:sz w:val="24"/>
                <w:szCs w:val="24"/>
              </w:rPr>
              <w:fldChar w:fldCharType="begin"/>
            </w:r>
            <w:r>
              <w:rPr>
                <w:b/>
                <w:i w:val="0"/>
                <w:noProof/>
                <w:color w:val="auto"/>
                <w:sz w:val="24"/>
                <w:szCs w:val="24"/>
              </w:rPr>
              <w:instrText xml:space="preserve"> SEQ Graph \* ARABIC </w:instrText>
            </w:r>
            <w:r>
              <w:rPr>
                <w:b/>
                <w:i w:val="0"/>
                <w:noProof/>
                <w:color w:val="auto"/>
                <w:sz w:val="24"/>
                <w:szCs w:val="24"/>
              </w:rPr>
              <w:fldChar w:fldCharType="separate"/>
            </w:r>
            <w:r>
              <w:rPr>
                <w:b/>
                <w:i w:val="0"/>
                <w:noProof/>
                <w:color w:val="auto"/>
                <w:sz w:val="24"/>
                <w:szCs w:val="24"/>
              </w:rPr>
              <w:t>6</w:t>
            </w:r>
            <w:r>
              <w:rPr>
                <w:b/>
                <w:i w:val="0"/>
                <w:noProof/>
                <w:color w:val="auto"/>
                <w:sz w:val="24"/>
                <w:szCs w:val="24"/>
              </w:rPr>
              <w:fldChar w:fldCharType="end"/>
            </w:r>
            <w:bookmarkEnd w:id="25"/>
            <w:r>
              <w:rPr>
                <w:b/>
                <w:i w:val="0"/>
                <w:noProof/>
                <w:color w:val="auto"/>
                <w:sz w:val="24"/>
                <w:szCs w:val="24"/>
              </w:rPr>
              <w:t>: Number of independent fiscal institutions (IFIs) in the EU</w:t>
            </w:r>
          </w:p>
          <w:p w:rsidR="00630C0A" w:rsidRDefault="00961E71">
            <w:pPr>
              <w:jc w:val="both"/>
              <w:rPr>
                <w:noProof/>
              </w:rPr>
            </w:pPr>
            <w:r>
              <w:rPr>
                <w:noProof/>
              </w:rPr>
              <w:drawing>
                <wp:inline distT="0" distB="0" distL="0" distR="0">
                  <wp:extent cx="2776682" cy="1903846"/>
                  <wp:effectExtent l="0" t="0" r="508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6106" cy="1910307"/>
                          </a:xfrm>
                          <a:prstGeom prst="rect">
                            <a:avLst/>
                          </a:prstGeom>
                          <a:noFill/>
                        </pic:spPr>
                      </pic:pic>
                    </a:graphicData>
                  </a:graphic>
                </wp:inline>
              </w:drawing>
            </w:r>
          </w:p>
        </w:tc>
      </w:tr>
      <w:tr w:rsidR="00630C0A">
        <w:trPr>
          <w:trHeight w:val="1145"/>
        </w:trPr>
        <w:tc>
          <w:tcPr>
            <w:tcW w:w="5096" w:type="dxa"/>
            <w:shd w:val="clear" w:color="auto" w:fill="auto"/>
          </w:tcPr>
          <w:p w:rsidR="00630C0A" w:rsidRDefault="00961E71">
            <w:pPr>
              <w:jc w:val="both"/>
              <w:rPr>
                <w:i/>
                <w:noProof/>
                <w:sz w:val="18"/>
                <w:szCs w:val="18"/>
              </w:rPr>
            </w:pPr>
            <w:r>
              <w:rPr>
                <w:i/>
                <w:noProof/>
                <w:sz w:val="18"/>
                <w:szCs w:val="18"/>
              </w:rPr>
              <w:t xml:space="preserve">Note: Each indicator ranges </w:t>
            </w:r>
            <w:r>
              <w:rPr>
                <w:i/>
                <w:noProof/>
                <w:sz w:val="18"/>
                <w:szCs w:val="18"/>
              </w:rPr>
              <w:t>between 0 (non-existent) and 1 (very strong) and is averaged across all rules in force at all levels of government.</w:t>
            </w:r>
          </w:p>
          <w:p w:rsidR="00630C0A" w:rsidRDefault="00961E71">
            <w:pPr>
              <w:jc w:val="both"/>
              <w:rPr>
                <w:noProof/>
              </w:rPr>
            </w:pPr>
            <w:r>
              <w:rPr>
                <w:i/>
                <w:noProof/>
                <w:sz w:val="18"/>
                <w:szCs w:val="18"/>
              </w:rPr>
              <w:t>Source: Commission’s Fiscal Governance Database.</w:t>
            </w:r>
            <w:r>
              <w:rPr>
                <w:i/>
                <w:noProof/>
                <w:sz w:val="18"/>
                <w:szCs w:val="18"/>
              </w:rPr>
              <w:tab/>
            </w:r>
            <w:r>
              <w:rPr>
                <w:noProof/>
              </w:rPr>
              <w:tab/>
            </w:r>
            <w:r>
              <w:rPr>
                <w:noProof/>
              </w:rPr>
              <w:tab/>
            </w:r>
            <w:r>
              <w:rPr>
                <w:noProof/>
              </w:rPr>
              <w:tab/>
            </w:r>
            <w:r>
              <w:rPr>
                <w:noProof/>
              </w:rPr>
              <w:tab/>
            </w:r>
            <w:r>
              <w:rPr>
                <w:noProof/>
              </w:rPr>
              <w:tab/>
            </w:r>
          </w:p>
        </w:tc>
        <w:tc>
          <w:tcPr>
            <w:tcW w:w="4190" w:type="dxa"/>
          </w:tcPr>
          <w:p w:rsidR="00630C0A" w:rsidRDefault="00961E71">
            <w:pPr>
              <w:jc w:val="both"/>
              <w:rPr>
                <w:noProof/>
              </w:rPr>
            </w:pPr>
            <w:r>
              <w:rPr>
                <w:i/>
                <w:iCs/>
                <w:noProof/>
                <w:sz w:val="18"/>
                <w:szCs w:val="18"/>
              </w:rPr>
              <w:t xml:space="preserve">Source: </w:t>
            </w:r>
            <w:r>
              <w:rPr>
                <w:i/>
                <w:noProof/>
                <w:sz w:val="18"/>
                <w:szCs w:val="18"/>
              </w:rPr>
              <w:t>Commission’s</w:t>
            </w:r>
            <w:r>
              <w:rPr>
                <w:i/>
                <w:iCs/>
                <w:noProof/>
                <w:sz w:val="18"/>
                <w:szCs w:val="18"/>
              </w:rPr>
              <w:t xml:space="preserve"> Fiscal Governance Database.</w:t>
            </w:r>
            <w:r>
              <w:rPr>
                <w:i/>
                <w:noProof/>
                <w:sz w:val="18"/>
                <w:szCs w:val="18"/>
              </w:rPr>
              <w:tab/>
            </w:r>
            <w:r>
              <w:rPr>
                <w:noProof/>
              </w:rPr>
              <w:tab/>
            </w:r>
            <w:r>
              <w:rPr>
                <w:noProof/>
              </w:rPr>
              <w:tab/>
            </w:r>
            <w:r>
              <w:rPr>
                <w:noProof/>
              </w:rPr>
              <w:tab/>
            </w:r>
            <w:r>
              <w:rPr>
                <w:noProof/>
              </w:rPr>
              <w:tab/>
            </w:r>
            <w:r>
              <w:rPr>
                <w:noProof/>
              </w:rPr>
              <w:tab/>
            </w:r>
          </w:p>
        </w:tc>
      </w:tr>
    </w:tbl>
    <w:p w:rsidR="00630C0A" w:rsidRDefault="00961E71">
      <w:pPr>
        <w:pStyle w:val="ListParagraph"/>
        <w:spacing w:after="120"/>
        <w:ind w:left="0"/>
        <w:jc w:val="both"/>
        <w:rPr>
          <w:rFonts w:ascii="Times New Roman" w:hAnsi="Times New Roman" w:cs="Times New Roman"/>
          <w:noProof/>
          <w:sz w:val="24"/>
          <w:szCs w:val="24"/>
        </w:rPr>
      </w:pPr>
      <w:r>
        <w:rPr>
          <w:rFonts w:ascii="Times New Roman" w:hAnsi="Times New Roman" w:cs="Times New Roman"/>
          <w:b/>
          <w:bCs/>
          <w:noProof/>
          <w:sz w:val="24"/>
          <w:szCs w:val="24"/>
        </w:rPr>
        <w:t xml:space="preserve">The transparency and independent monitoring of fiscal policy have improved significantly. </w:t>
      </w:r>
      <w:r>
        <w:rPr>
          <w:rFonts w:ascii="Times New Roman" w:hAnsi="Times New Roman" w:cs="Times New Roman"/>
          <w:noProof/>
          <w:sz w:val="24"/>
          <w:szCs w:val="24"/>
        </w:rPr>
        <w:t xml:space="preserve">Independent institutions have been set up (or reinforced) in virtually all Member States (see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REF _Ref31031683 \h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Graph 6</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with a mandate to monitor public finances, in particular national fiscal rules, and to provide independent assessment. New streams of fiscal statistics have been created, most notably on Member States’ contingent </w:t>
      </w:r>
      <w:r>
        <w:rPr>
          <w:rFonts w:ascii="Times New Roman" w:hAnsi="Times New Roman" w:cs="Times New Roman"/>
          <w:noProof/>
          <w:sz w:val="24"/>
          <w:szCs w:val="24"/>
        </w:rPr>
        <w:t>liabilities, which has helped to raise awareness of specific aspects of public finances among policy-makers and the general public. The requirements of Regulation (EU) No 473/2013 for the preparation or endorsement of macroeconomic forecasts by independent</w:t>
      </w:r>
      <w:r>
        <w:rPr>
          <w:rFonts w:ascii="Times New Roman" w:hAnsi="Times New Roman" w:cs="Times New Roman"/>
          <w:noProof/>
          <w:sz w:val="24"/>
          <w:szCs w:val="24"/>
        </w:rPr>
        <w:t xml:space="preserve"> fiscal institutions appear to have led to slightly more prudent forecasting.</w:t>
      </w:r>
    </w:p>
    <w:p w:rsidR="00630C0A" w:rsidRDefault="00961E71">
      <w:pPr>
        <w:pStyle w:val="Heading2"/>
        <w:rPr>
          <w:noProof/>
        </w:rPr>
      </w:pPr>
      <w:bookmarkStart w:id="26" w:name="_Toc31115861"/>
      <w:r>
        <w:rPr>
          <w:noProof/>
        </w:rPr>
        <w:t>2.4 Effectiveness of the fiscal surveillance framework</w:t>
      </w:r>
      <w:bookmarkEnd w:id="26"/>
      <w:r>
        <w:rPr>
          <w:noProof/>
        </w:rPr>
        <w:t xml:space="preserve"> </w:t>
      </w:r>
    </w:p>
    <w:p w:rsidR="00630C0A" w:rsidRDefault="00961E71">
      <w:pPr>
        <w:keepNext/>
        <w:spacing w:after="120"/>
        <w:jc w:val="both"/>
        <w:rPr>
          <w:i/>
          <w:noProof/>
        </w:rPr>
      </w:pPr>
      <w:r>
        <w:rPr>
          <w:i/>
          <w:iCs/>
          <w:noProof/>
        </w:rPr>
        <w:t>Sustainability of public finances</w:t>
      </w:r>
    </w:p>
    <w:p w:rsidR="00630C0A" w:rsidRDefault="00961E71">
      <w:pPr>
        <w:spacing w:after="120"/>
        <w:jc w:val="both"/>
        <w:rPr>
          <w:noProof/>
        </w:rPr>
      </w:pPr>
      <w:r>
        <w:rPr>
          <w:b/>
          <w:bCs/>
          <w:noProof/>
        </w:rPr>
        <w:t>The corrective arm of the Pact has been an effective tool for reducing and maintaining g</w:t>
      </w:r>
      <w:r>
        <w:rPr>
          <w:b/>
          <w:bCs/>
          <w:noProof/>
        </w:rPr>
        <w:t>overnment deficits below the 3% of GDP threshold.</w:t>
      </w:r>
      <w:r>
        <w:rPr>
          <w:noProof/>
        </w:rPr>
        <w:t xml:space="preserve"> As discussed above</w:t>
      </w:r>
      <w:r>
        <w:rPr>
          <w:b/>
          <w:bCs/>
          <w:noProof/>
        </w:rPr>
        <w:t xml:space="preserve">, </w:t>
      </w:r>
      <w:r>
        <w:rPr>
          <w:noProof/>
        </w:rPr>
        <w:t>no Member State is currently under the EDP, compared to 24 Member States in the wake of the economic and financial crisis. Furthermore, the biggest structural fiscal adjustments took pla</w:t>
      </w:r>
      <w:r>
        <w:rPr>
          <w:noProof/>
        </w:rPr>
        <w:t>ce between 2011 and 2013, when most Member States were still under the EDP.</w:t>
      </w:r>
      <w:r>
        <w:rPr>
          <w:rStyle w:val="FootnoteReference"/>
          <w:noProof/>
        </w:rPr>
        <w:footnoteReference w:id="21"/>
      </w:r>
      <w:r>
        <w:rPr>
          <w:noProof/>
        </w:rPr>
        <w:t xml:space="preserve"> This suggests that the corrective arm of the Pact has proved effective in reducing excessive headline deficits (see box 1). However, as noted above, a number of Member States have</w:t>
      </w:r>
      <w:r>
        <w:rPr>
          <w:noProof/>
        </w:rPr>
        <w:t xml:space="preserve"> corrected their excessive deficits thanks to better-than-initially-expected macroeconomic conditions rather than structural fiscal adjustments.</w:t>
      </w:r>
      <w:r>
        <w:rPr>
          <w:rStyle w:val="FootnoteReference"/>
          <w:noProof/>
        </w:rPr>
        <w:footnoteReference w:id="22"/>
      </w:r>
      <w:r>
        <w:rPr>
          <w:noProof/>
        </w:rPr>
        <w:t xml:space="preserve"> </w:t>
      </w:r>
    </w:p>
    <w:p w:rsidR="00630C0A" w:rsidRDefault="00961E71">
      <w:pPr>
        <w:spacing w:after="120"/>
        <w:jc w:val="both"/>
        <w:rPr>
          <w:noProof/>
        </w:rPr>
      </w:pPr>
      <w:r>
        <w:rPr>
          <w:b/>
          <w:bCs/>
          <w:noProof/>
        </w:rPr>
        <w:t>At the same time, government debt is now very high in some Member States, including some of the largest.</w:t>
      </w:r>
      <w:r>
        <w:rPr>
          <w:noProof/>
        </w:rPr>
        <w:t xml:space="preserve"> Whil</w:t>
      </w:r>
      <w:r>
        <w:rPr>
          <w:noProof/>
        </w:rPr>
        <w:t>e around half of Member States currently have debt ratios below the Treaty threshold of 60% of GDP, debt ratios increased substantially in some others following the economic and financial crisis, only stabilising in recent years. In particular, seven Membe</w:t>
      </w:r>
      <w:r>
        <w:rPr>
          <w:noProof/>
        </w:rPr>
        <w:t>r States (Greece, Italy, Portugal, Cyprus, Belgium, France and Spain) have debt ratios above or close to 100% of GDP, as opposed to only two in the pre-crisis period (Greece and Italy).</w:t>
      </w:r>
      <w:r>
        <w:rPr>
          <w:rStyle w:val="FootnoteReference"/>
          <w:noProof/>
        </w:rPr>
        <w:footnoteReference w:id="23"/>
      </w:r>
    </w:p>
    <w:p w:rsidR="00630C0A" w:rsidRDefault="00961E71">
      <w:pPr>
        <w:spacing w:after="120"/>
        <w:jc w:val="both"/>
        <w:rPr>
          <w:noProof/>
        </w:rPr>
      </w:pPr>
      <w:r>
        <w:rPr>
          <w:b/>
          <w:noProof/>
        </w:rPr>
        <w:t>There is also a clear inverse relationship between Member States’ deb</w:t>
      </w:r>
      <w:r>
        <w:rPr>
          <w:b/>
          <w:noProof/>
        </w:rPr>
        <w:t>t levels and budget balances</w:t>
      </w:r>
      <w:r>
        <w:rPr>
          <w:noProof/>
        </w:rPr>
        <w:t xml:space="preserve"> (see </w:t>
      </w:r>
      <w:r>
        <w:rPr>
          <w:noProof/>
        </w:rPr>
        <w:fldChar w:fldCharType="begin"/>
      </w:r>
      <w:r>
        <w:rPr>
          <w:noProof/>
        </w:rPr>
        <w:instrText xml:space="preserve"> REF _Ref29810886 \h  \* MERGEFORMAT </w:instrText>
      </w:r>
      <w:r>
        <w:rPr>
          <w:noProof/>
        </w:rPr>
      </w:r>
      <w:r>
        <w:rPr>
          <w:noProof/>
        </w:rPr>
        <w:fldChar w:fldCharType="separate"/>
      </w:r>
      <w:r>
        <w:rPr>
          <w:noProof/>
        </w:rPr>
        <w:t>Graph 7</w:t>
      </w:r>
      <w:r>
        <w:rPr>
          <w:noProof/>
        </w:rPr>
        <w:fldChar w:fldCharType="end"/>
      </w:r>
      <w:r>
        <w:rPr>
          <w:noProof/>
        </w:rPr>
        <w:t>). Member States that have met (or exceeded) their MTOs are also those with relatively low debt levels. This is</w:t>
      </w:r>
      <w:r>
        <w:rPr>
          <w:noProof/>
        </w:rPr>
        <w:t xml:space="preserve"> the case for large Member States, such as Germany and the Netherlands, but also for Bulgaria, Czechia, Denmark, Luxembourg, Malta and Sweden. On the other hand, some of the most highly-indebted Member States (Belgium, Spain, France, Italy) still remain qu</w:t>
      </w:r>
      <w:r>
        <w:rPr>
          <w:noProof/>
        </w:rPr>
        <w:t xml:space="preserve">ite far from their MTOs and have made little progress towards them in recent years (see box 1). </w:t>
      </w:r>
    </w:p>
    <w:p w:rsidR="00630C0A" w:rsidRDefault="00630C0A">
      <w:pPr>
        <w:spacing w:after="120"/>
        <w:jc w:val="both"/>
        <w:rPr>
          <w:noProof/>
        </w:rPr>
      </w:pPr>
    </w:p>
    <w:p w:rsidR="00630C0A" w:rsidRDefault="00961E71">
      <w:pPr>
        <w:keepNext/>
        <w:jc w:val="center"/>
        <w:rPr>
          <w:noProof/>
        </w:rPr>
      </w:pPr>
      <w:bookmarkStart w:id="27" w:name="_Ref29810886"/>
      <w:r>
        <w:rPr>
          <w:b/>
          <w:bCs/>
          <w:noProof/>
        </w:rPr>
        <w:t xml:space="preserve">Graph </w:t>
      </w:r>
      <w:r>
        <w:rPr>
          <w:noProof/>
        </w:rPr>
        <w:fldChar w:fldCharType="begin"/>
      </w:r>
      <w:r>
        <w:rPr>
          <w:b/>
          <w:noProof/>
        </w:rPr>
        <w:instrText xml:space="preserve"> SEQ Graph \* ARABIC </w:instrText>
      </w:r>
      <w:r>
        <w:rPr>
          <w:b/>
          <w:noProof/>
        </w:rPr>
        <w:fldChar w:fldCharType="separate"/>
      </w:r>
      <w:r>
        <w:rPr>
          <w:b/>
          <w:noProof/>
        </w:rPr>
        <w:t>7</w:t>
      </w:r>
      <w:r>
        <w:rPr>
          <w:noProof/>
        </w:rPr>
        <w:fldChar w:fldCharType="end"/>
      </w:r>
      <w:bookmarkEnd w:id="27"/>
      <w:r>
        <w:rPr>
          <w:b/>
          <w:bCs/>
          <w:noProof/>
        </w:rPr>
        <w:t>: Structural balance and debt ratios across Member States</w:t>
      </w:r>
      <w:r>
        <w:rPr>
          <w:b/>
          <w:noProof/>
        </w:rPr>
        <w:br/>
      </w:r>
      <w:r>
        <w:rPr>
          <w:noProof/>
        </w:rPr>
        <w:t>(Size of bubbles is proportional to country shares in total EU-28 GDP</w:t>
      </w:r>
      <w:r>
        <w:rPr>
          <w:noProof/>
        </w:rPr>
        <w:t>)</w:t>
      </w:r>
    </w:p>
    <w:p w:rsidR="00630C0A" w:rsidRDefault="00961E71">
      <w:pPr>
        <w:keepNext/>
        <w:jc w:val="center"/>
        <w:rPr>
          <w:b/>
          <w:bCs/>
          <w:noProof/>
          <w:sz w:val="28"/>
          <w:szCs w:val="28"/>
        </w:rPr>
      </w:pPr>
      <w:r>
        <w:rPr>
          <w:b/>
          <w:bCs/>
          <w:noProof/>
          <w:sz w:val="28"/>
          <w:szCs w:val="28"/>
        </w:rPr>
        <w:drawing>
          <wp:inline distT="0" distB="0" distL="0" distR="0">
            <wp:extent cx="4305300" cy="2514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5300" cy="2514600"/>
                    </a:xfrm>
                    <a:prstGeom prst="rect">
                      <a:avLst/>
                    </a:prstGeom>
                    <a:noFill/>
                    <a:ln>
                      <a:noFill/>
                    </a:ln>
                  </pic:spPr>
                </pic:pic>
              </a:graphicData>
            </a:graphic>
          </wp:inline>
        </w:drawing>
      </w:r>
    </w:p>
    <w:p w:rsidR="00630C0A" w:rsidRDefault="00630C0A">
      <w:pPr>
        <w:keepNext/>
        <w:jc w:val="center"/>
        <w:rPr>
          <w:b/>
          <w:noProof/>
        </w:rPr>
      </w:pPr>
    </w:p>
    <w:p w:rsidR="00630C0A" w:rsidRDefault="00630C0A">
      <w:pPr>
        <w:jc w:val="center"/>
        <w:rPr>
          <w:b/>
          <w:noProof/>
          <w:sz w:val="28"/>
          <w:szCs w:val="28"/>
        </w:rPr>
      </w:pPr>
    </w:p>
    <w:p w:rsidR="00630C0A" w:rsidRDefault="00630C0A">
      <w:pPr>
        <w:spacing w:after="120"/>
        <w:jc w:val="both"/>
        <w:rPr>
          <w:noProof/>
        </w:rPr>
      </w:pPr>
    </w:p>
    <w:p w:rsidR="00630C0A" w:rsidRDefault="00961E71">
      <w:pPr>
        <w:spacing w:after="120"/>
        <w:jc w:val="both"/>
        <w:rPr>
          <w:noProof/>
        </w:rPr>
      </w:pPr>
      <w:r>
        <w:rPr>
          <w:b/>
          <w:bCs/>
          <w:noProof/>
        </w:rPr>
        <w:t xml:space="preserve">On the basis of those observations, it could be argued that the reformed Pact has not been successful in bringing the level of debt down sufficiently in the most vulnerable Member States. </w:t>
      </w:r>
      <w:r>
        <w:rPr>
          <w:noProof/>
        </w:rPr>
        <w:t>Member States that were furthest away from their MTOs after the economic and financial crisis have not necessarily made more progress than those that were closer. This also suggests that the preventive arm has had little traction in those Member States (se</w:t>
      </w:r>
      <w:r>
        <w:rPr>
          <w:noProof/>
        </w:rPr>
        <w:t xml:space="preserve">e box 1). As a consequence, some highly-indebted Member States remain far below their objectives, despite favourable economic conditions, and have thus not built sufficient buffers to provide themselves with a safety margin vis-à-vis the 3% of GDP deficit </w:t>
      </w:r>
      <w:r>
        <w:rPr>
          <w:noProof/>
        </w:rPr>
        <w:t xml:space="preserve">threshold in the case of deteriorating macroeconomic conditions. </w:t>
      </w:r>
    </w:p>
    <w:p w:rsidR="00630C0A" w:rsidRDefault="00961E71">
      <w:pPr>
        <w:spacing w:after="120"/>
        <w:jc w:val="both"/>
        <w:rPr>
          <w:noProof/>
        </w:rPr>
      </w:pPr>
      <w:r>
        <w:rPr>
          <w:b/>
          <w:noProof/>
        </w:rPr>
        <w:t xml:space="preserve">Overall, the 3% of GDP reference value appears </w:t>
      </w:r>
      <w:r>
        <w:rPr>
          <w:rFonts w:eastAsia="Calibri"/>
          <w:b/>
          <w:noProof/>
        </w:rPr>
        <w:t>to have only acted as a target rather than as a ceiling</w:t>
      </w:r>
      <w:r>
        <w:rPr>
          <w:b/>
          <w:noProof/>
        </w:rPr>
        <w:t xml:space="preserve"> for a number of highly-indebted Member States</w:t>
      </w:r>
      <w:r>
        <w:rPr>
          <w:noProof/>
        </w:rPr>
        <w:t>. This confirms the role of the 3% headlin</w:t>
      </w:r>
      <w:r>
        <w:rPr>
          <w:noProof/>
        </w:rPr>
        <w:t>e deficit ceiling as an ‘anchor for the laggards’: it acts as a safeguard for those being far away from their MTO and not progressing sufficiently toward it.</w:t>
      </w:r>
      <w:r>
        <w:rPr>
          <w:rStyle w:val="FootnoteReference"/>
          <w:noProof/>
        </w:rPr>
        <w:footnoteReference w:id="24"/>
      </w:r>
      <w:r>
        <w:rPr>
          <w:noProof/>
        </w:rPr>
        <w:t xml:space="preserve"> However, with economic growth now clearly lower than before the crisis, maintaining headline defi</w:t>
      </w:r>
      <w:r>
        <w:rPr>
          <w:noProof/>
        </w:rPr>
        <w:t>cits just below 3% of GDP may no longer be sufficient for some Member States to avert unsustainable debt dynamics, forcing those Member States to adjust in bad times in a pro-cyclical manner.</w:t>
      </w:r>
    </w:p>
    <w:p w:rsidR="00630C0A" w:rsidRDefault="00961E71">
      <w:pPr>
        <w:spacing w:after="120"/>
        <w:jc w:val="both"/>
        <w:rPr>
          <w:noProof/>
        </w:rPr>
      </w:pPr>
      <w:r>
        <w:rPr>
          <w:b/>
          <w:noProof/>
        </w:rPr>
        <w:t>At the same time, there is some evidence that compliance with th</w:t>
      </w:r>
      <w:r>
        <w:rPr>
          <w:b/>
          <w:noProof/>
        </w:rPr>
        <w:t>e preventive arm has improved relative to the period before the reform of the Pact, especially for high debt Member States.</w:t>
      </w:r>
      <w:r>
        <w:rPr>
          <w:noProof/>
        </w:rPr>
        <w:t xml:space="preserve"> In that respect, the operationalisation of the debt criterion is likely to have had a deterrent effect. The Commission has considere</w:t>
      </w:r>
      <w:r>
        <w:rPr>
          <w:noProof/>
        </w:rPr>
        <w:t>d compliance with the preventive arm as a key relevant factor when assessing a possible opening of an EDP for breach of the debt criterion. That approach is likely to have had a positive impact on preventive arm compliance for those Member States.</w:t>
      </w:r>
    </w:p>
    <w:p w:rsidR="00630C0A" w:rsidRDefault="00961E71">
      <w:pPr>
        <w:spacing w:after="120"/>
        <w:jc w:val="both"/>
        <w:rPr>
          <w:noProof/>
        </w:rPr>
      </w:pPr>
      <w:r>
        <w:rPr>
          <w:b/>
          <w:noProof/>
        </w:rPr>
        <w:t xml:space="preserve">A </w:t>
      </w:r>
      <w:r>
        <w:rPr>
          <w:b/>
          <w:noProof/>
        </w:rPr>
        <w:t>simulation exercise reveals that the use of the expenditure benchmark in the preventive arm contributes to more sustainable fiscal positions.</w:t>
      </w:r>
      <w:r>
        <w:rPr>
          <w:noProof/>
        </w:rPr>
        <w:t xml:space="preserve"> Findings from counterfactual simulations show that public debt ratios would have been significantly lower than tod</w:t>
      </w:r>
      <w:r>
        <w:rPr>
          <w:noProof/>
        </w:rPr>
        <w:t>ay, particularly in high-debt Member States, if the expenditure benchmark had been applied and complied with since 2000 (see Annex 1).</w:t>
      </w:r>
      <w:r>
        <w:rPr>
          <w:rStyle w:val="FootnoteReference"/>
          <w:noProof/>
        </w:rPr>
        <w:footnoteReference w:id="25"/>
      </w:r>
      <w:r>
        <w:rPr>
          <w:noProof/>
        </w:rPr>
        <w:t xml:space="preserve"> The simulations show that the positive effects from a credible and more front-loaded fiscal adjustment (higher primary b</w:t>
      </w:r>
      <w:r>
        <w:rPr>
          <w:noProof/>
        </w:rPr>
        <w:t>udget balance and lower interest payments) outweigh the negative effects of temporary lower economic growth and inflation on the public debt ratio. Lower public debt ratios will reduce the need to consolidate in downturns and allow the automatic stabiliser</w:t>
      </w:r>
      <w:r>
        <w:rPr>
          <w:noProof/>
        </w:rPr>
        <w:t xml:space="preserve">s to operate fully, which will help avoid future protracted losses in GDP. The findings also suggest that strict compliance with the expenditure benchmark, compared to the structural balance requirement, would have promoted a more growth-friendly path, as </w:t>
      </w:r>
      <w:r>
        <w:rPr>
          <w:noProof/>
        </w:rPr>
        <w:t>demonstrated by the lower average loss in output. The adjustment based on the expenditure benchmark was also found to be less pro-cyclical than the one implied by the structural balance. The reason is that compliance with the expenditure benchmark would ha</w:t>
      </w:r>
      <w:r>
        <w:rPr>
          <w:noProof/>
        </w:rPr>
        <w:t>ve required a larger fiscal adjustment in good times (as it is not impacted by revenue windfalls and interest windfalls). All in all, the findings confirm the relevance of the introduction of the expenditure benchmark in the fiscal framework in the context</w:t>
      </w:r>
      <w:r>
        <w:rPr>
          <w:noProof/>
        </w:rPr>
        <w:t xml:space="preserve"> of the 2011 six-pack reform.</w:t>
      </w:r>
    </w:p>
    <w:p w:rsidR="00630C0A" w:rsidRDefault="00961E71">
      <w:pPr>
        <w:spacing w:after="120"/>
        <w:jc w:val="both"/>
        <w:rPr>
          <w:noProof/>
        </w:rPr>
      </w:pPr>
      <w:r>
        <w:rPr>
          <w:b/>
          <w:noProof/>
        </w:rPr>
        <w:t>Overall, the experience so far raises the question of the extent to which the reformed Pact has made a material difference in the cases where fiscal discipline is most necessary.</w:t>
      </w:r>
      <w:r>
        <w:rPr>
          <w:noProof/>
        </w:rPr>
        <w:t xml:space="preserve"> While the overall fiscal situation has improved</w:t>
      </w:r>
      <w:r>
        <w:rPr>
          <w:noProof/>
        </w:rPr>
        <w:t xml:space="preserve"> on the back of the efforts done by many Member States and while an improvement in compliance is apparent compared to the pre-crisis period, the reinforced preventive arm does not seem to have had sufficient traction in several high-debt Member States. For</w:t>
      </w:r>
      <w:r>
        <w:rPr>
          <w:noProof/>
        </w:rPr>
        <w:t xml:space="preserve"> those</w:t>
      </w:r>
      <w:r>
        <w:rPr>
          <w:rFonts w:eastAsia="Calibri"/>
          <w:noProof/>
        </w:rPr>
        <w:t xml:space="preserve"> Member States with small fiscal imbalances, this has led to debates about the right balance between stabilisation, investment and consolidation needs. Indeed, with the development of the preventive arm, surveillance increasingly focused on promoting</w:t>
      </w:r>
      <w:r>
        <w:rPr>
          <w:rFonts w:eastAsia="Calibri"/>
          <w:noProof/>
        </w:rPr>
        <w:t xml:space="preserve"> sound public finances, broadening the initial focus on correcting gross policy errors. From the point of economic externalities across Member States, the preventive arm may have unnecessarily focused on Member States with low public debt. Moreover, as hig</w:t>
      </w:r>
      <w:r>
        <w:rPr>
          <w:rFonts w:eastAsia="Calibri"/>
          <w:noProof/>
        </w:rPr>
        <w:t>hlighted in section 1, the changing economic context with a structural decline in potential growth and persistently low inflation and real interest rates adds new challenges to the EU’s rules-based fiscal framework.</w:t>
      </w:r>
      <w:r>
        <w:rPr>
          <w:noProof/>
        </w:rPr>
        <w:t xml:space="preserve"> Meanwhile, the effectiveness of the 3% d</w:t>
      </w:r>
      <w:r>
        <w:rPr>
          <w:noProof/>
        </w:rPr>
        <w:t>eficit ceiling points to the signalling value of very simple numerical rules. They are easy to grasp, not least for the general public. It should however be borne in mind that maintaining headline deficits just below 3% of GDP is not sufficient for high de</w:t>
      </w:r>
      <w:r>
        <w:rPr>
          <w:noProof/>
        </w:rPr>
        <w:t>bt Member States to avert unsustainable debt dynamics, and forces those Member States to implement pro-cyclical fiscal consolidation in bad times.</w:t>
      </w:r>
    </w:p>
    <w:p w:rsidR="00630C0A" w:rsidRDefault="00961E71">
      <w:pPr>
        <w:keepNext/>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990"/>
        </w:tabs>
        <w:spacing w:after="120"/>
        <w:jc w:val="both"/>
        <w:rPr>
          <w:b/>
          <w:bCs/>
          <w:noProof/>
        </w:rPr>
      </w:pPr>
      <w:r>
        <w:rPr>
          <w:b/>
          <w:bCs/>
          <w:noProof/>
        </w:rPr>
        <w:t>Box 1: Performance of EU fiscal rules</w:t>
      </w:r>
      <w:r>
        <w:rPr>
          <w:b/>
          <w:noProof/>
        </w:rPr>
        <w:tab/>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b/>
          <w:bCs/>
          <w:noProof/>
        </w:rPr>
      </w:pPr>
      <w:r>
        <w:rPr>
          <w:b/>
          <w:bCs/>
          <w:noProof/>
        </w:rPr>
        <w:t xml:space="preserve">The 3% of GDP headline deficit ceiling and fiscal outcomes in the EU </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noProof/>
        </w:rPr>
      </w:pPr>
      <w:r>
        <w:rPr>
          <w:noProof/>
        </w:rPr>
        <w:t>Empirical analysis suggests that the EU’s fiscal governance framework has contributed to more prudent fiscal policies, although causality is difficult to establish.</w:t>
      </w:r>
      <w:r>
        <w:rPr>
          <w:rStyle w:val="FootnoteReference"/>
          <w:noProof/>
        </w:rPr>
        <w:footnoteReference w:id="26"/>
      </w:r>
      <w:r>
        <w:rPr>
          <w:noProof/>
        </w:rPr>
        <w:t xml:space="preserve"> Member States that had large headline deficits just before the Pact was launched (in 1998)</w:t>
      </w:r>
      <w:r>
        <w:rPr>
          <w:noProof/>
        </w:rPr>
        <w:t xml:space="preserve"> have reduced their deficits significantly, with the exception of the economic and financial crisis period. In graph A, the orange area shows the range of deficits for the quarter of Member States with the highest deficits (‘bad performers’) for each year </w:t>
      </w:r>
      <w:r>
        <w:rPr>
          <w:noProof/>
        </w:rPr>
        <w:t>since 1985. Before 1998, several Member States had deficits exceeding 5% of GDP. Deficits then decreased slowly until the start of the economic and financial crisis, with only three Member States having deficits exceeding 3% of GDP in 2007. In the aftermat</w:t>
      </w:r>
      <w:r>
        <w:rPr>
          <w:noProof/>
        </w:rPr>
        <w:t>h of the crisis, Member States’ deficits rose significantly, with 24 out of the then 27 Member States entering the EDP. Since then, all Member States have corrected their excessive deficits. Overall, those developments suggest that the 3% of GDP deficit th</w:t>
      </w:r>
      <w:r>
        <w:rPr>
          <w:noProof/>
        </w:rPr>
        <w:t>reshold has contributed to better fiscal outcomes, particularly in Member States that were characterised by high public deficits before the launch of the Pact. At the same time, the deficit threshold seems to have in some cases acted as a target rather tha</w:t>
      </w:r>
      <w:r>
        <w:rPr>
          <w:noProof/>
        </w:rPr>
        <w:t>n a ceiling. Indeed, several Member States that generally had a record of high deficits currently still have deficits close to 3% of GDP, even though macroeconomic conditions have remained favourable.</w:t>
      </w:r>
    </w:p>
    <w:p w:rsidR="00630C0A" w:rsidRDefault="00961E71">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b/>
          <w:bCs/>
          <w:noProof/>
        </w:rPr>
      </w:pPr>
      <w:r>
        <w:rPr>
          <w:b/>
          <w:bCs/>
          <w:noProof/>
        </w:rPr>
        <w:t>Graph A: Headline balances in the EU Member States (% o</w:t>
      </w:r>
      <w:r>
        <w:rPr>
          <w:b/>
          <w:bCs/>
          <w:noProof/>
        </w:rPr>
        <w:t>f GDP)</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noProof/>
        </w:rPr>
      </w:pPr>
      <w:r>
        <w:rPr>
          <w:noProof/>
          <w:sz w:val="2"/>
        </w:rPr>
        <w:drawing>
          <wp:inline distT="0" distB="0" distL="0" distR="0">
            <wp:extent cx="3962323" cy="2152650"/>
            <wp:effectExtent l="0" t="0" r="635" b="0"/>
            <wp:docPr id="22" name="Picture 22" descr="&lt;nbr&gt;&lt;GETTEXTFROMWORD&gt;&lt;/nbr&gt;&#10;&lt;title&gt;&lt;GETTEXTFROMWORD&gt;&lt;/title&gt;&#10;&lt;id&gt;7914466e-807c-4080-ae40-dbf49f511673&lt;/id&gt;&#10;&lt;srcType&gt;IMAGE&lt;/srcType&gt;&#10;&lt;srcPath&gt;U:\C1 - FILING PLAN\C.2.2.B.4 - Public Finance Report in EMU\PFR 2018\EPKit\Report on Public Finances in EMU\Part IV Fiscal outcomes in the E\Docs used\&lt;/srcPath&gt;&#10;&lt;srcName&gt;Graph IV.2.7.png&lt;/srcName&gt;&#10;&lt;type&gt;graph&lt;/typ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11-20T12:26:42&lt;/scrFileTime&gt;&#10;&lt;imageInformation&gt;&#10; &lt;dontScaleUp&gt;no&lt;/dontScaleUp&gt;&#10;&lt;/imageInformation&gt;&#10;&lt;url&gt;ChapIV/ChapIV-Graph-IV.2.7.png&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5">
                      <a:extLst>
                        <a:ext uri="{28A0092B-C50C-407E-A947-70E740481C1C}">
                          <a14:useLocalDpi xmlns:a14="http://schemas.microsoft.com/office/drawing/2010/main" val="0"/>
                        </a:ext>
                      </a:extLst>
                    </a:blip>
                    <a:stretch>
                      <a:fillRect/>
                    </a:stretch>
                  </pic:blipFill>
                  <pic:spPr>
                    <a:xfrm>
                      <a:off x="0" y="0"/>
                      <a:ext cx="4031057" cy="2189992"/>
                    </a:xfrm>
                    <a:prstGeom prst="rect">
                      <a:avLst/>
                    </a:prstGeom>
                  </pic:spPr>
                </pic:pic>
              </a:graphicData>
            </a:graphic>
          </wp:inline>
        </w:drawing>
      </w:r>
      <w:r>
        <w:rPr>
          <w:noProof/>
        </w:rPr>
        <w:t xml:space="preserve"> </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i/>
          <w:noProof/>
          <w:sz w:val="20"/>
          <w:szCs w:val="20"/>
        </w:rPr>
      </w:pPr>
      <w:r>
        <w:rPr>
          <w:i/>
          <w:iCs/>
          <w:noProof/>
          <w:sz w:val="20"/>
          <w:szCs w:val="20"/>
        </w:rPr>
        <w:t>Note: Headline balance figures from 1995 are based on ESA 2010 while previous figures are back-casted according to the observed change in the ratio as from the series based on ESA 1995. As a consequence of the variable composition of the groups o</w:t>
      </w:r>
      <w:r>
        <w:rPr>
          <w:i/>
          <w:iCs/>
          <w:noProof/>
          <w:sz w:val="20"/>
          <w:szCs w:val="20"/>
        </w:rPr>
        <w:t>f ‘bad performers’ and ‘good performers’, some of the fluctuations could be the result of composition effects (i.e. Member States shifting categories). Figures are based on the Commission’s spring 2018 forecast.</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noProof/>
        </w:rPr>
      </w:pPr>
      <w:r>
        <w:rPr>
          <w:noProof/>
        </w:rPr>
        <w:t xml:space="preserve">By contrast, there seems to be no clear-cut </w:t>
      </w:r>
      <w:r>
        <w:rPr>
          <w:noProof/>
        </w:rPr>
        <w:t>impact of the 3% deficit criterion on Member States that typically had headline surpluses or low deficits before the introduction of the Pact. The green area in graph A depicts, for each year, the range of budget balances for the quarter of Member States w</w:t>
      </w:r>
      <w:r>
        <w:rPr>
          <w:noProof/>
        </w:rPr>
        <w:t xml:space="preserve">ith the lowest deficits or highest surpluses in that year (‘good performers’). While the composition of the group has varied, there have always been Member States recording (on average) surpluses since the launch of the Pact in 1998, with the exception of </w:t>
      </w:r>
      <w:r>
        <w:rPr>
          <w:noProof/>
        </w:rPr>
        <w:t>the years following the economic and financial crisis. This suggests that there has been no downward convergence of the good performers towards the 3% of GDP deficit criterion, as has recently been argued in policy papers.</w:t>
      </w:r>
      <w:r>
        <w:rPr>
          <w:rStyle w:val="FootnoteReference"/>
          <w:noProof/>
        </w:rPr>
        <w:footnoteReference w:id="27"/>
      </w:r>
      <w:r>
        <w:rPr>
          <w:noProof/>
        </w:rPr>
        <w:t xml:space="preserve"> </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b/>
          <w:bCs/>
          <w:noProof/>
        </w:rPr>
      </w:pPr>
      <w:r>
        <w:rPr>
          <w:b/>
          <w:bCs/>
          <w:noProof/>
        </w:rPr>
        <w:t>Structural balances and sound b</w:t>
      </w:r>
      <w:r>
        <w:rPr>
          <w:b/>
          <w:bCs/>
          <w:noProof/>
        </w:rPr>
        <w:t>udgetary positions</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noProof/>
        </w:rPr>
      </w:pPr>
      <w:r>
        <w:rPr>
          <w:noProof/>
        </w:rPr>
        <w:t xml:space="preserve">All Member States have now moved to the preventive arm of the Pact and are required to make progress towards sound budgetary positions, defined in the form of medium-term budgetary objectives (MTOs). Graph B shows developments in the </w:t>
      </w:r>
      <w:r>
        <w:rPr>
          <w:noProof/>
        </w:rPr>
        <w:t>structural balances of Member States, divided into three groups based on their debt ratio in 2011. The biggest structural adjustments took place between 2011 and 2013, when most Member States were still under the EDP. This partly reflected intense financia</w:t>
      </w:r>
      <w:r>
        <w:rPr>
          <w:noProof/>
        </w:rPr>
        <w:t>l market pressure on some Member States during that period. Since 2014, the average fiscal effort of the Member States with the highest post-crisis debt levels (Italy, Portugal, Ireland, Belgium, France, Austria, the UK and Hungary) has slowed down. This i</w:t>
      </w:r>
      <w:r>
        <w:rPr>
          <w:noProof/>
        </w:rPr>
        <w:t>s partly explained by the fact that improvements in headline balances in some Member States have been achieved by relying on better cyclical conditions, thus allowing those Member States in the corrective arm to achieve their required adjustments without m</w:t>
      </w:r>
      <w:r>
        <w:rPr>
          <w:noProof/>
        </w:rPr>
        <w:t>aking a structural fiscal effort. It also shows that the preventive arm has gained little traction in a number of Member States, despite the relatively high debt ratios of Member States in that group. On the other hand, Member States with lower debt have c</w:t>
      </w:r>
      <w:r>
        <w:rPr>
          <w:noProof/>
        </w:rPr>
        <w:t>ontinued to adjust, even when a structurally balanced budget or surplus were reached. For both groups of Member States, however, one can detect an improvement in structural fiscal positions relative to the pre-crisis period.</w:t>
      </w:r>
    </w:p>
    <w:p w:rsidR="00630C0A" w:rsidRDefault="00630C0A">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noProof/>
        </w:rPr>
      </w:pP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b/>
          <w:bCs/>
          <w:noProof/>
        </w:rPr>
      </w:pPr>
      <w:r>
        <w:rPr>
          <w:b/>
          <w:bCs/>
          <w:noProof/>
        </w:rPr>
        <w:t>Graph B: Structural balances i</w:t>
      </w:r>
      <w:r>
        <w:rPr>
          <w:b/>
          <w:bCs/>
          <w:noProof/>
        </w:rPr>
        <w:t xml:space="preserve">n Member States (% of potential GDP) </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b/>
          <w:noProof/>
        </w:rPr>
      </w:pPr>
      <w:r>
        <w:rPr>
          <w:b/>
          <w:noProof/>
        </w:rPr>
        <w:t xml:space="preserve"> </w:t>
      </w:r>
      <w:r>
        <w:rPr>
          <w:b/>
          <w:noProof/>
        </w:rPr>
        <w:drawing>
          <wp:inline distT="0" distB="0" distL="0" distR="0">
            <wp:extent cx="4514215" cy="3045460"/>
            <wp:effectExtent l="0" t="0" r="635"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14215" cy="3045460"/>
                    </a:xfrm>
                    <a:prstGeom prst="rect">
                      <a:avLst/>
                    </a:prstGeom>
                    <a:noFill/>
                    <a:ln>
                      <a:noFill/>
                    </a:ln>
                  </pic:spPr>
                </pic:pic>
              </a:graphicData>
            </a:graphic>
          </wp:inline>
        </w:drawing>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i/>
          <w:noProof/>
          <w:sz w:val="20"/>
          <w:szCs w:val="20"/>
        </w:rPr>
      </w:pPr>
      <w:r>
        <w:rPr>
          <w:i/>
          <w:iCs/>
          <w:noProof/>
          <w:sz w:val="20"/>
          <w:szCs w:val="20"/>
        </w:rPr>
        <w:t>Note: due to data availability, the figures up to 2009 refer to the cyclically-adjusted balance (i.e. including one-offs).</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bCs/>
          <w:noProof/>
        </w:rPr>
      </w:pPr>
      <w:r>
        <w:rPr>
          <w:i/>
          <w:iCs/>
          <w:noProof/>
          <w:sz w:val="20"/>
          <w:szCs w:val="20"/>
        </w:rPr>
        <w:t>Source:</w:t>
      </w:r>
      <w:r>
        <w:rPr>
          <w:i/>
          <w:noProof/>
          <w:sz w:val="20"/>
        </w:rPr>
        <w:tab/>
      </w:r>
      <w:r>
        <w:rPr>
          <w:i/>
          <w:iCs/>
          <w:noProof/>
          <w:sz w:val="20"/>
          <w:szCs w:val="20"/>
        </w:rPr>
        <w:t>European Commission, based on the Commission’s autumn 2019 forecast</w:t>
      </w:r>
    </w:p>
    <w:p w:rsidR="00630C0A" w:rsidRDefault="00630C0A">
      <w:pPr>
        <w:jc w:val="both"/>
        <w:rPr>
          <w:noProof/>
        </w:rPr>
      </w:pPr>
    </w:p>
    <w:p w:rsidR="00630C0A" w:rsidRDefault="00961E71">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Calibri"/>
          <w:noProof/>
        </w:rPr>
      </w:pPr>
      <w:r>
        <w:rPr>
          <w:rFonts w:eastAsia="Calibri"/>
          <w:b/>
          <w:bCs/>
          <w:noProof/>
        </w:rPr>
        <w:t xml:space="preserve">Box 2: </w:t>
      </w:r>
      <w:r>
        <w:rPr>
          <w:rFonts w:eastAsia="Calibri"/>
          <w:b/>
          <w:bCs/>
          <w:noProof/>
        </w:rPr>
        <w:t>Experiences in selected Member States</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Calibri"/>
          <w:b/>
          <w:bCs/>
          <w:noProof/>
        </w:rPr>
      </w:pPr>
      <w:r>
        <w:rPr>
          <w:rFonts w:eastAsia="Calibri"/>
          <w:b/>
          <w:bCs/>
          <w:noProof/>
        </w:rPr>
        <w:t xml:space="preserve">It is possible for Member States under the corrective arm to apply a ‘nominal’ strategy, i.e. reaching intermediate headline targets while delivering very little or no fiscal effort, as shown by the examples of </w:t>
      </w:r>
      <w:r>
        <w:rPr>
          <w:rFonts w:eastAsia="Calibri"/>
          <w:b/>
          <w:bCs/>
          <w:noProof/>
          <w:u w:val="single"/>
        </w:rPr>
        <w:t>Spain</w:t>
      </w:r>
      <w:r>
        <w:rPr>
          <w:rFonts w:eastAsia="Calibri"/>
          <w:b/>
          <w:bCs/>
          <w:noProof/>
        </w:rPr>
        <w:t xml:space="preserve"> a</w:t>
      </w:r>
      <w:r>
        <w:rPr>
          <w:rFonts w:eastAsia="Calibri"/>
          <w:b/>
          <w:bCs/>
          <w:noProof/>
        </w:rPr>
        <w:t xml:space="preserve">nd </w:t>
      </w:r>
      <w:r>
        <w:rPr>
          <w:rFonts w:eastAsia="Calibri"/>
          <w:b/>
          <w:bCs/>
          <w:noProof/>
          <w:u w:val="single"/>
        </w:rPr>
        <w:t>France</w:t>
      </w:r>
      <w:r>
        <w:rPr>
          <w:rFonts w:eastAsia="Calibri"/>
          <w:b/>
          <w:bCs/>
          <w:noProof/>
        </w:rPr>
        <w:t xml:space="preserve">. </w:t>
      </w:r>
      <w:r>
        <w:rPr>
          <w:rFonts w:eastAsia="Calibri"/>
          <w:noProof/>
        </w:rPr>
        <w:t>Both Member States broadly met their headline targets between 2016 and 2018 (Spain) and 2015 and 2017 (France) with fiscal efforts that were 0.5-1.0% of GDP smaller than those the Council had recommended</w:t>
      </w:r>
      <w:r>
        <w:rPr>
          <w:rFonts w:eastAsia="Calibri"/>
          <w:b/>
          <w:bCs/>
          <w:noProof/>
        </w:rPr>
        <w:t xml:space="preserve">. </w:t>
      </w:r>
      <w:r>
        <w:rPr>
          <w:rFonts w:eastAsia="Calibri"/>
          <w:noProof/>
        </w:rPr>
        <w:t>Such a strategy is possible when macroec</w:t>
      </w:r>
      <w:r>
        <w:rPr>
          <w:rFonts w:eastAsia="Calibri"/>
          <w:noProof/>
        </w:rPr>
        <w:t xml:space="preserve">onomic conditions turn out better than expected at the time the adjustment path was set, which is more likely to happen in excessive deficit procedures with a long adjustment period. In the case of Spain, the excessive deficit procedure in 2018 involved a </w:t>
      </w:r>
      <w:r>
        <w:rPr>
          <w:rFonts w:eastAsia="Calibri"/>
          <w:noProof/>
        </w:rPr>
        <w:t>less demanding requirement than those that would have been expected under the preventive arm</w:t>
      </w:r>
      <w:r>
        <w:rPr>
          <w:rFonts w:eastAsia="Calibri"/>
          <w:b/>
          <w:bCs/>
          <w:noProof/>
        </w:rPr>
        <w:t>.</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Calibri"/>
          <w:noProof/>
        </w:rPr>
      </w:pPr>
      <w:r>
        <w:rPr>
          <w:rFonts w:eastAsia="Calibri"/>
          <w:b/>
          <w:bCs/>
          <w:noProof/>
        </w:rPr>
        <w:t xml:space="preserve">Respecting the debt reduction benchmark during periods of relatively low growth and inflation has proved to be very demanding, as highlighted by the cases of </w:t>
      </w:r>
      <w:r>
        <w:rPr>
          <w:rFonts w:eastAsia="Calibri"/>
          <w:b/>
          <w:bCs/>
          <w:noProof/>
          <w:u w:val="single"/>
        </w:rPr>
        <w:t>Belg</w:t>
      </w:r>
      <w:r>
        <w:rPr>
          <w:rFonts w:eastAsia="Calibri"/>
          <w:b/>
          <w:bCs/>
          <w:noProof/>
          <w:u w:val="single"/>
        </w:rPr>
        <w:t>ium</w:t>
      </w:r>
      <w:r>
        <w:rPr>
          <w:rFonts w:eastAsia="Calibri"/>
          <w:b/>
          <w:bCs/>
          <w:noProof/>
        </w:rPr>
        <w:t xml:space="preserve"> and </w:t>
      </w:r>
      <w:r>
        <w:rPr>
          <w:rFonts w:eastAsia="Calibri"/>
          <w:b/>
          <w:bCs/>
          <w:noProof/>
          <w:u w:val="single"/>
        </w:rPr>
        <w:t>Italy</w:t>
      </w:r>
      <w:r>
        <w:rPr>
          <w:rFonts w:eastAsia="Calibri"/>
          <w:b/>
          <w:bCs/>
          <w:noProof/>
        </w:rPr>
        <w:t>.</w:t>
      </w:r>
      <w:r>
        <w:rPr>
          <w:rFonts w:eastAsia="Calibri"/>
          <w:noProof/>
        </w:rPr>
        <w:t xml:space="preserve"> Between 2014, when it became subject to the transitional arrangements of the debt benchmark, and 2016, Belgium experienced a period of low inflation and modest real GDP growth, making it challenging to reduce its debt-to-GDP ratio. At the sa</w:t>
      </w:r>
      <w:r>
        <w:rPr>
          <w:rFonts w:eastAsia="Calibri"/>
          <w:noProof/>
        </w:rPr>
        <w:t>me time, negative inflation surprises contributed to upward revisions to required adjustments, with slippages accumulating over time. That led to the Commission giving priority to compliance with preventive arm requirements as a relevant factor in consider</w:t>
      </w:r>
      <w:r>
        <w:rPr>
          <w:rFonts w:eastAsia="Calibri"/>
          <w:noProof/>
        </w:rPr>
        <w:t>ing compliance with the debt criterion. Compliance with the preventive arm was also considered a key mitigating factor against opening debt-based excessive deficit procedures against Italy, despite non-compliance with the debt reduction benchmark. In the c</w:t>
      </w:r>
      <w:r>
        <w:rPr>
          <w:rFonts w:eastAsia="Calibri"/>
          <w:noProof/>
        </w:rPr>
        <w:t xml:space="preserve">ase of </w:t>
      </w:r>
      <w:r>
        <w:rPr>
          <w:rFonts w:eastAsia="Calibri"/>
          <w:noProof/>
          <w:u w:val="single"/>
        </w:rPr>
        <w:t>Finland</w:t>
      </w:r>
      <w:r>
        <w:rPr>
          <w:rFonts w:eastAsia="Calibri"/>
          <w:noProof/>
        </w:rPr>
        <w:t>, public debt hovered around the reference value of 60% of GDP between 2013 and 2017. Therefore, the Commission prepared seven consecutive reports for Finland for planned or actual breaches of the 60% threshold, even though public debt remain</w:t>
      </w:r>
      <w:r>
        <w:rPr>
          <w:rFonts w:eastAsia="Calibri"/>
          <w:noProof/>
        </w:rPr>
        <w:t>ed much lower than in many other Member States.</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Calibri"/>
          <w:noProof/>
        </w:rPr>
      </w:pPr>
      <w:r>
        <w:rPr>
          <w:rFonts w:eastAsia="Calibri"/>
          <w:b/>
          <w:bCs/>
          <w:noProof/>
        </w:rPr>
        <w:t xml:space="preserve">Various flexibility clauses and allowances have been put into operation in recent years under the preventive arm, with </w:t>
      </w:r>
      <w:r>
        <w:rPr>
          <w:rFonts w:eastAsia="Calibri"/>
          <w:b/>
          <w:bCs/>
          <w:noProof/>
          <w:u w:val="single"/>
        </w:rPr>
        <w:t>Italy</w:t>
      </w:r>
      <w:r>
        <w:rPr>
          <w:rFonts w:eastAsia="Calibri"/>
          <w:b/>
          <w:bCs/>
          <w:noProof/>
        </w:rPr>
        <w:t xml:space="preserve"> as the main beneficiary.</w:t>
      </w:r>
      <w:r>
        <w:rPr>
          <w:rFonts w:eastAsia="Calibri"/>
          <w:noProof/>
        </w:rPr>
        <w:t xml:space="preserve"> Over the period 2015-2018, Italy benefitted from cumulated</w:t>
      </w:r>
      <w:r>
        <w:rPr>
          <w:rFonts w:eastAsia="Calibri"/>
          <w:noProof/>
        </w:rPr>
        <w:t xml:space="preserve"> allowances of around 1.8% of GDP, thus facilitating its broad compliance with the requirements of the preventive arm despite the absence of improvement in the structural balance over that period. The Commission Communication on the 2017 European Semester </w:t>
      </w:r>
      <w:r>
        <w:rPr>
          <w:rFonts w:eastAsia="Calibri"/>
          <w:noProof/>
        </w:rPr>
        <w:t xml:space="preserve">also introduced the concept of the ‘margin of discretion’, which allowed the Commission to assess Italy, together with </w:t>
      </w:r>
      <w:r>
        <w:rPr>
          <w:rFonts w:eastAsia="Calibri"/>
          <w:noProof/>
          <w:u w:val="single"/>
        </w:rPr>
        <w:t>Slovenia</w:t>
      </w:r>
      <w:r>
        <w:rPr>
          <w:rFonts w:eastAsia="Calibri"/>
          <w:noProof/>
        </w:rPr>
        <w:t>, against a lower requirement for 2018 than the one included in the matrix of requirements.</w:t>
      </w:r>
      <w:r>
        <w:rPr>
          <w:rStyle w:val="FootnoteReference"/>
          <w:rFonts w:eastAsia="Calibri"/>
          <w:noProof/>
        </w:rPr>
        <w:footnoteReference w:id="28"/>
      </w:r>
      <w:r>
        <w:rPr>
          <w:rFonts w:eastAsia="Calibri"/>
          <w:noProof/>
        </w:rPr>
        <w:t xml:space="preserve"> </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Calibri"/>
          <w:noProof/>
        </w:rPr>
      </w:pPr>
      <w:r>
        <w:rPr>
          <w:rFonts w:eastAsia="Calibri"/>
          <w:b/>
          <w:bCs/>
          <w:noProof/>
        </w:rPr>
        <w:t>Under the preventive arm, the struc</w:t>
      </w:r>
      <w:r>
        <w:rPr>
          <w:rFonts w:eastAsia="Calibri"/>
          <w:b/>
          <w:bCs/>
          <w:noProof/>
        </w:rPr>
        <w:t xml:space="preserve">tural balance and expenditure benchmark can give differing indications of the fiscal effort, for example due to different underlying estimates of the growth potential of the economy. </w:t>
      </w:r>
      <w:r>
        <w:rPr>
          <w:rFonts w:eastAsia="Calibri"/>
          <w:noProof/>
        </w:rPr>
        <w:t xml:space="preserve">For example, both </w:t>
      </w:r>
      <w:r>
        <w:rPr>
          <w:rFonts w:eastAsia="Calibri"/>
          <w:noProof/>
          <w:u w:val="single"/>
        </w:rPr>
        <w:t>Portugal</w:t>
      </w:r>
      <w:r>
        <w:rPr>
          <w:rFonts w:eastAsia="Calibri"/>
          <w:noProof/>
        </w:rPr>
        <w:t xml:space="preserve"> and </w:t>
      </w:r>
      <w:r>
        <w:rPr>
          <w:rFonts w:eastAsia="Calibri"/>
          <w:noProof/>
          <w:u w:val="single"/>
        </w:rPr>
        <w:t>Slovakia</w:t>
      </w:r>
      <w:r>
        <w:rPr>
          <w:rFonts w:eastAsia="Calibri"/>
          <w:noProof/>
        </w:rPr>
        <w:t xml:space="preserve"> experienced strong downturns duri</w:t>
      </w:r>
      <w:r>
        <w:rPr>
          <w:rFonts w:eastAsia="Calibri"/>
          <w:noProof/>
        </w:rPr>
        <w:t>ng the crisis period followed by strong recoveries. This led to marked falls in estimated annual potential growth rates (used in the calculation of the structural balance), followed by a rising trend. The medium-term growth rate that underlies the expendit</w:t>
      </w:r>
      <w:r>
        <w:rPr>
          <w:rFonts w:eastAsia="Calibri"/>
          <w:noProof/>
        </w:rPr>
        <w:t>ure benchmark (i.e. an average of potential growth estimates over a period of ten-years) is less volatile. This means that, all else equal, requirements from the expenditure benchmark were less demanding than those of the structural balance in the acute ph</w:t>
      </w:r>
      <w:r>
        <w:rPr>
          <w:rFonts w:eastAsia="Calibri"/>
          <w:noProof/>
        </w:rPr>
        <w:t>ase of the crisis but, conversely, became more demanding in recent years. As a consequence, the use of the expenditure benchmark as an operational indicator for fiscal policy mitigates the risk of pro-cyclicality. Of course, other factors also contribute t</w:t>
      </w:r>
      <w:r>
        <w:rPr>
          <w:rFonts w:eastAsia="Calibri"/>
          <w:noProof/>
        </w:rPr>
        <w:t xml:space="preserve">o differences between the two indicators, such as revenue windfalls/shortfalls and changes in interest payments, which both affect the structural balance but are excluded from the expenditure benchmark. </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Calibri"/>
          <w:noProof/>
        </w:rPr>
      </w:pPr>
      <w:r>
        <w:rPr>
          <w:rFonts w:eastAsia="Calibri"/>
          <w:b/>
          <w:bCs/>
          <w:noProof/>
        </w:rPr>
        <w:t>The cases of some small open economies highlight the</w:t>
      </w:r>
      <w:r>
        <w:rPr>
          <w:rFonts w:eastAsia="Calibri"/>
          <w:b/>
          <w:bCs/>
          <w:noProof/>
        </w:rPr>
        <w:t xml:space="preserve"> problems associated with basing preventive arm requirements and assessments on unobservable variables.</w:t>
      </w:r>
      <w:r>
        <w:rPr>
          <w:rFonts w:eastAsia="Calibri"/>
          <w:noProof/>
        </w:rPr>
        <w:t xml:space="preserve"> The output gaps of </w:t>
      </w:r>
      <w:r>
        <w:rPr>
          <w:rFonts w:eastAsia="Calibri"/>
          <w:noProof/>
          <w:u w:val="single"/>
        </w:rPr>
        <w:t>Slovenia</w:t>
      </w:r>
      <w:r>
        <w:rPr>
          <w:rFonts w:eastAsia="Calibri"/>
          <w:noProof/>
        </w:rPr>
        <w:t xml:space="preserve">, </w:t>
      </w:r>
      <w:r>
        <w:rPr>
          <w:rFonts w:eastAsia="Calibri"/>
          <w:noProof/>
          <w:u w:val="single"/>
        </w:rPr>
        <w:t>Slovakia</w:t>
      </w:r>
      <w:r>
        <w:rPr>
          <w:rFonts w:eastAsia="Calibri"/>
          <w:noProof/>
        </w:rPr>
        <w:t xml:space="preserve"> and </w:t>
      </w:r>
      <w:r>
        <w:rPr>
          <w:rFonts w:eastAsia="Calibri"/>
          <w:noProof/>
          <w:u w:val="single"/>
        </w:rPr>
        <w:t>Latvia</w:t>
      </w:r>
      <w:r>
        <w:rPr>
          <w:rFonts w:eastAsia="Calibri"/>
          <w:noProof/>
        </w:rPr>
        <w:t>, for example, are subject to sizeable revisions. This is partly due to volatility in (EU-funded) public</w:t>
      </w:r>
      <w:r>
        <w:rPr>
          <w:rFonts w:eastAsia="Calibri"/>
          <w:noProof/>
        </w:rPr>
        <w:t xml:space="preserve"> investment, which is characteristic of those Member States. The tools put in place by the Commission to deal with such uncertainty are not fully effective. For example, while the so-called ‘constrained judgement’ approach suggested a lowering of Slovenia’</w:t>
      </w:r>
      <w:r>
        <w:rPr>
          <w:rFonts w:eastAsia="Calibri"/>
          <w:noProof/>
        </w:rPr>
        <w:t>s preventive arm requirement for 2019 compared to the standard ‘matrix’ requirement, there exists no clearly defined methodology for setting alternative requirements. Moreover, while the Commission has placed an emphasis on the expenditure benchmark, the o</w:t>
      </w:r>
      <w:r>
        <w:rPr>
          <w:rFonts w:eastAsia="Calibri"/>
          <w:noProof/>
        </w:rPr>
        <w:t>utput gap is still a crucial factor when setting the requirement for Member States that are close to their MTOs, as their requirement is determined by the distance of their structural balance to this objective.</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Calibri"/>
          <w:noProof/>
        </w:rPr>
      </w:pPr>
      <w:r>
        <w:rPr>
          <w:rFonts w:eastAsia="Calibri"/>
          <w:b/>
          <w:bCs/>
          <w:noProof/>
        </w:rPr>
        <w:t xml:space="preserve">The case of </w:t>
      </w:r>
      <w:r>
        <w:rPr>
          <w:rFonts w:eastAsia="Calibri"/>
          <w:b/>
          <w:bCs/>
          <w:noProof/>
          <w:u w:val="single"/>
        </w:rPr>
        <w:t>Romania</w:t>
      </w:r>
      <w:r>
        <w:rPr>
          <w:rFonts w:eastAsia="Calibri"/>
          <w:b/>
          <w:bCs/>
          <w:noProof/>
        </w:rPr>
        <w:t xml:space="preserve"> highlights the difficulty</w:t>
      </w:r>
      <w:r>
        <w:rPr>
          <w:rFonts w:eastAsia="Calibri"/>
          <w:b/>
          <w:bCs/>
          <w:noProof/>
        </w:rPr>
        <w:t xml:space="preserve"> of enforcing a Significant Deviation Procedure.</w:t>
      </w:r>
      <w:r>
        <w:rPr>
          <w:rFonts w:eastAsia="Calibri"/>
          <w:noProof/>
        </w:rPr>
        <w:t xml:space="preserve"> Romania has been subject to repeated Significant Deviation Procedures since 2017. Even so, its structural deficit increased from 0.2% GDP in 2015 to 2.7% GDP in 2018. This calls into question the effectivene</w:t>
      </w:r>
      <w:r>
        <w:rPr>
          <w:rFonts w:eastAsia="Calibri"/>
          <w:noProof/>
        </w:rPr>
        <w:t>ss of the Significant Deviation Procedure when a Member State decides to ignore Council recommendations. It is worth recalling that the current rules do not provide for any legal sanctions in case of non-compliance by non-euro-area Member States. As a resu</w:t>
      </w:r>
      <w:r>
        <w:rPr>
          <w:rFonts w:eastAsia="Calibri"/>
          <w:noProof/>
        </w:rPr>
        <w:t xml:space="preserve">lt of Romania’s structural deterioration, the Commission 2019 autumn forecast projects that the Member State will have breached the 3% of GDP headline deficit threshold in 2019 and in subsequent years. </w:t>
      </w:r>
    </w:p>
    <w:p w:rsidR="00630C0A" w:rsidRDefault="00630C0A">
      <w:pPr>
        <w:jc w:val="both"/>
        <w:rPr>
          <w:noProof/>
        </w:rPr>
      </w:pPr>
    </w:p>
    <w:p w:rsidR="00630C0A" w:rsidRDefault="00961E71">
      <w:pPr>
        <w:keepNext/>
        <w:spacing w:after="120"/>
        <w:jc w:val="both"/>
        <w:rPr>
          <w:i/>
          <w:noProof/>
        </w:rPr>
      </w:pPr>
      <w:r>
        <w:rPr>
          <w:i/>
          <w:iCs/>
          <w:noProof/>
        </w:rPr>
        <w:t>Economic stabilisation at the level of individual Me</w:t>
      </w:r>
      <w:r>
        <w:rPr>
          <w:i/>
          <w:iCs/>
          <w:noProof/>
        </w:rPr>
        <w:t>mber States and the euro area</w:t>
      </w:r>
    </w:p>
    <w:p w:rsidR="00630C0A" w:rsidRDefault="00961E71">
      <w:pPr>
        <w:spacing w:after="120"/>
        <w:jc w:val="both"/>
        <w:rPr>
          <w:noProof/>
        </w:rPr>
      </w:pPr>
      <w:r>
        <w:rPr>
          <w:b/>
          <w:bCs/>
          <w:noProof/>
        </w:rPr>
        <w:t xml:space="preserve">The pro-cyclicality of national fiscal policies remains an issue. </w:t>
      </w:r>
      <w:r>
        <w:rPr>
          <w:noProof/>
        </w:rPr>
        <w:t>Fiscal policy was already pro-cyclical in the mid-2000s, as fiscal policies were expansionary when economic times were good. National fiscal policy has remained</w:t>
      </w:r>
      <w:r>
        <w:rPr>
          <w:noProof/>
        </w:rPr>
        <w:t xml:space="preserve"> largely pro-cyclical after the adoption of the six- and two-pack reforms. Most Member States implemented sizeable fiscal adjustments in the immediate post-crisis period, reflecting a lack of fiscal buffers at the onset of the economic and financial crisis</w:t>
      </w:r>
      <w:r>
        <w:rPr>
          <w:noProof/>
        </w:rPr>
        <w:t>, a need to correct excessive deficits and, in some cases, heightened market pressure. Those fiscal adjustments took place in a context of very low or even negative economic growth in some Member States and were, therefore, pro-cyclical. This likely contri</w:t>
      </w:r>
      <w:r>
        <w:rPr>
          <w:noProof/>
        </w:rPr>
        <w:t xml:space="preserve">buted to the weak economic situation in that period, even if it aimed at bringing public finances on a sustainable path and at regaining market confidence. Fiscal consolidation came to a halt in 2014, at the moment when the output gap in the euro area was </w:t>
      </w:r>
      <w:r>
        <w:rPr>
          <w:noProof/>
        </w:rPr>
        <w:t>still negative. However, the aggregate fiscal stance in the euro area continued to be broadly neutral after 2016, even though the euro area’s output gap had turned positive in the meantime and the recovery had strengthened. In addition, national fiscal pol</w:t>
      </w:r>
      <w:r>
        <w:rPr>
          <w:noProof/>
        </w:rPr>
        <w:t>icies were not appropriately differentiated across Member States in light of their specific sustainability and stabilisation needs, and the fact that in many Member States the recovery was stronger than initially expected. Thus, despite the reinforced prev</w:t>
      </w:r>
      <w:r>
        <w:rPr>
          <w:noProof/>
        </w:rPr>
        <w:t>entive arm, many Member States did not use the more benign economic times to build up counter-cyclical buffers.</w:t>
      </w:r>
    </w:p>
    <w:p w:rsidR="00630C0A" w:rsidRDefault="00961E71">
      <w:pPr>
        <w:spacing w:after="120"/>
        <w:jc w:val="both"/>
        <w:rPr>
          <w:noProof/>
        </w:rPr>
      </w:pPr>
      <w:r>
        <w:rPr>
          <w:b/>
          <w:noProof/>
        </w:rPr>
        <w:t xml:space="preserve">Differing views among Member States about appropriate debt and deficit levels contributed to a pro-cyclical pattern of fiscal policy in good times. </w:t>
      </w:r>
      <w:r>
        <w:rPr>
          <w:noProof/>
        </w:rPr>
        <w:t>As discussed above, some Member States have remained just below the 3% of GDP deficit limit instead of movin</w:t>
      </w:r>
      <w:r>
        <w:rPr>
          <w:noProof/>
        </w:rPr>
        <w:t>g towards their MTOs and remain with high debt levels, despite relatively favourable macro-economic conditions. This raises the issue of implementation of the preventive arm, which aims to ensure that fiscal buffers are being built in good times. In contra</w:t>
      </w:r>
      <w:r>
        <w:rPr>
          <w:noProof/>
        </w:rPr>
        <w:t>st, other Member States have sought to exceed their MTOs and in spite of strong fiscal positions are only gradually implementing the Council's recommendations to use fiscal and structural policies to achieve a sustained upward trend in investment. That pat</w:t>
      </w:r>
      <w:r>
        <w:rPr>
          <w:noProof/>
        </w:rPr>
        <w:t>tern qualifies the widespread view of the pro-cyclicality of the Pact.</w:t>
      </w:r>
    </w:p>
    <w:p w:rsidR="00630C0A" w:rsidRDefault="00961E71">
      <w:pPr>
        <w:spacing w:after="120"/>
        <w:jc w:val="both"/>
        <w:rPr>
          <w:noProof/>
        </w:rPr>
      </w:pPr>
      <w:r>
        <w:rPr>
          <w:b/>
          <w:noProof/>
        </w:rPr>
        <w:t>Empirical evidence suggests that compliance with EU fiscal rules mitigates pro-cyclicality of fiscal policy in the Member States</w:t>
      </w:r>
      <w:r>
        <w:rPr>
          <w:noProof/>
        </w:rPr>
        <w:t xml:space="preserve"> (see </w:t>
      </w:r>
      <w:r>
        <w:rPr>
          <w:noProof/>
        </w:rPr>
        <w:fldChar w:fldCharType="begin"/>
      </w:r>
      <w:r>
        <w:rPr>
          <w:noProof/>
        </w:rPr>
        <w:instrText xml:space="preserve"> REF _Ref29811139 \h  \* MERGEFORMAT </w:instrText>
      </w:r>
      <w:r>
        <w:rPr>
          <w:noProof/>
        </w:rPr>
      </w:r>
      <w:r>
        <w:rPr>
          <w:noProof/>
        </w:rPr>
        <w:fldChar w:fldCharType="separate"/>
      </w:r>
      <w:r>
        <w:rPr>
          <w:bCs/>
          <w:noProof/>
        </w:rPr>
        <w:t>Graph 8</w:t>
      </w:r>
      <w:r>
        <w:rPr>
          <w:noProof/>
        </w:rPr>
        <w:fldChar w:fldCharType="end"/>
      </w:r>
      <w:r>
        <w:rPr>
          <w:noProof/>
        </w:rPr>
        <w:t>).</w:t>
      </w:r>
      <w:r>
        <w:rPr>
          <w:rStyle w:val="FootnoteReference"/>
          <w:noProof/>
        </w:rPr>
        <w:footnoteReference w:id="29"/>
      </w:r>
      <w:r>
        <w:rPr>
          <w:noProof/>
        </w:rPr>
        <w:t xml:space="preserve"> First, Member States that met the requirements of the preventive arm of the Pact had less pro-cyclical fiscal effort than others. Second, avoiding high headline deficits appears to reduce the p</w:t>
      </w:r>
      <w:r>
        <w:rPr>
          <w:noProof/>
        </w:rPr>
        <w:t xml:space="preserve">ro-cyclicality of discretionary fiscal policy. Third, keeping public debt at a reasonable level mitigates the pro-cyclical pattern of the fiscal effort. Conversely, having high deficit and debt levels tends to amplify pro-cyclicality. It suggests that the </w:t>
      </w:r>
      <w:r>
        <w:rPr>
          <w:noProof/>
        </w:rPr>
        <w:t xml:space="preserve">design of the Pact per se is addressing, at least partly, the issue of pro-cyclicality, which is a pervasive feature of fiscal policy (both within and outside the EU). </w:t>
      </w:r>
    </w:p>
    <w:p w:rsidR="00630C0A" w:rsidRDefault="00961E71">
      <w:pPr>
        <w:pStyle w:val="Caption"/>
        <w:keepNext/>
        <w:jc w:val="center"/>
        <w:rPr>
          <w:b/>
          <w:i w:val="0"/>
          <w:noProof/>
          <w:color w:val="auto"/>
          <w:sz w:val="24"/>
          <w:szCs w:val="24"/>
        </w:rPr>
      </w:pPr>
      <w:bookmarkStart w:id="28" w:name="_Ref29811139"/>
      <w:r>
        <w:rPr>
          <w:b/>
          <w:i w:val="0"/>
          <w:noProof/>
          <w:color w:val="auto"/>
          <w:sz w:val="24"/>
          <w:szCs w:val="24"/>
        </w:rPr>
        <w:t xml:space="preserve">Graph </w:t>
      </w:r>
      <w:r>
        <w:rPr>
          <w:noProof/>
        </w:rPr>
        <w:fldChar w:fldCharType="begin"/>
      </w:r>
      <w:r>
        <w:rPr>
          <w:b/>
          <w:i w:val="0"/>
          <w:noProof/>
          <w:color w:val="auto"/>
          <w:sz w:val="24"/>
          <w:szCs w:val="24"/>
        </w:rPr>
        <w:instrText xml:space="preserve"> SEQ Graph \* ARABIC </w:instrText>
      </w:r>
      <w:r>
        <w:rPr>
          <w:b/>
          <w:i w:val="0"/>
          <w:noProof/>
          <w:color w:val="auto"/>
          <w:sz w:val="24"/>
          <w:szCs w:val="24"/>
        </w:rPr>
        <w:fldChar w:fldCharType="separate"/>
      </w:r>
      <w:r>
        <w:rPr>
          <w:b/>
          <w:i w:val="0"/>
          <w:noProof/>
          <w:color w:val="auto"/>
          <w:sz w:val="24"/>
          <w:szCs w:val="24"/>
        </w:rPr>
        <w:t>8</w:t>
      </w:r>
      <w:r>
        <w:rPr>
          <w:noProof/>
        </w:rPr>
        <w:fldChar w:fldCharType="end"/>
      </w:r>
      <w:bookmarkEnd w:id="28"/>
      <w:r>
        <w:rPr>
          <w:b/>
          <w:i w:val="0"/>
          <w:noProof/>
          <w:color w:val="auto"/>
          <w:sz w:val="24"/>
          <w:szCs w:val="24"/>
        </w:rPr>
        <w:t>: Cyclicality of the fiscal effort and compliance with E</w:t>
      </w:r>
      <w:r>
        <w:rPr>
          <w:b/>
          <w:i w:val="0"/>
          <w:noProof/>
          <w:color w:val="auto"/>
          <w:sz w:val="24"/>
          <w:szCs w:val="24"/>
        </w:rPr>
        <w:t>U rules</w:t>
      </w:r>
    </w:p>
    <w:p w:rsidR="00630C0A" w:rsidRDefault="00961E71">
      <w:pPr>
        <w:jc w:val="center"/>
        <w:rPr>
          <w:noProof/>
        </w:rPr>
      </w:pPr>
      <w:r>
        <w:rPr>
          <w:noProof/>
          <w:sz w:val="2"/>
        </w:rPr>
        <w:drawing>
          <wp:inline distT="0" distB="0" distL="0" distR="0">
            <wp:extent cx="3633657" cy="2809875"/>
            <wp:effectExtent l="0" t="0" r="5080" b="0"/>
            <wp:docPr id="24" name="Picture 24" descr="&lt;nbr&gt;&lt;GETTEXTFROMWORD&gt;&lt;/nbr&gt;&#10;&lt;title&gt;&lt;GETTEXTFROMWORD&gt;&lt;/title&gt;&#10;&lt;id&gt;72470e6b-cf17-40f7-989a-45fb84d6d50a&lt;/id&gt;&#10;&lt;srcType&gt;IMAGE&lt;/srcType&gt;&#10;&lt;srcPath&gt;U:\C1 - FILING PLAN\C.2.2.B.4 - Public Finance Report in EMU\PFR 2018\EPKit\Report on Public Finances in EMU\Part IV Fiscal outcomes in the E\Docs used\&lt;/srcPath&gt;&#10;&lt;srcName&gt;Graph IV.3.4_new2.png&lt;/srcName&gt;&#10;&lt;type&gt;graph&lt;/typ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12-20T14:14:19&lt;/scrFileTime&gt;&#10;&lt;imageInformation&gt;&#10; &lt;dontScaleUp&gt;no&lt;/dontScaleUp&gt;&#10;&lt;/imageInformation&gt;&#10;&lt;url&gt;ChapIV/ChapIV-Graph-IV.3.4.png&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7">
                      <a:extLst>
                        <a:ext uri="{28A0092B-C50C-407E-A947-70E740481C1C}">
                          <a14:useLocalDpi xmlns:a14="http://schemas.microsoft.com/office/drawing/2010/main" val="0"/>
                        </a:ext>
                      </a:extLst>
                    </a:blip>
                    <a:stretch>
                      <a:fillRect/>
                    </a:stretch>
                  </pic:blipFill>
                  <pic:spPr>
                    <a:xfrm>
                      <a:off x="0" y="0"/>
                      <a:ext cx="3644774" cy="2818471"/>
                    </a:xfrm>
                    <a:prstGeom prst="rect">
                      <a:avLst/>
                    </a:prstGeom>
                  </pic:spPr>
                </pic:pic>
              </a:graphicData>
            </a:graphic>
          </wp:inline>
        </w:drawing>
      </w:r>
    </w:p>
    <w:p w:rsidR="00630C0A" w:rsidRDefault="00961E71">
      <w:pPr>
        <w:spacing w:after="120"/>
        <w:jc w:val="both"/>
        <w:rPr>
          <w:i/>
          <w:noProof/>
          <w:sz w:val="18"/>
          <w:szCs w:val="18"/>
        </w:rPr>
      </w:pPr>
      <w:r>
        <w:rPr>
          <w:i/>
          <w:noProof/>
          <w:sz w:val="18"/>
          <w:szCs w:val="18"/>
        </w:rPr>
        <w:t>Note: For more information on the estimation technique used, see European Commission (2019), “Have EU fiscal rules mitigated pro-cyclicality?”, Report on Public Finances in EMU 2018, 121-130.</w:t>
      </w:r>
    </w:p>
    <w:p w:rsidR="00630C0A" w:rsidRDefault="00630C0A">
      <w:pPr>
        <w:spacing w:after="120"/>
        <w:jc w:val="both"/>
        <w:rPr>
          <w:noProof/>
        </w:rPr>
      </w:pPr>
    </w:p>
    <w:p w:rsidR="00630C0A" w:rsidRDefault="00961E71">
      <w:pPr>
        <w:spacing w:after="120"/>
        <w:jc w:val="both"/>
        <w:rPr>
          <w:noProof/>
        </w:rPr>
      </w:pPr>
      <w:r>
        <w:rPr>
          <w:b/>
          <w:bCs/>
          <w:noProof/>
        </w:rPr>
        <w:t xml:space="preserve">The EU’s ability to coordinate the aggregate fiscal </w:t>
      </w:r>
      <w:r>
        <w:rPr>
          <w:b/>
          <w:bCs/>
          <w:noProof/>
        </w:rPr>
        <w:t>stance in the euro area remains constrained.</w:t>
      </w:r>
      <w:r>
        <w:rPr>
          <w:noProof/>
        </w:rPr>
        <w:t xml:space="preserve"> Regulation No 473/2013 established a common budgetary timeline for the euro area, which provides for a check of the budgetary situation and prospects in the euro area on the basis Member States’ budgetary plans </w:t>
      </w:r>
      <w:r>
        <w:rPr>
          <w:noProof/>
        </w:rPr>
        <w:t>and their interactions across the euro area, before the budgets are adopted in national parliaments. While the legal framework allows the Commission to outline measures to reinforce the coordination of budgetary and macroeconomic policy at the euro area le</w:t>
      </w:r>
      <w:r>
        <w:rPr>
          <w:noProof/>
        </w:rPr>
        <w:t>vel, it does not allow it to enforce the appropriate fiscal stance for the euro area as a whole. While the Pact has established procedures for the correction of high public deficits in terms of nominal thresholds, it cannot compel fiscal policies in suppor</w:t>
      </w:r>
      <w:r>
        <w:rPr>
          <w:noProof/>
        </w:rPr>
        <w:t>t of economic activity. In such a context and in the absence of a central fiscal capacity with stabilisation features,</w:t>
      </w:r>
      <w:r>
        <w:rPr>
          <w:rStyle w:val="FootnoteReference"/>
          <w:noProof/>
        </w:rPr>
        <w:footnoteReference w:id="30"/>
      </w:r>
      <w:r>
        <w:rPr>
          <w:noProof/>
        </w:rPr>
        <w:t xml:space="preserve"> the ability to steer the fiscal stance for the euro area as a whole remains constrained, limiting the scope for fiscal policy to contrib</w:t>
      </w:r>
      <w:r>
        <w:rPr>
          <w:noProof/>
        </w:rPr>
        <w:t>ute to macroeconomic stabilisation at the level of the euro area as a whole in the event of large shocks that are not policy-induced. This is partly the result of a lack of effort in good times, as a result of which the Pact required consolidation in a num</w:t>
      </w:r>
      <w:r>
        <w:rPr>
          <w:noProof/>
        </w:rPr>
        <w:t>ber of Member States when economic conditions became less benign.</w:t>
      </w:r>
    </w:p>
    <w:p w:rsidR="00630C0A" w:rsidRDefault="00961E71">
      <w:pPr>
        <w:spacing w:after="120"/>
        <w:jc w:val="both"/>
        <w:rPr>
          <w:noProof/>
        </w:rPr>
      </w:pPr>
      <w:r>
        <w:rPr>
          <w:b/>
          <w:noProof/>
        </w:rPr>
        <w:t>While the issue could be considered secondary at the time when the EU fiscal rules were adopted, its salience has increased in recent years due to the changing economic circumstances.</w:t>
      </w:r>
      <w:r>
        <w:rPr>
          <w:noProof/>
        </w:rPr>
        <w:t xml:space="preserve"> This i</w:t>
      </w:r>
      <w:r>
        <w:rPr>
          <w:noProof/>
        </w:rPr>
        <w:t>s due to the growing perception of a risk that monetary policy may face constraints in fulfilling its mandate in an environment of unprecedented low inflation and interest rates, and hence in the event of a severe economic downturn the policy mix be unable</w:t>
      </w:r>
      <w:r>
        <w:rPr>
          <w:noProof/>
        </w:rPr>
        <w:t xml:space="preserve"> to fully support economic activity.</w:t>
      </w:r>
      <w:r>
        <w:rPr>
          <w:rStyle w:val="FootnoteReference"/>
          <w:noProof/>
        </w:rPr>
        <w:footnoteReference w:id="31"/>
      </w:r>
      <w:r>
        <w:rPr>
          <w:noProof/>
        </w:rPr>
        <w:t xml:space="preserve"> In the absence of a central stabilisation capacity, this is liable to place strain on the rules-based fiscal framework. Moreover, a negative interest rate, or simply a growth rate differential, risks exacerbating the r</w:t>
      </w:r>
      <w:r>
        <w:rPr>
          <w:noProof/>
        </w:rPr>
        <w:t>elative scarcity of safe assets (see box A1 in Annex 1), which would make it even more difficult for the central bank to achieve its inflation target. At the same time, as some recent experiences show, shifts in saving behaviour and preference/aversion for</w:t>
      </w:r>
      <w:r>
        <w:rPr>
          <w:noProof/>
        </w:rPr>
        <w:t xml:space="preserve"> risk may result in sudden reversals of the interest rate/growth rate differential, and with it of the fiscal burden of debt, especially in high-debt Member States. Above all, even in the absence of changes in fundamentals, perceptions of the safety of dif</w:t>
      </w:r>
      <w:r>
        <w:rPr>
          <w:noProof/>
        </w:rPr>
        <w:t>ferent national issuers can change substantially, and put in danger the sustainability of their debt. In highly-indebted Member States, this could make the burden of debt servicing unsustainable. That risk is possibly more acute within a monetary union, wh</w:t>
      </w:r>
      <w:r>
        <w:rPr>
          <w:noProof/>
        </w:rPr>
        <w:t>ere governments with very different debt levels share the same currency and the central bank cannot act as government lender of last resort. This confirms the need for rules imposing constraints on debt trajectories.</w:t>
      </w:r>
    </w:p>
    <w:p w:rsidR="00630C0A" w:rsidRDefault="00630C0A">
      <w:pPr>
        <w:spacing w:after="120"/>
        <w:jc w:val="both"/>
        <w:rPr>
          <w:noProof/>
        </w:rPr>
      </w:pPr>
    </w:p>
    <w:p w:rsidR="00630C0A" w:rsidRDefault="00630C0A">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Calibri"/>
          <w:noProof/>
        </w:rPr>
        <w:sectPr w:rsidR="00630C0A">
          <w:headerReference w:type="even" r:id="rId28"/>
          <w:headerReference w:type="default" r:id="rId29"/>
          <w:footerReference w:type="even" r:id="rId30"/>
          <w:footerReference w:type="default" r:id="rId31"/>
          <w:headerReference w:type="first" r:id="rId32"/>
          <w:footerReference w:type="first" r:id="rId33"/>
          <w:footnotePr>
            <w:pos w:val="beneathText"/>
          </w:footnotePr>
          <w:endnotePr>
            <w:numFmt w:val="decimal"/>
          </w:endnotePr>
          <w:pgSz w:w="11906" w:h="16838" w:code="9"/>
          <w:pgMar w:top="1276" w:right="1418" w:bottom="1134" w:left="1418" w:header="709" w:footer="709" w:gutter="0"/>
          <w:cols w:space="720"/>
          <w:docGrid w:linePitch="360"/>
        </w:sectPr>
      </w:pPr>
    </w:p>
    <w:p w:rsidR="00630C0A" w:rsidRDefault="00630C0A">
      <w:pPr>
        <w:spacing w:after="120"/>
        <w:jc w:val="both"/>
        <w:rPr>
          <w:noProof/>
        </w:rPr>
      </w:pPr>
    </w:p>
    <w:p w:rsidR="00630C0A" w:rsidRDefault="00961E71">
      <w:pPr>
        <w:spacing w:after="120"/>
        <w:jc w:val="both"/>
        <w:rPr>
          <w:i/>
          <w:noProof/>
        </w:rPr>
      </w:pPr>
      <w:r>
        <w:rPr>
          <w:i/>
          <w:iCs/>
          <w:noProof/>
        </w:rPr>
        <w:t>Quality of public finances, including the development of public investment</w:t>
      </w:r>
    </w:p>
    <w:p w:rsidR="00630C0A" w:rsidRDefault="00961E71">
      <w:pPr>
        <w:spacing w:after="120"/>
        <w:jc w:val="both"/>
        <w:rPr>
          <w:noProof/>
        </w:rPr>
      </w:pPr>
      <w:r>
        <w:rPr>
          <w:b/>
          <w:noProof/>
        </w:rPr>
        <w:t xml:space="preserve">The quality of public finances is a complex and multi-faceted issue largely outside the reach of the fiscal rules and covered by other EU instruments, such as the country-specific recommendations under the European Semester. </w:t>
      </w:r>
      <w:r>
        <w:rPr>
          <w:noProof/>
        </w:rPr>
        <w:t>In principle, the composition o</w:t>
      </w:r>
      <w:r>
        <w:rPr>
          <w:noProof/>
        </w:rPr>
        <w:t>f public revenue and expenditure is a national prerogative, since the Pact primarily aims to prohibit policies endangering fiscal sustainability, while providing space for fiscal stabilisation. The European Semester, in particular the country-specific reco</w:t>
      </w:r>
      <w:r>
        <w:rPr>
          <w:noProof/>
        </w:rPr>
        <w:t>mmendations based on Article 121(2) TFEU, and specific EU initiatives have been the instruments to improve the quality of public finance while respecting national prerogatives. For instance, ageing populations are expected to confront most Member States wi</w:t>
      </w:r>
      <w:r>
        <w:rPr>
          <w:noProof/>
        </w:rPr>
        <w:t xml:space="preserve">th rising government expenditure over the next several decades. In light of that challenge, the Council addressed recommendations to those Member States to undertake fiscal structural reforms to improve fiscal sustainability and strengthen economic growth </w:t>
      </w:r>
      <w:r>
        <w:rPr>
          <w:noProof/>
        </w:rPr>
        <w:t>potential. Governance issues are also important for the quality of public finances: improving the functioning of national fiscal frameworks, implementing well-managed spending reviews and establishing transparent public procurement procedures can also stre</w:t>
      </w:r>
      <w:r>
        <w:rPr>
          <w:noProof/>
        </w:rPr>
        <w:t>ngthen the efficiency and effectiveness of public expenditure and the credibility of fiscal policy. A composition of public expenditure that prioritises productive spending helps strengthen potential growth in the longer term</w:t>
      </w:r>
      <w:r>
        <w:rPr>
          <w:rStyle w:val="FootnoteReference"/>
          <w:noProof/>
        </w:rPr>
        <w:footnoteReference w:id="32"/>
      </w:r>
      <w:r>
        <w:rPr>
          <w:noProof/>
        </w:rPr>
        <w:t xml:space="preserve"> and promotes a sustainable an</w:t>
      </w:r>
      <w:r>
        <w:rPr>
          <w:noProof/>
        </w:rPr>
        <w:t>d inclusive economy. On the revenue side, shifting taxes away from labour, combating aggressive tax planning and addressing the race to the bottom in corporate taxation can make tax systems fairer and more efficient.</w:t>
      </w:r>
    </w:p>
    <w:p w:rsidR="00630C0A" w:rsidRDefault="00961E71">
      <w:pPr>
        <w:spacing w:after="120"/>
        <w:jc w:val="both"/>
        <w:rPr>
          <w:bCs/>
          <w:noProof/>
        </w:rPr>
      </w:pPr>
      <w:r>
        <w:rPr>
          <w:b/>
          <w:bCs/>
          <w:noProof/>
        </w:rPr>
        <w:t>Regarding public investment, the EU has</w:t>
      </w:r>
      <w:r>
        <w:rPr>
          <w:b/>
          <w:bCs/>
          <w:noProof/>
        </w:rPr>
        <w:t xml:space="preserve"> faced a widespread and persistent decline over the last decade (in some cases even below replacement levels keeping the stock of public capital stable). </w:t>
      </w:r>
      <w:r>
        <w:rPr>
          <w:noProof/>
        </w:rPr>
        <w:t>After the crisis, most Member States significantly cut public investment, probably at the expense of f</w:t>
      </w:r>
      <w:r>
        <w:rPr>
          <w:noProof/>
        </w:rPr>
        <w:t>uture growth.</w:t>
      </w:r>
      <w:r>
        <w:rPr>
          <w:rStyle w:val="FootnoteReference"/>
          <w:noProof/>
        </w:rPr>
        <w:footnoteReference w:id="33"/>
      </w:r>
      <w:r>
        <w:rPr>
          <w:noProof/>
        </w:rPr>
        <w:t xml:space="preserve"> Public investment in the EU declined from a peak of 3.7% of GDP in 2009 to 2.7% of GDP in 2017. If not reversed, the cut in public investment could result in a substantial reduction in the public capital stock. This in turn has a negative im</w:t>
      </w:r>
      <w:r>
        <w:rPr>
          <w:noProof/>
        </w:rPr>
        <w:t>pact on potential growth and affects debt dynamics. It has also led to criticism of the appropriateness of fiscal consolidation. While the Pact is in principle neutral regarding the composition of public revenue and expenditure, it may affect public invest</w:t>
      </w:r>
      <w:r>
        <w:rPr>
          <w:noProof/>
        </w:rPr>
        <w:t xml:space="preserve">ment decisions in specific cases. It may be politically more expedient during periods of fiscal consolidation to raise certain taxes or to cut public investment, rather than to cut current expenditure. </w:t>
      </w:r>
    </w:p>
    <w:p w:rsidR="00630C0A" w:rsidRDefault="00961E71">
      <w:pPr>
        <w:spacing w:after="120"/>
        <w:jc w:val="both"/>
        <w:rPr>
          <w:noProof/>
        </w:rPr>
      </w:pPr>
      <w:r>
        <w:rPr>
          <w:b/>
          <w:noProof/>
        </w:rPr>
        <w:t>Meanwhile, fiscal rules are conducive to macroeconomi</w:t>
      </w:r>
      <w:r>
        <w:rPr>
          <w:b/>
          <w:noProof/>
        </w:rPr>
        <w:t xml:space="preserve">c stability and debt sustainability, which are necessary conditions for public and private investment. </w:t>
      </w:r>
      <w:r>
        <w:rPr>
          <w:noProof/>
        </w:rPr>
        <w:t>Fiscal rules tend to reduce policy volatility, and which makes them beneficial to investment and, more generally, to long-term growth. Moreover, when tho</w:t>
      </w:r>
      <w:r>
        <w:rPr>
          <w:noProof/>
        </w:rPr>
        <w:t>roughly adhered to over the business cycle, fiscal rules ensure that public debt remains sustainable, thus creating fiscal space that can be used for investment.</w:t>
      </w:r>
      <w:r>
        <w:rPr>
          <w:rStyle w:val="FootnoteReference"/>
          <w:noProof/>
        </w:rPr>
        <w:footnoteReference w:id="34"/>
      </w:r>
      <w:r>
        <w:rPr>
          <w:noProof/>
        </w:rPr>
        <w:t xml:space="preserve"> Sound national fiscal rules appear to reduce the negative impact of public debt on public inv</w:t>
      </w:r>
      <w:r>
        <w:rPr>
          <w:noProof/>
        </w:rPr>
        <w:t>estment (see Annex 1),</w:t>
      </w:r>
      <w:r>
        <w:rPr>
          <w:rStyle w:val="FootnoteReference"/>
          <w:noProof/>
        </w:rPr>
        <w:footnoteReference w:id="35"/>
      </w:r>
      <w:r>
        <w:rPr>
          <w:noProof/>
        </w:rPr>
        <w:t xml:space="preserve"> and empirical research does not point to the conclusion that fiscal rules have hampered public investment in Member States over the past decades. </w:t>
      </w:r>
    </w:p>
    <w:p w:rsidR="00630C0A" w:rsidRDefault="00961E71">
      <w:pPr>
        <w:spacing w:after="120"/>
        <w:jc w:val="both"/>
        <w:rPr>
          <w:noProof/>
        </w:rPr>
      </w:pPr>
      <w:r>
        <w:rPr>
          <w:b/>
          <w:bCs/>
          <w:noProof/>
        </w:rPr>
        <w:t>The essential role of public investment to deliver public goods and to support sustai</w:t>
      </w:r>
      <w:r>
        <w:rPr>
          <w:b/>
          <w:bCs/>
          <w:noProof/>
        </w:rPr>
        <w:t xml:space="preserve">nable public finances is well recognised in the EU’s fiscal framework. </w:t>
      </w:r>
      <w:r>
        <w:rPr>
          <w:noProof/>
        </w:rPr>
        <w:t>First, the Treaty requires the Commission to take into account government investment spending when assessing whether a Member State has an excessive deficit. Second, the Stability and G</w:t>
      </w:r>
      <w:r>
        <w:rPr>
          <w:noProof/>
        </w:rPr>
        <w:t>rowth Pact, both in its title and content recognises the need to consider the overall quality of public finances in terms of the growth-friendliness of the taxation system and public expenditure. Third, the definition of the medium-term budgetary objective</w:t>
      </w:r>
      <w:r>
        <w:rPr>
          <w:noProof/>
        </w:rPr>
        <w:t xml:space="preserve"> refers to room for budgetary manoeuvre and in particular the need for public investment.</w:t>
      </w:r>
      <w:r>
        <w:rPr>
          <w:rStyle w:val="FootnoteReference"/>
          <w:noProof/>
        </w:rPr>
        <w:footnoteReference w:id="36"/>
      </w:r>
      <w:r>
        <w:rPr>
          <w:noProof/>
        </w:rPr>
        <w:t xml:space="preserve"> This has led to provisions in the fiscal framework that seek to protect the level of public investment during downturns and to incentivise the implementation of stru</w:t>
      </w:r>
      <w:r>
        <w:rPr>
          <w:noProof/>
        </w:rPr>
        <w:t>ctural reforms, which contribute to sustainable public finances, including by raising potential growth.</w:t>
      </w:r>
    </w:p>
    <w:p w:rsidR="00630C0A" w:rsidRDefault="00961E71">
      <w:pPr>
        <w:spacing w:after="120"/>
        <w:jc w:val="both"/>
        <w:rPr>
          <w:noProof/>
        </w:rPr>
      </w:pPr>
      <w:r>
        <w:rPr>
          <w:b/>
          <w:bCs/>
          <w:noProof/>
        </w:rPr>
        <w:t xml:space="preserve">However, recent innovations in the Pact have not significantly improved the quality and composition of public finances. </w:t>
      </w:r>
      <w:r>
        <w:rPr>
          <w:noProof/>
        </w:rPr>
        <w:t>This primarily reflects delibera</w:t>
      </w:r>
      <w:r>
        <w:rPr>
          <w:noProof/>
        </w:rPr>
        <w:t>te policy choices in the Member States. In 2015, the Commission operationalised the so-called ‘investment clause’, granting a temporary deviation from the adjustment path under the preventive arm to cater for an increase in investment.</w:t>
      </w:r>
      <w:r>
        <w:rPr>
          <w:rStyle w:val="FootnoteReference"/>
          <w:noProof/>
        </w:rPr>
        <w:footnoteReference w:id="37"/>
      </w:r>
      <w:r>
        <w:rPr>
          <w:noProof/>
        </w:rPr>
        <w:t xml:space="preserve"> However, the invest</w:t>
      </w:r>
      <w:r>
        <w:rPr>
          <w:noProof/>
        </w:rPr>
        <w:t>ment clause can only be used if GDP growth is negative or if the output gap (which measures the amount of slack in the economy) is below -1.5% of potential GDP. The rationale is to safeguard investment during (very) bad economic times. Only Italy and Finla</w:t>
      </w:r>
      <w:r>
        <w:rPr>
          <w:noProof/>
        </w:rPr>
        <w:t>nd have so far benefited from the investment clause, both in 2016. However, in neither case was there a substantial positive impact on public investment. Similarly, the structural reform clause has had a rather mixed success in promoting reforms that impro</w:t>
      </w:r>
      <w:r>
        <w:rPr>
          <w:noProof/>
        </w:rPr>
        <w:t>ve the quality of public finances and/or increase potential growth, with only five of the eligible Member States having made use of the clause.</w:t>
      </w:r>
      <w:r>
        <w:rPr>
          <w:rStyle w:val="FootnoteReference"/>
          <w:noProof/>
        </w:rPr>
        <w:footnoteReference w:id="38"/>
      </w:r>
    </w:p>
    <w:p w:rsidR="00630C0A" w:rsidRDefault="00961E71">
      <w:pPr>
        <w:spacing w:after="120"/>
        <w:jc w:val="both"/>
        <w:rPr>
          <w:rFonts w:eastAsia="Calibri"/>
          <w:noProof/>
        </w:rPr>
      </w:pPr>
      <w:r>
        <w:rPr>
          <w:b/>
          <w:noProof/>
        </w:rPr>
        <w:t>Fulfilling the ambition set by the European Green Deal to achieve a carbon-neutral continent by 2050, will requ</w:t>
      </w:r>
      <w:r>
        <w:rPr>
          <w:b/>
          <w:noProof/>
        </w:rPr>
        <w:t>ire significant investment.</w:t>
      </w:r>
      <w:r>
        <w:rPr>
          <w:noProof/>
        </w:rPr>
        <w:t xml:space="preserve"> The magnitude of the investment challenges requires mobilising both the public and private sector. Box 3 presents some considerations on green public investment in the context of the EU’s fiscal framework. As announced in the Co</w:t>
      </w:r>
      <w:r>
        <w:rPr>
          <w:noProof/>
        </w:rPr>
        <w:t>mmission’s Communication on the European Green Deal, t</w:t>
      </w:r>
      <w:r>
        <w:rPr>
          <w:rFonts w:eastAsia="Calibri"/>
          <w:noProof/>
        </w:rPr>
        <w:t>he outcome of the debate on how to improve EU fiscal governance will form the basis for any possible future steps including how to treat green investments within the EU fiscal rules, while preserving sa</w:t>
      </w:r>
      <w:r>
        <w:rPr>
          <w:rFonts w:eastAsia="Calibri"/>
          <w:noProof/>
        </w:rPr>
        <w:t xml:space="preserve">feguards against risks to debt </w:t>
      </w:r>
      <w:r>
        <w:rPr>
          <w:noProof/>
        </w:rPr>
        <w:t>sustainability</w:t>
      </w:r>
      <w:r>
        <w:rPr>
          <w:rFonts w:eastAsia="Calibri"/>
          <w:noProof/>
        </w:rPr>
        <w:t>.</w:t>
      </w:r>
      <w:r>
        <w:rPr>
          <w:rStyle w:val="FootnoteReference"/>
          <w:rFonts w:eastAsia="Calibri"/>
          <w:noProof/>
        </w:rPr>
        <w:footnoteReference w:id="39"/>
      </w:r>
    </w:p>
    <w:p w:rsidR="00630C0A" w:rsidRDefault="00630C0A">
      <w:pPr>
        <w:jc w:val="both"/>
        <w:rPr>
          <w:noProof/>
        </w:rPr>
      </w:pPr>
    </w:p>
    <w:p w:rsidR="00630C0A" w:rsidRDefault="00961E71">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Calibri"/>
          <w:b/>
          <w:bCs/>
          <w:noProof/>
        </w:rPr>
      </w:pPr>
      <w:r>
        <w:rPr>
          <w:rFonts w:eastAsia="Calibri"/>
          <w:b/>
          <w:bCs/>
          <w:noProof/>
        </w:rPr>
        <w:t xml:space="preserve">Box 3: Green investment in the EU’s fiscal framework </w:t>
      </w:r>
    </w:p>
    <w:p w:rsidR="00630C0A" w:rsidRDefault="00961E71">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Calibri"/>
          <w:noProof/>
        </w:rPr>
      </w:pPr>
      <w:r>
        <w:rPr>
          <w:rFonts w:eastAsia="Calibri"/>
          <w:b/>
          <w:bCs/>
          <w:noProof/>
        </w:rPr>
        <w:t>Climate change poses important challenges to public finances.</w:t>
      </w:r>
      <w:r>
        <w:rPr>
          <w:rFonts w:eastAsia="Calibri"/>
          <w:noProof/>
        </w:rPr>
        <w:t xml:space="preserve"> Extreme weather events may raise the risks to the sustainability of public finances and the transition to a climate neutral economy will require substantial public and private investment. While climate adaptation investments should reduce the risks and co</w:t>
      </w:r>
      <w:r>
        <w:rPr>
          <w:rFonts w:eastAsia="Calibri"/>
          <w:noProof/>
        </w:rPr>
        <w:t>sts of climate change in the longer run, they will also weigh on government finances in the short and medium run.</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Calibri"/>
          <w:noProof/>
        </w:rPr>
      </w:pPr>
      <w:r>
        <w:rPr>
          <w:rFonts w:eastAsia="Calibri"/>
          <w:b/>
          <w:bCs/>
          <w:noProof/>
        </w:rPr>
        <w:t xml:space="preserve">At present, the EU’s fiscal framework does not include specific provisions to deal with climate-related costs and risks. </w:t>
      </w:r>
      <w:r>
        <w:rPr>
          <w:rFonts w:eastAsia="Calibri"/>
          <w:noProof/>
        </w:rPr>
        <w:t>By promoting sound fi</w:t>
      </w:r>
      <w:r>
        <w:rPr>
          <w:rFonts w:eastAsia="Calibri"/>
          <w:noProof/>
        </w:rPr>
        <w:t>scal positions, the fiscal framework ensures that fiscal policy can fulfil its various roles and support emerging policy priorities, including climate change. Given the scale of the climate change challenge and the risks it poses to the long-term sustainab</w:t>
      </w:r>
      <w:r>
        <w:rPr>
          <w:rFonts w:eastAsia="Calibri"/>
          <w:noProof/>
        </w:rPr>
        <w:t>ility of public finances, a case can be made that specific provisions be incorporated into the EU’s fiscal framework. However, the public finance implications of climate change are multi-dimensional. At this stage there is no conceptual analytical framewor</w:t>
      </w:r>
      <w:r>
        <w:rPr>
          <w:rFonts w:eastAsia="Calibri"/>
          <w:noProof/>
        </w:rPr>
        <w:t xml:space="preserve">k to identify the main links involved and the possible trade-offs. For instance, as both measured fiscal sustainability risks and investment needs rise, trade-offs may arise between catering for increasing investment needs on the one hand and anticipating </w:t>
      </w:r>
      <w:r>
        <w:rPr>
          <w:rFonts w:eastAsia="Calibri"/>
          <w:noProof/>
        </w:rPr>
        <w:t>future costs by raising saving on the other.</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Calibri"/>
          <w:noProof/>
        </w:rPr>
      </w:pPr>
      <w:r>
        <w:rPr>
          <w:rFonts w:eastAsia="Calibri"/>
          <w:b/>
          <w:bCs/>
          <w:noProof/>
        </w:rPr>
        <w:t>There are several dimensions as regards financing green public investment needs.</w:t>
      </w:r>
      <w:r>
        <w:rPr>
          <w:rFonts w:eastAsia="Calibri"/>
          <w:noProof/>
        </w:rPr>
        <w:t xml:space="preserve"> In particular, should those investments compete with current spending priorities and not affect the overall fiscal stance? Or coul</w:t>
      </w:r>
      <w:r>
        <w:rPr>
          <w:rFonts w:eastAsia="Calibri"/>
          <w:noProof/>
        </w:rPr>
        <w:t>d additional public investment spending come on top of existing commitments and needs and thus raise public debt? While the European Green Deal underlines the key role for the EU budget, it also acknowledges that national budgets will play a significant ro</w:t>
      </w:r>
      <w:r>
        <w:rPr>
          <w:rFonts w:eastAsia="Calibri"/>
          <w:noProof/>
        </w:rPr>
        <w:t>le in the transition.</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noProof/>
        </w:rPr>
      </w:pPr>
      <w:r>
        <w:rPr>
          <w:b/>
          <w:noProof/>
        </w:rPr>
        <w:t>There is literature on the use of fiscal rules as a means to preserve and incentivise public investment.</w:t>
      </w:r>
      <w:r>
        <w:rPr>
          <w:noProof/>
        </w:rPr>
        <w:t xml:space="preserve"> Traditional public finance literature often refers to a ‘golden rule’ that allows for the financing of public investment through </w:t>
      </w:r>
      <w:r>
        <w:rPr>
          <w:noProof/>
        </w:rPr>
        <w:t>public debt. Advocates of such a rule argue that it is conducive for intergenerational fairness and economic growth.</w:t>
      </w:r>
      <w:r>
        <w:rPr>
          <w:noProof/>
          <w:vertAlign w:val="superscript"/>
        </w:rPr>
        <w:footnoteReference w:id="40"/>
      </w:r>
      <w:r>
        <w:rPr>
          <w:noProof/>
        </w:rPr>
        <w:t xml:space="preserve"> Specifically, as long as public investment increases the public and/or social capital stock that they will inherit, future generations wil</w:t>
      </w:r>
      <w:r>
        <w:rPr>
          <w:noProof/>
        </w:rPr>
        <w:t xml:space="preserve">l benefit from it and so it is justifiable that they should assume the burden of the debt related to </w:t>
      </w:r>
      <w:r>
        <w:rPr>
          <w:rFonts w:eastAsia="Calibri"/>
          <w:noProof/>
        </w:rPr>
        <w:t>such</w:t>
      </w:r>
      <w:r>
        <w:rPr>
          <w:noProof/>
        </w:rPr>
        <w:t xml:space="preserve"> investment. In fact, financing the public capital stock exclusively with taxation would lead to a disproportionate burden for the present generation, </w:t>
      </w:r>
      <w:r>
        <w:rPr>
          <w:noProof/>
        </w:rPr>
        <w:t xml:space="preserve">with the risk of insufficient provision of public investment. The ‘golden rule’ literature refers to net investment, i.e. gross fixed capital formation minus consumption of fixed capital, as that expenditure item does not affect the net debt of the public </w:t>
      </w:r>
      <w:r>
        <w:rPr>
          <w:noProof/>
        </w:rPr>
        <w:t xml:space="preserve">sector (i.e. gross debt minus assets). </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Calibri"/>
          <w:noProof/>
        </w:rPr>
      </w:pPr>
      <w:r>
        <w:rPr>
          <w:b/>
          <w:noProof/>
        </w:rPr>
        <w:t>Literature also provides more sceptical views on preferential treatment of public investment within fiscal rules.</w:t>
      </w:r>
      <w:r>
        <w:rPr>
          <w:noProof/>
          <w:vertAlign w:val="superscript"/>
        </w:rPr>
        <w:footnoteReference w:id="41"/>
      </w:r>
      <w:r>
        <w:rPr>
          <w:noProof/>
        </w:rPr>
        <w:t xml:space="preserve"> In particular, risks related to such a favourable treatment have been highlighted, as such rules may distort the allocation of public goods, incentivise creative accounting, increase the coverage of eligible expenditure over time, make fiscal surveillance</w:t>
      </w:r>
      <w:r>
        <w:rPr>
          <w:noProof/>
        </w:rPr>
        <w:t xml:space="preserve"> more complex, etc. Some empirical work shows that, based on available information, there is only weak evidence that ‘golden rules’ support public investment and that investment is hampered by fiscal rules.</w:t>
      </w:r>
      <w:r>
        <w:rPr>
          <w:noProof/>
          <w:vertAlign w:val="superscript"/>
        </w:rPr>
        <w:footnoteReference w:id="42"/>
      </w:r>
      <w:r>
        <w:rPr>
          <w:noProof/>
        </w:rPr>
        <w:t xml:space="preserve"> Other factors than fiscal rule constraints may l</w:t>
      </w:r>
      <w:r>
        <w:rPr>
          <w:noProof/>
        </w:rPr>
        <w:t xml:space="preserve">ead to low public investment, such as insufficient administrative capacity, poor governance, weak monitoring institutions, etc. Political-economy arguments can also explain why public resources are devoted to spending items other than investment, as it is </w:t>
      </w:r>
      <w:r>
        <w:rPr>
          <w:noProof/>
        </w:rPr>
        <w:t xml:space="preserve">less visible for voters than for instance social spending. </w:t>
      </w:r>
    </w:p>
    <w:p w:rsidR="00630C0A" w:rsidRDefault="00961E71">
      <w:pPr>
        <w:tabs>
          <w:tab w:val="left" w:pos="5940"/>
        </w:tabs>
        <w:jc w:val="both"/>
        <w:rPr>
          <w:noProof/>
          <w:color w:val="000000"/>
        </w:rPr>
      </w:pPr>
      <w:r>
        <w:rPr>
          <w:noProof/>
          <w:color w:val="000000"/>
        </w:rPr>
        <w:tab/>
      </w:r>
      <w:r>
        <w:rPr>
          <w:noProof/>
          <w:color w:val="000000"/>
        </w:rPr>
        <w:tab/>
      </w:r>
    </w:p>
    <w:p w:rsidR="00630C0A" w:rsidRDefault="00961E71">
      <w:pPr>
        <w:spacing w:after="120"/>
        <w:jc w:val="both"/>
        <w:rPr>
          <w:i/>
          <w:noProof/>
        </w:rPr>
      </w:pPr>
      <w:r>
        <w:rPr>
          <w:i/>
          <w:iCs/>
          <w:noProof/>
        </w:rPr>
        <w:t>Ownership and governance of EU fiscal rules</w:t>
      </w:r>
    </w:p>
    <w:p w:rsidR="00630C0A" w:rsidRDefault="00961E71">
      <w:pPr>
        <w:pStyle w:val="ListParagraph"/>
        <w:spacing w:after="120"/>
        <w:ind w:left="0"/>
        <w:jc w:val="both"/>
        <w:rPr>
          <w:rFonts w:ascii="Times New Roman" w:hAnsi="Times New Roman" w:cs="Times New Roman"/>
          <w:noProof/>
          <w:sz w:val="24"/>
          <w:szCs w:val="24"/>
        </w:rPr>
      </w:pPr>
      <w:r>
        <w:rPr>
          <w:rFonts w:ascii="Times New Roman" w:hAnsi="Times New Roman" w:cs="Times New Roman"/>
          <w:b/>
          <w:bCs/>
          <w:noProof/>
          <w:sz w:val="24"/>
          <w:szCs w:val="24"/>
        </w:rPr>
        <w:t>The accumulation of rules, indicators and implementation procedures over time has made the Pact increasingly complex and has harmed predictability.</w:t>
      </w:r>
      <w:r>
        <w:rPr>
          <w:rFonts w:ascii="Times New Roman" w:hAnsi="Times New Roman" w:cs="Times New Roman"/>
          <w:noProof/>
          <w:sz w:val="24"/>
          <w:szCs w:val="24"/>
        </w:rPr>
        <w:t xml:space="preserve"> T</w:t>
      </w:r>
      <w:r>
        <w:rPr>
          <w:rFonts w:ascii="Times New Roman" w:hAnsi="Times New Roman" w:cs="Times New Roman"/>
          <w:noProof/>
          <w:sz w:val="24"/>
          <w:szCs w:val="24"/>
        </w:rPr>
        <w:t>he development of ‘smarter’ and multiple rules has come at the cost of increased complexity. In the current framework, there are multiple rules (for the headline balance, the structural balance and, since the six-pack, for expenditure growth and debt reduc</w:t>
      </w:r>
      <w:r>
        <w:rPr>
          <w:rFonts w:ascii="Times New Roman" w:hAnsi="Times New Roman" w:cs="Times New Roman"/>
          <w:noProof/>
          <w:sz w:val="24"/>
          <w:szCs w:val="24"/>
        </w:rPr>
        <w:t xml:space="preserve">tion), associated with different indicators for measuring compliance and various clauses allowing for deviations from the required adjustments (see box 2). Procedures for implementing those rules (preventive and corrective arm, </w:t>
      </w:r>
      <w:r>
        <w:rPr>
          <w:rFonts w:ascii="Times New Roman" w:hAnsi="Times New Roman" w:cs="Times New Roman"/>
          <w:i/>
          <w:iCs/>
          <w:noProof/>
          <w:sz w:val="24"/>
          <w:szCs w:val="24"/>
        </w:rPr>
        <w:t>ex ante</w:t>
      </w:r>
      <w:r>
        <w:rPr>
          <w:rFonts w:ascii="Times New Roman" w:hAnsi="Times New Roman" w:cs="Times New Roman"/>
          <w:noProof/>
          <w:sz w:val="24"/>
          <w:szCs w:val="24"/>
        </w:rPr>
        <w:t xml:space="preserve"> and </w:t>
      </w:r>
      <w:r>
        <w:rPr>
          <w:rFonts w:ascii="Times New Roman" w:hAnsi="Times New Roman" w:cs="Times New Roman"/>
          <w:i/>
          <w:iCs/>
          <w:noProof/>
          <w:sz w:val="24"/>
          <w:szCs w:val="24"/>
        </w:rPr>
        <w:t>ex post</w:t>
      </w:r>
      <w:r>
        <w:rPr>
          <w:rFonts w:ascii="Times New Roman" w:hAnsi="Times New Roman" w:cs="Times New Roman"/>
          <w:noProof/>
          <w:sz w:val="24"/>
          <w:szCs w:val="24"/>
        </w:rPr>
        <w:t xml:space="preserve"> assessme</w:t>
      </w:r>
      <w:r>
        <w:rPr>
          <w:rFonts w:ascii="Times New Roman" w:hAnsi="Times New Roman" w:cs="Times New Roman"/>
          <w:noProof/>
          <w:sz w:val="24"/>
          <w:szCs w:val="24"/>
        </w:rPr>
        <w:t xml:space="preserve">nts) are equally complex. While that accumulation of rules and procedures was driven by a legitimate desire to make the framework more adaptable to changing economic conditions, it has led to a blurring of key requirements and objectives, such as avoiding </w:t>
      </w:r>
      <w:r>
        <w:rPr>
          <w:rFonts w:ascii="Times New Roman" w:hAnsi="Times New Roman" w:cs="Times New Roman"/>
          <w:noProof/>
          <w:sz w:val="24"/>
          <w:szCs w:val="24"/>
        </w:rPr>
        <w:t>gross policy errors.</w:t>
      </w:r>
    </w:p>
    <w:p w:rsidR="00630C0A" w:rsidRDefault="00961E71">
      <w:pPr>
        <w:pStyle w:val="ListParagraph"/>
        <w:spacing w:after="120"/>
        <w:ind w:left="0"/>
        <w:jc w:val="both"/>
        <w:rPr>
          <w:rFonts w:ascii="Times New Roman" w:hAnsi="Times New Roman" w:cs="Times New Roman"/>
          <w:noProof/>
          <w:sz w:val="24"/>
          <w:szCs w:val="24"/>
        </w:rPr>
      </w:pPr>
      <w:r>
        <w:rPr>
          <w:rFonts w:ascii="Times New Roman" w:hAnsi="Times New Roman" w:cs="Times New Roman"/>
          <w:b/>
          <w:bCs/>
          <w:noProof/>
          <w:sz w:val="24"/>
          <w:szCs w:val="24"/>
        </w:rPr>
        <w:t xml:space="preserve">The current framework relies heavily on variables that are not directly observable and that are frequently revised, which also hampers ownership. </w:t>
      </w:r>
      <w:r>
        <w:rPr>
          <w:rFonts w:ascii="Times New Roman" w:hAnsi="Times New Roman" w:cs="Times New Roman"/>
          <w:noProof/>
          <w:sz w:val="24"/>
          <w:szCs w:val="24"/>
        </w:rPr>
        <w:t>The output gap, which is used to estimate the structural balance, is a key variable under</w:t>
      </w:r>
      <w:r>
        <w:rPr>
          <w:rFonts w:ascii="Times New Roman" w:hAnsi="Times New Roman" w:cs="Times New Roman"/>
          <w:noProof/>
          <w:sz w:val="24"/>
          <w:szCs w:val="24"/>
        </w:rPr>
        <w:t>pinning the Pact. It enters the Commission’s assessments at different steps of the surveillance procedures, particularly in the preventive arm. Since potential growth and output gaps are unobservable, they need to be estimated from economic data.</w:t>
      </w:r>
      <w:r>
        <w:rPr>
          <w:rStyle w:val="FootnoteReference"/>
          <w:rFonts w:ascii="Times New Roman" w:hAnsi="Times New Roman" w:cs="Times New Roman"/>
          <w:noProof/>
        </w:rPr>
        <w:footnoteReference w:id="43"/>
      </w:r>
      <w:r>
        <w:rPr>
          <w:rFonts w:ascii="Times New Roman" w:hAnsi="Times New Roman" w:cs="Times New Roman"/>
          <w:noProof/>
          <w:sz w:val="24"/>
          <w:szCs w:val="24"/>
        </w:rPr>
        <w:t xml:space="preserve"> This lea</w:t>
      </w:r>
      <w:r>
        <w:rPr>
          <w:rFonts w:ascii="Times New Roman" w:hAnsi="Times New Roman" w:cs="Times New Roman"/>
          <w:noProof/>
          <w:sz w:val="24"/>
          <w:szCs w:val="24"/>
        </w:rPr>
        <w:t>ds to unavoidable uncertainty and revisions of the estimates, which has allowed Member States to increasingly challenge the Commission’s fiscal policy guidance and compliance assessments, for example when it comes to estimating a Member State’s precise str</w:t>
      </w:r>
      <w:r>
        <w:rPr>
          <w:rFonts w:ascii="Times New Roman" w:hAnsi="Times New Roman" w:cs="Times New Roman"/>
          <w:noProof/>
          <w:sz w:val="24"/>
          <w:szCs w:val="24"/>
        </w:rPr>
        <w:t>uctural balance position compared to its MTO. The use of a wider set of macroeconomic indicators for determining the cyclical position of a Member State has had limited success in addressing Member States’ concerns. Overall, the wide use of unobservable in</w:t>
      </w:r>
      <w:r>
        <w:rPr>
          <w:rFonts w:ascii="Times New Roman" w:hAnsi="Times New Roman" w:cs="Times New Roman"/>
          <w:noProof/>
          <w:sz w:val="24"/>
          <w:szCs w:val="24"/>
        </w:rPr>
        <w:t>dicators has likely reduced ownership and political buy-in.</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To some extent, this has been addressed by ‘freezing’ the required adjustment for the following year</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and by increasing the focus on the expenditure benchmark, which provides more stable and oper</w:t>
      </w:r>
      <w:r>
        <w:rPr>
          <w:rFonts w:ascii="Times New Roman" w:hAnsi="Times New Roman" w:cs="Times New Roman"/>
          <w:noProof/>
          <w:sz w:val="24"/>
          <w:szCs w:val="24"/>
        </w:rPr>
        <w:t>ational policy guidance by focussing on budgetary items directly under the control of governments.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w:t>
      </w:r>
    </w:p>
    <w:p w:rsidR="00630C0A" w:rsidRDefault="00961E71">
      <w:pPr>
        <w:pStyle w:val="ListParagraph"/>
        <w:spacing w:after="120"/>
        <w:ind w:left="0"/>
        <w:jc w:val="both"/>
        <w:rPr>
          <w:rFonts w:ascii="Times New Roman" w:hAnsi="Times New Roman" w:cs="Times New Roman"/>
          <w:noProof/>
          <w:sz w:val="24"/>
          <w:szCs w:val="24"/>
          <w:lang w:eastAsia="en-GB"/>
        </w:rPr>
      </w:pPr>
      <w:r>
        <w:rPr>
          <w:rFonts w:ascii="Times New Roman" w:hAnsi="Times New Roman" w:cs="Times New Roman"/>
          <w:b/>
          <w:bCs/>
          <w:noProof/>
          <w:sz w:val="24"/>
          <w:szCs w:val="24"/>
        </w:rPr>
        <w:t>While the strengthening of national fiscal frameworks has improved ownership of fiscal discipline, discrepancies have emerged between EU and national fisca</w:t>
      </w:r>
      <w:r>
        <w:rPr>
          <w:rFonts w:ascii="Times New Roman" w:hAnsi="Times New Roman" w:cs="Times New Roman"/>
          <w:b/>
          <w:bCs/>
          <w:noProof/>
          <w:sz w:val="24"/>
          <w:szCs w:val="24"/>
        </w:rPr>
        <w:t xml:space="preserve">l rules, undermining the credibility of both and adding to complexity. </w:t>
      </w:r>
      <w:r>
        <w:rPr>
          <w:rFonts w:ascii="Times New Roman" w:hAnsi="Times New Roman" w:cs="Times New Roman"/>
          <w:noProof/>
          <w:sz w:val="24"/>
          <w:szCs w:val="24"/>
        </w:rPr>
        <w:t>The objective of stronger national frameworks was to underpin fiscal policies better at national level in line with EU obligations and to increase ownership of such policies among polic</w:t>
      </w:r>
      <w:r>
        <w:rPr>
          <w:rFonts w:ascii="Times New Roman" w:hAnsi="Times New Roman" w:cs="Times New Roman"/>
          <w:noProof/>
          <w:sz w:val="24"/>
          <w:szCs w:val="24"/>
        </w:rPr>
        <w:t>y-makers and stakeholders. Consequently, the Directive 2011/85 and Regulation No 473/2013 created only broad requirements for national frameworks to accommodate national specificities. On the contrary, the Fiscal Compact went to impose a specific rule mode</w:t>
      </w:r>
      <w:r>
        <w:rPr>
          <w:rFonts w:ascii="Times New Roman" w:hAnsi="Times New Roman" w:cs="Times New Roman"/>
          <w:noProof/>
          <w:sz w:val="24"/>
          <w:szCs w:val="24"/>
        </w:rPr>
        <w:t>lled on the preventive arm of the Pact (as re-defined by the six-pack). This means that most Member States now have in their national law – at a constitutional level or high in the national legal order – a structural balanced-budget rule that arguably does</w:t>
      </w:r>
      <w:r>
        <w:rPr>
          <w:rFonts w:ascii="Times New Roman" w:hAnsi="Times New Roman" w:cs="Times New Roman"/>
          <w:noProof/>
          <w:sz w:val="24"/>
          <w:szCs w:val="24"/>
        </w:rPr>
        <w:t xml:space="preserve"> not take into account interpretative developments in the preventive arm agreed after 2012. This has had two consequences. First, in some Member States, it has arguably hampered rather than improved ownership of fiscal rules, including those at national le</w:t>
      </w:r>
      <w:r>
        <w:rPr>
          <w:rFonts w:ascii="Times New Roman" w:hAnsi="Times New Roman" w:cs="Times New Roman"/>
          <w:noProof/>
          <w:sz w:val="24"/>
          <w:szCs w:val="24"/>
        </w:rPr>
        <w:t>vel. Second, it has given rise to inconsistencies between EU and national rules and encouraged some Member States to arbitrage between them. That situation creates risks of putting in doubt the value of national frameworks, and with it that of the independ</w:t>
      </w:r>
      <w:r>
        <w:rPr>
          <w:rFonts w:ascii="Times New Roman" w:hAnsi="Times New Roman" w:cs="Times New Roman"/>
          <w:noProof/>
          <w:sz w:val="24"/>
          <w:szCs w:val="24"/>
        </w:rPr>
        <w:t>ent fiscal institutions (IFIs) that are required to assess compliance with national rules. Given that the strengthening of national frameworks is meant to improve compliance with EU rules, weakening the former will in turn reflect on the latter as well. Fu</w:t>
      </w:r>
      <w:r>
        <w:rPr>
          <w:rFonts w:ascii="Times New Roman" w:hAnsi="Times New Roman" w:cs="Times New Roman"/>
          <w:noProof/>
          <w:sz w:val="24"/>
          <w:szCs w:val="24"/>
        </w:rPr>
        <w:t>rthermore, differences of views between the independent fiscal institutions and the Commission may weaken the authority of both and give the impression that the national and the EU fiscal rules work at cross-purposes. This raises the question whether compl</w:t>
      </w:r>
      <w:r>
        <w:rPr>
          <w:rFonts w:ascii="Times New Roman" w:hAnsi="Times New Roman" w:cs="Times New Roman"/>
          <w:noProof/>
          <w:sz w:val="24"/>
          <w:szCs w:val="24"/>
        </w:rPr>
        <w:t>ementarity between the EU and national fiscal frameworks have been utilised in an optimal way, particularly now that the national frameworks are well developed.</w:t>
      </w:r>
    </w:p>
    <w:p w:rsidR="00630C0A" w:rsidRDefault="00961E71">
      <w:pPr>
        <w:pStyle w:val="ListParagraph"/>
        <w:spacing w:after="120"/>
        <w:ind w:left="0"/>
        <w:jc w:val="both"/>
        <w:rPr>
          <w:rFonts w:ascii="Times New Roman" w:hAnsi="Times New Roman" w:cs="Times New Roman"/>
          <w:noProof/>
          <w:sz w:val="24"/>
          <w:szCs w:val="24"/>
        </w:rPr>
      </w:pPr>
      <w:r>
        <w:rPr>
          <w:rFonts w:ascii="Times New Roman" w:hAnsi="Times New Roman" w:cs="Times New Roman"/>
          <w:b/>
          <w:bCs/>
          <w:noProof/>
          <w:sz w:val="24"/>
          <w:szCs w:val="24"/>
        </w:rPr>
        <w:t xml:space="preserve">The process for draft budgetary plans has proved useful for ex ante coordination and dialogue, </w:t>
      </w:r>
      <w:r>
        <w:rPr>
          <w:rFonts w:ascii="Times New Roman" w:hAnsi="Times New Roman" w:cs="Times New Roman"/>
          <w:b/>
          <w:bCs/>
          <w:noProof/>
          <w:sz w:val="24"/>
          <w:szCs w:val="24"/>
        </w:rPr>
        <w:t>but has also underlined the difficulty of influencing national fiscal policy in practice.</w:t>
      </w:r>
      <w:r>
        <w:rPr>
          <w:rFonts w:ascii="Times New Roman" w:hAnsi="Times New Roman" w:cs="Times New Roman"/>
          <w:noProof/>
          <w:sz w:val="24"/>
          <w:szCs w:val="24"/>
        </w:rPr>
        <w:t xml:space="preserve"> Since Regulation No 473/2013, euro-area Member States have been required to submit their budget plans for the coming year to the Commission and the Eurogroup. They ar</w:t>
      </w:r>
      <w:r>
        <w:rPr>
          <w:rFonts w:ascii="Times New Roman" w:hAnsi="Times New Roman" w:cs="Times New Roman"/>
          <w:noProof/>
          <w:sz w:val="24"/>
          <w:szCs w:val="24"/>
        </w:rPr>
        <w:t xml:space="preserve">e subsequently assessed by the Commission. That process was designed to strengthen ex ante fiscal surveillance, i.e. allowing the Commission to give a view on the likely compliance of the draft annual budget with the EU’s fiscal rules (see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REF _Ref2981117</w:instrText>
      </w:r>
      <w:r>
        <w:rPr>
          <w:rFonts w:ascii="Times New Roman" w:hAnsi="Times New Roman" w:cs="Times New Roman"/>
          <w:noProof/>
          <w:sz w:val="24"/>
          <w:szCs w:val="24"/>
        </w:rPr>
        <w:instrText xml:space="preserve">8 \h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bCs/>
          <w:noProof/>
          <w:sz w:val="24"/>
          <w:szCs w:val="24"/>
        </w:rPr>
        <w:t>Graph 9</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This is meant to alleviate the burden of surveillance carried out ex post, which was perceived as more punitive and less efficient as it came too late in the </w:t>
      </w:r>
      <w:r>
        <w:rPr>
          <w:rFonts w:ascii="Times New Roman" w:hAnsi="Times New Roman" w:cs="Times New Roman"/>
          <w:noProof/>
          <w:sz w:val="24"/>
          <w:szCs w:val="24"/>
        </w:rPr>
        <w:t>process and offered less scope for timely corrective action. In practice, the process has turned out to be useful for setting up a dialogue between the EU institutions and euro-area Member States, as well as for fostering awareness of among national parlia</w:t>
      </w:r>
      <w:r>
        <w:rPr>
          <w:rFonts w:ascii="Times New Roman" w:hAnsi="Times New Roman" w:cs="Times New Roman"/>
          <w:noProof/>
          <w:sz w:val="24"/>
          <w:szCs w:val="24"/>
        </w:rPr>
        <w:t>ments and the public of Member States’ obligations under the Pact. At the same time, the focus of the assessment on annual changes in the (unobservable) structural balance or annual expenditure growth imparted a certain narrowness to that dialogue. Only on</w:t>
      </w:r>
      <w:r>
        <w:rPr>
          <w:rFonts w:ascii="Times New Roman" w:hAnsi="Times New Roman" w:cs="Times New Roman"/>
          <w:noProof/>
          <w:sz w:val="24"/>
          <w:szCs w:val="24"/>
        </w:rPr>
        <w:t>ce has the Commission requested a Member State to submit a revised plan (Italy for its 2019 draft budgetary plan). The Commission has instead sent ‘follow-up letters’ in all rounds since 2014. The corrective action taken by Member States in response has be</w:t>
      </w:r>
      <w:r>
        <w:rPr>
          <w:rFonts w:ascii="Times New Roman" w:hAnsi="Times New Roman" w:cs="Times New Roman"/>
          <w:noProof/>
          <w:sz w:val="24"/>
          <w:szCs w:val="24"/>
        </w:rPr>
        <w:t>en limited. Despite that seemingly limited impact, the mere existence of the process may have encouraged Member States to take the Pact’s requirements into account when preparing their draft budgets.</w:t>
      </w:r>
    </w:p>
    <w:p w:rsidR="00630C0A" w:rsidRDefault="00961E71">
      <w:pPr>
        <w:keepNext/>
        <w:jc w:val="center"/>
        <w:rPr>
          <w:b/>
          <w:bCs/>
          <w:noProof/>
        </w:rPr>
      </w:pPr>
      <w:bookmarkStart w:id="29" w:name="_Ref29811178"/>
      <w:r>
        <w:rPr>
          <w:b/>
          <w:bCs/>
          <w:noProof/>
        </w:rPr>
        <w:t xml:space="preserve">Graph </w:t>
      </w:r>
      <w:r>
        <w:rPr>
          <w:noProof/>
        </w:rPr>
        <w:fldChar w:fldCharType="begin"/>
      </w:r>
      <w:r>
        <w:rPr>
          <w:b/>
          <w:noProof/>
        </w:rPr>
        <w:instrText xml:space="preserve"> SEQ Graph \* ARABIC </w:instrText>
      </w:r>
      <w:r>
        <w:rPr>
          <w:b/>
          <w:noProof/>
        </w:rPr>
        <w:fldChar w:fldCharType="separate"/>
      </w:r>
      <w:r>
        <w:rPr>
          <w:b/>
          <w:noProof/>
        </w:rPr>
        <w:t>9</w:t>
      </w:r>
      <w:r>
        <w:rPr>
          <w:noProof/>
        </w:rPr>
        <w:fldChar w:fldCharType="end"/>
      </w:r>
      <w:bookmarkEnd w:id="29"/>
      <w:r>
        <w:rPr>
          <w:b/>
          <w:bCs/>
          <w:noProof/>
        </w:rPr>
        <w:t xml:space="preserve">: Overall compliance of </w:t>
      </w:r>
      <w:r>
        <w:rPr>
          <w:b/>
          <w:bCs/>
          <w:noProof/>
        </w:rPr>
        <w:t>the draft budgetary plans with the Stability and Growth Pact (number of euro-area Member States)</w:t>
      </w:r>
    </w:p>
    <w:p w:rsidR="00630C0A" w:rsidRDefault="00961E71">
      <w:pPr>
        <w:jc w:val="center"/>
        <w:rPr>
          <w:b/>
          <w:noProof/>
        </w:rPr>
      </w:pPr>
      <w:r>
        <w:rPr>
          <w:b/>
          <w:noProof/>
        </w:rPr>
        <w:t xml:space="preserve"> </w:t>
      </w:r>
      <w:r>
        <w:rPr>
          <w:b/>
          <w:noProof/>
        </w:rPr>
        <w:drawing>
          <wp:inline distT="0" distB="0" distL="0" distR="0">
            <wp:extent cx="4314825" cy="2512695"/>
            <wp:effectExtent l="0" t="0" r="9525"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14825" cy="2512695"/>
                    </a:xfrm>
                    <a:prstGeom prst="rect">
                      <a:avLst/>
                    </a:prstGeom>
                    <a:noFill/>
                    <a:ln>
                      <a:noFill/>
                    </a:ln>
                  </pic:spPr>
                </pic:pic>
              </a:graphicData>
            </a:graphic>
          </wp:inline>
        </w:drawing>
      </w:r>
    </w:p>
    <w:p w:rsidR="00630C0A" w:rsidRDefault="00630C0A">
      <w:pPr>
        <w:pStyle w:val="ListParagraph"/>
        <w:spacing w:after="120"/>
        <w:ind w:left="0"/>
        <w:jc w:val="both"/>
        <w:rPr>
          <w:rFonts w:ascii="Times New Roman" w:hAnsi="Times New Roman" w:cs="Times New Roman"/>
          <w:noProof/>
          <w:sz w:val="24"/>
          <w:szCs w:val="24"/>
        </w:rPr>
      </w:pPr>
    </w:p>
    <w:p w:rsidR="00630C0A" w:rsidRDefault="00961E71">
      <w:pPr>
        <w:pStyle w:val="ListParagraph"/>
        <w:spacing w:after="120"/>
        <w:ind w:left="0"/>
        <w:jc w:val="both"/>
        <w:rPr>
          <w:rFonts w:ascii="Times New Roman" w:hAnsi="Times New Roman" w:cs="Times New Roman"/>
          <w:noProof/>
          <w:sz w:val="24"/>
          <w:szCs w:val="24"/>
        </w:rPr>
      </w:pPr>
      <w:r>
        <w:rPr>
          <w:rFonts w:ascii="Times New Roman" w:hAnsi="Times New Roman" w:cs="Times New Roman"/>
          <w:b/>
          <w:bCs/>
          <w:noProof/>
          <w:sz w:val="24"/>
          <w:szCs w:val="24"/>
        </w:rPr>
        <w:t xml:space="preserve">The Commission and the Council have been reluctant to launch enforcement procedures against Member States and to impose financial sanctions. </w:t>
      </w:r>
      <w:r>
        <w:rPr>
          <w:rFonts w:ascii="Times New Roman" w:hAnsi="Times New Roman" w:cs="Times New Roman"/>
          <w:noProof/>
          <w:sz w:val="24"/>
          <w:szCs w:val="24"/>
        </w:rPr>
        <w:t>That reticence</w:t>
      </w:r>
      <w:r>
        <w:rPr>
          <w:rFonts w:ascii="Times New Roman" w:hAnsi="Times New Roman" w:cs="Times New Roman"/>
          <w:noProof/>
          <w:sz w:val="24"/>
          <w:szCs w:val="24"/>
        </w:rPr>
        <w:t xml:space="preserve"> has also been stressed by the European Court of Auditors.</w:t>
      </w:r>
      <w:r>
        <w:rPr>
          <w:rStyle w:val="FootnoteReference"/>
          <w:noProof/>
        </w:rPr>
        <w:t xml:space="preserve"> </w:t>
      </w:r>
      <w:r>
        <w:rPr>
          <w:rStyle w:val="FootnoteReference"/>
          <w:rFonts w:ascii="Times New Roman" w:hAnsi="Times New Roman" w:cs="Times New Roman"/>
          <w:noProof/>
        </w:rPr>
        <w:footnoteReference w:id="47"/>
      </w:r>
      <w:r>
        <w:rPr>
          <w:rFonts w:ascii="Times New Roman" w:hAnsi="Times New Roman" w:cs="Times New Roman"/>
          <w:noProof/>
          <w:sz w:val="24"/>
          <w:szCs w:val="24"/>
        </w:rPr>
        <w:t xml:space="preserve"> The Significant Deviation Procedure was introduced as part of the six-pack as a means to enforce the preventive arm of the Pact. However, it has so far only been applied in the clear-cut cases of</w:t>
      </w:r>
      <w:r>
        <w:rPr>
          <w:rFonts w:ascii="Times New Roman" w:hAnsi="Times New Roman" w:cs="Times New Roman"/>
          <w:noProof/>
          <w:sz w:val="24"/>
          <w:szCs w:val="24"/>
        </w:rPr>
        <w:t xml:space="preserve"> Romania and Hungary, with limited effectiveness (see box 2). Similarly, the debt reduction benchmark was introduced in 2011 as an attempt to make the Treaty’s debt criterion operational. However, in a context of very low inflation, the benchmark has prove</w:t>
      </w:r>
      <w:r>
        <w:rPr>
          <w:rFonts w:ascii="Times New Roman" w:hAnsi="Times New Roman" w:cs="Times New Roman"/>
          <w:noProof/>
          <w:sz w:val="24"/>
          <w:szCs w:val="24"/>
        </w:rPr>
        <w:t xml:space="preserve">d to be more demanding than foreseen and pro-cyclical. Therefore, no EDPs have been opened so far on the basis of the debt criterion alone, in spite of successive breaches of the debt reduction benchmark, e.g. by Italy and Belgium. Indeed, in those highly </w:t>
      </w:r>
      <w:r>
        <w:rPr>
          <w:rFonts w:ascii="Times New Roman" w:hAnsi="Times New Roman" w:cs="Times New Roman"/>
          <w:noProof/>
          <w:sz w:val="24"/>
          <w:szCs w:val="24"/>
        </w:rPr>
        <w:t>indebted Member States, the debt reduction benchmark required particularly high fiscal efforts that could actually have aggravated debt dynamics. Therefore, the Commission’s assessment of compliance with the debt criterion appropriately took into account a</w:t>
      </w:r>
      <w:r>
        <w:rPr>
          <w:rFonts w:ascii="Times New Roman" w:hAnsi="Times New Roman" w:cs="Times New Roman"/>
          <w:noProof/>
          <w:sz w:val="24"/>
          <w:szCs w:val="24"/>
        </w:rPr>
        <w:t>ll relevant factors, in line with the provisions of the six-pack, including low inflation and weak growth, and in particular compliance with the requirements of the preventive arm (see box 2). Lastly, the introduction of swifter sanctions and of reverse qu</w:t>
      </w:r>
      <w:r>
        <w:rPr>
          <w:rFonts w:ascii="Times New Roman" w:hAnsi="Times New Roman" w:cs="Times New Roman"/>
          <w:noProof/>
          <w:sz w:val="24"/>
          <w:szCs w:val="24"/>
        </w:rPr>
        <w:t>alified majority voting for Council decisions on Commission proposals have increased the role of the Commission.</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So far, the Commission has refrained from proposing financial sanctions. The application of sanctions under the Pact is different compared to</w:t>
      </w:r>
      <w:r>
        <w:rPr>
          <w:rFonts w:ascii="Times New Roman" w:hAnsi="Times New Roman" w:cs="Times New Roman"/>
          <w:noProof/>
          <w:sz w:val="24"/>
          <w:szCs w:val="24"/>
        </w:rPr>
        <w:t xml:space="preserve"> the field of statistics, where fines involve rather symbolic amounts but carry a credible reputational cost via adequate communication. Political incentives, which would also reinforce the disciplining effect of financial markets, are relatively underdeve</w:t>
      </w:r>
      <w:r>
        <w:rPr>
          <w:rFonts w:ascii="Times New Roman" w:hAnsi="Times New Roman" w:cs="Times New Roman"/>
          <w:noProof/>
          <w:sz w:val="24"/>
          <w:szCs w:val="24"/>
        </w:rPr>
        <w:t xml:space="preserve">loped under the Pact.  </w:t>
      </w:r>
    </w:p>
    <w:p w:rsidR="00630C0A" w:rsidRDefault="00961E71">
      <w:pPr>
        <w:pStyle w:val="ListParagraph"/>
        <w:spacing w:after="120"/>
        <w:ind w:left="0"/>
        <w:jc w:val="both"/>
        <w:rPr>
          <w:rFonts w:ascii="Times New Roman" w:hAnsi="Times New Roman" w:cs="Times New Roman"/>
          <w:noProof/>
          <w:sz w:val="24"/>
          <w:szCs w:val="24"/>
        </w:rPr>
      </w:pPr>
      <w:r>
        <w:rPr>
          <w:rFonts w:ascii="Times New Roman" w:hAnsi="Times New Roman" w:cs="Times New Roman"/>
          <w:b/>
          <w:bCs/>
          <w:noProof/>
          <w:sz w:val="24"/>
          <w:szCs w:val="24"/>
        </w:rPr>
        <w:t>The medium-term orientation of fiscal policy, including its multi-annual ‘track record’, is insufficiently taken into account.</w:t>
      </w:r>
      <w:r>
        <w:rPr>
          <w:rFonts w:ascii="Times New Roman" w:hAnsi="Times New Roman" w:cs="Times New Roman"/>
          <w:noProof/>
          <w:sz w:val="24"/>
          <w:szCs w:val="24"/>
        </w:rPr>
        <w:t xml:space="preserve"> In principle, the Pact has a strong medium-term focus, for instance with a central role of Stability and </w:t>
      </w:r>
      <w:r>
        <w:rPr>
          <w:rFonts w:ascii="Times New Roman" w:hAnsi="Times New Roman" w:cs="Times New Roman"/>
          <w:noProof/>
          <w:sz w:val="24"/>
          <w:szCs w:val="24"/>
        </w:rPr>
        <w:t xml:space="preserve">Convergence Programmes, focus on a ‘close-to-balance or in surplus’ budgetary position in the medium term, and multi-annual targets in the EDP. In practice, however, the six- and two-packs have introduced a strong focus on an assessment of annual targets. </w:t>
      </w:r>
      <w:r>
        <w:rPr>
          <w:rFonts w:ascii="Times New Roman" w:hAnsi="Times New Roman" w:cs="Times New Roman"/>
          <w:noProof/>
          <w:sz w:val="24"/>
          <w:szCs w:val="24"/>
        </w:rPr>
        <w:t>As a result, the focus on medium-term performance (both backward- and forward-looking) has weakened in relative terms, especially given that the implementation of the debt reduction benchmark has so far relied on an assessment of compliance with the annual</w:t>
      </w:r>
      <w:r>
        <w:rPr>
          <w:rFonts w:ascii="Times New Roman" w:hAnsi="Times New Roman" w:cs="Times New Roman"/>
          <w:noProof/>
          <w:sz w:val="24"/>
          <w:szCs w:val="24"/>
        </w:rPr>
        <w:t xml:space="preserve"> requirements of the preventive arm. The emphasis on annual fiscal adjustments has made it more difficult to differentiate between Member States that have markedly different overall fiscal positions and sustainability risks. It has also been argued that a </w:t>
      </w:r>
      <w:r>
        <w:rPr>
          <w:rFonts w:ascii="Times New Roman" w:hAnsi="Times New Roman" w:cs="Times New Roman"/>
          <w:noProof/>
          <w:sz w:val="24"/>
          <w:szCs w:val="24"/>
        </w:rPr>
        <w:t>more medium-term focus could help simplify the framework and be easier to reconcile with the stabilisation objective of fiscal policy. However, such an approach also has drawbacks. In particular, it could lead to procrastination or a lack of political owne</w:t>
      </w:r>
      <w:r>
        <w:rPr>
          <w:rFonts w:ascii="Times New Roman" w:hAnsi="Times New Roman" w:cs="Times New Roman"/>
          <w:noProof/>
          <w:sz w:val="24"/>
          <w:szCs w:val="24"/>
        </w:rPr>
        <w:t>rship. From that perspective, past performance (not least in terms of public debt accumulation) is a key indicator.</w:t>
      </w:r>
    </w:p>
    <w:p w:rsidR="00630C0A" w:rsidRDefault="00630C0A">
      <w:pPr>
        <w:spacing w:after="120"/>
        <w:jc w:val="both"/>
        <w:rPr>
          <w:noProof/>
        </w:rPr>
      </w:pPr>
    </w:p>
    <w:p w:rsidR="00630C0A" w:rsidRDefault="00961E71">
      <w:pPr>
        <w:keepNext/>
        <w:spacing w:after="120"/>
        <w:jc w:val="both"/>
        <w:rPr>
          <w:i/>
          <w:noProof/>
        </w:rPr>
      </w:pPr>
      <w:r>
        <w:rPr>
          <w:i/>
          <w:iCs/>
          <w:noProof/>
        </w:rPr>
        <w:t xml:space="preserve">National fiscal frameworks </w:t>
      </w:r>
    </w:p>
    <w:p w:rsidR="00630C0A" w:rsidRDefault="00961E71">
      <w:pPr>
        <w:jc w:val="both"/>
        <w:rPr>
          <w:noProof/>
        </w:rPr>
      </w:pPr>
      <w:r>
        <w:rPr>
          <w:b/>
          <w:bCs/>
          <w:noProof/>
        </w:rPr>
        <w:t>There are indications that the strengthened national fiscal frameworks have contributed to the objectives of EU</w:t>
      </w:r>
      <w:r>
        <w:rPr>
          <w:b/>
          <w:bCs/>
          <w:noProof/>
        </w:rPr>
        <w:t xml:space="preserve"> fiscal rules</w:t>
      </w:r>
      <w:r>
        <w:rPr>
          <w:noProof/>
        </w:rPr>
        <w:t xml:space="preserve">. While it is difficult to isolate the effects of national fiscal governance on budgetary outcomes in an unambiguous way, the fiscal frameworks have been developing in a manner that has been supportive of the objective of EU fiscal rules. The </w:t>
      </w:r>
      <w:r>
        <w:rPr>
          <w:noProof/>
        </w:rPr>
        <w:t>Commission analysis suggests that national fiscal rules, particularly when well designed, have contributed to sound budgetary policy in the Member States. Domestic rules with a strong legal basis, binding targets, independent monitoring, a well-defined cor</w:t>
      </w:r>
      <w:r>
        <w:rPr>
          <w:noProof/>
        </w:rPr>
        <w:t xml:space="preserve">rection mechanism and high media visibility appear to be effective in reducing budget deficits. A similar role, with potentially even larger effect, can be attributed to the Member States’ MTBFs developed by the Member States. </w:t>
      </w:r>
      <w:r>
        <w:rPr>
          <w:rStyle w:val="FootnoteReference"/>
          <w:noProof/>
        </w:rPr>
        <w:footnoteReference w:id="49"/>
      </w:r>
      <w:r>
        <w:rPr>
          <w:noProof/>
        </w:rPr>
        <w:t xml:space="preserve"> At the same time, practices</w:t>
      </w:r>
      <w:r>
        <w:rPr>
          <w:noProof/>
        </w:rPr>
        <w:t xml:space="preserve"> concerning the design and role of medium-term planning in national budgetary processes differ significantly across Member States, with significant impact on the effectiveness of MTBFs. The analysis also shows that national expenditure rules have had a cyc</w:t>
      </w:r>
      <w:r>
        <w:rPr>
          <w:noProof/>
        </w:rPr>
        <w:t>lical stabilisation effect, in addition to the stability-increasing effect of rules overall.</w:t>
      </w:r>
      <w:r>
        <w:rPr>
          <w:rStyle w:val="FootnoteReference"/>
          <w:noProof/>
        </w:rPr>
        <w:footnoteReference w:id="50"/>
      </w:r>
      <w:r>
        <w:rPr>
          <w:noProof/>
        </w:rPr>
        <w:t xml:space="preserve"> Furthermore, there are indications that the development of national frameworks has strengthened national ownership of fiscal discipline and that stakeholders gene</w:t>
      </w:r>
      <w:r>
        <w:rPr>
          <w:noProof/>
        </w:rPr>
        <w:t>rally consider strong national frameworks as an effective and efficient tool to promote compliance with EU fiscal rules.</w:t>
      </w:r>
    </w:p>
    <w:p w:rsidR="00630C0A" w:rsidRDefault="00961E71">
      <w:pPr>
        <w:spacing w:before="120"/>
        <w:jc w:val="both"/>
        <w:rPr>
          <w:noProof/>
        </w:rPr>
      </w:pPr>
      <w:r>
        <w:rPr>
          <w:b/>
          <w:bCs/>
          <w:noProof/>
        </w:rPr>
        <w:t>The strengthening of national fiscal frameworks has been a positive development that should be seen in a broader context</w:t>
      </w:r>
      <w:r>
        <w:rPr>
          <w:noProof/>
        </w:rPr>
        <w:t>. That strength</w:t>
      </w:r>
      <w:r>
        <w:rPr>
          <w:noProof/>
        </w:rPr>
        <w:t>ening has supported Member States’ domestic institutional frameworks, thus helping to improve the overall quality of public administrations. In particular, the establishment of independent fiscal institutions in all but one Member State should be viewed as</w:t>
      </w:r>
      <w:r>
        <w:rPr>
          <w:noProof/>
        </w:rPr>
        <w:t xml:space="preserve"> a key institutional development. Indeed, while they differ in terms of scope, competences and experience, together they are playing an increasingly important role in fiscal discussions at national and EU levels. It is also worth noting that the EU’s effor</w:t>
      </w:r>
      <w:r>
        <w:rPr>
          <w:noProof/>
        </w:rPr>
        <w:t>ts to create robust national fiscal frameworks have been part of a worldwide trend, with wide-ranging reforms in this area also taking place outside the EU.</w:t>
      </w:r>
    </w:p>
    <w:p w:rsidR="00630C0A" w:rsidRDefault="00961E71">
      <w:pPr>
        <w:spacing w:before="120"/>
        <w:jc w:val="both"/>
        <w:rPr>
          <w:noProof/>
        </w:rPr>
      </w:pPr>
      <w:r>
        <w:rPr>
          <w:b/>
          <w:bCs/>
          <w:noProof/>
        </w:rPr>
        <w:t xml:space="preserve">Nevertheless, there remains scope to further improve national fiscal frameworks. </w:t>
      </w:r>
      <w:r>
        <w:rPr>
          <w:noProof/>
        </w:rPr>
        <w:t>The state of devel</w:t>
      </w:r>
      <w:r>
        <w:rPr>
          <w:noProof/>
        </w:rPr>
        <w:t>opment of fiscal frameworks differs considerably</w:t>
      </w:r>
      <w:r>
        <w:rPr>
          <w:b/>
          <w:bCs/>
          <w:noProof/>
        </w:rPr>
        <w:t xml:space="preserve"> </w:t>
      </w:r>
      <w:r>
        <w:rPr>
          <w:noProof/>
        </w:rPr>
        <w:t xml:space="preserve">across Member States. This is linked, on the one hand, to different constitutional settings, preferences and experience among Member States and, on the other, to the rather general nature of EU requirements </w:t>
      </w:r>
      <w:r>
        <w:rPr>
          <w:noProof/>
        </w:rPr>
        <w:t xml:space="preserve">for most of the components of fiscal frameworks (which leaves ample room for a variety of approaches at country level). Likewise, the implementation of national provisions, in particular compliance with national fiscal rules, differs across Member States. </w:t>
      </w:r>
      <w:r>
        <w:rPr>
          <w:noProof/>
        </w:rPr>
        <w:t>In this context, the European Court of Auditors has recommended strengthening EU requirements for national fiscal frameworks and improving their monitoring.</w:t>
      </w:r>
      <w:r>
        <w:rPr>
          <w:rStyle w:val="FootnoteReference"/>
          <w:noProof/>
        </w:rPr>
        <w:footnoteReference w:id="51"/>
      </w:r>
      <w:r>
        <w:rPr>
          <w:noProof/>
          <w:vertAlign w:val="superscript"/>
        </w:rPr>
        <w:t>,</w:t>
      </w:r>
      <w:r>
        <w:rPr>
          <w:rStyle w:val="FootnoteReference"/>
          <w:noProof/>
        </w:rPr>
        <w:footnoteReference w:id="52"/>
      </w:r>
      <w:r>
        <w:rPr>
          <w:noProof/>
        </w:rPr>
        <w:t xml:space="preserve">At the same time, as illustrated by experience of the Fiscal Compact, it is important to bear in </w:t>
      </w:r>
      <w:r>
        <w:rPr>
          <w:noProof/>
        </w:rPr>
        <w:t>mind the risk of undermining national ownership and effectiveness if requirements are too specific or do not take national specificities sufficiently into account. Furthermore, while the design of fiscal frameworks matters for their effectiveness, steadfas</w:t>
      </w:r>
      <w:r>
        <w:rPr>
          <w:noProof/>
        </w:rPr>
        <w:t>t implementation is key. The promotion of good budgetary practices, such as 'green budgeting', could also help to improve the quality of public finances.</w:t>
      </w:r>
    </w:p>
    <w:p w:rsidR="00630C0A" w:rsidRDefault="00961E71">
      <w:pPr>
        <w:spacing w:before="120"/>
        <w:jc w:val="both"/>
        <w:rPr>
          <w:noProof/>
        </w:rPr>
      </w:pPr>
      <w:r>
        <w:rPr>
          <w:b/>
          <w:noProof/>
        </w:rPr>
        <w:t xml:space="preserve">The </w:t>
      </w:r>
      <w:r>
        <w:rPr>
          <w:b/>
          <w:bCs/>
          <w:noProof/>
        </w:rPr>
        <w:t>interaction</w:t>
      </w:r>
      <w:r>
        <w:rPr>
          <w:b/>
          <w:noProof/>
        </w:rPr>
        <w:t xml:space="preserve"> between the national fiscal frameworks and the EU fiscal rules is key for the effectiv</w:t>
      </w:r>
      <w:r>
        <w:rPr>
          <w:b/>
          <w:noProof/>
        </w:rPr>
        <w:t>eness of both</w:t>
      </w:r>
      <w:r>
        <w:rPr>
          <w:noProof/>
        </w:rPr>
        <w:t>. As the granularity of EU fiscal rules has increased in parallel with strengthened requirements for national frameworks, there has been a growing tension between ensuring national ownership and maintaining horizontal consistency. This has bee</w:t>
      </w:r>
      <w:r>
        <w:rPr>
          <w:noProof/>
        </w:rPr>
        <w:t>n more apparent in the preventive arm of the SGP, as the Fiscal Compact led most Member States to introduce in their national law substantive rules similar to those of the preventive arm. Better compliance with national fiscal rules and stronger national f</w:t>
      </w:r>
      <w:r>
        <w:rPr>
          <w:noProof/>
        </w:rPr>
        <w:t>iscal frameworks overall are a means of reducing the intensity of fiscal surveillance at EU level, strengthen national ownership of fiscal prudence and improve compliance with EU rules as well. Exchanges of best practices among Member States in terms of th</w:t>
      </w:r>
      <w:r>
        <w:rPr>
          <w:noProof/>
        </w:rPr>
        <w:t xml:space="preserve">e design and implementation of their frameworks, and cooperation between the IFIs and the Commission on the design and implementation of the framework, help to improve the interaction of national frameworks with EU fiscal requirements. </w:t>
      </w:r>
    </w:p>
    <w:p w:rsidR="00630C0A" w:rsidRDefault="00961E71">
      <w:pPr>
        <w:pStyle w:val="Heading2"/>
        <w:rPr>
          <w:noProof/>
        </w:rPr>
      </w:pPr>
      <w:bookmarkStart w:id="30" w:name="_Toc31115862"/>
      <w:r>
        <w:rPr>
          <w:noProof/>
        </w:rPr>
        <w:t>2.5 Conclusions</w:t>
      </w:r>
      <w:bookmarkEnd w:id="30"/>
    </w:p>
    <w:p w:rsidR="00630C0A" w:rsidRDefault="00961E71">
      <w:pPr>
        <w:spacing w:after="120"/>
        <w:jc w:val="both"/>
        <w:rPr>
          <w:rFonts w:eastAsia="Times New Roman"/>
          <w:noProof/>
        </w:rPr>
      </w:pPr>
      <w:r>
        <w:rPr>
          <w:rFonts w:eastAsia="Times New Roman"/>
          <w:b/>
          <w:bCs/>
          <w:noProof/>
        </w:rPr>
        <w:t>The</w:t>
      </w:r>
      <w:r>
        <w:rPr>
          <w:rFonts w:eastAsia="Times New Roman"/>
          <w:b/>
          <w:bCs/>
          <w:noProof/>
        </w:rPr>
        <w:t xml:space="preserve"> reformed EU fiscal framework has helped to make public finances in the EU more sound. </w:t>
      </w:r>
      <w:r>
        <w:rPr>
          <w:rFonts w:eastAsia="Times New Roman"/>
          <w:noProof/>
        </w:rPr>
        <w:t>Public deficits and debt levels have been falling, and all Member States have exited the excessive deficit procedure. 13 Member States have reached their medium-term bud</w:t>
      </w:r>
      <w:r>
        <w:rPr>
          <w:rFonts w:eastAsia="Times New Roman"/>
          <w:noProof/>
        </w:rPr>
        <w:t>getary objectives, providing them with fiscal buffers for the next downturn. The process for draft budgetary plans has proved useful, allowing for an early identification of fiscal risks and a degree of ex ante coordination. The reinforcement of national f</w:t>
      </w:r>
      <w:r>
        <w:rPr>
          <w:rFonts w:eastAsia="Times New Roman"/>
          <w:noProof/>
        </w:rPr>
        <w:t>iscal frameworks has contributed to better outcomes.</w:t>
      </w:r>
    </w:p>
    <w:p w:rsidR="00630C0A" w:rsidRDefault="00961E71">
      <w:pPr>
        <w:spacing w:after="120"/>
        <w:jc w:val="both"/>
        <w:rPr>
          <w:rFonts w:eastAsia="Times New Roman"/>
          <w:noProof/>
        </w:rPr>
      </w:pPr>
      <w:r>
        <w:rPr>
          <w:b/>
          <w:bCs/>
          <w:noProof/>
        </w:rPr>
        <w:t xml:space="preserve">At the same time, the reformed Pact has not </w:t>
      </w:r>
      <w:r>
        <w:rPr>
          <w:b/>
          <w:noProof/>
        </w:rPr>
        <w:t>led to sufficient fiscal adjustment in highly indebted Member States in good times.</w:t>
      </w:r>
      <w:r>
        <w:rPr>
          <w:rFonts w:eastAsia="Times New Roman"/>
          <w:noProof/>
        </w:rPr>
        <w:t xml:space="preserve"> Despite the return of economic growth, public debt levels remain high in se</w:t>
      </w:r>
      <w:r>
        <w:rPr>
          <w:rFonts w:eastAsia="Times New Roman"/>
          <w:noProof/>
        </w:rPr>
        <w:t>veral Member States, which are also far from their medium-term budgetary objectives. This implies that those Member States are more exposed to the risk of being forced to adjust in bad times in a pro-cyclical manner. Fiscal policy at Member State level has</w:t>
      </w:r>
      <w:r>
        <w:rPr>
          <w:rFonts w:eastAsia="Times New Roman"/>
          <w:noProof/>
        </w:rPr>
        <w:t xml:space="preserve"> frequently been pro-cyclical, both in good and in bad times. In addition, the ability to deliver an appropriate fiscal stance for the euro area as a whole, with the appropriate differentiated fiscal effort among Member States, is hampered by the lack of p</w:t>
      </w:r>
      <w:r>
        <w:rPr>
          <w:rFonts w:eastAsia="Times New Roman"/>
          <w:noProof/>
        </w:rPr>
        <w:t>rudent policies in good times. It remains inherently constrained as long as it rests exclusively on coordination of national fiscal policies in the absence of a central stabilisation capacity.</w:t>
      </w:r>
    </w:p>
    <w:p w:rsidR="00630C0A" w:rsidRDefault="00961E71">
      <w:pPr>
        <w:spacing w:after="120"/>
        <w:jc w:val="both"/>
        <w:rPr>
          <w:noProof/>
        </w:rPr>
      </w:pPr>
      <w:r>
        <w:rPr>
          <w:rFonts w:eastAsia="Times New Roman"/>
          <w:b/>
          <w:bCs/>
          <w:noProof/>
        </w:rPr>
        <w:t>The assessment of fiscal performance above points to a number o</w:t>
      </w:r>
      <w:r>
        <w:rPr>
          <w:rFonts w:eastAsia="Times New Roman"/>
          <w:b/>
          <w:bCs/>
          <w:noProof/>
        </w:rPr>
        <w:t>f shortcomings in the EU fiscal framework</w:t>
      </w:r>
      <w:r>
        <w:rPr>
          <w:b/>
          <w:bCs/>
          <w:noProof/>
        </w:rPr>
        <w:t>.</w:t>
      </w:r>
      <w:r>
        <w:rPr>
          <w:noProof/>
        </w:rPr>
        <w:t xml:space="preserve"> The framework has become increasingly complex, reducing predictability and undermining political ownership among Member States. It consists of multiple rules, associated with different indicators for measuring com</w:t>
      </w:r>
      <w:r>
        <w:rPr>
          <w:noProof/>
        </w:rPr>
        <w:t>pliance, and contains various clauses allowing for deviations from the requirements, each of them with their own eligibility criteria. It does not sufficiently differentiate between Member States that have markedly different fiscal positions and debt susta</w:t>
      </w:r>
      <w:r>
        <w:rPr>
          <w:noProof/>
        </w:rPr>
        <w:t>inability risks, diluting the focus away from the prevention and correction of gross policy errors. It has not fostered an improvement in the quality of public finances, nor has it been able to support investment despite the limited flexibility that was in</w:t>
      </w:r>
      <w:r>
        <w:rPr>
          <w:noProof/>
        </w:rPr>
        <w:t xml:space="preserve">troduced to that effect, although it cannot be concluded that it has hampered investment. The interplay between EU and national fiscal frameworks could be improved to ensure that they work better in tandem. </w:t>
      </w:r>
    </w:p>
    <w:p w:rsidR="00630C0A" w:rsidRDefault="00961E71">
      <w:pPr>
        <w:spacing w:after="120"/>
        <w:jc w:val="both"/>
        <w:rPr>
          <w:b/>
          <w:bCs/>
          <w:noProof/>
        </w:rPr>
      </w:pPr>
      <w:r>
        <w:rPr>
          <w:b/>
          <w:noProof/>
        </w:rPr>
        <w:t>An effective framework needs to ensure the susta</w:t>
      </w:r>
      <w:r>
        <w:rPr>
          <w:b/>
          <w:noProof/>
        </w:rPr>
        <w:t xml:space="preserve">inability of public debt where it is most necessary, while allowing for macro-economic stabilisation in both good and bad times. </w:t>
      </w:r>
      <w:r>
        <w:rPr>
          <w:noProof/>
        </w:rPr>
        <w:t>Fiscal policy guidance supports Member States in ensuring long-term sustainability of public finances and pursuing counter-cycl</w:t>
      </w:r>
      <w:r>
        <w:rPr>
          <w:noProof/>
        </w:rPr>
        <w:t>ical fiscal policies to contribute to a better macroeconomic stabilisation in both good and bad times. Sufficient fiscal effort and debt reduction in good economic times helps to create the space to use fiscal policy in bad times. Medium-term fiscal policy</w:t>
      </w:r>
      <w:r>
        <w:rPr>
          <w:noProof/>
        </w:rPr>
        <w:t xml:space="preserve"> planning and an appropriate policy anchor help in that regard. It needs to be discussed what the appropriate role of the EU surveillance framework is in helping to protect public investment in consolidation periods, promoting a growth-friendly composition</w:t>
      </w:r>
      <w:r>
        <w:rPr>
          <w:noProof/>
        </w:rPr>
        <w:t xml:space="preserve"> of public finances and sustaining adequate levels of investment. In particular, it raises the question of the extent to which the fiscal framework could provide flexibility for the public investments needed to meet the broader ambition for a green and dig</w:t>
      </w:r>
      <w:r>
        <w:rPr>
          <w:noProof/>
        </w:rPr>
        <w:t>ital transformation of Europe, in line with the objective of the European Green Deal. Lastly, the deployment of fiscal surveillance instruments could be considered simultaneously with that of other instruments, such as the macro-economic imbalances procedu</w:t>
      </w:r>
      <w:r>
        <w:rPr>
          <w:noProof/>
        </w:rPr>
        <w:t>re, to address low potential growth.</w:t>
      </w:r>
      <w:r>
        <w:rPr>
          <w:b/>
          <w:noProof/>
        </w:rPr>
        <w:t xml:space="preserve"> </w:t>
      </w:r>
    </w:p>
    <w:p w:rsidR="00630C0A" w:rsidRDefault="00961E71">
      <w:pPr>
        <w:spacing w:after="120"/>
        <w:jc w:val="both"/>
        <w:rPr>
          <w:noProof/>
        </w:rPr>
      </w:pPr>
      <w:r>
        <w:rPr>
          <w:b/>
          <w:noProof/>
        </w:rPr>
        <w:t xml:space="preserve">A simpler framework and implementation could help to increase ownership, improve communication, and reduce the political costs of enforcement and compliance. </w:t>
      </w:r>
      <w:r>
        <w:rPr>
          <w:noProof/>
        </w:rPr>
        <w:t>Whereas the current fiscal surveillance framework has includ</w:t>
      </w:r>
      <w:r>
        <w:rPr>
          <w:noProof/>
        </w:rPr>
        <w:t>ed elements of flexibility and discretion through a complex set of provisions adopted against a background of lack of trust among key stakeholders, an effective application of economic judgement within a rules-based framework needs to be done in a manner w</w:t>
      </w:r>
      <w:r>
        <w:rPr>
          <w:noProof/>
        </w:rPr>
        <w:t>hich is objective and transparent. This includes, for example, a need to consider whether a clear focus on gross policy errors as set out in the Treaty, based on clearly defined objectives and operational policy targets, could contribute to an effective im</w:t>
      </w:r>
      <w:r>
        <w:rPr>
          <w:noProof/>
        </w:rPr>
        <w:t xml:space="preserve">plementation of the fiscal framework. Indeed, surveillance should </w:t>
      </w:r>
      <w:r>
        <w:rPr>
          <w:noProof/>
          <w:lang w:eastAsia="en-US"/>
        </w:rPr>
        <w:t xml:space="preserve">be commensurate to </w:t>
      </w:r>
      <w:r>
        <w:rPr>
          <w:noProof/>
        </w:rPr>
        <w:t xml:space="preserve">the </w:t>
      </w:r>
      <w:r>
        <w:rPr>
          <w:noProof/>
          <w:lang w:eastAsia="en-US"/>
        </w:rPr>
        <w:t xml:space="preserve">gravity of the situation, with a stronger </w:t>
      </w:r>
      <w:r>
        <w:rPr>
          <w:noProof/>
        </w:rPr>
        <w:t>focus on the most pressing cases</w:t>
      </w:r>
      <w:r>
        <w:rPr>
          <w:noProof/>
          <w:lang w:eastAsia="en-US"/>
        </w:rPr>
        <w:t xml:space="preserve"> and</w:t>
      </w:r>
      <w:r>
        <w:rPr>
          <w:noProof/>
        </w:rPr>
        <w:t xml:space="preserve"> less-intrusive procedures where overall risks are low. Therefore, it could also be consi</w:t>
      </w:r>
      <w:r>
        <w:rPr>
          <w:noProof/>
        </w:rPr>
        <w:t xml:space="preserve">dered whether the </w:t>
      </w:r>
      <w:r>
        <w:rPr>
          <w:noProof/>
          <w:lang w:eastAsia="en-US"/>
        </w:rPr>
        <w:t>surveillance framework</w:t>
      </w:r>
      <w:r>
        <w:rPr>
          <w:noProof/>
        </w:rPr>
        <w:t xml:space="preserve">, in order to be </w:t>
      </w:r>
      <w:r>
        <w:rPr>
          <w:noProof/>
          <w:lang w:eastAsia="en-US"/>
        </w:rPr>
        <w:t>effective, should focus more on ‘</w:t>
      </w:r>
      <w:r>
        <w:rPr>
          <w:noProof/>
        </w:rPr>
        <w:t>identifying</w:t>
      </w:r>
      <w:r>
        <w:rPr>
          <w:noProof/>
          <w:lang w:eastAsia="en-US"/>
        </w:rPr>
        <w:t xml:space="preserve"> </w:t>
      </w:r>
      <w:r>
        <w:rPr>
          <w:noProof/>
        </w:rPr>
        <w:t>gross errors</w:t>
      </w:r>
      <w:r>
        <w:rPr>
          <w:noProof/>
          <w:lang w:eastAsia="en-US"/>
        </w:rPr>
        <w:t>’</w:t>
      </w:r>
      <w:r>
        <w:rPr>
          <w:rStyle w:val="FootnoteReference"/>
          <w:noProof/>
          <w:lang w:eastAsia="en-US"/>
        </w:rPr>
        <w:footnoteReference w:id="53"/>
      </w:r>
      <w:r>
        <w:rPr>
          <w:noProof/>
          <w:lang w:eastAsia="en-US"/>
        </w:rPr>
        <w:t>, i.e. on Member States whose policy strategy puts public debt on a potentially unsustainable trajectory. Lastly, i</w:t>
      </w:r>
      <w:r>
        <w:rPr>
          <w:noProof/>
        </w:rPr>
        <w:t>t has to be considered wh</w:t>
      </w:r>
      <w:r>
        <w:rPr>
          <w:noProof/>
        </w:rPr>
        <w:t>ether a stronger role for national fiscal frameworks, in particular independent fiscal institutions, would contribute to better compliance with EU fiscal rules and improve ownership of the framework at the same time.</w:t>
      </w:r>
    </w:p>
    <w:p w:rsidR="00630C0A" w:rsidRDefault="00630C0A">
      <w:pPr>
        <w:spacing w:after="200" w:line="276" w:lineRule="auto"/>
        <w:rPr>
          <w:noProof/>
        </w:rPr>
      </w:pPr>
    </w:p>
    <w:p w:rsidR="00630C0A" w:rsidRDefault="00961E71">
      <w:pPr>
        <w:pStyle w:val="Heading1"/>
        <w:numPr>
          <w:ilvl w:val="0"/>
          <w:numId w:val="59"/>
        </w:numPr>
        <w:rPr>
          <w:noProof/>
        </w:rPr>
      </w:pPr>
      <w:bookmarkStart w:id="31" w:name="_Toc27126029"/>
      <w:bookmarkStart w:id="32" w:name="_Toc27127241"/>
      <w:bookmarkStart w:id="33" w:name="_Toc27132104"/>
      <w:bookmarkStart w:id="34" w:name="_Toc27145689"/>
      <w:bookmarkStart w:id="35" w:name="_Toc27146163"/>
      <w:bookmarkStart w:id="36" w:name="_Toc27156962"/>
      <w:bookmarkStart w:id="37" w:name="_Toc27158124"/>
      <w:bookmarkStart w:id="38" w:name="_Toc31115863"/>
      <w:r>
        <w:rPr>
          <w:noProof/>
        </w:rPr>
        <w:t>Macroeconomic Imbalance Procedure</w:t>
      </w:r>
      <w:bookmarkStart w:id="39" w:name="_Toc27122881"/>
      <w:bookmarkStart w:id="40" w:name="_Toc27123357"/>
      <w:bookmarkStart w:id="41" w:name="_Toc27124739"/>
      <w:bookmarkStart w:id="42" w:name="_Toc27125004"/>
      <w:bookmarkStart w:id="43" w:name="_Toc27125134"/>
      <w:bookmarkStart w:id="44" w:name="_Toc27125693"/>
      <w:bookmarkStart w:id="45" w:name="_Toc27126030"/>
      <w:bookmarkStart w:id="46" w:name="_Toc27126269"/>
      <w:bookmarkStart w:id="47" w:name="_Toc27126858"/>
      <w:bookmarkStart w:id="48" w:name="_Toc27126982"/>
      <w:bookmarkStart w:id="49" w:name="_Toc27127209"/>
      <w:bookmarkStart w:id="50" w:name="_Toc27127242"/>
      <w:bookmarkStart w:id="51" w:name="_Toc27127273"/>
      <w:bookmarkStart w:id="52" w:name="_Toc27132105"/>
      <w:bookmarkStart w:id="53" w:name="_Toc27133930"/>
      <w:bookmarkStart w:id="54" w:name="_Toc27139611"/>
      <w:bookmarkStart w:id="55" w:name="_Toc27145690"/>
      <w:bookmarkStart w:id="56" w:name="_Toc27146164"/>
      <w:bookmarkStart w:id="57" w:name="_Toc27146400"/>
      <w:bookmarkStart w:id="58" w:name="_Toc27156963"/>
      <w:bookmarkStart w:id="59" w:name="_Toc27157888"/>
      <w:bookmarkStart w:id="60" w:name="_Toc27158125"/>
      <w:bookmarkStart w:id="61" w:name="_Toc27158796"/>
      <w:bookmarkStart w:id="62" w:name="_Toc11351323"/>
      <w:bookmarkEnd w:id="31"/>
      <w:bookmarkEnd w:id="32"/>
      <w:bookmarkEnd w:id="33"/>
      <w:bookmarkEnd w:id="34"/>
      <w:bookmarkEnd w:id="35"/>
      <w:bookmarkEnd w:id="36"/>
      <w:bookmarkEnd w:id="37"/>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38"/>
    </w:p>
    <w:p w:rsidR="00630C0A" w:rsidRDefault="00961E71">
      <w:pPr>
        <w:pStyle w:val="Heading2"/>
        <w:rPr>
          <w:noProof/>
        </w:rPr>
      </w:pPr>
      <w:bookmarkStart w:id="63" w:name="_Toc27126031"/>
      <w:bookmarkStart w:id="64" w:name="_Toc27127243"/>
      <w:bookmarkStart w:id="65" w:name="_Toc27132106"/>
      <w:bookmarkStart w:id="66" w:name="_Toc27145691"/>
      <w:bookmarkStart w:id="67" w:name="_Toc27146165"/>
      <w:bookmarkStart w:id="68" w:name="_Toc27158126"/>
      <w:bookmarkStart w:id="69" w:name="_Toc27156964"/>
      <w:bookmarkStart w:id="70" w:name="_Toc31115864"/>
      <w:bookmarkEnd w:id="62"/>
      <w:r>
        <w:rPr>
          <w:noProof/>
        </w:rPr>
        <w:t xml:space="preserve">3.1 </w:t>
      </w:r>
      <w:r>
        <w:rPr>
          <w:noProof/>
        </w:rPr>
        <w:t>Objectives</w:t>
      </w:r>
      <w:bookmarkEnd w:id="63"/>
      <w:bookmarkEnd w:id="64"/>
      <w:bookmarkEnd w:id="65"/>
      <w:bookmarkEnd w:id="66"/>
      <w:bookmarkEnd w:id="67"/>
      <w:bookmarkEnd w:id="68"/>
      <w:bookmarkEnd w:id="69"/>
      <w:r>
        <w:rPr>
          <w:noProof/>
        </w:rPr>
        <w:t xml:space="preserve"> of the Macroeconomic Imbalance Procedure</w:t>
      </w:r>
      <w:bookmarkEnd w:id="70"/>
    </w:p>
    <w:p w:rsidR="00630C0A" w:rsidRDefault="00961E71">
      <w:pPr>
        <w:spacing w:after="120"/>
        <w:jc w:val="both"/>
        <w:rPr>
          <w:noProof/>
        </w:rPr>
      </w:pPr>
      <w:r>
        <w:rPr>
          <w:b/>
          <w:bCs/>
          <w:noProof/>
        </w:rPr>
        <w:t>The Macroeconomic Imbalance Procedure (MIP) was established after the economic and financial crisis with the aim of supporting macro-financial stability</w:t>
      </w:r>
      <w:r>
        <w:rPr>
          <w:noProof/>
        </w:rPr>
        <w:t xml:space="preserve">. The 2008-2009 crisis was accompanied by a general </w:t>
      </w:r>
      <w:r>
        <w:rPr>
          <w:noProof/>
        </w:rPr>
        <w:t>reappraisal of risks in financial markets and acted as a trigger for sudden stops and reversals in current account financing and for the bursting of asset bubbles. Macro-financial and macro-structural aspects driving the accumulation of both external (e.g.</w:t>
      </w:r>
      <w:r>
        <w:rPr>
          <w:noProof/>
        </w:rPr>
        <w:t>, large current account imbalances) and internal imbalances (e.g., excess debt accumulation or the building up of housing bubbles) revealed themselves as key factors in triggering balance of payment crises and debt crises, which spilled over to other count</w:t>
      </w:r>
      <w:r>
        <w:rPr>
          <w:noProof/>
        </w:rPr>
        <w:t>ries and in some cases required financial assistance to Member States. Therefore, the MIP was introduced with the aim to identify, prevent and address the emergence of potentially harmful macroeconomic imbalances that could adversely affect economic stabil</w:t>
      </w:r>
      <w:r>
        <w:rPr>
          <w:noProof/>
        </w:rPr>
        <w:t>ity in a particular Member State, the euro area, or the Union as a whole. Regulation No 1176/2011 therefore considers that, when assessing macroeconomic imbalances, account should be taken of their severity and their potential negative economic and financi</w:t>
      </w:r>
      <w:r>
        <w:rPr>
          <w:noProof/>
        </w:rPr>
        <w:t>al spillover effects which aggravate the vulnerability of the Union economy and are a threat to the smooth functioning of the economic and monetary union. In particular, given vulnerabilities and the magnitude of the adjustment required, the need for polic</w:t>
      </w:r>
      <w:r>
        <w:rPr>
          <w:noProof/>
        </w:rPr>
        <w:t>y action was mentioned to be particularly pressing in Member States showing persistently large current-account deficits and competitiveness losses. Furthermore, recital 17 to Regulation No 1176/2011 notes that, in Member States that accumulate large curren</w:t>
      </w:r>
      <w:r>
        <w:rPr>
          <w:noProof/>
        </w:rPr>
        <w:t>t account surpluses, policies should aim to identify and implement measures that help strengthen their domestic demand and growth potential. With a view to provide an integrated response to economic and social challenges, the MIP was integrated into the Eu</w:t>
      </w:r>
      <w:r>
        <w:rPr>
          <w:noProof/>
        </w:rPr>
        <w:t xml:space="preserve">ropean Semester. </w:t>
      </w:r>
    </w:p>
    <w:p w:rsidR="00630C0A" w:rsidRDefault="00961E71">
      <w:pPr>
        <w:spacing w:after="120"/>
        <w:jc w:val="both"/>
        <w:rPr>
          <w:b/>
          <w:bCs/>
          <w:noProof/>
        </w:rPr>
      </w:pPr>
      <w:r>
        <w:rPr>
          <w:b/>
          <w:bCs/>
          <w:noProof/>
        </w:rPr>
        <w:t xml:space="preserve">The MIP legal framework consists of Regulation No 1176/2011 on the prevention and correction of macroeconomic imbalances, and Regulation No 1174/2011 on enforcement measures to correct excessive macroeconomic imbalances. </w:t>
      </w:r>
      <w:r>
        <w:rPr>
          <w:noProof/>
        </w:rPr>
        <w:t>Regulation No 117</w:t>
      </w:r>
      <w:r>
        <w:rPr>
          <w:noProof/>
        </w:rPr>
        <w:t>6/2011 outlines the procedure, while Regulation No 1174/2011 details an enforcement mechanism, including pecuniary sanctions for euro area Member States. The legal basis of Regulation No 1176/2011 is the Treaty article dealing with economic policy coordina</w:t>
      </w:r>
      <w:r>
        <w:rPr>
          <w:noProof/>
        </w:rPr>
        <w:t xml:space="preserve">tion (Article 121 of the Treaty on the Functioning of the European Union), while the legal basis of Regulation No 1174/2011 is Article 136 TFEU, which allows for economic policy measures specific to the euro area. </w:t>
      </w:r>
    </w:p>
    <w:p w:rsidR="00630C0A" w:rsidRDefault="00961E71">
      <w:pPr>
        <w:spacing w:after="120"/>
        <w:jc w:val="both"/>
        <w:rPr>
          <w:noProof/>
        </w:rPr>
      </w:pPr>
      <w:r>
        <w:rPr>
          <w:b/>
          <w:bCs/>
          <w:noProof/>
        </w:rPr>
        <w:t xml:space="preserve">Regulation (EU) No 1176/2011 sets a </w:t>
      </w:r>
      <w:r>
        <w:rPr>
          <w:b/>
          <w:bCs/>
          <w:noProof/>
        </w:rPr>
        <w:t>number of steps to identify imbalances in Member States, to recommend policy action, and to ensure adequate monitoring and enforcement.</w:t>
      </w:r>
      <w:r>
        <w:rPr>
          <w:noProof/>
        </w:rPr>
        <w:t xml:space="preserve"> All Member States</w:t>
      </w:r>
      <w:r>
        <w:rPr>
          <w:noProof/>
          <w:vertAlign w:val="superscript"/>
        </w:rPr>
        <w:footnoteReference w:id="54"/>
      </w:r>
      <w:r>
        <w:rPr>
          <w:noProof/>
        </w:rPr>
        <w:t xml:space="preserve"> are screened by means of a set of indicators known as the MIP scoreboard. The Commission’s economic r</w:t>
      </w:r>
      <w:r>
        <w:rPr>
          <w:noProof/>
        </w:rPr>
        <w:t>eading of the scoreboard is complemented by additional relevant information and published in an annual Alert Mechanism Report. The Alert Mechanism Report indicates the Member States for which the Commission will carry out in-depth reviews on the basis of p</w:t>
      </w:r>
      <w:r>
        <w:rPr>
          <w:noProof/>
        </w:rPr>
        <w:t>rima-facie evidence suggesting the possible presence of imbalances. Based on those in-depths reviews, the Commission adopts conclusions on the existence and severity of imbalances. A difference is made between “imbalances” and “excessive imbalances” depend</w:t>
      </w:r>
      <w:r>
        <w:rPr>
          <w:noProof/>
        </w:rPr>
        <w:t>ing on the severity of the imbalances, both implying possible recommendations by the Council upon a Commission recommendation. Surveillance of Member States identified with imbalances takes place in the framework of the MIP preventive action. The identific</w:t>
      </w:r>
      <w:r>
        <w:rPr>
          <w:noProof/>
        </w:rPr>
        <w:t>ation of excessive imbalances implies a stronger surveillance process, possibly leading to corrective action under the MIP – the Excessive Imbalance Procedure (EIP) – which also can give rise to sanctions for the euro area Member States. The EIP has not be</w:t>
      </w:r>
      <w:r>
        <w:rPr>
          <w:noProof/>
        </w:rPr>
        <w:t>en launched to date.</w:t>
      </w:r>
    </w:p>
    <w:p w:rsidR="00630C0A" w:rsidRDefault="00961E71">
      <w:pPr>
        <w:spacing w:after="120"/>
        <w:jc w:val="both"/>
        <w:rPr>
          <w:noProof/>
        </w:rPr>
      </w:pPr>
      <w:r>
        <w:rPr>
          <w:b/>
          <w:bCs/>
          <w:noProof/>
        </w:rPr>
        <w:t>The legal framework has provided the Commission and the Council a degree of discretion.</w:t>
      </w:r>
      <w:r>
        <w:rPr>
          <w:noProof/>
        </w:rPr>
        <w:t xml:space="preserve"> While being relatively detailed on the steps of the annual cycle, Regulation No 1176/2011 does not specify which actions are to be taken in each co</w:t>
      </w:r>
      <w:r>
        <w:rPr>
          <w:noProof/>
        </w:rPr>
        <w:t>ntingency. This reflects the challenge of legislating on a broad, complex, evolving, and multi-faceted matter such as macroeconomic imbalances. Against this background, the Commission has exercised its discretion to apply the MIP in light of accumulated ex</w:t>
      </w:r>
      <w:r>
        <w:rPr>
          <w:noProof/>
        </w:rPr>
        <w:t>perience and in response to evolving economic conditions and thus the framework has developed over time. While the format of the surveillance process stabilised however over the first years of its application, the analytical framework has been gradually en</w:t>
      </w:r>
      <w:r>
        <w:rPr>
          <w:noProof/>
        </w:rPr>
        <w:t>riched. The gradual development of the approach to MIP surveillance is illustrated in the MIP Compendium.</w:t>
      </w:r>
      <w:r>
        <w:rPr>
          <w:noProof/>
          <w:vertAlign w:val="superscript"/>
        </w:rPr>
        <w:footnoteReference w:id="55"/>
      </w:r>
      <w:r>
        <w:rPr>
          <w:noProof/>
        </w:rPr>
        <w:t xml:space="preserve"> In 2018, following its audit on the implementation of the MIP, the European Court of Auditors addressed recommendations to the Commission. The Commis</w:t>
      </w:r>
      <w:r>
        <w:rPr>
          <w:noProof/>
        </w:rPr>
        <w:t>sion accepted a number of those recommendations and proposed to take them into account in this review.</w:t>
      </w:r>
      <w:r>
        <w:rPr>
          <w:rStyle w:val="FootnoteReference"/>
          <w:noProof/>
        </w:rPr>
        <w:footnoteReference w:id="56"/>
      </w:r>
      <w:r>
        <w:rPr>
          <w:noProof/>
        </w:rPr>
        <w:t xml:space="preserve"> </w:t>
      </w:r>
    </w:p>
    <w:p w:rsidR="00630C0A" w:rsidRDefault="00961E71">
      <w:pPr>
        <w:jc w:val="both"/>
        <w:rPr>
          <w:noProof/>
          <w:lang w:eastAsia="en-US"/>
        </w:rPr>
      </w:pPr>
      <w:r>
        <w:rPr>
          <w:noProof/>
        </w:rPr>
        <w:t>The remainder of this chapter is organised as follows. The next section reports on the actual application of the main steps of the procedure. Section 3</w:t>
      </w:r>
      <w:r>
        <w:rPr>
          <w:noProof/>
        </w:rPr>
        <w:t xml:space="preserve">.3 focuses on the actual effectiveness of the MIP in terms of direct impact on policies and in supporting the broader policy context, and looks into relevant economic developments. Section 3.4 outlines the main achievements and challenges with the current </w:t>
      </w:r>
      <w:r>
        <w:rPr>
          <w:noProof/>
        </w:rPr>
        <w:t>framework.</w:t>
      </w:r>
    </w:p>
    <w:p w:rsidR="00630C0A" w:rsidRDefault="00630C0A">
      <w:pPr>
        <w:jc w:val="both"/>
        <w:rPr>
          <w:noProof/>
          <w:lang w:eastAsia="en-US"/>
        </w:rPr>
      </w:pPr>
    </w:p>
    <w:p w:rsidR="00630C0A" w:rsidRDefault="00961E71">
      <w:pPr>
        <w:pStyle w:val="Heading2"/>
        <w:rPr>
          <w:noProof/>
        </w:rPr>
      </w:pPr>
      <w:bookmarkStart w:id="71" w:name="_Toc8414009"/>
      <w:bookmarkStart w:id="72" w:name="_Toc7774455"/>
      <w:bookmarkStart w:id="73" w:name="_Toc27156965"/>
      <w:bookmarkStart w:id="74" w:name="_Toc31115865"/>
      <w:bookmarkStart w:id="75" w:name="_Toc11351325"/>
      <w:bookmarkStart w:id="76" w:name="_Toc7774475"/>
      <w:bookmarkStart w:id="77" w:name="_Toc27126032"/>
      <w:bookmarkStart w:id="78" w:name="_Toc27127244"/>
      <w:bookmarkStart w:id="79" w:name="_Toc27132107"/>
      <w:bookmarkStart w:id="80" w:name="_Toc27145692"/>
      <w:bookmarkStart w:id="81" w:name="_Toc27146166"/>
      <w:bookmarkStart w:id="82" w:name="_Toc27158127"/>
      <w:bookmarkEnd w:id="71"/>
      <w:bookmarkEnd w:id="72"/>
      <w:r>
        <w:rPr>
          <w:noProof/>
        </w:rPr>
        <w:t>3.2 Implementation of the MIP</w:t>
      </w:r>
      <w:bookmarkEnd w:id="73"/>
      <w:bookmarkEnd w:id="74"/>
      <w:r>
        <w:rPr>
          <w:noProof/>
        </w:rPr>
        <w:t xml:space="preserve"> </w:t>
      </w:r>
      <w:bookmarkEnd w:id="75"/>
      <w:bookmarkEnd w:id="76"/>
      <w:bookmarkEnd w:id="77"/>
      <w:bookmarkEnd w:id="78"/>
      <w:bookmarkEnd w:id="79"/>
      <w:bookmarkEnd w:id="80"/>
      <w:bookmarkEnd w:id="81"/>
      <w:bookmarkEnd w:id="82"/>
    </w:p>
    <w:p w:rsidR="00630C0A" w:rsidRDefault="00961E71">
      <w:pPr>
        <w:pStyle w:val="Heading3"/>
        <w:numPr>
          <w:ilvl w:val="2"/>
          <w:numId w:val="0"/>
        </w:numPr>
        <w:ind w:left="360"/>
        <w:rPr>
          <w:noProof/>
        </w:rPr>
      </w:pPr>
      <w:bookmarkStart w:id="83" w:name="_Toc11351326"/>
      <w:bookmarkStart w:id="84" w:name="_Toc7774476"/>
      <w:bookmarkStart w:id="85" w:name="_Toc27126033"/>
      <w:bookmarkStart w:id="86" w:name="_Toc27127245"/>
      <w:bookmarkStart w:id="87" w:name="_Toc27132108"/>
      <w:bookmarkStart w:id="88" w:name="_Toc27145693"/>
      <w:bookmarkStart w:id="89" w:name="_Toc27146167"/>
      <w:bookmarkStart w:id="90" w:name="_Toc27156966"/>
      <w:bookmarkStart w:id="91" w:name="_Toc27158128"/>
      <w:bookmarkStart w:id="92" w:name="_Toc31115866"/>
      <w:r>
        <w:rPr>
          <w:noProof/>
        </w:rPr>
        <w:t>3.2.1 The Alert Mechanism Report</w:t>
      </w:r>
      <w:bookmarkEnd w:id="83"/>
      <w:bookmarkEnd w:id="84"/>
      <w:bookmarkEnd w:id="85"/>
      <w:bookmarkEnd w:id="86"/>
      <w:bookmarkEnd w:id="87"/>
      <w:bookmarkEnd w:id="88"/>
      <w:bookmarkEnd w:id="89"/>
      <w:bookmarkEnd w:id="90"/>
      <w:bookmarkEnd w:id="91"/>
      <w:bookmarkEnd w:id="92"/>
    </w:p>
    <w:p w:rsidR="00630C0A" w:rsidRDefault="00961E71">
      <w:pPr>
        <w:spacing w:after="120"/>
        <w:jc w:val="both"/>
        <w:rPr>
          <w:noProof/>
        </w:rPr>
      </w:pPr>
      <w:r>
        <w:rPr>
          <w:b/>
          <w:bCs/>
          <w:noProof/>
        </w:rPr>
        <w:t xml:space="preserve">The </w:t>
      </w:r>
      <w:r>
        <w:rPr>
          <w:b/>
          <w:noProof/>
        </w:rPr>
        <w:t>Alert Mechanism Report</w:t>
      </w:r>
      <w:r>
        <w:rPr>
          <w:b/>
          <w:bCs/>
          <w:noProof/>
        </w:rPr>
        <w:t xml:space="preserve"> is the initial step in the annual MIP cycle.</w:t>
      </w:r>
      <w:r>
        <w:rPr>
          <w:noProof/>
        </w:rPr>
        <w:t xml:space="preserve"> The Alert Mechanism Report serves to select Member States for which prima-facie evidence indicates the possi</w:t>
      </w:r>
      <w:r>
        <w:rPr>
          <w:noProof/>
        </w:rPr>
        <w:t>ble presence of macroeconomic imbalances. This subset of Member States is thereafter subject to an in-depth review.</w:t>
      </w:r>
    </w:p>
    <w:p w:rsidR="00630C0A" w:rsidRDefault="00961E71">
      <w:pPr>
        <w:spacing w:after="120"/>
        <w:jc w:val="both"/>
        <w:rPr>
          <w:noProof/>
        </w:rPr>
      </w:pPr>
      <w:r>
        <w:rPr>
          <w:b/>
          <w:bCs/>
          <w:noProof/>
        </w:rPr>
        <w:t>The analysis takes into account a scoreboard of indicators and other additional information</w:t>
      </w:r>
      <w:r>
        <w:rPr>
          <w:noProof/>
        </w:rPr>
        <w:t>. Regulation No 1176/2011 provides that “the scor</w:t>
      </w:r>
      <w:r>
        <w:rPr>
          <w:noProof/>
        </w:rPr>
        <w:t>eboard shall be used as a tool to facilitate early identification and monitoring of imbalances” (Article 4(1)). Scoreboard indicators are assessed, inter-alia, against their respective thresholds. The regulation also specifies that, in the reading of the s</w:t>
      </w:r>
      <w:r>
        <w:rPr>
          <w:noProof/>
        </w:rPr>
        <w:t>coreboard, the Commission shall use economic judgement (Article 3(2)). The assessment also draws on other relevant economic and financial indicators not included in the scoreboard (Article 3(2)). In practice, the Alert Mechanism Report has taken the form o</w:t>
      </w:r>
      <w:r>
        <w:rPr>
          <w:noProof/>
        </w:rPr>
        <w:t>f an annual Commission Communication to the European Parliament, the Council, the European Central Bank, and the European Economic and Social Committee.</w:t>
      </w:r>
    </w:p>
    <w:p w:rsidR="00630C0A" w:rsidRDefault="00961E71">
      <w:pPr>
        <w:spacing w:after="120"/>
        <w:jc w:val="both"/>
        <w:rPr>
          <w:noProof/>
        </w:rPr>
      </w:pPr>
      <w:r>
        <w:rPr>
          <w:b/>
          <w:bCs/>
          <w:noProof/>
        </w:rPr>
        <w:t>The scoreboard has a number of purposes.</w:t>
      </w:r>
      <w:r>
        <w:rPr>
          <w:noProof/>
        </w:rPr>
        <w:t xml:space="preserve"> Although the MIP scoreboard is not intended to predict the occ</w:t>
      </w:r>
      <w:r>
        <w:rPr>
          <w:noProof/>
        </w:rPr>
        <w:t>urrence of crises, it allows for tracking the evolution of indicators suggestive of the building up of risks. The Alert Mechanism Report also helps tracking the evolution of existing imbalances. The MIP came into force in a particular context, when most Me</w:t>
      </w:r>
      <w:r>
        <w:rPr>
          <w:noProof/>
        </w:rPr>
        <w:t>mber States were still running large current account imbalances and were accumulating large stocks of net foreign liabilities and of public and private debt. The Alert Mechanism Report has proved useful in tracking the unwinding of those imbalances in a co</w:t>
      </w:r>
      <w:r>
        <w:rPr>
          <w:noProof/>
        </w:rPr>
        <w:t>mparative perspective. The scoreboard has also contributed to define the scope of MIP surveillance,</w:t>
      </w:r>
      <w:r>
        <w:rPr>
          <w:b/>
          <w:bCs/>
          <w:noProof/>
        </w:rPr>
        <w:t xml:space="preserve"> </w:t>
      </w:r>
      <w:r>
        <w:rPr>
          <w:noProof/>
        </w:rPr>
        <w:t>by</w:t>
      </w:r>
      <w:r>
        <w:rPr>
          <w:b/>
          <w:bCs/>
          <w:noProof/>
        </w:rPr>
        <w:t xml:space="preserve"> </w:t>
      </w:r>
      <w:r>
        <w:rPr>
          <w:noProof/>
        </w:rPr>
        <w:t>providing an anchor for its remit, and it has facilitated the communication on the surveillance of macroeconomic imbalances.</w:t>
      </w:r>
    </w:p>
    <w:p w:rsidR="00630C0A" w:rsidRDefault="00961E71">
      <w:pPr>
        <w:spacing w:after="120"/>
        <w:jc w:val="both"/>
        <w:rPr>
          <w:noProof/>
        </w:rPr>
      </w:pPr>
      <w:r>
        <w:rPr>
          <w:b/>
          <w:bCs/>
          <w:noProof/>
        </w:rPr>
        <w:t>The MIP scoreboard currently</w:t>
      </w:r>
      <w:r>
        <w:rPr>
          <w:b/>
          <w:bCs/>
          <w:noProof/>
        </w:rPr>
        <w:t xml:space="preserve"> includes 14 headline indicators and 28 auxiliary indicators</w:t>
      </w:r>
      <w:r>
        <w:rPr>
          <w:noProof/>
        </w:rPr>
        <w:t>. All indicators are based on ‘hard’ and published data to ensure the required high statistical quality.</w:t>
      </w:r>
      <w:r>
        <w:rPr>
          <w:rStyle w:val="FootnoteReference"/>
          <w:noProof/>
        </w:rPr>
        <w:footnoteReference w:id="57"/>
      </w:r>
      <w:r>
        <w:rPr>
          <w:noProof/>
        </w:rPr>
        <w:t xml:space="preserve"> The headline indicators have indicative thresholds to serve as alert levels in line with t</w:t>
      </w:r>
      <w:r>
        <w:rPr>
          <w:noProof/>
        </w:rPr>
        <w:t>he requirements of Regulation No 1176/2011 (Article 4(4)).</w:t>
      </w:r>
      <w:r>
        <w:rPr>
          <w:noProof/>
          <w:vertAlign w:val="superscript"/>
        </w:rPr>
        <w:footnoteReference w:id="58"/>
      </w:r>
      <w:r>
        <w:rPr>
          <w:noProof/>
        </w:rPr>
        <w:t xml:space="preserve"> The headline scoreboard has been expanded to incorporate indicators on financial conditions and employment developments, in 2012 and 2015 respectively. As outlined in the 2016 Alert Mechanism Repo</w:t>
      </w:r>
      <w:r>
        <w:rPr>
          <w:noProof/>
        </w:rPr>
        <w:t>rt, which first included additional employment indicators in the headline scoreboard, the inclusion of these variables into the scoreboard does not have legal implications nor changes the focus of the MIP and consequently cannot trigger further steps under</w:t>
      </w:r>
      <w:r>
        <w:rPr>
          <w:noProof/>
        </w:rPr>
        <w:t xml:space="preserve"> the MIP. Auxiliary indicators have also been adjusted over time. </w:t>
      </w:r>
    </w:p>
    <w:p w:rsidR="00630C0A" w:rsidRDefault="00961E71">
      <w:pPr>
        <w:spacing w:after="120"/>
        <w:jc w:val="both"/>
        <w:rPr>
          <w:noProof/>
        </w:rPr>
      </w:pPr>
      <w:r>
        <w:rPr>
          <w:b/>
          <w:bCs/>
          <w:noProof/>
        </w:rPr>
        <w:t>The scoreboard has been found to perform satisfactorily in capturing macroeconomic risks.</w:t>
      </w:r>
      <w:r>
        <w:rPr>
          <w:noProof/>
        </w:rPr>
        <w:t xml:space="preserve"> The scoreboard has sometimes been criticised to be backward looking. Criticisms in this respect wer</w:t>
      </w:r>
      <w:r>
        <w:rPr>
          <w:noProof/>
        </w:rPr>
        <w:t xml:space="preserve">e notably raised by the European Court of Auditors. Data included in the scoreboard comes with lags because, in line with the principle enshrined in Regulation No 1176/2011, it should include only variables of high quality statistical data, not forecasts. </w:t>
      </w:r>
      <w:r>
        <w:rPr>
          <w:noProof/>
        </w:rPr>
        <w:t>The fact that some flow variables (e.g., current account balances, and unit labour costs growth) are averaged over past years introduces a backward-looking bias, but also helps avoiding that the scoreboard values for these volatile variables are fully driv</w:t>
      </w:r>
      <w:r>
        <w:rPr>
          <w:noProof/>
        </w:rPr>
        <w:t>en by temporary developments. At the same time, analyses show that the scoreboard would have warned about the building of risks ahead of the economic and financial crisis.</w:t>
      </w:r>
      <w:r>
        <w:rPr>
          <w:rStyle w:val="FootnoteReference"/>
          <w:noProof/>
        </w:rPr>
        <w:footnoteReference w:id="59"/>
      </w:r>
      <w:r>
        <w:rPr>
          <w:noProof/>
        </w:rPr>
        <w:t xml:space="preserve"> </w:t>
      </w:r>
    </w:p>
    <w:p w:rsidR="00630C0A" w:rsidRDefault="00961E71">
      <w:pPr>
        <w:spacing w:after="120"/>
        <w:jc w:val="both"/>
        <w:rPr>
          <w:noProof/>
        </w:rPr>
      </w:pPr>
      <w:r>
        <w:rPr>
          <w:b/>
          <w:bCs/>
          <w:noProof/>
        </w:rPr>
        <w:t>The scoreboard has been fine-tuned with timely, targeted, and parsimonious revisio</w:t>
      </w:r>
      <w:r>
        <w:rPr>
          <w:b/>
          <w:bCs/>
          <w:noProof/>
        </w:rPr>
        <w:t xml:space="preserve">ns. </w:t>
      </w:r>
      <w:r>
        <w:rPr>
          <w:noProof/>
        </w:rPr>
        <w:t>Regulation No 1176/2011 calls on the Commission to “assess on a regular basis the appropriateness of the scoreboard, including the composition of indicators, the thresholds set and the methodology used, and it shall adjust or modify them where necessar</w:t>
      </w:r>
      <w:r>
        <w:rPr>
          <w:noProof/>
        </w:rPr>
        <w:t xml:space="preserve">y” (Article 4(7)). The Commission has revised the scoreboard to factor in improved availability of published statistics relevant for macroeconomic stability and to add variables that help qualifying imbalances and the adjustment process. </w:t>
      </w:r>
    </w:p>
    <w:p w:rsidR="00630C0A" w:rsidRDefault="00961E71">
      <w:pPr>
        <w:spacing w:after="120"/>
        <w:jc w:val="both"/>
        <w:rPr>
          <w:b/>
          <w:bCs/>
          <w:noProof/>
        </w:rPr>
      </w:pPr>
      <w:r>
        <w:rPr>
          <w:b/>
          <w:bCs/>
          <w:noProof/>
        </w:rPr>
        <w:t>The Commission ha</w:t>
      </w:r>
      <w:r>
        <w:rPr>
          <w:b/>
          <w:bCs/>
          <w:noProof/>
        </w:rPr>
        <w:t>s fostered a regular dialogue on the scoreboard with the European Parliament and the Council.</w:t>
      </w:r>
      <w:r>
        <w:rPr>
          <w:noProof/>
        </w:rPr>
        <w:t xml:space="preserve"> While Regulation No 1176/2011 leaves revisions of the scoreboard to the discretion of the Commission, it calls for interaction with the European Parliament and th</w:t>
      </w:r>
      <w:r>
        <w:rPr>
          <w:noProof/>
        </w:rPr>
        <w:t>e Council on possible adjustments to the scoreboard. The Commission has maintained a regular dialogue with Member States on the adequacy of the scoreboard and on possible improvements to it, mainly through the Economic Policy Committee (EPC) and its LIME w</w:t>
      </w:r>
      <w:r>
        <w:rPr>
          <w:noProof/>
        </w:rPr>
        <w:t xml:space="preserve">orking group. Likewise, the Commission has consulted the European Parliament on changes to the scoreboard. The Parliament and the Council have generally been supportive of the revisions. </w:t>
      </w:r>
    </w:p>
    <w:p w:rsidR="00630C0A" w:rsidRDefault="00961E71">
      <w:pPr>
        <w:spacing w:after="120"/>
        <w:jc w:val="both"/>
        <w:rPr>
          <w:b/>
          <w:bCs/>
          <w:noProof/>
        </w:rPr>
      </w:pPr>
      <w:r>
        <w:rPr>
          <w:b/>
          <w:bCs/>
          <w:noProof/>
          <w:lang w:val="en-US"/>
        </w:rPr>
        <w:t xml:space="preserve">The </w:t>
      </w:r>
      <w:r>
        <w:rPr>
          <w:b/>
          <w:bCs/>
          <w:noProof/>
        </w:rPr>
        <w:t>scoreboard reading has not been mechanical.</w:t>
      </w:r>
      <w:r>
        <w:rPr>
          <w:noProof/>
        </w:rPr>
        <w:t xml:space="preserve"> This is in line with</w:t>
      </w:r>
      <w:r>
        <w:rPr>
          <w:noProof/>
        </w:rPr>
        <w:t xml:space="preserve"> the spirit of the regulation.</w:t>
      </w:r>
      <w:r>
        <w:rPr>
          <w:b/>
          <w:bCs/>
          <w:noProof/>
        </w:rPr>
        <w:t xml:space="preserve"> </w:t>
      </w:r>
      <w:r>
        <w:rPr>
          <w:noProof/>
        </w:rPr>
        <w:t>The overall number of indicators beyond the respective thresholds and the severity of those breaches have been taken into account as a starting point. However, that information has always been put in context and there has bee</w:t>
      </w:r>
      <w:r>
        <w:rPr>
          <w:noProof/>
        </w:rPr>
        <w:t>n no automaticity in the conclusions of the Alert Mechanism Reports. Likewise, a low number of indicators beyond the thresholds has not always precluded selection for an in-depth review if risks appeared sufficiently worrisome. The MIP Compendium reports a</w:t>
      </w:r>
      <w:r>
        <w:rPr>
          <w:noProof/>
        </w:rPr>
        <w:t xml:space="preserve"> number of principles that have been followed in the economic reading of the scoreboard.</w:t>
      </w:r>
      <w:r>
        <w:rPr>
          <w:noProof/>
          <w:vertAlign w:val="superscript"/>
        </w:rPr>
        <w:footnoteReference w:id="60"/>
      </w:r>
    </w:p>
    <w:p w:rsidR="00630C0A" w:rsidRDefault="00961E71">
      <w:pPr>
        <w:spacing w:after="120"/>
        <w:jc w:val="both"/>
        <w:rPr>
          <w:noProof/>
        </w:rPr>
      </w:pPr>
      <w:r>
        <w:rPr>
          <w:b/>
          <w:bCs/>
          <w:noProof/>
        </w:rPr>
        <w:t>The Commission’s analysis has made use of information beyond the scoreboard indicators</w:t>
      </w:r>
      <w:r>
        <w:rPr>
          <w:noProof/>
        </w:rPr>
        <w:t>. That covers forecast figures, existing analyses, including analytical findings</w:t>
      </w:r>
      <w:r>
        <w:rPr>
          <w:noProof/>
        </w:rPr>
        <w:t xml:space="preserve"> under previous MIP cycles, including in-depth reviews, and other relevant research.</w:t>
      </w:r>
      <w:r>
        <w:rPr>
          <w:noProof/>
          <w:vertAlign w:val="superscript"/>
        </w:rPr>
        <w:footnoteReference w:id="61"/>
      </w:r>
      <w:r>
        <w:rPr>
          <w:noProof/>
        </w:rPr>
        <w:t xml:space="preserve"> At the same time, the country-specific analyses have accounted for relevant additional information, including policy settings or governance issues, which have macroeconom</w:t>
      </w:r>
      <w:r>
        <w:rPr>
          <w:noProof/>
        </w:rPr>
        <w:t xml:space="preserve">ic relevance and thereby need to be taken into account when selecting a Member State for an in-depth review. In addition, the Alert Mechanism Report analyses have benefited from the use of a common set of analytical tools with country-specific benchmarks, </w:t>
      </w:r>
      <w:r>
        <w:rPr>
          <w:noProof/>
        </w:rPr>
        <w:t>which allow to gauge risks and to assess adjustment needs. These tools have been developed in cooperation with the EPC and its LIME working group and are described in section 3.2.2.</w:t>
      </w:r>
      <w:r>
        <w:rPr>
          <w:noProof/>
          <w:vertAlign w:val="superscript"/>
        </w:rPr>
        <w:footnoteReference w:id="62"/>
      </w:r>
      <w:r>
        <w:rPr>
          <w:noProof/>
        </w:rPr>
        <w:t xml:space="preserve"> </w:t>
      </w:r>
    </w:p>
    <w:p w:rsidR="00630C0A" w:rsidRDefault="00961E71">
      <w:pPr>
        <w:spacing w:after="120"/>
        <w:jc w:val="both"/>
        <w:rPr>
          <w:bCs/>
          <w:noProof/>
        </w:rPr>
      </w:pPr>
      <w:r>
        <w:rPr>
          <w:b/>
          <w:bCs/>
          <w:noProof/>
        </w:rPr>
        <w:t>The Commission has followed the prudential practice of selecting for</w:t>
      </w:r>
      <w:r>
        <w:rPr>
          <w:b/>
          <w:noProof/>
        </w:rPr>
        <w:t xml:space="preserve"> </w:t>
      </w:r>
      <w:r>
        <w:rPr>
          <w:b/>
          <w:bCs/>
          <w:noProof/>
        </w:rPr>
        <w:t>in-depth reviews</w:t>
      </w:r>
      <w:r>
        <w:rPr>
          <w:b/>
          <w:noProof/>
        </w:rPr>
        <w:t xml:space="preserve"> the Member States that were already identified with imbalances in the previous annual cycle</w:t>
      </w:r>
      <w:r>
        <w:rPr>
          <w:b/>
          <w:bCs/>
          <w:noProof/>
        </w:rPr>
        <w:t>.</w:t>
      </w:r>
      <w:r>
        <w:rPr>
          <w:noProof/>
        </w:rPr>
        <w:t xml:space="preserve"> That practice has allowed to continuously monitor how existing imbalances evolved, whether they were corrected or aggravated, with a view to timel</w:t>
      </w:r>
      <w:r>
        <w:rPr>
          <w:noProof/>
        </w:rPr>
        <w:t>y adapt the categorisation of imbalances and the modulation of MIP surveillance. The approach to the Alert Mechanism Report has left room for appropriate economic judgment and the advisable flexibility.</w:t>
      </w:r>
      <w:r>
        <w:rPr>
          <w:b/>
          <w:bCs/>
          <w:noProof/>
        </w:rPr>
        <w:t xml:space="preserve"> </w:t>
      </w:r>
      <w:r>
        <w:rPr>
          <w:noProof/>
        </w:rPr>
        <w:t>Such an approach has allowed considering also risks t</w:t>
      </w:r>
      <w:r>
        <w:rPr>
          <w:noProof/>
        </w:rPr>
        <w:t>hat were not fully or not yet reflected in the scoreboard.</w:t>
      </w:r>
      <w:r>
        <w:rPr>
          <w:rStyle w:val="FootnoteReference"/>
          <w:noProof/>
        </w:rPr>
        <w:footnoteReference w:id="63"/>
      </w:r>
      <w:r>
        <w:rPr>
          <w:noProof/>
        </w:rPr>
        <w:t xml:space="preserve"> </w:t>
      </w:r>
    </w:p>
    <w:p w:rsidR="00630C0A" w:rsidRDefault="00961E71">
      <w:pPr>
        <w:spacing w:after="120"/>
        <w:jc w:val="both"/>
        <w:rPr>
          <w:noProof/>
        </w:rPr>
      </w:pPr>
      <w:r>
        <w:rPr>
          <w:b/>
          <w:bCs/>
          <w:noProof/>
        </w:rPr>
        <w:t>The selection of Member States for an in-depth review has been broadly consensual.</w:t>
      </w:r>
      <w:r>
        <w:rPr>
          <w:noProof/>
        </w:rPr>
        <w:t xml:space="preserve"> The Council has always endorsed the selection of Member States for an in-depth review proposed by the Commission</w:t>
      </w:r>
      <w:r>
        <w:rPr>
          <w:noProof/>
        </w:rPr>
        <w:t>.</w:t>
      </w:r>
      <w:r>
        <w:rPr>
          <w:noProof/>
          <w:vertAlign w:val="superscript"/>
        </w:rPr>
        <w:footnoteReference w:id="64"/>
      </w:r>
    </w:p>
    <w:p w:rsidR="00630C0A" w:rsidRDefault="00630C0A">
      <w:pPr>
        <w:spacing w:after="120"/>
        <w:jc w:val="both"/>
        <w:rPr>
          <w:b/>
          <w:bCs/>
          <w:noProof/>
        </w:rPr>
      </w:pPr>
    </w:p>
    <w:p w:rsidR="00630C0A" w:rsidRDefault="00961E71">
      <w:pPr>
        <w:pStyle w:val="Heading3"/>
        <w:numPr>
          <w:ilvl w:val="2"/>
          <w:numId w:val="0"/>
        </w:numPr>
        <w:ind w:left="360"/>
        <w:rPr>
          <w:noProof/>
        </w:rPr>
      </w:pPr>
      <w:bookmarkStart w:id="93" w:name="_Toc11351327"/>
      <w:bookmarkStart w:id="94" w:name="_Toc7774477"/>
      <w:bookmarkStart w:id="95" w:name="_Toc27126034"/>
      <w:bookmarkStart w:id="96" w:name="_Toc27127246"/>
      <w:bookmarkStart w:id="97" w:name="_Toc27132109"/>
      <w:bookmarkStart w:id="98" w:name="_Toc27145694"/>
      <w:bookmarkStart w:id="99" w:name="_Toc27146168"/>
      <w:bookmarkStart w:id="100" w:name="_Toc27156967"/>
      <w:bookmarkStart w:id="101" w:name="_Toc27158129"/>
      <w:bookmarkStart w:id="102" w:name="_Toc31115867"/>
      <w:r>
        <w:rPr>
          <w:noProof/>
        </w:rPr>
        <w:t>3.2.2 In-depth reviews and classification of imbalances</w:t>
      </w:r>
      <w:bookmarkEnd w:id="93"/>
      <w:bookmarkEnd w:id="94"/>
      <w:bookmarkEnd w:id="95"/>
      <w:bookmarkEnd w:id="96"/>
      <w:bookmarkEnd w:id="97"/>
      <w:bookmarkEnd w:id="98"/>
      <w:bookmarkEnd w:id="99"/>
      <w:bookmarkEnd w:id="100"/>
      <w:bookmarkEnd w:id="101"/>
      <w:bookmarkEnd w:id="102"/>
    </w:p>
    <w:p w:rsidR="00630C0A" w:rsidRDefault="00961E71">
      <w:pPr>
        <w:spacing w:after="120"/>
        <w:rPr>
          <w:b/>
          <w:bCs/>
          <w:noProof/>
        </w:rPr>
      </w:pPr>
      <w:bookmarkStart w:id="103" w:name="_Ref8385694"/>
      <w:r>
        <w:rPr>
          <w:b/>
          <w:bCs/>
          <w:i/>
          <w:iCs/>
          <w:noProof/>
        </w:rPr>
        <w:t>Identification of imbalances</w:t>
      </w:r>
      <w:bookmarkEnd w:id="103"/>
    </w:p>
    <w:p w:rsidR="00630C0A" w:rsidRDefault="00961E71">
      <w:pPr>
        <w:spacing w:after="120"/>
        <w:jc w:val="both"/>
        <w:rPr>
          <w:noProof/>
        </w:rPr>
      </w:pPr>
      <w:r>
        <w:rPr>
          <w:b/>
          <w:bCs/>
          <w:noProof/>
        </w:rPr>
        <w:t>Regulation No 1176/2011 defines imbalances in a general and comprehensive manner, leaving ample room for economic interpretation.</w:t>
      </w:r>
      <w:r>
        <w:rPr>
          <w:noProof/>
        </w:rPr>
        <w:t xml:space="preserve"> As compared with the rules-based surv</w:t>
      </w:r>
      <w:r>
        <w:rPr>
          <w:noProof/>
        </w:rPr>
        <w:t>eillance framework of the Stability and Growth Pact, MIP surveillance is intentionally not driven by automatic triggers. Drivers of macro-financial instability can be diverse and multi-dimensional phenomena that need to be assessed taking into account also</w:t>
      </w:r>
      <w:r>
        <w:rPr>
          <w:noProof/>
        </w:rPr>
        <w:t xml:space="preserve"> country-specific features, including those linked to the adjustment capacity of the economy. Therefore, the Commission carries out in-depth reviews that provide the basis for the identification of imbalances. </w:t>
      </w:r>
    </w:p>
    <w:p w:rsidR="00630C0A" w:rsidRDefault="00961E71">
      <w:pPr>
        <w:spacing w:after="120"/>
        <w:jc w:val="both"/>
        <w:rPr>
          <w:noProof/>
        </w:rPr>
      </w:pPr>
      <w:r>
        <w:rPr>
          <w:b/>
          <w:bCs/>
          <w:noProof/>
        </w:rPr>
        <w:t>Regulation No 1176/2011 distinguishes between</w:t>
      </w:r>
      <w:r>
        <w:rPr>
          <w:b/>
          <w:bCs/>
          <w:noProof/>
        </w:rPr>
        <w:t xml:space="preserve"> “imbalances” and “excessive imbalances”. </w:t>
      </w:r>
      <w:r>
        <w:rPr>
          <w:noProof/>
        </w:rPr>
        <w:t>That distinction depends only on the severity of the imbalances. The latter implies a stronger activation of surveillance, possibly leading to the launch of corrective action, i.e. the EIP, which also can five rise</w:t>
      </w:r>
      <w:r>
        <w:rPr>
          <w:noProof/>
        </w:rPr>
        <w:t xml:space="preserve"> to possible sanctions for euro area Member States. The severity of macroeconomic imbalances is determined not only by considerations relating to the Member State concerned, but also critically by the existence or risk of negative spillovers to other euro </w:t>
      </w:r>
      <w:r>
        <w:rPr>
          <w:noProof/>
        </w:rPr>
        <w:t>area Member States. In particular, the risks of large negative spillovers are considerably larger for current account deficits, and are especially worrying when combined with sustained losses of cost competitiveness and export market shares. At the same ti</w:t>
      </w:r>
      <w:r>
        <w:rPr>
          <w:noProof/>
        </w:rPr>
        <w:t>me, large and sustained current account surpluses, while not creating immediate risks to national economic stability, affect the smooth functioning of the euro area.</w:t>
      </w:r>
    </w:p>
    <w:p w:rsidR="00630C0A" w:rsidRDefault="00961E71">
      <w:pPr>
        <w:spacing w:after="120"/>
        <w:jc w:val="both"/>
        <w:rPr>
          <w:b/>
          <w:bCs/>
          <w:noProof/>
        </w:rPr>
      </w:pPr>
      <w:r>
        <w:rPr>
          <w:b/>
          <w:bCs/>
          <w:noProof/>
        </w:rPr>
        <w:t>There have been calls for more transparency and predictability</w:t>
      </w:r>
      <w:r>
        <w:rPr>
          <w:noProof/>
        </w:rPr>
        <w:t xml:space="preserve">. Such calls should be seen </w:t>
      </w:r>
      <w:r>
        <w:rPr>
          <w:noProof/>
        </w:rPr>
        <w:t>in light of the substantial role for the Commission in exercising economic judgement in the implementation of the MIP. In its conclusions on the in-depth reviews, the Council has voiced the importance of transparency for what concerns the reasons underlyin</w:t>
      </w:r>
      <w:r>
        <w:rPr>
          <w:noProof/>
        </w:rPr>
        <w:t>g the identification and classification of macroeconomic imbalances and the activation of MIP surveillance, notably the launch of the EIP once excessive imbalances are identified.</w:t>
      </w:r>
      <w:r>
        <w:rPr>
          <w:noProof/>
          <w:vertAlign w:val="superscript"/>
        </w:rPr>
        <w:footnoteReference w:id="65"/>
      </w:r>
      <w:r>
        <w:rPr>
          <w:noProof/>
        </w:rPr>
        <w:t xml:space="preserve"> Policy makers and experts have criticised that the scope of the MIP was som</w:t>
      </w:r>
      <w:r>
        <w:rPr>
          <w:noProof/>
        </w:rPr>
        <w:t>etimes unclear and, for instance, that the MIP should focus on key issues of macroeconomic and cross-border relevance.</w:t>
      </w:r>
      <w:r>
        <w:rPr>
          <w:rStyle w:val="FootnoteReference"/>
          <w:noProof/>
        </w:rPr>
        <w:footnoteReference w:id="66"/>
      </w:r>
      <w:r>
        <w:rPr>
          <w:noProof/>
        </w:rPr>
        <w:t xml:space="preserve"> The Five Presidents' Report recommends an effective and transparent implementation of the MIP and using t</w:t>
      </w:r>
      <w:bookmarkStart w:id="104" w:name="_GoBack"/>
      <w:bookmarkEnd w:id="104"/>
      <w:r>
        <w:rPr>
          <w:noProof/>
        </w:rPr>
        <w:t>he MIP at full potential, inclu</w:t>
      </w:r>
      <w:r>
        <w:rPr>
          <w:noProof/>
        </w:rPr>
        <w:t>ding the use of the EIP "as soon as excessive imbalances are identified".</w:t>
      </w:r>
      <w:r>
        <w:rPr>
          <w:noProof/>
          <w:vertAlign w:val="superscript"/>
        </w:rPr>
        <w:footnoteReference w:id="67"/>
      </w:r>
      <w:r>
        <w:rPr>
          <w:noProof/>
        </w:rPr>
        <w:t xml:space="preserve"> The Commission in its October 2015 Communication took steps to enhance the transparency of the MIP (see below).</w:t>
      </w:r>
      <w:bookmarkStart w:id="105" w:name="_Ref25673183"/>
      <w:r>
        <w:rPr>
          <w:noProof/>
          <w:vertAlign w:val="superscript"/>
        </w:rPr>
        <w:footnoteReference w:id="68"/>
      </w:r>
      <w:bookmarkEnd w:id="105"/>
      <w:r>
        <w:rPr>
          <w:noProof/>
        </w:rPr>
        <w:t xml:space="preserve"> </w:t>
      </w:r>
    </w:p>
    <w:p w:rsidR="00630C0A" w:rsidRDefault="00961E71">
      <w:pPr>
        <w:spacing w:after="120"/>
        <w:jc w:val="both"/>
        <w:rPr>
          <w:b/>
          <w:bCs/>
          <w:noProof/>
        </w:rPr>
      </w:pPr>
      <w:r>
        <w:rPr>
          <w:b/>
          <w:bCs/>
          <w:noProof/>
        </w:rPr>
        <w:t>The MIP Compendium reports principles followed by the Commission in</w:t>
      </w:r>
      <w:r>
        <w:rPr>
          <w:b/>
          <w:bCs/>
          <w:noProof/>
        </w:rPr>
        <w:t xml:space="preserve"> the identification and assessment of imbalances. </w:t>
      </w:r>
    </w:p>
    <w:p w:rsidR="00630C0A" w:rsidRDefault="00961E71">
      <w:pPr>
        <w:numPr>
          <w:ilvl w:val="0"/>
          <w:numId w:val="34"/>
        </w:numPr>
        <w:spacing w:after="120"/>
        <w:jc w:val="both"/>
        <w:rPr>
          <w:noProof/>
        </w:rPr>
      </w:pPr>
      <w:r>
        <w:rPr>
          <w:noProof/>
        </w:rPr>
        <w:t>The Compendium explains MIP-relevant macroeconomic imbalances as unsustainable trends (e.g., buoyant house price growth that could lead to the burst of a housing bubble with implications for the banking se</w:t>
      </w:r>
      <w:r>
        <w:rPr>
          <w:noProof/>
        </w:rPr>
        <w:t xml:space="preserve">ctor) or vulnerabilities (e.g., high private debt, which makes the economy more vulnerable to shocks) that could have harmful implications for macroeconomic stability for the country itself, the euro area or the EU. </w:t>
      </w:r>
    </w:p>
    <w:p w:rsidR="00630C0A" w:rsidRDefault="00961E71">
      <w:pPr>
        <w:numPr>
          <w:ilvl w:val="0"/>
          <w:numId w:val="34"/>
        </w:numPr>
        <w:spacing w:after="120"/>
        <w:jc w:val="both"/>
        <w:rPr>
          <w:noProof/>
        </w:rPr>
      </w:pPr>
      <w:r>
        <w:rPr>
          <w:noProof/>
        </w:rPr>
        <w:t xml:space="preserve">In assessing imbalances, the Commission therefore takes account of potential spill-overs to other Member States, the euro area, or the EU as a whole. </w:t>
      </w:r>
    </w:p>
    <w:p w:rsidR="00630C0A" w:rsidRDefault="00961E71">
      <w:pPr>
        <w:numPr>
          <w:ilvl w:val="0"/>
          <w:numId w:val="34"/>
        </w:numPr>
        <w:spacing w:after="120"/>
        <w:jc w:val="both"/>
        <w:rPr>
          <w:noProof/>
        </w:rPr>
      </w:pPr>
      <w:r>
        <w:rPr>
          <w:noProof/>
        </w:rPr>
        <w:t xml:space="preserve">The Commission highlights the sources of imbalances and also adjustment issues, i.e. factors that hamper </w:t>
      </w:r>
      <w:r>
        <w:rPr>
          <w:noProof/>
        </w:rPr>
        <w:t xml:space="preserve">a successful correction of existing imbalances. Adjustment issues also include challenges that have resulted from the unwinding of existing imbalances (e.g., the impact of demand compression following current account reversals on the labour market, or the </w:t>
      </w:r>
      <w:r>
        <w:rPr>
          <w:noProof/>
        </w:rPr>
        <w:t>impact of deleveraging on investment).</w:t>
      </w:r>
    </w:p>
    <w:p w:rsidR="00630C0A" w:rsidRDefault="00961E71">
      <w:pPr>
        <w:spacing w:after="120"/>
        <w:jc w:val="both"/>
        <w:rPr>
          <w:noProof/>
        </w:rPr>
      </w:pPr>
      <w:r>
        <w:rPr>
          <w:b/>
          <w:bCs/>
          <w:noProof/>
        </w:rPr>
        <w:t>The identification and assessment of imbalances has taken into account the gravity of the challenges, their evolution and policy responses.</w:t>
      </w:r>
      <w:r>
        <w:rPr>
          <w:b/>
          <w:noProof/>
        </w:rPr>
        <w:t xml:space="preserve"> </w:t>
      </w:r>
      <w:r>
        <w:rPr>
          <w:noProof/>
        </w:rPr>
        <w:t>The Commission assessment has been based on three main criteria:</w:t>
      </w:r>
    </w:p>
    <w:p w:rsidR="00630C0A" w:rsidRDefault="00961E71">
      <w:pPr>
        <w:numPr>
          <w:ilvl w:val="0"/>
          <w:numId w:val="35"/>
        </w:numPr>
        <w:spacing w:after="120"/>
        <w:jc w:val="both"/>
        <w:rPr>
          <w:noProof/>
        </w:rPr>
      </w:pPr>
      <w:r>
        <w:rPr>
          <w:noProof/>
        </w:rPr>
        <w:t xml:space="preserve">The gravity </w:t>
      </w:r>
      <w:r>
        <w:rPr>
          <w:noProof/>
        </w:rPr>
        <w:t>of imbalances, i.e., the likely magnitude of the risks involved;</w:t>
      </w:r>
    </w:p>
    <w:p w:rsidR="00630C0A" w:rsidRDefault="00961E71">
      <w:pPr>
        <w:numPr>
          <w:ilvl w:val="0"/>
          <w:numId w:val="35"/>
        </w:numPr>
        <w:spacing w:after="120"/>
        <w:jc w:val="both"/>
        <w:rPr>
          <w:noProof/>
        </w:rPr>
      </w:pPr>
      <w:r>
        <w:rPr>
          <w:noProof/>
        </w:rPr>
        <w:t>Their evolution, to distinguish if the identified imbalances exhibit any tendency to further aggravate or to correct;</w:t>
      </w:r>
    </w:p>
    <w:p w:rsidR="00630C0A" w:rsidRDefault="00961E71">
      <w:pPr>
        <w:numPr>
          <w:ilvl w:val="0"/>
          <w:numId w:val="35"/>
        </w:numPr>
        <w:spacing w:after="120"/>
        <w:jc w:val="both"/>
        <w:rPr>
          <w:noProof/>
        </w:rPr>
      </w:pPr>
      <w:r>
        <w:rPr>
          <w:noProof/>
        </w:rPr>
        <w:t>The policy response, with a view to assess to what extent already enacted</w:t>
      </w:r>
      <w:r>
        <w:rPr>
          <w:noProof/>
        </w:rPr>
        <w:t xml:space="preserve"> or planned policies are adequately tackling the identified issues. </w:t>
      </w:r>
    </w:p>
    <w:p w:rsidR="00630C0A" w:rsidRDefault="00961E71">
      <w:pPr>
        <w:spacing w:after="120"/>
        <w:jc w:val="both"/>
        <w:rPr>
          <w:noProof/>
        </w:rPr>
      </w:pPr>
      <w:r>
        <w:rPr>
          <w:noProof/>
        </w:rPr>
        <w:t>Hence, in its assessment of imbalances the Commission has taken a forward-looking approach, factoring in also the extent to which policies contribute to the correction of risks.</w:t>
      </w:r>
    </w:p>
    <w:p w:rsidR="00630C0A" w:rsidRDefault="00961E71">
      <w:pPr>
        <w:spacing w:after="120"/>
        <w:jc w:val="both"/>
        <w:rPr>
          <w:b/>
          <w:bCs/>
          <w:noProof/>
        </w:rPr>
      </w:pPr>
      <w:r>
        <w:rPr>
          <w:b/>
          <w:bCs/>
          <w:noProof/>
        </w:rPr>
        <w:t>Challenge</w:t>
      </w:r>
      <w:r>
        <w:rPr>
          <w:b/>
          <w:bCs/>
          <w:noProof/>
        </w:rPr>
        <w:t>s linked to low productivity or potential growth have been considered among sources of imbalances when relevant for macroeconomic stability.</w:t>
      </w:r>
      <w:r>
        <w:rPr>
          <w:noProof/>
        </w:rPr>
        <w:t xml:space="preserve"> Over time, the Commission has clarified the principles for deciding which issues are dealt with under MIP surveilla</w:t>
      </w:r>
      <w:r>
        <w:rPr>
          <w:noProof/>
        </w:rPr>
        <w:t>nce and why. These clarifications are relevant especially for those issues that are already dealt with in other surveillance streams. Notably, this concerns government debt, which is the object of surveillance under the Stability and Growth Pact, and econo</w:t>
      </w:r>
      <w:r>
        <w:rPr>
          <w:noProof/>
        </w:rPr>
        <w:t>mic growth, being the subject of the Commission’s growth strategy organised under the European Semester. The MIP Compendium has clarified that MIP surveillance is not aimed at directly enhancing the growth performance of Member States. In fact, there are i</w:t>
      </w:r>
      <w:r>
        <w:rPr>
          <w:noProof/>
        </w:rPr>
        <w:t>nstances where buoyant growth comes together with harmful trends (e.g., unsustainably widening external imbalances). However, in some cases, low potential GDP growth can pose macroeconomic risks if left unaddressed: this is especially the case for Member S</w:t>
      </w:r>
      <w:r>
        <w:rPr>
          <w:noProof/>
        </w:rPr>
        <w:t>tates burdened by high debt levels, as an insufficient growth potential also implies lack of the resources needed to finance high stocks of debt going forward. Government debt is object of MIP surveillance to the extent that it contributes to overall macro</w:t>
      </w:r>
      <w:r>
        <w:rPr>
          <w:noProof/>
        </w:rPr>
        <w:t>economic imbalances and has potentially harmful implications for macroeconomic stability.</w:t>
      </w:r>
      <w:r>
        <w:rPr>
          <w:noProof/>
          <w:vertAlign w:val="superscript"/>
        </w:rPr>
        <w:footnoteReference w:id="69"/>
      </w:r>
      <w:r>
        <w:rPr>
          <w:b/>
          <w:noProof/>
        </w:rPr>
        <w:t xml:space="preserve"> </w:t>
      </w:r>
    </w:p>
    <w:p w:rsidR="00630C0A" w:rsidRDefault="00961E71">
      <w:pPr>
        <w:spacing w:after="120"/>
        <w:jc w:val="both"/>
        <w:rPr>
          <w:noProof/>
        </w:rPr>
      </w:pPr>
      <w:r>
        <w:rPr>
          <w:b/>
          <w:noProof/>
        </w:rPr>
        <w:t>The Commission’s identification and assessment of imbalances have concerned the overall situation of the economy.</w:t>
      </w:r>
      <w:r>
        <w:rPr>
          <w:noProof/>
        </w:rPr>
        <w:t xml:space="preserve"> The assessment has not referred to the identified </w:t>
      </w:r>
      <w:r>
        <w:rPr>
          <w:noProof/>
        </w:rPr>
        <w:t>issues separately, but to the overall combination of factors contributing to risks to macroeconomic stability. Thus, Commission conclusions on imbalances have concerned whether imbalances exist in a certain Member State and whether they are excessive or no</w:t>
      </w:r>
      <w:r>
        <w:rPr>
          <w:noProof/>
        </w:rPr>
        <w:t xml:space="preserve">t. </w:t>
      </w:r>
    </w:p>
    <w:p w:rsidR="00630C0A" w:rsidRDefault="00630C0A">
      <w:pPr>
        <w:spacing w:after="120"/>
        <w:jc w:val="both"/>
        <w:rPr>
          <w:noProof/>
        </w:rPr>
      </w:pPr>
    </w:p>
    <w:p w:rsidR="00630C0A" w:rsidRDefault="00961E71">
      <w:pPr>
        <w:spacing w:after="120"/>
        <w:rPr>
          <w:b/>
          <w:bCs/>
          <w:i/>
          <w:iCs/>
          <w:noProof/>
        </w:rPr>
      </w:pPr>
      <w:r>
        <w:rPr>
          <w:b/>
          <w:bCs/>
          <w:i/>
          <w:iCs/>
          <w:noProof/>
        </w:rPr>
        <w:t>Commission analysis in the in-depth reviews</w:t>
      </w:r>
    </w:p>
    <w:p w:rsidR="00630C0A" w:rsidRDefault="00961E71">
      <w:pPr>
        <w:spacing w:after="120"/>
        <w:jc w:val="both"/>
        <w:rPr>
          <w:noProof/>
        </w:rPr>
      </w:pPr>
      <w:r>
        <w:rPr>
          <w:b/>
          <w:noProof/>
        </w:rPr>
        <w:t>The in-depth reviews identify the sources of imbalances that need to be monitored.</w:t>
      </w:r>
      <w:r>
        <w:rPr>
          <w:noProof/>
        </w:rPr>
        <w:t xml:space="preserve"> While the assessment of the existence and severity of imbalances concern the overall economy, the main sources of imbalances</w:t>
      </w:r>
      <w:r>
        <w:rPr>
          <w:noProof/>
        </w:rPr>
        <w:t xml:space="preserve"> have been spelled out. The introduction of the MIP Assessment Matrix in 2016 has made that identification more transparent and came in the spirit of enhanced transparency announced in the October 2015 Commission Communication (see next section).</w:t>
      </w:r>
      <w:bookmarkStart w:id="106" w:name="_Ref9354471"/>
      <w:r>
        <w:rPr>
          <w:noProof/>
          <w:vertAlign w:val="superscript"/>
        </w:rPr>
        <w:footnoteReference w:id="70"/>
      </w:r>
      <w:bookmarkEnd w:id="106"/>
    </w:p>
    <w:p w:rsidR="00630C0A" w:rsidRDefault="00961E71">
      <w:pPr>
        <w:spacing w:after="120"/>
        <w:jc w:val="both"/>
        <w:rPr>
          <w:noProof/>
        </w:rPr>
      </w:pPr>
      <w:r>
        <w:rPr>
          <w:b/>
          <w:bCs/>
          <w:noProof/>
        </w:rPr>
        <w:t xml:space="preserve">The </w:t>
      </w:r>
      <w:r>
        <w:rPr>
          <w:b/>
          <w:bCs/>
          <w:noProof/>
        </w:rPr>
        <w:t>Commission has developed a broad spectrum of analytical tools in its MIP analysis.</w:t>
      </w:r>
      <w:r>
        <w:rPr>
          <w:noProof/>
        </w:rPr>
        <w:t xml:space="preserve"> Those tools help qualifying selected developments and assessing their drivers, going beyond the one-size-fits-all approach of the scoreboard thresholds and taking into accou</w:t>
      </w:r>
      <w:r>
        <w:rPr>
          <w:noProof/>
        </w:rPr>
        <w:t xml:space="preserve">nt country specificities. The tools are mainly used to assess the evolution of a number of variables, including their sustainability, also with a view to inferring about underlying vulnerabilities and adjustment needs. Areas covered currently include: </w:t>
      </w:r>
    </w:p>
    <w:p w:rsidR="00630C0A" w:rsidRDefault="00961E71">
      <w:pPr>
        <w:numPr>
          <w:ilvl w:val="0"/>
          <w:numId w:val="36"/>
        </w:numPr>
        <w:spacing w:after="120"/>
        <w:jc w:val="both"/>
        <w:rPr>
          <w:noProof/>
        </w:rPr>
      </w:pPr>
      <w:r>
        <w:rPr>
          <w:noProof/>
        </w:rPr>
        <w:t>Ext</w:t>
      </w:r>
      <w:r>
        <w:rPr>
          <w:noProof/>
        </w:rPr>
        <w:t>ernal sustainability: cyclically-adjusted current account balances, current account balances based on the economy’s fundamentals ("norms"), and balances taking into account the implications for the net international investment positions (NIIP); NIIP levels</w:t>
      </w:r>
      <w:r>
        <w:rPr>
          <w:noProof/>
        </w:rPr>
        <w:t xml:space="preserve"> predicted on the basis of fundamentals and levels suggested by prudential concerns;</w:t>
      </w:r>
    </w:p>
    <w:p w:rsidR="00630C0A" w:rsidRDefault="00961E71">
      <w:pPr>
        <w:numPr>
          <w:ilvl w:val="0"/>
          <w:numId w:val="36"/>
        </w:numPr>
        <w:spacing w:after="120"/>
        <w:jc w:val="both"/>
        <w:rPr>
          <w:noProof/>
        </w:rPr>
      </w:pPr>
      <w:r>
        <w:rPr>
          <w:noProof/>
        </w:rPr>
        <w:t>Private debt (households and non-financial corporations): levels predicted on the basis of fundamentals and levels suggested by prudential concerns and subsequent implicat</w:t>
      </w:r>
      <w:r>
        <w:rPr>
          <w:noProof/>
        </w:rPr>
        <w:t>ions for estimated deleveraging needs;</w:t>
      </w:r>
    </w:p>
    <w:p w:rsidR="00630C0A" w:rsidRDefault="00961E71">
      <w:pPr>
        <w:numPr>
          <w:ilvl w:val="0"/>
          <w:numId w:val="36"/>
        </w:numPr>
        <w:spacing w:after="120"/>
        <w:jc w:val="both"/>
        <w:rPr>
          <w:noProof/>
        </w:rPr>
      </w:pPr>
      <w:r>
        <w:rPr>
          <w:noProof/>
        </w:rPr>
        <w:t>Housing prices: benchmarks are used to infer about possible over/undervaluation of housing;</w:t>
      </w:r>
    </w:p>
    <w:p w:rsidR="00630C0A" w:rsidRDefault="00961E71">
      <w:pPr>
        <w:numPr>
          <w:ilvl w:val="0"/>
          <w:numId w:val="36"/>
        </w:numPr>
        <w:spacing w:after="120"/>
        <w:jc w:val="both"/>
        <w:rPr>
          <w:noProof/>
        </w:rPr>
      </w:pPr>
      <w:r>
        <w:rPr>
          <w:noProof/>
        </w:rPr>
        <w:t>Spill-overs, with general equilibrium modelling approaches being followed for the five largest euro area Member States.</w:t>
      </w:r>
      <w:r>
        <w:rPr>
          <w:noProof/>
          <w:vertAlign w:val="superscript"/>
        </w:rPr>
        <w:footnoteReference w:id="71"/>
      </w:r>
    </w:p>
    <w:p w:rsidR="00630C0A" w:rsidRDefault="00961E71">
      <w:pPr>
        <w:spacing w:after="120"/>
        <w:jc w:val="both"/>
        <w:rPr>
          <w:noProof/>
        </w:rPr>
      </w:pPr>
      <w:r>
        <w:rPr>
          <w:b/>
          <w:bCs/>
          <w:noProof/>
        </w:rPr>
        <w:t xml:space="preserve">The </w:t>
      </w:r>
      <w:r>
        <w:rPr>
          <w:b/>
          <w:bCs/>
          <w:noProof/>
        </w:rPr>
        <w:t>use of a common set of analytical tools allows a deeper analysis while maintaining consistency across Member States.</w:t>
      </w:r>
      <w:r>
        <w:rPr>
          <w:noProof/>
        </w:rPr>
        <w:t xml:space="preserve"> Before being applied, the tools are disclosed to and discussed in Council Committees mainly through the LIME working group of the EPC. The </w:t>
      </w:r>
      <w:r>
        <w:rPr>
          <w:noProof/>
        </w:rPr>
        <w:t xml:space="preserve">tools follow state-of-the-art methodologies and are regularly updated. </w:t>
      </w:r>
    </w:p>
    <w:p w:rsidR="00630C0A" w:rsidRDefault="00630C0A">
      <w:pPr>
        <w:spacing w:after="120"/>
        <w:jc w:val="both"/>
        <w:rPr>
          <w:noProof/>
        </w:rPr>
      </w:pPr>
    </w:p>
    <w:p w:rsidR="00630C0A" w:rsidRDefault="00961E71">
      <w:pPr>
        <w:spacing w:after="200" w:line="276" w:lineRule="auto"/>
        <w:rPr>
          <w:b/>
          <w:bCs/>
          <w:i/>
          <w:iCs/>
          <w:noProof/>
        </w:rPr>
      </w:pPr>
      <w:r>
        <w:rPr>
          <w:b/>
          <w:bCs/>
          <w:i/>
          <w:iCs/>
          <w:noProof/>
        </w:rPr>
        <w:br w:type="page"/>
      </w:r>
    </w:p>
    <w:p w:rsidR="00630C0A" w:rsidRDefault="00961E71">
      <w:pPr>
        <w:spacing w:after="120"/>
        <w:rPr>
          <w:b/>
          <w:bCs/>
          <w:noProof/>
        </w:rPr>
      </w:pPr>
      <w:r>
        <w:rPr>
          <w:b/>
          <w:bCs/>
          <w:i/>
          <w:iCs/>
          <w:noProof/>
        </w:rPr>
        <w:t xml:space="preserve">Classification of imbalances </w:t>
      </w:r>
    </w:p>
    <w:p w:rsidR="00630C0A" w:rsidRDefault="00961E71">
      <w:pPr>
        <w:spacing w:after="120"/>
        <w:jc w:val="both"/>
        <w:rPr>
          <w:noProof/>
        </w:rPr>
      </w:pPr>
      <w:r>
        <w:rPr>
          <w:b/>
          <w:bCs/>
          <w:noProof/>
        </w:rPr>
        <w:t xml:space="preserve">The Commission streamlined the categorisation of imbalances in 2016. </w:t>
      </w:r>
      <w:r>
        <w:rPr>
          <w:noProof/>
        </w:rPr>
        <w:t>Until 2015, up to six categories of imbalances were used not only to reflect the t</w:t>
      </w:r>
      <w:r>
        <w:rPr>
          <w:noProof/>
        </w:rPr>
        <w:t>hree-category framework stipulated by Regulation No 1176/2011 ("no imbalances", "imbalances", "excessive imbalances"), but also to better reflect different needs of policy action and monitoring. Amidst efforts to enhance transparency, clarity, and stabilit</w:t>
      </w:r>
      <w:r>
        <w:rPr>
          <w:noProof/>
        </w:rPr>
        <w:t>y, in October 2015, the Commission committed to stabilise the categorisation of imbalances.</w:t>
      </w:r>
      <w:r>
        <w:rPr>
          <w:noProof/>
          <w:vertAlign w:val="superscript"/>
        </w:rPr>
        <w:footnoteReference w:id="72"/>
      </w:r>
      <w:r>
        <w:rPr>
          <w:noProof/>
        </w:rPr>
        <w:t xml:space="preserve"> In spring 2016, the MIP categories were streamlined to four: "no imbalances", "imbalances", "excessive imbalances", and "excessive imbalances with corrective actio</w:t>
      </w:r>
      <w:r>
        <w:rPr>
          <w:noProof/>
        </w:rPr>
        <w:t xml:space="preserve">n" (i.e., the opening of the EIP), which have been stable since then (see MIP Compendium, section 4.3.3). </w:t>
      </w:r>
    </w:p>
    <w:p w:rsidR="00630C0A" w:rsidRDefault="00961E71">
      <w:pPr>
        <w:spacing w:after="120"/>
        <w:jc w:val="both"/>
        <w:rPr>
          <w:noProof/>
        </w:rPr>
      </w:pPr>
      <w:bookmarkStart w:id="107" w:name="categ"/>
      <w:bookmarkEnd w:id="107"/>
      <w:r>
        <w:rPr>
          <w:b/>
          <w:bCs/>
          <w:noProof/>
        </w:rPr>
        <w:t>The format of the in-depth reviews has changed over time.</w:t>
      </w:r>
      <w:r>
        <w:rPr>
          <w:noProof/>
        </w:rPr>
        <w:t xml:space="preserve"> Until 2014, the in-depth reviews were self-standing documents published as Commission Staff</w:t>
      </w:r>
      <w:r>
        <w:rPr>
          <w:noProof/>
        </w:rPr>
        <w:t xml:space="preserve"> Working Documents. While that allowed for a fully-fledged assessment, it also partially overlapped with other documents in the European Semester. Therefore, in 2015, they became part of the Commission's Country Reports, which are also Staff Working Docume</w:t>
      </w:r>
      <w:r>
        <w:rPr>
          <w:noProof/>
        </w:rPr>
        <w:t>nts, with the aim of further integrating surveillance and ensuring consistency of diagnoses. As of 2016, to safeguard the MIP and to identify the in-depth review in the Country Reports, the main elements of the analysis of the in-depth reviews have been su</w:t>
      </w:r>
      <w:r>
        <w:rPr>
          <w:noProof/>
        </w:rPr>
        <w:t xml:space="preserve">mmarised in a separate chapter of the Country Report. Also as of 2016, the findings and rationale have been summarised in a synthetic table to improve transparency. The so-called </w:t>
      </w:r>
      <w:r>
        <w:rPr>
          <w:i/>
          <w:noProof/>
        </w:rPr>
        <w:t>MIP</w:t>
      </w:r>
      <w:r>
        <w:rPr>
          <w:noProof/>
        </w:rPr>
        <w:t xml:space="preserve"> </w:t>
      </w:r>
      <w:r>
        <w:rPr>
          <w:i/>
          <w:noProof/>
        </w:rPr>
        <w:t>Assessment Matrix</w:t>
      </w:r>
      <w:r>
        <w:rPr>
          <w:noProof/>
        </w:rPr>
        <w:t xml:space="preserve"> lists the sources of imbalances and adjustment issues, </w:t>
      </w:r>
      <w:r>
        <w:rPr>
          <w:noProof/>
        </w:rPr>
        <w:t>reports the main findings regarding the gravity of identified challenges, the evolution of risks, and the relevant policy responses taken by the authorities and remaining policy gaps. This concise repository of information has enhanced transparency and com</w:t>
      </w:r>
      <w:r>
        <w:rPr>
          <w:noProof/>
        </w:rPr>
        <w:t xml:space="preserve">munication across countries and over time. </w:t>
      </w:r>
    </w:p>
    <w:p w:rsidR="00630C0A" w:rsidRDefault="00961E71">
      <w:pPr>
        <w:spacing w:after="120"/>
        <w:jc w:val="both"/>
        <w:rPr>
          <w:noProof/>
        </w:rPr>
      </w:pPr>
      <w:r>
        <w:rPr>
          <w:b/>
          <w:bCs/>
          <w:noProof/>
        </w:rPr>
        <w:t>The conclusions of the in-depth reviews have been reported in a Commission Communication.</w:t>
      </w:r>
      <w:r>
        <w:rPr>
          <w:noProof/>
        </w:rPr>
        <w:t xml:space="preserve"> The in-depth reviews have presented the technical assessment, while the conclusions on the existence and severity of imbal</w:t>
      </w:r>
      <w:r>
        <w:rPr>
          <w:noProof/>
        </w:rPr>
        <w:t>ances have been reported in an accompanying Commission Communication. That practice ensures consistency on the classification across Member States and allows taking better account of systemic aspects, including spill-overs and the overall context.</w:t>
      </w:r>
    </w:p>
    <w:p w:rsidR="00630C0A" w:rsidRDefault="00630C0A">
      <w:pPr>
        <w:spacing w:after="120"/>
        <w:jc w:val="both"/>
        <w:rPr>
          <w:noProof/>
        </w:rPr>
      </w:pPr>
    </w:p>
    <w:p w:rsidR="00630C0A" w:rsidRDefault="00961E71">
      <w:pPr>
        <w:spacing w:after="120"/>
        <w:jc w:val="both"/>
        <w:rPr>
          <w:b/>
          <w:bCs/>
          <w:noProof/>
        </w:rPr>
      </w:pPr>
      <w:r>
        <w:rPr>
          <w:b/>
          <w:bCs/>
          <w:i/>
          <w:iCs/>
          <w:noProof/>
        </w:rPr>
        <w:t>Findings from the in-depth reviews</w:t>
      </w:r>
    </w:p>
    <w:p w:rsidR="00630C0A" w:rsidRDefault="00961E71">
      <w:pPr>
        <w:spacing w:after="120"/>
        <w:jc w:val="both"/>
        <w:rPr>
          <w:noProof/>
        </w:rPr>
      </w:pPr>
      <w:r>
        <w:rPr>
          <w:b/>
          <w:bCs/>
          <w:noProof/>
        </w:rPr>
        <w:t>The number of Member States identified with imbalances or excessive imbalances has evolved as result of the changing severity of risks.</w:t>
      </w:r>
      <w:r>
        <w:rPr>
          <w:noProof/>
        </w:rPr>
        <w:t xml:space="preserve"> That in turn has been owed to the evolution of the economic situation or the policy a</w:t>
      </w:r>
      <w:r>
        <w:rPr>
          <w:noProof/>
        </w:rPr>
        <w:t xml:space="preserve">ction taken by the Member States concerned to tackle those risks. </w:t>
      </w:r>
    </w:p>
    <w:p w:rsidR="00630C0A" w:rsidRDefault="00961E71">
      <w:pPr>
        <w:numPr>
          <w:ilvl w:val="0"/>
          <w:numId w:val="37"/>
        </w:numPr>
        <w:spacing w:after="120"/>
        <w:jc w:val="both"/>
        <w:rPr>
          <w:noProof/>
        </w:rPr>
      </w:pPr>
      <w:r>
        <w:rPr>
          <w:noProof/>
        </w:rPr>
        <w:t>On the one hand, the reduction of macroeconomic risks led more Member States into the MIP because some of them transitioned into MIP surveillance once their macroeconomic adjustment program</w:t>
      </w:r>
      <w:r>
        <w:rPr>
          <w:noProof/>
        </w:rPr>
        <w:t>mes ended between 2013 and 2016 (Ireland, Portugal, Romania, Cyprus) and were identified as experiencing imbalances (or excessive imbalances). The same applied to Greece in 2019. After its accession to the Union in 2013, Croatia was also identified with ex</w:t>
      </w:r>
      <w:r>
        <w:rPr>
          <w:noProof/>
        </w:rPr>
        <w:t>cessive imbalances.</w:t>
      </w:r>
    </w:p>
    <w:p w:rsidR="00630C0A" w:rsidRDefault="00961E71">
      <w:pPr>
        <w:numPr>
          <w:ilvl w:val="0"/>
          <w:numId w:val="37"/>
        </w:numPr>
        <w:spacing w:after="120"/>
        <w:jc w:val="both"/>
        <w:rPr>
          <w:noProof/>
        </w:rPr>
      </w:pPr>
      <w:r>
        <w:rPr>
          <w:noProof/>
        </w:rPr>
        <w:t>On the other hand, notably after the economic recovery became more widespread, reduced macroeconomic risks coincided with the exit or de-escalation of Member States already under the MIP. This was the case in 2016 for four Member States</w:t>
      </w:r>
      <w:r>
        <w:rPr>
          <w:noProof/>
        </w:rPr>
        <w:t xml:space="preserve"> that were found to be no longer experiencing imbalances (Belgium, Hungary, Romania, and the United Kingdom).</w:t>
      </w:r>
    </w:p>
    <w:p w:rsidR="00630C0A" w:rsidRDefault="00961E71">
      <w:pPr>
        <w:numPr>
          <w:ilvl w:val="0"/>
          <w:numId w:val="37"/>
        </w:numPr>
        <w:spacing w:after="120"/>
        <w:jc w:val="both"/>
        <w:rPr>
          <w:noProof/>
        </w:rPr>
      </w:pPr>
      <w:r>
        <w:rPr>
          <w:noProof/>
        </w:rPr>
        <w:t>A number of Member States exited or were de-escalated under the MIP surveillance also on the basis of policies they took that improved the forward</w:t>
      </w:r>
      <w:r>
        <w:rPr>
          <w:noProof/>
        </w:rPr>
        <w:t>-looking assessment of risks.</w:t>
      </w:r>
    </w:p>
    <w:p w:rsidR="00630C0A" w:rsidRDefault="00961E71">
      <w:pPr>
        <w:numPr>
          <w:ilvl w:val="0"/>
          <w:numId w:val="37"/>
        </w:numPr>
        <w:spacing w:after="120"/>
        <w:jc w:val="both"/>
        <w:rPr>
          <w:noProof/>
        </w:rPr>
      </w:pPr>
      <w:r>
        <w:rPr>
          <w:noProof/>
        </w:rPr>
        <w:t>As some imbalances tend to be persistent phenomena, a number of Member States have continued to be marked by imbalances or excessive imbalances.</w:t>
      </w:r>
    </w:p>
    <w:p w:rsidR="00630C0A" w:rsidRDefault="00630C0A">
      <w:pPr>
        <w:spacing w:after="120"/>
        <w:jc w:val="both"/>
        <w:rPr>
          <w:noProof/>
        </w:rPr>
      </w:pPr>
    </w:p>
    <w:p w:rsidR="00630C0A" w:rsidRDefault="00961E71">
      <w:pPr>
        <w:spacing w:after="120"/>
        <w:jc w:val="center"/>
        <w:rPr>
          <w:b/>
          <w:bCs/>
          <w:noProof/>
          <w:lang w:val="fr-BE"/>
        </w:rPr>
      </w:pPr>
      <w:r>
        <w:rPr>
          <w:b/>
          <w:bCs/>
          <w:noProof/>
          <w:lang w:val="fr-BE"/>
        </w:rPr>
        <w:t xml:space="preserve">Graph </w:t>
      </w:r>
      <w:r>
        <w:rPr>
          <w:noProof/>
        </w:rPr>
        <w:fldChar w:fldCharType="begin"/>
      </w:r>
      <w:r>
        <w:rPr>
          <w:b/>
          <w:iCs/>
          <w:noProof/>
          <w:lang w:val="fr-BE"/>
        </w:rPr>
        <w:instrText xml:space="preserve"> SEQ Graph \* ARABIC </w:instrText>
      </w:r>
      <w:r>
        <w:rPr>
          <w:b/>
          <w:iCs/>
          <w:noProof/>
          <w:lang w:val="fr-BE"/>
        </w:rPr>
        <w:fldChar w:fldCharType="separate"/>
      </w:r>
      <w:r>
        <w:rPr>
          <w:b/>
          <w:iCs/>
          <w:noProof/>
          <w:lang w:val="fr-BE"/>
        </w:rPr>
        <w:t>10</w:t>
      </w:r>
      <w:r>
        <w:rPr>
          <w:noProof/>
        </w:rPr>
        <w:fldChar w:fldCharType="end"/>
      </w:r>
      <w:r>
        <w:rPr>
          <w:b/>
          <w:bCs/>
          <w:noProof/>
          <w:lang w:val="fr-BE"/>
        </w:rPr>
        <w:t>: Macroeconomic Imbalances</w:t>
      </w:r>
    </w:p>
    <w:p w:rsidR="00630C0A" w:rsidRDefault="00961E71">
      <w:pPr>
        <w:jc w:val="center"/>
        <w:rPr>
          <w:b/>
          <w:bCs/>
          <w:noProof/>
          <w:lang w:val="fr-BE"/>
        </w:rPr>
      </w:pPr>
      <w:r>
        <w:rPr>
          <w:noProof/>
        </w:rPr>
        <w:drawing>
          <wp:inline distT="0" distB="0" distL="0" distR="0">
            <wp:extent cx="4387850" cy="23749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7850" cy="2374900"/>
                    </a:xfrm>
                    <a:prstGeom prst="rect">
                      <a:avLst/>
                    </a:prstGeom>
                    <a:noFill/>
                    <a:ln>
                      <a:noFill/>
                    </a:ln>
                  </pic:spPr>
                </pic:pic>
              </a:graphicData>
            </a:graphic>
          </wp:inline>
        </w:drawing>
      </w:r>
    </w:p>
    <w:p w:rsidR="00630C0A" w:rsidRDefault="00961E71">
      <w:pPr>
        <w:jc w:val="both"/>
        <w:rPr>
          <w:i/>
          <w:iCs/>
          <w:noProof/>
          <w:sz w:val="20"/>
          <w:szCs w:val="20"/>
        </w:rPr>
      </w:pPr>
      <w:r>
        <w:rPr>
          <w:i/>
          <w:iCs/>
          <w:noProof/>
          <w:sz w:val="20"/>
          <w:szCs w:val="20"/>
        </w:rPr>
        <w:t xml:space="preserve">Note: Categories </w:t>
      </w:r>
      <w:r>
        <w:rPr>
          <w:i/>
          <w:iCs/>
          <w:noProof/>
          <w:sz w:val="20"/>
          <w:szCs w:val="20"/>
        </w:rPr>
        <w:t>used in 2012 are not directly comparable to those used in subsequent years (see MIP Compendium, section 4.3.3) and thereby they are not included in this figure.</w:t>
      </w:r>
    </w:p>
    <w:p w:rsidR="00630C0A" w:rsidRDefault="00961E71">
      <w:pPr>
        <w:spacing w:after="120"/>
        <w:jc w:val="both"/>
        <w:rPr>
          <w:i/>
          <w:iCs/>
          <w:noProof/>
          <w:sz w:val="20"/>
          <w:szCs w:val="20"/>
        </w:rPr>
      </w:pPr>
      <w:r>
        <w:rPr>
          <w:i/>
          <w:iCs/>
          <w:noProof/>
          <w:sz w:val="20"/>
          <w:szCs w:val="20"/>
        </w:rPr>
        <w:t>Source: European Commission</w:t>
      </w:r>
    </w:p>
    <w:p w:rsidR="00630C0A" w:rsidRDefault="00630C0A">
      <w:pPr>
        <w:spacing w:after="120"/>
        <w:jc w:val="both"/>
        <w:rPr>
          <w:b/>
          <w:noProof/>
        </w:rPr>
      </w:pPr>
    </w:p>
    <w:p w:rsidR="00630C0A" w:rsidRDefault="00961E71">
      <w:pPr>
        <w:spacing w:after="120"/>
        <w:jc w:val="both"/>
        <w:rPr>
          <w:bCs/>
          <w:noProof/>
        </w:rPr>
      </w:pPr>
      <w:r>
        <w:rPr>
          <w:b/>
          <w:bCs/>
          <w:noProof/>
        </w:rPr>
        <w:t>There has been broad consensus on the findings from the in-depth r</w:t>
      </w:r>
      <w:r>
        <w:rPr>
          <w:b/>
          <w:bCs/>
          <w:noProof/>
        </w:rPr>
        <w:t xml:space="preserve">eviews. </w:t>
      </w:r>
      <w:r>
        <w:rPr>
          <w:noProof/>
        </w:rPr>
        <w:t>As with the Alert Mechanism Report, the in-depth reviews are discussed by Member States at the Council preparatory committees, including the EPC and its LIME working group. In addition, the proposed categorisation of imbalances is subject to a dial</w:t>
      </w:r>
      <w:r>
        <w:rPr>
          <w:noProof/>
        </w:rPr>
        <w:t>ogue with Member States, with the ECOFIN Council eventually adopting conclusions. While borderlines cases are discussed, the Council has regularly endorsed the Commission categorisation of imbalances.</w:t>
      </w:r>
      <w:r>
        <w:rPr>
          <w:b/>
          <w:bCs/>
          <w:noProof/>
        </w:rPr>
        <w:t xml:space="preserve"> </w:t>
      </w:r>
      <w:r>
        <w:rPr>
          <w:noProof/>
        </w:rPr>
        <w:t>Nonetheless, some doubts on the Commission decisions re</w:t>
      </w:r>
      <w:r>
        <w:rPr>
          <w:noProof/>
        </w:rPr>
        <w:t>garding the classification of imbalances have been expressed publicly. For instance, the European Court of Auditors in its report on the MIP finds that the evidence contained in the 2016 in-depth review for France does not obviously signal an aggravation o</w:t>
      </w:r>
      <w:r>
        <w:rPr>
          <w:noProof/>
        </w:rPr>
        <w:t>f risks requiring the escalation from imbalances to excessive imbalances as decided by the Commission in 2016.</w:t>
      </w:r>
    </w:p>
    <w:p w:rsidR="00630C0A" w:rsidRDefault="00630C0A">
      <w:pPr>
        <w:rPr>
          <w:noProof/>
        </w:rPr>
      </w:pPr>
      <w:bookmarkStart w:id="108" w:name="_Toc11351328"/>
      <w:bookmarkStart w:id="109" w:name="_Toc7774478"/>
      <w:bookmarkStart w:id="110" w:name="_Toc27126035"/>
      <w:bookmarkStart w:id="111" w:name="_Toc27127247"/>
      <w:bookmarkStart w:id="112" w:name="_Toc27132110"/>
      <w:bookmarkStart w:id="113" w:name="_Toc27145695"/>
      <w:bookmarkStart w:id="114" w:name="_Toc27146169"/>
      <w:bookmarkStart w:id="115" w:name="_Toc27156968"/>
      <w:bookmarkStart w:id="116" w:name="_Toc27158130"/>
    </w:p>
    <w:p w:rsidR="00630C0A" w:rsidRDefault="00961E71">
      <w:pPr>
        <w:pStyle w:val="Heading3"/>
        <w:numPr>
          <w:ilvl w:val="2"/>
          <w:numId w:val="0"/>
        </w:numPr>
        <w:ind w:left="360"/>
        <w:rPr>
          <w:noProof/>
        </w:rPr>
      </w:pPr>
      <w:bookmarkStart w:id="117" w:name="_Toc31115868"/>
      <w:r>
        <w:rPr>
          <w:noProof/>
        </w:rPr>
        <w:t xml:space="preserve">3.2.3 </w:t>
      </w:r>
      <w:bookmarkEnd w:id="108"/>
      <w:bookmarkEnd w:id="109"/>
      <w:bookmarkEnd w:id="110"/>
      <w:bookmarkEnd w:id="111"/>
      <w:bookmarkEnd w:id="112"/>
      <w:bookmarkEnd w:id="113"/>
      <w:bookmarkEnd w:id="114"/>
      <w:bookmarkEnd w:id="115"/>
      <w:bookmarkEnd w:id="116"/>
      <w:r>
        <w:rPr>
          <w:noProof/>
        </w:rPr>
        <w:t>Recommendation, monitoring, and enforcement</w:t>
      </w:r>
      <w:bookmarkEnd w:id="117"/>
    </w:p>
    <w:p w:rsidR="00630C0A" w:rsidRDefault="00961E71">
      <w:pPr>
        <w:spacing w:after="120"/>
        <w:rPr>
          <w:b/>
          <w:bCs/>
          <w:noProof/>
        </w:rPr>
      </w:pPr>
      <w:bookmarkStart w:id="118" w:name="_Ref8845543"/>
      <w:r>
        <w:rPr>
          <w:b/>
          <w:bCs/>
          <w:i/>
          <w:iCs/>
          <w:noProof/>
        </w:rPr>
        <w:t>Policy recommendations</w:t>
      </w:r>
      <w:bookmarkEnd w:id="118"/>
    </w:p>
    <w:p w:rsidR="00630C0A" w:rsidRDefault="00961E71">
      <w:pPr>
        <w:spacing w:after="120"/>
        <w:jc w:val="both"/>
        <w:rPr>
          <w:noProof/>
        </w:rPr>
      </w:pPr>
      <w:r>
        <w:rPr>
          <w:b/>
          <w:bCs/>
          <w:noProof/>
        </w:rPr>
        <w:t>Member States experiencing imbalances or excessive imbalances have rece</w:t>
      </w:r>
      <w:r>
        <w:rPr>
          <w:b/>
          <w:bCs/>
          <w:noProof/>
        </w:rPr>
        <w:t>ived more policy recommendations than other Member States.</w:t>
      </w:r>
      <w:r>
        <w:rPr>
          <w:noProof/>
        </w:rPr>
        <w:t xml:space="preserve"> In particular, this holds for Member States identified with excessive imbalances. That difference became even stronger after the streamlining of the country-specific recommendations (CSRs) in 2015 </w:t>
      </w:r>
      <w:r>
        <w:rPr>
          <w:noProof/>
        </w:rPr>
        <w:t xml:space="preserve">(see </w:t>
      </w:r>
      <w:r>
        <w:rPr>
          <w:noProof/>
        </w:rPr>
        <w:fldChar w:fldCharType="begin"/>
      </w:r>
      <w:r>
        <w:rPr>
          <w:noProof/>
        </w:rPr>
        <w:instrText xml:space="preserve"> REF _Ref26370843 \h  \* MERGEFORMAT </w:instrText>
      </w:r>
      <w:r>
        <w:rPr>
          <w:noProof/>
        </w:rPr>
      </w:r>
      <w:r>
        <w:rPr>
          <w:noProof/>
        </w:rPr>
        <w:fldChar w:fldCharType="separate"/>
      </w:r>
      <w:r>
        <w:rPr>
          <w:noProof/>
        </w:rPr>
        <w:t>Graph 11</w:t>
      </w:r>
      <w:r>
        <w:rPr>
          <w:noProof/>
        </w:rPr>
        <w:fldChar w:fldCharType="end"/>
      </w:r>
      <w:r>
        <w:rPr>
          <w:noProof/>
        </w:rPr>
        <w:t>).</w:t>
      </w:r>
      <w:r>
        <w:rPr>
          <w:noProof/>
          <w:vertAlign w:val="superscript"/>
        </w:rPr>
        <w:footnoteReference w:id="73"/>
      </w:r>
      <w:r>
        <w:rPr>
          <w:noProof/>
        </w:rPr>
        <w:t xml:space="preserve"> The higher number of policy recommendations for those Member States is justified by the additional challenges they face.</w:t>
      </w:r>
    </w:p>
    <w:p w:rsidR="00630C0A" w:rsidRDefault="00630C0A">
      <w:pPr>
        <w:spacing w:after="120"/>
        <w:jc w:val="both"/>
        <w:rPr>
          <w:noProof/>
        </w:rPr>
      </w:pPr>
    </w:p>
    <w:p w:rsidR="00630C0A" w:rsidRDefault="00961E71">
      <w:pPr>
        <w:spacing w:after="120"/>
        <w:jc w:val="center"/>
        <w:rPr>
          <w:b/>
          <w:bCs/>
          <w:noProof/>
        </w:rPr>
      </w:pPr>
      <w:bookmarkStart w:id="119" w:name="_Ref26370843"/>
      <w:bookmarkStart w:id="120" w:name="_Ref26370838"/>
      <w:r>
        <w:rPr>
          <w:b/>
          <w:bCs/>
          <w:noProof/>
        </w:rPr>
        <w:t xml:space="preserve">Graph </w:t>
      </w:r>
      <w:r>
        <w:rPr>
          <w:noProof/>
        </w:rPr>
        <w:fldChar w:fldCharType="begin"/>
      </w:r>
      <w:r>
        <w:rPr>
          <w:b/>
          <w:iCs/>
          <w:noProof/>
        </w:rPr>
        <w:instrText xml:space="preserve"> SEQ Gr</w:instrText>
      </w:r>
      <w:r>
        <w:rPr>
          <w:b/>
          <w:iCs/>
          <w:noProof/>
        </w:rPr>
        <w:instrText xml:space="preserve">aph \* ARABIC </w:instrText>
      </w:r>
      <w:r>
        <w:rPr>
          <w:b/>
          <w:iCs/>
          <w:noProof/>
        </w:rPr>
        <w:fldChar w:fldCharType="separate"/>
      </w:r>
      <w:r>
        <w:rPr>
          <w:b/>
          <w:iCs/>
          <w:noProof/>
        </w:rPr>
        <w:t>11</w:t>
      </w:r>
      <w:r>
        <w:rPr>
          <w:noProof/>
        </w:rPr>
        <w:fldChar w:fldCharType="end"/>
      </w:r>
      <w:bookmarkEnd w:id="119"/>
      <w:r>
        <w:rPr>
          <w:b/>
          <w:bCs/>
          <w:noProof/>
        </w:rPr>
        <w:t>: Average number of CSR subparts per Member State per MIP status</w:t>
      </w:r>
      <w:bookmarkEnd w:id="120"/>
    </w:p>
    <w:p w:rsidR="00630C0A" w:rsidRDefault="00961E71">
      <w:pPr>
        <w:spacing w:after="120"/>
        <w:jc w:val="center"/>
        <w:rPr>
          <w:i/>
          <w:iCs/>
          <w:noProof/>
        </w:rPr>
      </w:pPr>
      <w:r>
        <w:rPr>
          <w:iCs/>
          <w:noProof/>
        </w:rPr>
        <w:drawing>
          <wp:inline distT="0" distB="0" distL="0" distR="0">
            <wp:extent cx="2865755" cy="2330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5755" cy="2330450"/>
                    </a:xfrm>
                    <a:prstGeom prst="rect">
                      <a:avLst/>
                    </a:prstGeom>
                    <a:noFill/>
                    <a:ln>
                      <a:noFill/>
                    </a:ln>
                  </pic:spPr>
                </pic:pic>
              </a:graphicData>
            </a:graphic>
          </wp:inline>
        </w:drawing>
      </w:r>
    </w:p>
    <w:p w:rsidR="00630C0A" w:rsidRDefault="00961E71">
      <w:pPr>
        <w:spacing w:after="120"/>
        <w:jc w:val="center"/>
        <w:rPr>
          <w:i/>
          <w:iCs/>
          <w:noProof/>
          <w:sz w:val="20"/>
          <w:szCs w:val="20"/>
        </w:rPr>
      </w:pPr>
      <w:r>
        <w:rPr>
          <w:i/>
          <w:iCs/>
          <w:noProof/>
          <w:sz w:val="20"/>
          <w:szCs w:val="20"/>
        </w:rPr>
        <w:t>Source: European Commission</w:t>
      </w:r>
    </w:p>
    <w:p w:rsidR="00630C0A" w:rsidRDefault="00630C0A">
      <w:pPr>
        <w:spacing w:after="120"/>
        <w:jc w:val="both"/>
        <w:rPr>
          <w:b/>
          <w:noProof/>
        </w:rPr>
      </w:pPr>
    </w:p>
    <w:p w:rsidR="00630C0A" w:rsidRDefault="00961E71">
      <w:pPr>
        <w:spacing w:after="120"/>
        <w:jc w:val="both"/>
        <w:rPr>
          <w:noProof/>
        </w:rPr>
      </w:pPr>
      <w:r>
        <w:rPr>
          <w:b/>
          <w:noProof/>
        </w:rPr>
        <w:t xml:space="preserve">The MIP-relevant recommendations cover the most pressing challenges. </w:t>
      </w:r>
      <w:r>
        <w:rPr>
          <w:noProof/>
        </w:rPr>
        <w:t>The relevant policy challenges in Member States are identified on the ba</w:t>
      </w:r>
      <w:r>
        <w:rPr>
          <w:noProof/>
        </w:rPr>
        <w:t>sis of the in-depth review analysis. Those recommendations have reflected the policy efforts needed to address imbalances and foster macroeconomic stability. Compared with non-MIP Member States, MIP Member States received more recommendations on macro-fina</w:t>
      </w:r>
      <w:r>
        <w:rPr>
          <w:noProof/>
        </w:rPr>
        <w:t>ncial and macro-structural areas, in particular in areas relating to the financial sector (see also MIP Compendium, Graph 4.5). Recommendations that are relevant from an MIP perspective have been indicated as such in the relevant Commission and Council rec</w:t>
      </w:r>
      <w:r>
        <w:rPr>
          <w:noProof/>
        </w:rPr>
        <w:t>ommendations. The information on the MIP-relevance of the CSRs has been included in the recitals in the preamble of the Commission recommendation for a Council recommendation and of the Council recommendations by listing which CSRs are issued under Article</w:t>
      </w:r>
      <w:r>
        <w:rPr>
          <w:noProof/>
        </w:rPr>
        <w:t xml:space="preserve"> 6 of Regulation No 1176/2011. Since a CSR can incorporate recommendations in different policy fields and as a CSR is "tagged" as MIP relevant in its entirety, it could be the case that MIP-relevant CSRs also include some policy measures not directly aimed</w:t>
      </w:r>
      <w:r>
        <w:rPr>
          <w:noProof/>
        </w:rPr>
        <w:t xml:space="preserve"> at addressing macroeconomic imbalances.</w:t>
      </w:r>
    </w:p>
    <w:p w:rsidR="00630C0A" w:rsidRDefault="00961E71">
      <w:pPr>
        <w:spacing w:after="120"/>
        <w:jc w:val="both"/>
        <w:rPr>
          <w:noProof/>
        </w:rPr>
      </w:pPr>
      <w:r>
        <w:rPr>
          <w:b/>
          <w:bCs/>
          <w:noProof/>
        </w:rPr>
        <w:t>For Member States experiencing imbalances or excessive imbalances, most of the CSRs have been linked to those imbalances.</w:t>
      </w:r>
      <w:r>
        <w:rPr>
          <w:noProof/>
        </w:rPr>
        <w:t xml:space="preserve"> CSRs under the MIP have always been a major share of the total number of CSRs, especially for Member States with excessive imbalances (see </w:t>
      </w:r>
      <w:r>
        <w:rPr>
          <w:noProof/>
        </w:rPr>
        <w:fldChar w:fldCharType="begin"/>
      </w:r>
      <w:r>
        <w:rPr>
          <w:noProof/>
        </w:rPr>
        <w:instrText xml:space="preserve"> REF _Ref26371045 \h  \* MERGEFORMAT </w:instrText>
      </w:r>
      <w:r>
        <w:rPr>
          <w:noProof/>
        </w:rPr>
      </w:r>
      <w:r>
        <w:rPr>
          <w:noProof/>
        </w:rPr>
        <w:fldChar w:fldCharType="separate"/>
      </w:r>
      <w:r>
        <w:rPr>
          <w:noProof/>
        </w:rPr>
        <w:t>Graph 12</w:t>
      </w:r>
      <w:r>
        <w:rPr>
          <w:noProof/>
        </w:rPr>
        <w:fldChar w:fldCharType="end"/>
      </w:r>
      <w:r>
        <w:rPr>
          <w:noProof/>
        </w:rPr>
        <w:t xml:space="preserve">, left panel).² Almost all recommendations relating to the financial sector have been indicated as MIP relevant (see </w:t>
      </w:r>
      <w:r>
        <w:rPr>
          <w:noProof/>
        </w:rPr>
        <w:fldChar w:fldCharType="begin"/>
      </w:r>
      <w:r>
        <w:rPr>
          <w:noProof/>
        </w:rPr>
        <w:instrText xml:space="preserve"> REF _Ref26371045 \h  \* MERGEFORMAT </w:instrText>
      </w:r>
      <w:r>
        <w:rPr>
          <w:noProof/>
        </w:rPr>
      </w:r>
      <w:r>
        <w:rPr>
          <w:noProof/>
        </w:rPr>
        <w:fldChar w:fldCharType="separate"/>
      </w:r>
      <w:r>
        <w:rPr>
          <w:noProof/>
        </w:rPr>
        <w:t>Graph 12</w:t>
      </w:r>
      <w:r>
        <w:rPr>
          <w:noProof/>
        </w:rPr>
        <w:fldChar w:fldCharType="end"/>
      </w:r>
      <w:r>
        <w:rPr>
          <w:noProof/>
        </w:rPr>
        <w:t>, right panel). In other po</w:t>
      </w:r>
      <w:r>
        <w:rPr>
          <w:noProof/>
        </w:rPr>
        <w:t>licy areas less directly linked to macroeconomic stability (e.g., those concerning social issues), a relatively lower share of CSRs were considered MIP-relevant. The share of MIP-relevant CSRs for Member States with imbalances increased with the streamlini</w:t>
      </w:r>
      <w:r>
        <w:rPr>
          <w:noProof/>
        </w:rPr>
        <w:t xml:space="preserve">ng of CSRs around 2015, and it receded somewhat in 2019 reflecting an increasing number of CSRs subparts for all Member States. The fact that a majority of CSRs were considered as MIP-relevant for Member States under MIP surveillance is linked to two main </w:t>
      </w:r>
      <w:r>
        <w:rPr>
          <w:noProof/>
        </w:rPr>
        <w:t xml:space="preserve">reasons. First, CSRs have aimed not only at preventing and correcting imbalances but also at addressing adjustment issues (e.g., addressing the labour market implications of the unwinding of imbalances). Second, some MIP-relevant challenges require policy </w:t>
      </w:r>
      <w:r>
        <w:rPr>
          <w:noProof/>
        </w:rPr>
        <w:t>action on a wide range of policy fields (e.g., restoring competitiveness may require action on a number of fronts including taxation, product and labour markets).</w:t>
      </w:r>
    </w:p>
    <w:p w:rsidR="00630C0A" w:rsidRDefault="00961E71">
      <w:pPr>
        <w:spacing w:after="120"/>
        <w:jc w:val="both"/>
        <w:rPr>
          <w:noProof/>
        </w:rPr>
      </w:pPr>
      <w:r>
        <w:rPr>
          <w:b/>
          <w:bCs/>
          <w:noProof/>
        </w:rPr>
        <w:t>The MIP has usefully complemented other EU surveillance processes.</w:t>
      </w:r>
      <w:r>
        <w:rPr>
          <w:noProof/>
        </w:rPr>
        <w:t xml:space="preserve"> The fact that government d</w:t>
      </w:r>
      <w:r>
        <w:rPr>
          <w:noProof/>
        </w:rPr>
        <w:t>ebt was in some cases considered a source of imbalances did not imply duplications in surveillance. Recommendations aimed at reducing high public debts in the context of SGP surveillance were simply considered to be relevant also from an MIP standpoint for</w:t>
      </w:r>
      <w:r>
        <w:rPr>
          <w:noProof/>
        </w:rPr>
        <w:t xml:space="preserve"> those Member States identified with imbalances that also originate from public debt. A devoted recital in the Commission Communication accompanying its recommendations to the Council for the country-specific recommendations made clear which fiscal recomme</w:t>
      </w:r>
      <w:r>
        <w:rPr>
          <w:noProof/>
        </w:rPr>
        <w:t>ndations originating from the SGP were also relevant from the viewpoint of the MIP. Conversely, Member States under MIP surveillance received also recommendations focusing on longer-term potential growth and productivity issues for high debt countries, whi</w:t>
      </w:r>
      <w:r>
        <w:rPr>
          <w:noProof/>
        </w:rPr>
        <w:t>ch usefully complemented the SGP by providing a surveillance framework to address public finance challenges arising from an insufficient growth potential. In other cases, recommendations to address imbalances in the context of the MIP called for fiscal exp</w:t>
      </w:r>
      <w:r>
        <w:rPr>
          <w:noProof/>
        </w:rPr>
        <w:t xml:space="preserve">ansions, notably with a view to reducing large and persistent current account surpluses, a type of recommendation that could not originate from the SGP, a procedure that is aimed at ensuring fiscal sustainability. Yet the MIP has sometimes been criticised </w:t>
      </w:r>
      <w:r>
        <w:rPr>
          <w:noProof/>
        </w:rPr>
        <w:t>for lacking focus. In particular, it has been criticised that the broad scope of the MIP does not help transparency and may have reduced the effectiveness of the MIP in triggering policy responses.</w:t>
      </w:r>
      <w:r>
        <w:rPr>
          <w:noProof/>
          <w:vertAlign w:val="superscript"/>
        </w:rPr>
        <w:footnoteReference w:id="74"/>
      </w:r>
    </w:p>
    <w:p w:rsidR="00630C0A" w:rsidRDefault="00630C0A">
      <w:pPr>
        <w:spacing w:after="120"/>
        <w:jc w:val="both"/>
        <w:rPr>
          <w:b/>
          <w:iCs/>
          <w:noProof/>
        </w:rPr>
      </w:pPr>
      <w:bookmarkStart w:id="121" w:name="_Ref8401407"/>
      <w:bookmarkStart w:id="122" w:name="_Ref12631815"/>
    </w:p>
    <w:p w:rsidR="00630C0A" w:rsidRDefault="00961E71">
      <w:pPr>
        <w:pStyle w:val="Caption"/>
        <w:keepNext/>
        <w:jc w:val="both"/>
        <w:rPr>
          <w:b/>
          <w:bCs/>
          <w:i w:val="0"/>
          <w:iCs w:val="0"/>
          <w:noProof/>
          <w:color w:val="auto"/>
          <w:sz w:val="24"/>
          <w:szCs w:val="24"/>
        </w:rPr>
      </w:pPr>
      <w:bookmarkStart w:id="123" w:name="_Ref26371045"/>
      <w:bookmarkEnd w:id="121"/>
      <w:bookmarkEnd w:id="122"/>
      <w:r>
        <w:rPr>
          <w:b/>
          <w:bCs/>
          <w:i w:val="0"/>
          <w:iCs w:val="0"/>
          <w:noProof/>
          <w:color w:val="auto"/>
          <w:sz w:val="24"/>
          <w:szCs w:val="24"/>
        </w:rPr>
        <w:t xml:space="preserve">Graph </w:t>
      </w:r>
      <w:r>
        <w:rPr>
          <w:noProof/>
        </w:rPr>
        <w:fldChar w:fldCharType="begin"/>
      </w:r>
      <w:r>
        <w:rPr>
          <w:b/>
          <w:i w:val="0"/>
          <w:noProof/>
          <w:color w:val="auto"/>
          <w:sz w:val="24"/>
          <w:szCs w:val="24"/>
        </w:rPr>
        <w:instrText xml:space="preserve"> SEQ Graph \* ARABIC </w:instrText>
      </w:r>
      <w:r>
        <w:rPr>
          <w:b/>
          <w:i w:val="0"/>
          <w:noProof/>
          <w:color w:val="auto"/>
          <w:sz w:val="24"/>
          <w:szCs w:val="24"/>
        </w:rPr>
        <w:fldChar w:fldCharType="separate"/>
      </w:r>
      <w:r>
        <w:rPr>
          <w:b/>
          <w:i w:val="0"/>
          <w:noProof/>
          <w:color w:val="auto"/>
          <w:sz w:val="24"/>
          <w:szCs w:val="24"/>
        </w:rPr>
        <w:t>12</w:t>
      </w:r>
      <w:r>
        <w:rPr>
          <w:noProof/>
        </w:rPr>
        <w:fldChar w:fldCharType="end"/>
      </w:r>
      <w:bookmarkEnd w:id="123"/>
      <w:r>
        <w:rPr>
          <w:b/>
          <w:bCs/>
          <w:i w:val="0"/>
          <w:iCs w:val="0"/>
          <w:noProof/>
          <w:color w:val="auto"/>
          <w:sz w:val="24"/>
          <w:szCs w:val="24"/>
        </w:rPr>
        <w:t xml:space="preserve">: Share of MIP-relevant </w:t>
      </w:r>
      <w:r>
        <w:rPr>
          <w:b/>
          <w:bCs/>
          <w:i w:val="0"/>
          <w:iCs w:val="0"/>
          <w:noProof/>
          <w:color w:val="auto"/>
          <w:sz w:val="24"/>
          <w:szCs w:val="24"/>
        </w:rPr>
        <w:t>subparts in country-specific recommendations for Member States experiencing imbalances or excessive imbalances</w:t>
      </w:r>
    </w:p>
    <w:tbl>
      <w:tblPr>
        <w:tblW w:w="0" w:type="auto"/>
        <w:tblLook w:val="04A0" w:firstRow="1" w:lastRow="0" w:firstColumn="1" w:lastColumn="0" w:noHBand="0" w:noVBand="1"/>
      </w:tblPr>
      <w:tblGrid>
        <w:gridCol w:w="4431"/>
        <w:gridCol w:w="171"/>
        <w:gridCol w:w="4634"/>
        <w:gridCol w:w="52"/>
      </w:tblGrid>
      <w:tr w:rsidR="00630C0A">
        <w:trPr>
          <w:gridAfter w:val="1"/>
          <w:wAfter w:w="59" w:type="dxa"/>
        </w:trPr>
        <w:tc>
          <w:tcPr>
            <w:tcW w:w="4450" w:type="dxa"/>
            <w:hideMark/>
          </w:tcPr>
          <w:p w:rsidR="00630C0A" w:rsidRDefault="00961E71">
            <w:pPr>
              <w:spacing w:after="120"/>
              <w:jc w:val="both"/>
              <w:rPr>
                <w:b/>
                <w:bCs/>
                <w:noProof/>
              </w:rPr>
            </w:pPr>
            <w:r>
              <w:rPr>
                <w:b/>
                <w:bCs/>
                <w:noProof/>
              </w:rPr>
              <w:t>(a) per MIP category</w:t>
            </w:r>
          </w:p>
        </w:tc>
        <w:tc>
          <w:tcPr>
            <w:tcW w:w="4779" w:type="dxa"/>
            <w:gridSpan w:val="2"/>
            <w:hideMark/>
          </w:tcPr>
          <w:p w:rsidR="00630C0A" w:rsidRDefault="00961E71">
            <w:pPr>
              <w:spacing w:after="120"/>
              <w:jc w:val="both"/>
              <w:rPr>
                <w:b/>
                <w:bCs/>
                <w:noProof/>
              </w:rPr>
            </w:pPr>
            <w:r>
              <w:rPr>
                <w:b/>
                <w:bCs/>
                <w:noProof/>
              </w:rPr>
              <w:t>(b) per policy area (average 2013-2019)</w:t>
            </w:r>
          </w:p>
        </w:tc>
      </w:tr>
      <w:tr w:rsidR="00630C0A">
        <w:tc>
          <w:tcPr>
            <w:tcW w:w="4602" w:type="dxa"/>
            <w:gridSpan w:val="2"/>
            <w:hideMark/>
          </w:tcPr>
          <w:p w:rsidR="00630C0A" w:rsidRDefault="00961E71">
            <w:pPr>
              <w:spacing w:after="120"/>
              <w:jc w:val="both"/>
              <w:rPr>
                <w:noProof/>
              </w:rPr>
            </w:pPr>
            <w:r>
              <w:rPr>
                <w:noProof/>
              </w:rPr>
              <w:drawing>
                <wp:inline distT="0" distB="0" distL="0" distR="0">
                  <wp:extent cx="2821305" cy="23641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21305" cy="2364105"/>
                          </a:xfrm>
                          <a:prstGeom prst="rect">
                            <a:avLst/>
                          </a:prstGeom>
                          <a:noFill/>
                          <a:ln>
                            <a:noFill/>
                          </a:ln>
                        </pic:spPr>
                      </pic:pic>
                    </a:graphicData>
                  </a:graphic>
                </wp:inline>
              </w:drawing>
            </w:r>
          </w:p>
        </w:tc>
        <w:tc>
          <w:tcPr>
            <w:tcW w:w="4686" w:type="dxa"/>
            <w:gridSpan w:val="2"/>
            <w:hideMark/>
          </w:tcPr>
          <w:p w:rsidR="00630C0A" w:rsidRDefault="00961E71">
            <w:pPr>
              <w:spacing w:after="120"/>
              <w:jc w:val="both"/>
              <w:rPr>
                <w:noProof/>
              </w:rPr>
            </w:pPr>
            <w:r>
              <w:rPr>
                <w:noProof/>
              </w:rPr>
              <w:drawing>
                <wp:inline distT="0" distB="0" distL="0" distR="0">
                  <wp:extent cx="2877185" cy="2341880"/>
                  <wp:effectExtent l="0" t="0" r="0" b="127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77185" cy="2341880"/>
                          </a:xfrm>
                          <a:prstGeom prst="rect">
                            <a:avLst/>
                          </a:prstGeom>
                          <a:noFill/>
                          <a:ln>
                            <a:noFill/>
                          </a:ln>
                        </pic:spPr>
                      </pic:pic>
                    </a:graphicData>
                  </a:graphic>
                </wp:inline>
              </w:drawing>
            </w:r>
          </w:p>
        </w:tc>
      </w:tr>
    </w:tbl>
    <w:p w:rsidR="00630C0A" w:rsidRDefault="00961E71">
      <w:pPr>
        <w:spacing w:after="120"/>
        <w:jc w:val="both"/>
        <w:rPr>
          <w:i/>
          <w:iCs/>
          <w:noProof/>
          <w:sz w:val="20"/>
          <w:szCs w:val="20"/>
          <w:lang w:val="en-US"/>
        </w:rPr>
      </w:pPr>
      <w:r>
        <w:rPr>
          <w:i/>
          <w:iCs/>
          <w:noProof/>
          <w:sz w:val="20"/>
          <w:szCs w:val="20"/>
          <w:lang w:val="en-US"/>
        </w:rPr>
        <w:t>Source: European Commission</w:t>
      </w:r>
    </w:p>
    <w:p w:rsidR="00630C0A" w:rsidRDefault="00630C0A">
      <w:pPr>
        <w:spacing w:after="120"/>
        <w:jc w:val="both"/>
        <w:rPr>
          <w:b/>
          <w:noProof/>
        </w:rPr>
      </w:pPr>
    </w:p>
    <w:p w:rsidR="00630C0A" w:rsidRDefault="00961E71">
      <w:pPr>
        <w:spacing w:after="120"/>
        <w:rPr>
          <w:b/>
          <w:bCs/>
          <w:noProof/>
        </w:rPr>
      </w:pPr>
      <w:r>
        <w:rPr>
          <w:b/>
          <w:bCs/>
          <w:i/>
          <w:iCs/>
          <w:noProof/>
        </w:rPr>
        <w:t>Monitoring risks and policy reaction</w:t>
      </w:r>
    </w:p>
    <w:p w:rsidR="00630C0A" w:rsidRDefault="00961E71">
      <w:pPr>
        <w:spacing w:after="120"/>
        <w:jc w:val="both"/>
        <w:rPr>
          <w:noProof/>
        </w:rPr>
      </w:pPr>
      <w:r>
        <w:rPr>
          <w:b/>
          <w:bCs/>
          <w:noProof/>
        </w:rPr>
        <w:t>A process of</w:t>
      </w:r>
      <w:r>
        <w:rPr>
          <w:b/>
          <w:bCs/>
          <w:noProof/>
        </w:rPr>
        <w:t xml:space="preserve"> “specific monitoring” has been developed to strengthen the monitoring of policy progress for Member States under MIP surveillance.</w:t>
      </w:r>
      <w:r>
        <w:rPr>
          <w:noProof/>
        </w:rPr>
        <w:t xml:space="preserve"> Specific monitoring comprises fact-finding visits to the Member States concerned, reports by the Commission, and discussions</w:t>
      </w:r>
      <w:r>
        <w:rPr>
          <w:noProof/>
        </w:rPr>
        <w:t xml:space="preserve"> of the reports in the EPC and the Economic and Financial Committee (EFC). For the Member States subject to MIP surveillance, specific monitoring complements the monitoring of policy progress under the European Semester with an additional check on the stat</w:t>
      </w:r>
      <w:r>
        <w:rPr>
          <w:noProof/>
        </w:rPr>
        <w:t>e of play.</w:t>
      </w:r>
      <w:r>
        <w:rPr>
          <w:noProof/>
          <w:vertAlign w:val="superscript"/>
        </w:rPr>
        <w:footnoteReference w:id="75"/>
      </w:r>
      <w:r>
        <w:rPr>
          <w:noProof/>
        </w:rPr>
        <w:t xml:space="preserve"> Specific monitoring was introduced after the identification of excessive imbalances in Spain and Slovenia in 2013. In 2014, it was expanded to all Member States with excessive imbalances and to selected euro area Member States with imbalances o</w:t>
      </w:r>
      <w:r>
        <w:rPr>
          <w:noProof/>
        </w:rPr>
        <w:t xml:space="preserve">f systemic relevance. Since 2016, in light of the streamlining of MIP categories, specific monitoring has covered all Member States found to be experiencing imbalances or excessive imbalances. Its frequency changed from two to one reports per annual cycle </w:t>
      </w:r>
      <w:r>
        <w:rPr>
          <w:noProof/>
        </w:rPr>
        <w:t>in 2015/2016.</w:t>
      </w:r>
    </w:p>
    <w:p w:rsidR="00630C0A" w:rsidRDefault="00961E71">
      <w:pPr>
        <w:spacing w:after="120"/>
        <w:jc w:val="both"/>
        <w:rPr>
          <w:noProof/>
        </w:rPr>
      </w:pPr>
      <w:r>
        <w:rPr>
          <w:b/>
          <w:bCs/>
          <w:noProof/>
        </w:rPr>
        <w:t>The ECOFIN Council adopts conclusions on the annual specific monitoring exercise and where applicable the monitoring is integrated with post-programme surveillance.</w:t>
      </w:r>
      <w:r>
        <w:rPr>
          <w:noProof/>
        </w:rPr>
        <w:t xml:space="preserve"> Since 2016, the Council has adopted horizontal conclusions on specific monito</w:t>
      </w:r>
      <w:r>
        <w:rPr>
          <w:noProof/>
        </w:rPr>
        <w:t xml:space="preserve">ring, a practice that is in line with the October 2015 Communication, which invited the Council to be more involved in the specific monitoring. Those conclusions have been integrated with the ones on the Alert Mechanism Report. Specific monitoring reports </w:t>
      </w:r>
      <w:r>
        <w:rPr>
          <w:noProof/>
        </w:rPr>
        <w:t>have been made public. For Member States in post-programme surveillance, the two reports have been bundled.</w:t>
      </w:r>
      <w:r>
        <w:rPr>
          <w:noProof/>
          <w:vertAlign w:val="superscript"/>
        </w:rPr>
        <w:footnoteReference w:id="76"/>
      </w:r>
      <w:r>
        <w:rPr>
          <w:noProof/>
        </w:rPr>
        <w:t xml:space="preserve"> </w:t>
      </w:r>
    </w:p>
    <w:p w:rsidR="00630C0A" w:rsidRDefault="00961E71">
      <w:pPr>
        <w:spacing w:after="120"/>
        <w:jc w:val="both"/>
        <w:rPr>
          <w:noProof/>
        </w:rPr>
      </w:pPr>
      <w:r>
        <w:rPr>
          <w:b/>
          <w:bCs/>
          <w:noProof/>
        </w:rPr>
        <w:t>Overall, specific monitoring has contributed to an enhanced policy dialogue</w:t>
      </w:r>
      <w:r>
        <w:rPr>
          <w:noProof/>
        </w:rPr>
        <w:t>. It has also allowed an up-to-date and informed peer review discussion</w:t>
      </w:r>
      <w:r>
        <w:rPr>
          <w:noProof/>
        </w:rPr>
        <w:t xml:space="preserve"> in the Council Committees, focused on the implementation of policy measures to address identified imbalances.</w:t>
      </w:r>
    </w:p>
    <w:p w:rsidR="00630C0A" w:rsidRDefault="00630C0A">
      <w:pPr>
        <w:spacing w:after="120"/>
        <w:jc w:val="both"/>
        <w:rPr>
          <w:b/>
          <w:noProof/>
        </w:rPr>
      </w:pPr>
    </w:p>
    <w:p w:rsidR="00630C0A" w:rsidRDefault="00961E71">
      <w:pPr>
        <w:spacing w:after="120"/>
        <w:rPr>
          <w:b/>
          <w:bCs/>
          <w:noProof/>
        </w:rPr>
      </w:pPr>
      <w:r>
        <w:rPr>
          <w:b/>
          <w:bCs/>
          <w:i/>
          <w:iCs/>
          <w:noProof/>
        </w:rPr>
        <w:t>Follow-up to the identification of excessive imbalances</w:t>
      </w:r>
    </w:p>
    <w:p w:rsidR="00630C0A" w:rsidRDefault="00961E71">
      <w:pPr>
        <w:spacing w:after="120"/>
        <w:jc w:val="both"/>
        <w:rPr>
          <w:noProof/>
        </w:rPr>
      </w:pPr>
      <w:r>
        <w:rPr>
          <w:b/>
          <w:bCs/>
          <w:noProof/>
        </w:rPr>
        <w:t>The EIP has so far not been launched</w:t>
      </w:r>
      <w:r>
        <w:rPr>
          <w:noProof/>
        </w:rPr>
        <w:t xml:space="preserve">. For Member States identified with excessive </w:t>
      </w:r>
      <w:r>
        <w:rPr>
          <w:noProof/>
        </w:rPr>
        <w:t>imbalances, the Commission, rather than immediately recommending the Council to launch the EIP, aimed first at raising policy commitments in line with the challenges identified and at strengthening monitoring. For such cases, the Commission proposed more n</w:t>
      </w:r>
      <w:r>
        <w:rPr>
          <w:noProof/>
        </w:rPr>
        <w:t>umerous, more detailed, and sometimes time-bound, CSRs. In addition, the Commission raised its vigilance, notably in the context of the specific monitoring (see above), by monitoring policy commitments, including those in the National Reform Programmes, an</w:t>
      </w:r>
      <w:r>
        <w:rPr>
          <w:noProof/>
        </w:rPr>
        <w:t>d their subsequent implementation, while making clear that launching the EIP remained an option.</w:t>
      </w:r>
    </w:p>
    <w:p w:rsidR="00630C0A" w:rsidRDefault="00961E71">
      <w:pPr>
        <w:spacing w:after="120"/>
        <w:jc w:val="both"/>
        <w:rPr>
          <w:noProof/>
        </w:rPr>
      </w:pPr>
      <w:r>
        <w:rPr>
          <w:b/>
          <w:bCs/>
          <w:noProof/>
        </w:rPr>
        <w:t>MIP surveillance has had some effectiveness in Member States with excessive imbalances</w:t>
      </w:r>
      <w:r>
        <w:rPr>
          <w:noProof/>
        </w:rPr>
        <w:t>. Member States identified with excessive imbalances were on average char</w:t>
      </w:r>
      <w:r>
        <w:rPr>
          <w:noProof/>
        </w:rPr>
        <w:t>acterised by more recommendations as shown above, and a higher degree of policy responsiveness. This is found also in econometric work that permit to control for other factors that could have contributed to comply with country-specific recommendations (see</w:t>
      </w:r>
      <w:r>
        <w:rPr>
          <w:noProof/>
        </w:rPr>
        <w:t xml:space="preserve"> Annex 2).</w:t>
      </w:r>
      <w:r>
        <w:rPr>
          <w:rStyle w:val="FootnoteReference"/>
          <w:noProof/>
        </w:rPr>
        <w:footnoteReference w:id="77"/>
      </w:r>
      <w:r>
        <w:rPr>
          <w:noProof/>
        </w:rPr>
        <w:t xml:space="preserve"> A possible interpretation is that the mere possibility of launching the EIP could have had an impact on policy progress. Nonetheless, more recent evidence relating to policy progress according to MIP status reveal a somehow reduced policy respo</w:t>
      </w:r>
      <w:r>
        <w:rPr>
          <w:noProof/>
        </w:rPr>
        <w:t xml:space="preserve">nse in Member States with excessive imbalances. </w:t>
      </w:r>
    </w:p>
    <w:p w:rsidR="00630C0A" w:rsidRDefault="00961E71">
      <w:pPr>
        <w:spacing w:after="120"/>
        <w:jc w:val="both"/>
        <w:rPr>
          <w:noProof/>
          <w:lang w:val="en-US"/>
        </w:rPr>
      </w:pPr>
      <w:r>
        <w:rPr>
          <w:b/>
          <w:bCs/>
          <w:noProof/>
        </w:rPr>
        <w:t xml:space="preserve">The lack of full enforcement of the MIP has been a subject of debate. </w:t>
      </w:r>
      <w:r>
        <w:rPr>
          <w:noProof/>
        </w:rPr>
        <w:t>The Council in its conclusions on in-depth reviews has</w:t>
      </w:r>
      <w:r>
        <w:rPr>
          <w:b/>
          <w:bCs/>
          <w:noProof/>
        </w:rPr>
        <w:t xml:space="preserve"> </w:t>
      </w:r>
      <w:r>
        <w:rPr>
          <w:noProof/>
        </w:rPr>
        <w:t>remarked on</w:t>
      </w:r>
      <w:r>
        <w:rPr>
          <w:b/>
          <w:bCs/>
          <w:noProof/>
        </w:rPr>
        <w:t xml:space="preserve"> </w:t>
      </w:r>
      <w:r>
        <w:rPr>
          <w:noProof/>
        </w:rPr>
        <w:t>several occasions that “the MIP procedure should be used to its full p</w:t>
      </w:r>
      <w:r>
        <w:rPr>
          <w:noProof/>
        </w:rPr>
        <w:t>otential, with the corrective arm applied where appropriate”.</w:t>
      </w:r>
      <w:r>
        <w:rPr>
          <w:noProof/>
          <w:vertAlign w:val="superscript"/>
        </w:rPr>
        <w:footnoteReference w:id="78"/>
      </w:r>
      <w:r>
        <w:rPr>
          <w:noProof/>
        </w:rPr>
        <w:t xml:space="preserve"> The Five Presidents’ Report stated that the EIP “should be triggered as soon as excessive imbalances are identified and be used to monitor reform implementation.” In its October 2015 Communicat</w:t>
      </w:r>
      <w:r>
        <w:rPr>
          <w:noProof/>
        </w:rPr>
        <w:t>ion, the Commission expressed the view that the EIP could be “opened in case of insufficient commitment to reforms and lack of effective progress in implementation, and will be used in case of severe macroeconomic imbalances (…), like those that led to the</w:t>
      </w:r>
      <w:r>
        <w:rPr>
          <w:noProof/>
        </w:rPr>
        <w:t xml:space="preserve"> crises.” The ECB has repeatedly claimed that the use of the EIP “could increase the procedure’s effectiveness and credibility.”</w:t>
      </w:r>
      <w:r>
        <w:rPr>
          <w:noProof/>
          <w:vertAlign w:val="superscript"/>
        </w:rPr>
        <w:footnoteReference w:id="79"/>
      </w:r>
      <w:r>
        <w:rPr>
          <w:noProof/>
        </w:rPr>
        <w:t xml:space="preserve"> The ECA in its audit of the MIP, expressed the view that “</w:t>
      </w:r>
      <w:r>
        <w:rPr>
          <w:noProof/>
          <w:lang w:val="en-US"/>
        </w:rPr>
        <w:t>the systematic non-activation of the EIP has reduced the credibility</w:t>
      </w:r>
      <w:r>
        <w:rPr>
          <w:noProof/>
          <w:lang w:val="en-US"/>
        </w:rPr>
        <w:t xml:space="preserve"> and effectiveness of the MIP”, yet also pointing out to somewhat contrasting views by other stakeholders that “using the EIP in circumstances which were not clear-cut would also affect its credibility, and that it should be reserved for use only in very o</w:t>
      </w:r>
      <w:r>
        <w:rPr>
          <w:noProof/>
          <w:lang w:val="en-US"/>
        </w:rPr>
        <w:t>bvious circumstances</w:t>
      </w:r>
      <w:r>
        <w:rPr>
          <w:noProof/>
        </w:rPr>
        <w:t xml:space="preserve">”. </w:t>
      </w:r>
    </w:p>
    <w:p w:rsidR="00630C0A" w:rsidRDefault="00961E71">
      <w:pPr>
        <w:spacing w:after="120"/>
        <w:jc w:val="both"/>
        <w:rPr>
          <w:noProof/>
        </w:rPr>
      </w:pPr>
      <w:r>
        <w:rPr>
          <w:b/>
          <w:bCs/>
          <w:noProof/>
        </w:rPr>
        <w:t>Regulation No 1176/2011 does not provide full guidance on the way the EIP should be implemented</w:t>
      </w:r>
      <w:r>
        <w:rPr>
          <w:noProof/>
        </w:rPr>
        <w:t>. In particular, it does not specify the time frame of the EIP, the scope and time frame of the corrective action plan, the assessment of</w:t>
      </w:r>
      <w:r>
        <w:rPr>
          <w:noProof/>
        </w:rPr>
        <w:t xml:space="preserve"> effective action in the execution of the corrective action plan, or the criteria for abrogating the procedure or for the application of fines. This lack of detail coupled with the potentially intrusive nature of the corrective action plan, as recommendati</w:t>
      </w:r>
      <w:r>
        <w:rPr>
          <w:noProof/>
        </w:rPr>
        <w:t xml:space="preserve">ons could concern a wide range of policy fields and policy action can be prescriptive and are time-bound in the corrective action plan, may have contributed to non-use of the EIP so far. </w:t>
      </w:r>
    </w:p>
    <w:p w:rsidR="00630C0A" w:rsidRDefault="00630C0A">
      <w:pPr>
        <w:spacing w:after="120"/>
        <w:jc w:val="both"/>
        <w:rPr>
          <w:noProof/>
        </w:rPr>
      </w:pPr>
    </w:p>
    <w:p w:rsidR="00630C0A" w:rsidRDefault="00961E71">
      <w:pPr>
        <w:pStyle w:val="Heading2"/>
        <w:rPr>
          <w:noProof/>
        </w:rPr>
      </w:pPr>
      <w:bookmarkStart w:id="124" w:name="_Toc8414016"/>
      <w:bookmarkStart w:id="125" w:name="_Toc11351329"/>
      <w:bookmarkStart w:id="126" w:name="_Toc27126036"/>
      <w:bookmarkStart w:id="127" w:name="_Toc27127248"/>
      <w:bookmarkStart w:id="128" w:name="_Toc27132111"/>
      <w:bookmarkStart w:id="129" w:name="_Toc27145696"/>
      <w:bookmarkStart w:id="130" w:name="_Toc27146170"/>
      <w:bookmarkStart w:id="131" w:name="_Toc27158131"/>
      <w:bookmarkStart w:id="132" w:name="_Toc27156969"/>
      <w:bookmarkStart w:id="133" w:name="_Toc31115869"/>
      <w:bookmarkEnd w:id="124"/>
      <w:r>
        <w:rPr>
          <w:noProof/>
        </w:rPr>
        <w:t>3.3 Effectiveness of the MIP</w:t>
      </w:r>
      <w:bookmarkEnd w:id="125"/>
      <w:bookmarkEnd w:id="126"/>
      <w:bookmarkEnd w:id="127"/>
      <w:bookmarkEnd w:id="128"/>
      <w:bookmarkEnd w:id="129"/>
      <w:bookmarkEnd w:id="130"/>
      <w:bookmarkEnd w:id="131"/>
      <w:bookmarkEnd w:id="132"/>
      <w:bookmarkEnd w:id="133"/>
    </w:p>
    <w:p w:rsidR="00630C0A" w:rsidRDefault="00961E71">
      <w:pPr>
        <w:pStyle w:val="Heading3"/>
        <w:numPr>
          <w:ilvl w:val="2"/>
          <w:numId w:val="0"/>
        </w:numPr>
        <w:ind w:left="360"/>
        <w:rPr>
          <w:noProof/>
        </w:rPr>
      </w:pPr>
      <w:bookmarkStart w:id="134" w:name="_Toc11351330"/>
      <w:bookmarkStart w:id="135" w:name="_Ref9356480"/>
      <w:bookmarkStart w:id="136" w:name="_Toc27126037"/>
      <w:bookmarkStart w:id="137" w:name="_Toc27127249"/>
      <w:bookmarkStart w:id="138" w:name="_Toc27132112"/>
      <w:bookmarkStart w:id="139" w:name="_Toc27145697"/>
      <w:bookmarkStart w:id="140" w:name="_Toc27146171"/>
      <w:bookmarkStart w:id="141" w:name="_Toc27156970"/>
      <w:bookmarkStart w:id="142" w:name="_Toc27158132"/>
      <w:bookmarkStart w:id="143" w:name="_Toc31115870"/>
      <w:r>
        <w:rPr>
          <w:noProof/>
        </w:rPr>
        <w:t>3.3.1 Follow-up to policy recommendati</w:t>
      </w:r>
      <w:r>
        <w:rPr>
          <w:noProof/>
        </w:rPr>
        <w:t>ons</w:t>
      </w:r>
      <w:bookmarkEnd w:id="134"/>
      <w:bookmarkEnd w:id="135"/>
      <w:bookmarkEnd w:id="136"/>
      <w:bookmarkEnd w:id="137"/>
      <w:bookmarkEnd w:id="138"/>
      <w:bookmarkEnd w:id="139"/>
      <w:bookmarkEnd w:id="140"/>
      <w:bookmarkEnd w:id="141"/>
      <w:bookmarkEnd w:id="142"/>
      <w:bookmarkEnd w:id="143"/>
    </w:p>
    <w:p w:rsidR="00630C0A" w:rsidRDefault="00961E71">
      <w:pPr>
        <w:spacing w:after="120"/>
        <w:jc w:val="both"/>
        <w:rPr>
          <w:noProof/>
          <w:lang w:val="en-US"/>
        </w:rPr>
      </w:pPr>
      <w:r>
        <w:rPr>
          <w:b/>
          <w:bCs/>
          <w:noProof/>
        </w:rPr>
        <w:t>Member States experiencing imbalances or excessive imbalances have implemented a higher share of their CSRs</w:t>
      </w:r>
      <w:r>
        <w:rPr>
          <w:noProof/>
        </w:rPr>
        <w:t xml:space="preserve">. </w:t>
      </w:r>
      <w:r>
        <w:rPr>
          <w:noProof/>
        </w:rPr>
        <w:fldChar w:fldCharType="begin"/>
      </w:r>
      <w:r>
        <w:rPr>
          <w:noProof/>
        </w:rPr>
        <w:instrText xml:space="preserve"> REF _Ref26371255 \h  \* MERGEFORMAT </w:instrText>
      </w:r>
      <w:r>
        <w:rPr>
          <w:noProof/>
        </w:rPr>
      </w:r>
      <w:r>
        <w:rPr>
          <w:noProof/>
        </w:rPr>
        <w:fldChar w:fldCharType="separate"/>
      </w:r>
      <w:r>
        <w:rPr>
          <w:noProof/>
        </w:rPr>
        <w:t>Graph 13</w:t>
      </w:r>
      <w:r>
        <w:rPr>
          <w:noProof/>
        </w:rPr>
        <w:fldChar w:fldCharType="end"/>
      </w:r>
      <w:r>
        <w:rPr>
          <w:noProof/>
        </w:rPr>
        <w:t xml:space="preserve"> reports that Member States und</w:t>
      </w:r>
      <w:r>
        <w:rPr>
          <w:noProof/>
        </w:rPr>
        <w:t>er MIP surveillance have on average recorded more progress compared with other Member States. Thus, Member States under MIP surveillance in general have adopted a higher number of recommended measures both because they received more recommendations and bec</w:t>
      </w:r>
      <w:r>
        <w:rPr>
          <w:noProof/>
        </w:rPr>
        <w:t>ause more recommendations were followed up by policy action. Statistical analyses suggest a stronger follow-up to policy recommendations under the MIP.</w:t>
      </w:r>
      <w:r>
        <w:rPr>
          <w:rStyle w:val="FootnoteReference"/>
          <w:noProof/>
        </w:rPr>
        <w:footnoteReference w:id="80"/>
      </w:r>
      <w:r>
        <w:rPr>
          <w:noProof/>
        </w:rPr>
        <w:t xml:space="preserve"> Analysis in the MIP Compendium finds that MIP surveillance was associated with a higher record of progr</w:t>
      </w:r>
      <w:r>
        <w:rPr>
          <w:noProof/>
        </w:rPr>
        <w:t>ess in addressing CSRs, controlling for other factors. More specifically, recommendations issued over the years 2013 and 2014 were followed-up to a greater extent by policy action in Member States with stronger activation of MIP surveillance (as measured b</w:t>
      </w:r>
      <w:r>
        <w:rPr>
          <w:noProof/>
        </w:rPr>
        <w:t xml:space="preserve">y the categorisation of imbalances), after controlling for policy field, growth, interest rate spreads, and election variables. </w:t>
      </w:r>
    </w:p>
    <w:p w:rsidR="00630C0A" w:rsidRDefault="00961E71">
      <w:pPr>
        <w:spacing w:after="120"/>
        <w:jc w:val="both"/>
        <w:rPr>
          <w:noProof/>
        </w:rPr>
      </w:pPr>
      <w:r>
        <w:rPr>
          <w:b/>
          <w:bCs/>
          <w:noProof/>
        </w:rPr>
        <w:t>The degree of CSR implementation has nevertheless declined recently.</w:t>
      </w:r>
      <w:r>
        <w:rPr>
          <w:noProof/>
        </w:rPr>
        <w:t xml:space="preserve"> For CSRs issued in 2016 and 2017, the evidence suggests th</w:t>
      </w:r>
      <w:r>
        <w:rPr>
          <w:noProof/>
        </w:rPr>
        <w:t xml:space="preserve">at the degree of policy progress recorded in Member States under MIP surveillance fell short of that of other Member States, while for 2018 Member States subject to MIP still exhibit stronger policy progress in light of a big drop in CSR compliance in the </w:t>
      </w:r>
      <w:r>
        <w:rPr>
          <w:noProof/>
        </w:rPr>
        <w:t>rest of the EU (</w:t>
      </w:r>
      <w:r>
        <w:rPr>
          <w:noProof/>
        </w:rPr>
        <w:fldChar w:fldCharType="begin"/>
      </w:r>
      <w:r>
        <w:rPr>
          <w:noProof/>
        </w:rPr>
        <w:instrText xml:space="preserve"> REF _Ref26371255 \h  \* MERGEFORMAT </w:instrText>
      </w:r>
      <w:r>
        <w:rPr>
          <w:noProof/>
        </w:rPr>
      </w:r>
      <w:r>
        <w:rPr>
          <w:noProof/>
        </w:rPr>
        <w:fldChar w:fldCharType="separate"/>
      </w:r>
      <w:r>
        <w:rPr>
          <w:noProof/>
        </w:rPr>
        <w:t>Graph 13</w:t>
      </w:r>
      <w:r>
        <w:rPr>
          <w:noProof/>
        </w:rPr>
        <w:fldChar w:fldCharType="end"/>
      </w:r>
      <w:r>
        <w:rPr>
          <w:noProof/>
        </w:rPr>
        <w:t xml:space="preserve">). Consistently, recent statistical evidence finds that CSR implementation for Member States with excessive imbalances was not </w:t>
      </w:r>
      <w:r>
        <w:rPr>
          <w:noProof/>
        </w:rPr>
        <w:t>significantly higher compared with that of other Member States, controlling for other factors.</w:t>
      </w:r>
      <w:r>
        <w:rPr>
          <w:rStyle w:val="FootnoteReference"/>
          <w:noProof/>
        </w:rPr>
        <w:footnoteReference w:id="81"/>
      </w:r>
      <w:r>
        <w:rPr>
          <w:noProof/>
        </w:rPr>
        <w:t xml:space="preserve"> </w:t>
      </w:r>
    </w:p>
    <w:p w:rsidR="00630C0A" w:rsidRDefault="00630C0A">
      <w:pPr>
        <w:spacing w:after="120"/>
        <w:jc w:val="both"/>
        <w:rPr>
          <w:b/>
          <w:iCs/>
          <w:noProof/>
        </w:rPr>
      </w:pPr>
      <w:bookmarkStart w:id="144" w:name="_Ref6413321"/>
      <w:bookmarkStart w:id="145" w:name="_Ref12632171"/>
    </w:p>
    <w:p w:rsidR="00630C0A" w:rsidRDefault="00961E71">
      <w:pPr>
        <w:spacing w:after="120"/>
        <w:jc w:val="both"/>
        <w:rPr>
          <w:b/>
          <w:bCs/>
          <w:noProof/>
        </w:rPr>
      </w:pPr>
      <w:bookmarkStart w:id="146" w:name="_Ref26371255"/>
      <w:r>
        <w:rPr>
          <w:b/>
          <w:bCs/>
          <w:noProof/>
        </w:rPr>
        <w:t xml:space="preserve">Graph </w:t>
      </w:r>
      <w:r>
        <w:rPr>
          <w:noProof/>
        </w:rPr>
        <w:fldChar w:fldCharType="begin"/>
      </w:r>
      <w:r>
        <w:rPr>
          <w:b/>
          <w:iCs/>
          <w:noProof/>
        </w:rPr>
        <w:instrText xml:space="preserve"> SEQ Graph \* ARABIC </w:instrText>
      </w:r>
      <w:r>
        <w:rPr>
          <w:b/>
          <w:iCs/>
          <w:noProof/>
        </w:rPr>
        <w:fldChar w:fldCharType="separate"/>
      </w:r>
      <w:r>
        <w:rPr>
          <w:b/>
          <w:iCs/>
          <w:noProof/>
        </w:rPr>
        <w:t>13</w:t>
      </w:r>
      <w:r>
        <w:rPr>
          <w:noProof/>
        </w:rPr>
        <w:fldChar w:fldCharType="end"/>
      </w:r>
      <w:bookmarkEnd w:id="146"/>
      <w:r>
        <w:rPr>
          <w:b/>
          <w:bCs/>
          <w:noProof/>
        </w:rPr>
        <w:t>: CSR progress indicator, averages according to MIP category</w:t>
      </w:r>
      <w:bookmarkStart w:id="147" w:name="_Ref8239764"/>
      <w:r>
        <w:rPr>
          <w:b/>
          <w:bCs/>
          <w:noProof/>
          <w:vertAlign w:val="superscript"/>
        </w:rPr>
        <w:footnoteReference w:id="82"/>
      </w:r>
      <w:bookmarkEnd w:id="14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30C0A">
        <w:tc>
          <w:tcPr>
            <w:tcW w:w="4644" w:type="dxa"/>
            <w:hideMark/>
          </w:tcPr>
          <w:bookmarkEnd w:id="144"/>
          <w:bookmarkEnd w:id="145"/>
          <w:p w:rsidR="00630C0A" w:rsidRDefault="00961E71">
            <w:pPr>
              <w:numPr>
                <w:ilvl w:val="0"/>
                <w:numId w:val="38"/>
              </w:numPr>
              <w:spacing w:after="120"/>
              <w:jc w:val="both"/>
              <w:rPr>
                <w:b/>
                <w:bCs/>
                <w:noProof/>
                <w:lang w:val="fr-BE"/>
              </w:rPr>
            </w:pPr>
            <w:r>
              <w:rPr>
                <w:b/>
                <w:bCs/>
                <w:noProof/>
                <w:lang w:val="fr-BE"/>
              </w:rPr>
              <w:t>MIP vs non-MIP</w:t>
            </w:r>
          </w:p>
        </w:tc>
        <w:tc>
          <w:tcPr>
            <w:tcW w:w="4644" w:type="dxa"/>
            <w:hideMark/>
          </w:tcPr>
          <w:p w:rsidR="00630C0A" w:rsidRDefault="00961E71">
            <w:pPr>
              <w:numPr>
                <w:ilvl w:val="0"/>
                <w:numId w:val="38"/>
              </w:numPr>
              <w:spacing w:after="120"/>
              <w:jc w:val="both"/>
              <w:rPr>
                <w:b/>
                <w:noProof/>
                <w:lang w:val="pt-PT"/>
              </w:rPr>
            </w:pPr>
            <w:r>
              <w:rPr>
                <w:b/>
                <w:noProof/>
                <w:lang w:val="pt-PT"/>
              </w:rPr>
              <w:t>Excessive imbalances, imbalances, no imbalances</w:t>
            </w:r>
          </w:p>
        </w:tc>
      </w:tr>
      <w:tr w:rsidR="00630C0A">
        <w:trPr>
          <w:trHeight w:val="4019"/>
        </w:trPr>
        <w:tc>
          <w:tcPr>
            <w:tcW w:w="4644" w:type="dxa"/>
            <w:hideMark/>
          </w:tcPr>
          <w:p w:rsidR="00630C0A" w:rsidRDefault="00961E71">
            <w:pPr>
              <w:spacing w:after="120"/>
              <w:jc w:val="both"/>
              <w:rPr>
                <w:b/>
                <w:noProof/>
                <w:lang w:val="pt-PT"/>
              </w:rPr>
            </w:pPr>
            <w:r>
              <w:rPr>
                <w:b/>
                <w:noProof/>
              </w:rPr>
              <w:drawing>
                <wp:inline distT="0" distB="0" distL="0" distR="0">
                  <wp:extent cx="2843530" cy="2520315"/>
                  <wp:effectExtent l="0" t="0" r="0" b="0"/>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43530" cy="2520315"/>
                          </a:xfrm>
                          <a:prstGeom prst="rect">
                            <a:avLst/>
                          </a:prstGeom>
                          <a:noFill/>
                          <a:ln>
                            <a:noFill/>
                          </a:ln>
                        </pic:spPr>
                      </pic:pic>
                    </a:graphicData>
                  </a:graphic>
                </wp:inline>
              </w:drawing>
            </w:r>
          </w:p>
        </w:tc>
        <w:tc>
          <w:tcPr>
            <w:tcW w:w="4644" w:type="dxa"/>
            <w:hideMark/>
          </w:tcPr>
          <w:p w:rsidR="00630C0A" w:rsidRDefault="00961E71">
            <w:pPr>
              <w:spacing w:after="120"/>
              <w:jc w:val="both"/>
              <w:rPr>
                <w:b/>
                <w:noProof/>
                <w:lang w:val="pt-PT"/>
              </w:rPr>
            </w:pPr>
            <w:r>
              <w:rPr>
                <w:b/>
                <w:noProof/>
              </w:rPr>
              <w:drawing>
                <wp:inline distT="0" distB="0" distL="0" distR="0">
                  <wp:extent cx="2843530" cy="252031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43530" cy="2520315"/>
                          </a:xfrm>
                          <a:prstGeom prst="rect">
                            <a:avLst/>
                          </a:prstGeom>
                          <a:noFill/>
                          <a:ln>
                            <a:noFill/>
                          </a:ln>
                        </pic:spPr>
                      </pic:pic>
                    </a:graphicData>
                  </a:graphic>
                </wp:inline>
              </w:drawing>
            </w:r>
          </w:p>
        </w:tc>
      </w:tr>
    </w:tbl>
    <w:p w:rsidR="00630C0A" w:rsidRDefault="00961E71">
      <w:pPr>
        <w:jc w:val="both"/>
        <w:rPr>
          <w:i/>
          <w:iCs/>
          <w:noProof/>
          <w:sz w:val="20"/>
          <w:szCs w:val="20"/>
        </w:rPr>
      </w:pPr>
      <w:r>
        <w:rPr>
          <w:i/>
          <w:iCs/>
          <w:noProof/>
          <w:sz w:val="20"/>
          <w:szCs w:val="20"/>
        </w:rPr>
        <w:t xml:space="preserve">Note: the MIP status is the one at the time of CSR issuance and CSR progress in year t refers to CSRs issued in year t and assessed in year t+1; the data reported concern progress at CSR subpart level. </w:t>
      </w:r>
    </w:p>
    <w:p w:rsidR="00630C0A" w:rsidRDefault="00961E71">
      <w:pPr>
        <w:spacing w:after="120"/>
        <w:jc w:val="both"/>
        <w:rPr>
          <w:i/>
          <w:iCs/>
          <w:noProof/>
          <w:sz w:val="20"/>
          <w:szCs w:val="20"/>
        </w:rPr>
      </w:pPr>
      <w:r>
        <w:rPr>
          <w:i/>
          <w:iCs/>
          <w:noProof/>
          <w:sz w:val="20"/>
          <w:szCs w:val="20"/>
        </w:rPr>
        <w:t>Source: European Commission</w:t>
      </w:r>
    </w:p>
    <w:p w:rsidR="00630C0A" w:rsidRDefault="00630C0A">
      <w:pPr>
        <w:spacing w:after="120"/>
        <w:jc w:val="both"/>
        <w:rPr>
          <w:b/>
          <w:noProof/>
        </w:rPr>
      </w:pPr>
    </w:p>
    <w:p w:rsidR="00630C0A" w:rsidRDefault="00961E71">
      <w:pPr>
        <w:spacing w:after="120"/>
        <w:jc w:val="both"/>
        <w:rPr>
          <w:noProof/>
        </w:rPr>
      </w:pPr>
      <w:r>
        <w:rPr>
          <w:b/>
          <w:bCs/>
          <w:noProof/>
        </w:rPr>
        <w:t>A number of factors</w:t>
      </w:r>
      <w:r>
        <w:rPr>
          <w:b/>
          <w:bCs/>
          <w:noProof/>
        </w:rPr>
        <w:t xml:space="preserve"> could have played a role in reducing policy progress in Member States experiencing imbalances or excessive imbalances: </w:t>
      </w:r>
    </w:p>
    <w:p w:rsidR="00630C0A" w:rsidRDefault="00961E71">
      <w:pPr>
        <w:numPr>
          <w:ilvl w:val="0"/>
          <w:numId w:val="39"/>
        </w:numPr>
        <w:spacing w:after="120"/>
        <w:jc w:val="both"/>
        <w:rPr>
          <w:noProof/>
        </w:rPr>
      </w:pPr>
      <w:r>
        <w:rPr>
          <w:noProof/>
        </w:rPr>
        <w:t>The improving economic situation and reduced market pressure reduced the sense of urgency to address persisting imbalances;</w:t>
      </w:r>
    </w:p>
    <w:p w:rsidR="00630C0A" w:rsidRDefault="00961E71">
      <w:pPr>
        <w:numPr>
          <w:ilvl w:val="0"/>
          <w:numId w:val="39"/>
        </w:numPr>
        <w:spacing w:after="120"/>
        <w:jc w:val="both"/>
        <w:rPr>
          <w:noProof/>
        </w:rPr>
      </w:pPr>
      <w:r>
        <w:rPr>
          <w:noProof/>
        </w:rPr>
        <w:t>Considerabl</w:t>
      </w:r>
      <w:r>
        <w:rPr>
          <w:noProof/>
        </w:rPr>
        <w:t>e reform activity took place in earlier years in a number of Member States, thereby reducing the perceived need of carrying out additional marginal reforms;</w:t>
      </w:r>
    </w:p>
    <w:p w:rsidR="00630C0A" w:rsidRDefault="00961E71">
      <w:pPr>
        <w:numPr>
          <w:ilvl w:val="0"/>
          <w:numId w:val="39"/>
        </w:numPr>
        <w:spacing w:after="120"/>
        <w:jc w:val="both"/>
        <w:rPr>
          <w:noProof/>
        </w:rPr>
      </w:pPr>
      <w:r>
        <w:rPr>
          <w:noProof/>
        </w:rPr>
        <w:t xml:space="preserve">In light of past reform record, reform fatigue may have played a role, implying a reduced </w:t>
      </w:r>
      <w:r>
        <w:rPr>
          <w:noProof/>
        </w:rPr>
        <w:t>“political capital” left available for additional reforms;</w:t>
      </w:r>
    </w:p>
    <w:p w:rsidR="00630C0A" w:rsidRDefault="00961E71">
      <w:pPr>
        <w:numPr>
          <w:ilvl w:val="0"/>
          <w:numId w:val="39"/>
        </w:numPr>
        <w:spacing w:after="120"/>
        <w:jc w:val="both"/>
        <w:rPr>
          <w:noProof/>
        </w:rPr>
      </w:pPr>
      <w:r>
        <w:rPr>
          <w:noProof/>
        </w:rPr>
        <w:t>Statistical results could be affected by “reverse causation”, because strong policy responses were observed in Member States that exited the MIP (or that improved their categorisation). This implie</w:t>
      </w:r>
      <w:r>
        <w:rPr>
          <w:noProof/>
        </w:rPr>
        <w:t xml:space="preserve">d that policy-active Member States moved away from the set of so-called MIP countries and entered that of non-MIP countries, thus contributing to the statistical findings that the policy progress in MIP countries fell over time (in </w:t>
      </w:r>
      <w:r>
        <w:rPr>
          <w:noProof/>
        </w:rPr>
        <w:fldChar w:fldCharType="begin"/>
      </w:r>
      <w:r>
        <w:rPr>
          <w:noProof/>
        </w:rPr>
        <w:instrText xml:space="preserve"> REF _Ref26371255 \h  \*</w:instrText>
      </w:r>
      <w:r>
        <w:rPr>
          <w:noProof/>
        </w:rPr>
        <w:instrText xml:space="preserve"> MERGEFORMAT </w:instrText>
      </w:r>
      <w:r>
        <w:rPr>
          <w:noProof/>
        </w:rPr>
      </w:r>
      <w:r>
        <w:rPr>
          <w:noProof/>
        </w:rPr>
        <w:fldChar w:fldCharType="separate"/>
      </w:r>
      <w:r>
        <w:rPr>
          <w:noProof/>
        </w:rPr>
        <w:t>Graph 13</w:t>
      </w:r>
      <w:r>
        <w:rPr>
          <w:noProof/>
        </w:rPr>
        <w:fldChar w:fldCharType="end"/>
      </w:r>
      <w:r>
        <w:rPr>
          <w:noProof/>
        </w:rPr>
        <w:t xml:space="preserve"> the set of countries change over time). </w:t>
      </w:r>
    </w:p>
    <w:p w:rsidR="00630C0A" w:rsidRDefault="00961E71">
      <w:pPr>
        <w:spacing w:after="120"/>
        <w:jc w:val="both"/>
        <w:rPr>
          <w:noProof/>
        </w:rPr>
      </w:pPr>
      <w:r>
        <w:rPr>
          <w:noProof/>
        </w:rPr>
        <w:t>The evidence in Annex 2 confirms that Member States under MIP surveillance recorded a significantly higher degree of policy pro</w:t>
      </w:r>
      <w:r>
        <w:rPr>
          <w:noProof/>
        </w:rPr>
        <w:t>gress controlling for other factors. As compared with the MIP Compendium, the analysis includes more recent years, and controls for additional factors, notably the past stock of recommendations received and past CSR progress, thus capturing reduced need of</w:t>
      </w:r>
      <w:r>
        <w:rPr>
          <w:noProof/>
        </w:rPr>
        <w:t xml:space="preserve"> marginal reforms and reform fatigue respectively. The inclusion of those variables tend to increase the estimated advantage of MIP Member States in terms of policy progress. The estimates also show that the positive impact of MIP surveillance is estimated</w:t>
      </w:r>
      <w:r>
        <w:rPr>
          <w:noProof/>
        </w:rPr>
        <w:t xml:space="preserve"> higher once the role of reverse causation is taken into account.  </w:t>
      </w:r>
    </w:p>
    <w:p w:rsidR="00630C0A" w:rsidRDefault="00630C0A">
      <w:pPr>
        <w:pStyle w:val="ListParagraph"/>
        <w:tabs>
          <w:tab w:val="left" w:pos="567"/>
        </w:tabs>
        <w:spacing w:after="120"/>
        <w:ind w:left="1224"/>
        <w:jc w:val="both"/>
        <w:rPr>
          <w:rFonts w:ascii="Times New Roman" w:hAnsi="Times New Roman" w:cs="Times New Roman"/>
          <w:b/>
          <w:bCs/>
          <w:noProof/>
          <w:sz w:val="24"/>
          <w:szCs w:val="24"/>
        </w:rPr>
      </w:pPr>
    </w:p>
    <w:p w:rsidR="00630C0A" w:rsidRDefault="00961E71">
      <w:pPr>
        <w:pStyle w:val="Heading3"/>
        <w:numPr>
          <w:ilvl w:val="2"/>
          <w:numId w:val="0"/>
        </w:numPr>
        <w:ind w:left="360"/>
        <w:rPr>
          <w:noProof/>
        </w:rPr>
      </w:pPr>
      <w:bookmarkStart w:id="148" w:name="_Toc11351331"/>
      <w:bookmarkStart w:id="149" w:name="_Toc27126038"/>
      <w:bookmarkStart w:id="150" w:name="_Toc27127250"/>
      <w:bookmarkStart w:id="151" w:name="_Toc27132113"/>
      <w:bookmarkStart w:id="152" w:name="_Toc27145698"/>
      <w:bookmarkStart w:id="153" w:name="_Toc27146172"/>
      <w:bookmarkStart w:id="154" w:name="_Toc27156971"/>
      <w:bookmarkStart w:id="155" w:name="_Toc27158133"/>
      <w:bookmarkStart w:id="156" w:name="_Toc31115871"/>
      <w:r>
        <w:rPr>
          <w:noProof/>
        </w:rPr>
        <w:t>3.3.2 The development of a supportive policy environment</w:t>
      </w:r>
      <w:bookmarkEnd w:id="148"/>
      <w:bookmarkEnd w:id="149"/>
      <w:bookmarkEnd w:id="150"/>
      <w:bookmarkEnd w:id="151"/>
      <w:bookmarkEnd w:id="152"/>
      <w:bookmarkEnd w:id="153"/>
      <w:bookmarkEnd w:id="154"/>
      <w:bookmarkEnd w:id="155"/>
      <w:bookmarkEnd w:id="156"/>
    </w:p>
    <w:p w:rsidR="00630C0A" w:rsidRDefault="00961E71">
      <w:pPr>
        <w:spacing w:after="120"/>
        <w:jc w:val="both"/>
        <w:rPr>
          <w:noProof/>
        </w:rPr>
      </w:pPr>
      <w:r>
        <w:rPr>
          <w:b/>
          <w:bCs/>
          <w:noProof/>
        </w:rPr>
        <w:t>The impact of the MIP should also be judged on the basis of its contribution to a supportive policy environment, strengthening awa</w:t>
      </w:r>
      <w:r>
        <w:rPr>
          <w:b/>
          <w:bCs/>
          <w:noProof/>
        </w:rPr>
        <w:t xml:space="preserve">reness of challenges and the policy-making framework. </w:t>
      </w:r>
      <w:r>
        <w:rPr>
          <w:noProof/>
        </w:rPr>
        <w:t>Box 4 reviews several country-specific examples for the impact of MIP surveillance on the policy environment. MIP surveillance has contributed to a supportive policy environment in a number of respects:</w:t>
      </w:r>
    </w:p>
    <w:p w:rsidR="00630C0A" w:rsidRDefault="00961E71">
      <w:pPr>
        <w:numPr>
          <w:ilvl w:val="0"/>
          <w:numId w:val="40"/>
        </w:numPr>
        <w:spacing w:after="120"/>
        <w:jc w:val="both"/>
        <w:rPr>
          <w:noProof/>
          <w:lang w:val="en-US"/>
        </w:rPr>
      </w:pPr>
      <w:r>
        <w:rPr>
          <w:noProof/>
        </w:rPr>
        <w:t>Raising awareness about the issues around macroeconomic imbalances;</w:t>
      </w:r>
    </w:p>
    <w:p w:rsidR="00630C0A" w:rsidRDefault="00961E71">
      <w:pPr>
        <w:numPr>
          <w:ilvl w:val="0"/>
          <w:numId w:val="40"/>
        </w:numPr>
        <w:spacing w:after="120"/>
        <w:jc w:val="both"/>
        <w:rPr>
          <w:noProof/>
          <w:lang w:val="en-US"/>
        </w:rPr>
      </w:pPr>
      <w:r>
        <w:rPr>
          <w:noProof/>
          <w:lang w:val="en-US"/>
        </w:rPr>
        <w:t xml:space="preserve">Providing a framework for prioritising the national policy agenda with a view to ensuring macroeconomic stability; </w:t>
      </w:r>
    </w:p>
    <w:p w:rsidR="00630C0A" w:rsidRDefault="00961E71">
      <w:pPr>
        <w:numPr>
          <w:ilvl w:val="0"/>
          <w:numId w:val="40"/>
        </w:numPr>
        <w:spacing w:after="120"/>
        <w:jc w:val="both"/>
        <w:rPr>
          <w:noProof/>
          <w:lang w:val="en-US"/>
        </w:rPr>
      </w:pPr>
      <w:r>
        <w:rPr>
          <w:noProof/>
          <w:lang w:val="en-US"/>
        </w:rPr>
        <w:t xml:space="preserve">Strengthening policy dialogues on macro-stability issues between </w:t>
      </w:r>
      <w:r>
        <w:rPr>
          <w:noProof/>
          <w:lang w:val="en-US"/>
        </w:rPr>
        <w:t>national authorities and EU institutions and among Member States.</w:t>
      </w:r>
    </w:p>
    <w:p w:rsidR="00630C0A" w:rsidRDefault="00961E71">
      <w:pPr>
        <w:spacing w:after="120"/>
        <w:jc w:val="both"/>
        <w:rPr>
          <w:noProof/>
        </w:rPr>
      </w:pPr>
      <w:bookmarkStart w:id="157" w:name="_Toc446689475"/>
      <w:r>
        <w:rPr>
          <w:b/>
          <w:bCs/>
          <w:noProof/>
        </w:rPr>
        <w:t>MIP surveillance has contributed to raise awareness about the relevance of macroeconomic imbalances and related challenges</w:t>
      </w:r>
      <w:r>
        <w:rPr>
          <w:noProof/>
        </w:rPr>
        <w:t>. The MIP has put macroeconomic imbalances on policy agendas at nati</w:t>
      </w:r>
      <w:r>
        <w:rPr>
          <w:noProof/>
        </w:rPr>
        <w:t>onal level and helped creating awareness and mobilising political capital for subsequent policy action.</w:t>
      </w:r>
      <w:r>
        <w:rPr>
          <w:rStyle w:val="FootnoteReference"/>
          <w:noProof/>
        </w:rPr>
        <w:footnoteReference w:id="83"/>
      </w:r>
    </w:p>
    <w:p w:rsidR="00630C0A" w:rsidRDefault="00961E71">
      <w:pPr>
        <w:spacing w:after="120"/>
        <w:jc w:val="both"/>
        <w:rPr>
          <w:noProof/>
        </w:rPr>
      </w:pPr>
      <w:r>
        <w:rPr>
          <w:b/>
          <w:bCs/>
          <w:noProof/>
        </w:rPr>
        <w:t>The MIP has helped focusing and prioritising the domestic policy debates.</w:t>
      </w:r>
      <w:r>
        <w:rPr>
          <w:noProof/>
        </w:rPr>
        <w:t xml:space="preserve"> For instance, in a survey of EPC members conducted by the European Court of A</w:t>
      </w:r>
      <w:r>
        <w:rPr>
          <w:noProof/>
        </w:rPr>
        <w:t>uditors in the context of their audit of the MIP, nearly three quarters of the respondents found that the MIP had some or considerable impact on domestic policy debate, and a similar share was of the view that the MIP is somewhat or highly effective. Almos</w:t>
      </w:r>
      <w:r>
        <w:rPr>
          <w:noProof/>
        </w:rPr>
        <w:t>t two thirds of the respondents to that survey agreed that the MIP has made the Commission’s views more important for policy making at domestic level.</w:t>
      </w:r>
      <w:r>
        <w:rPr>
          <w:noProof/>
          <w:vertAlign w:val="superscript"/>
        </w:rPr>
        <w:footnoteReference w:id="84"/>
      </w:r>
      <w:r>
        <w:rPr>
          <w:noProof/>
        </w:rPr>
        <w:t xml:space="preserve"> At the same time, the MIP sets a framework that allows policy makers to disclose their policy commitment</w:t>
      </w:r>
      <w:r>
        <w:rPr>
          <w:noProof/>
        </w:rPr>
        <w:t>s in a structured way, and where commitments are regularly monitored.</w:t>
      </w:r>
    </w:p>
    <w:p w:rsidR="00630C0A" w:rsidRDefault="00961E71">
      <w:pPr>
        <w:spacing w:after="120"/>
        <w:jc w:val="both"/>
        <w:rPr>
          <w:noProof/>
        </w:rPr>
      </w:pPr>
      <w:r>
        <w:rPr>
          <w:b/>
          <w:bCs/>
          <w:noProof/>
        </w:rPr>
        <w:t>The MIP has provided a comprehensive framework for dialogue.</w:t>
      </w:r>
      <w:r>
        <w:rPr>
          <w:noProof/>
        </w:rPr>
        <w:t xml:space="preserve"> The MIP has set a framework that allows policy makers to disclose their policy intentions in a structured way. All steps of t</w:t>
      </w:r>
      <w:r>
        <w:rPr>
          <w:noProof/>
        </w:rPr>
        <w:t>he annual cycle of the MIP implementation (Alert Mechanism Report, in-depth reviews, country-specific recommendations, policy follow-up including monitoring) bring the main messages to the attention of the Member States. Technical discussions take place in</w:t>
      </w:r>
      <w:r>
        <w:rPr>
          <w:noProof/>
        </w:rPr>
        <w:t xml:space="preserve"> committees, notably the EPC and its LIME working group. The ECOFIN Council adopts and publishes conclusions in the MIP context twice a year, namely a conclusion on the Alert Mechanism Report and the specific monitoring outcomes at the start of the calenda</w:t>
      </w:r>
      <w:r>
        <w:rPr>
          <w:noProof/>
        </w:rPr>
        <w:t>r year, and another one on the in-depth reviews in spring. Overall, the MIP has enshrined macroeconomic imbalances on the Council agenda on a structured and regular basis.</w:t>
      </w:r>
    </w:p>
    <w:p w:rsidR="00630C0A" w:rsidRDefault="00961E71">
      <w:pPr>
        <w:spacing w:after="120"/>
        <w:jc w:val="both"/>
        <w:rPr>
          <w:noProof/>
        </w:rPr>
      </w:pPr>
      <w:r>
        <w:rPr>
          <w:b/>
          <w:bCs/>
          <w:noProof/>
        </w:rPr>
        <w:t xml:space="preserve">Overall, the MIP was generally associated with more recommendations and more policy </w:t>
      </w:r>
      <w:r>
        <w:rPr>
          <w:b/>
          <w:bCs/>
          <w:noProof/>
        </w:rPr>
        <w:t xml:space="preserve">responses, and contributed to a supportive policy environment. </w:t>
      </w:r>
      <w:r>
        <w:rPr>
          <w:noProof/>
        </w:rPr>
        <w:t xml:space="preserve">But its political traction was in some cases insufficient. The complexity of MIP issues, the broad scope of the procedure, and the lack of simple numerical decision rules have implied that MIP </w:t>
      </w:r>
      <w:r>
        <w:rPr>
          <w:noProof/>
        </w:rPr>
        <w:t>objectives and recommendations are less visible and known to the large public, e.g. as compared to the Stability and Growth Pact. For those reasons, in the current set-up of the surveillance process it has been challenging to leverage political traction of</w:t>
      </w:r>
      <w:r>
        <w:rPr>
          <w:noProof/>
        </w:rPr>
        <w:t xml:space="preserve"> the MIP recommendations. </w:t>
      </w:r>
    </w:p>
    <w:p w:rsidR="00630C0A" w:rsidRDefault="00630C0A">
      <w:pPr>
        <w:spacing w:after="120"/>
        <w:jc w:val="both"/>
        <w:rPr>
          <w:noProof/>
        </w:rPr>
      </w:pPr>
    </w:p>
    <w:tbl>
      <w:tblPr>
        <w:tblStyle w:val="TableGrid"/>
        <w:tblW w:w="0" w:type="auto"/>
        <w:shd w:val="clear" w:color="auto" w:fill="F2F2F2" w:themeFill="background1" w:themeFillShade="F2"/>
        <w:tblLook w:val="04A0" w:firstRow="1" w:lastRow="0" w:firstColumn="1" w:lastColumn="0" w:noHBand="0" w:noVBand="1"/>
      </w:tblPr>
      <w:tblGrid>
        <w:gridCol w:w="9288"/>
      </w:tblGrid>
      <w:tr w:rsidR="00630C0A">
        <w:tc>
          <w:tcPr>
            <w:tcW w:w="9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0C0A" w:rsidRDefault="00961E71">
            <w:pPr>
              <w:spacing w:after="120"/>
              <w:jc w:val="both"/>
              <w:rPr>
                <w:b/>
                <w:bCs/>
                <w:noProof/>
              </w:rPr>
            </w:pPr>
            <w:bookmarkStart w:id="158" w:name="Page1"/>
            <w:r>
              <w:rPr>
                <w:b/>
                <w:bCs/>
                <w:noProof/>
              </w:rPr>
              <w:t>Box 4:</w:t>
            </w:r>
            <w:r>
              <w:rPr>
                <w:i/>
                <w:iCs/>
                <w:noProof/>
              </w:rPr>
              <w:t xml:space="preserve"> </w:t>
            </w:r>
            <w:r>
              <w:rPr>
                <w:b/>
                <w:bCs/>
                <w:noProof/>
              </w:rPr>
              <w:t xml:space="preserve">Learning from country cases </w:t>
            </w:r>
          </w:p>
          <w:p w:rsidR="00630C0A" w:rsidRDefault="00961E71">
            <w:pPr>
              <w:spacing w:after="120"/>
              <w:jc w:val="both"/>
              <w:rPr>
                <w:noProof/>
              </w:rPr>
            </w:pPr>
            <w:r>
              <w:rPr>
                <w:b/>
                <w:bCs/>
                <w:noProof/>
              </w:rPr>
              <w:t xml:space="preserve">This box presents a number of instances in which MIP surveillance contributed to the strengthening of the policy response to macroeconomic imbalances. </w:t>
            </w:r>
            <w:r>
              <w:rPr>
                <w:noProof/>
              </w:rPr>
              <w:t>The country cases selected are not exhaus</w:t>
            </w:r>
            <w:r>
              <w:rPr>
                <w:noProof/>
              </w:rPr>
              <w:t>tive and aim simply to illustrate different ways in which the MIP contributed to a more supportive policy environment.</w:t>
            </w:r>
          </w:p>
          <w:p w:rsidR="00630C0A" w:rsidRDefault="00961E71">
            <w:pPr>
              <w:spacing w:after="120"/>
              <w:jc w:val="both"/>
              <w:rPr>
                <w:noProof/>
                <w:lang w:val="en-US"/>
              </w:rPr>
            </w:pPr>
            <w:r>
              <w:rPr>
                <w:b/>
                <w:bCs/>
                <w:noProof/>
              </w:rPr>
              <w:t>Spain and Slovenia were the first two cases identified with excessive imbalances and where specific monitoring was applied.</w:t>
            </w:r>
            <w:r>
              <w:rPr>
                <w:noProof/>
              </w:rPr>
              <w:t xml:space="preserve"> In April 2013</w:t>
            </w:r>
            <w:r>
              <w:rPr>
                <w:noProof/>
              </w:rPr>
              <w:t>, both Member States had been found with excessive imbalances. The MIP provided the framework for them to engage in a structured dialogue with the Commission, the Council and the other Member States on reform plans, to disclose their National Reform Progra</w:t>
            </w:r>
            <w:r>
              <w:rPr>
                <w:noProof/>
              </w:rPr>
              <w:t xml:space="preserve">mmes, and to support enhanced reporting on actual progress. In both cases, the relatively strong progress with reforms contributed to fostering macroeconomic stability in high-risk settings without the need to resort to the EIP. </w:t>
            </w:r>
            <w:r>
              <w:rPr>
                <w:noProof/>
                <w:lang w:val="en-US"/>
              </w:rPr>
              <w:t xml:space="preserve">In more detail: </w:t>
            </w:r>
          </w:p>
          <w:p w:rsidR="00630C0A" w:rsidRDefault="00961E71">
            <w:pPr>
              <w:numPr>
                <w:ilvl w:val="0"/>
                <w:numId w:val="41"/>
              </w:numPr>
              <w:spacing w:after="120"/>
              <w:jc w:val="both"/>
              <w:rPr>
                <w:noProof/>
              </w:rPr>
            </w:pPr>
            <w:r>
              <w:rPr>
                <w:b/>
                <w:bCs/>
                <w:noProof/>
              </w:rPr>
              <w:t>Spain</w:t>
            </w:r>
            <w:r>
              <w:rPr>
                <w:noProof/>
              </w:rPr>
              <w:t xml:space="preserve"> agre</w:t>
            </w:r>
            <w:r>
              <w:rPr>
                <w:noProof/>
              </w:rPr>
              <w:t>ed a financial assistance programme for the recapitalisation of its financial institutions in July 2012 and which ended in early 2014. There was a visible acceleration of reform efforts in late 2013 and throughout 2014. Several important reforms were adopt</w:t>
            </w:r>
            <w:r>
              <w:rPr>
                <w:noProof/>
              </w:rPr>
              <w:t>ed to: strengthen public finance management, the local administration and the pension system; avoid the build-up of commercial arrears; adopt product market reforms aimed at addressing regulatory fragmentation in Spain's internal market; reform the corpora</w:t>
            </w:r>
            <w:r>
              <w:rPr>
                <w:noProof/>
              </w:rPr>
              <w:t>te insolvency framework; establish the independent fiscal council. Reforms to network industries as well as reforms to firm’s access to finance were also on the list. In March 2014, Spain was de-escalated from excessive imbalances to imbalances requiring d</w:t>
            </w:r>
            <w:r>
              <w:rPr>
                <w:noProof/>
              </w:rPr>
              <w:t xml:space="preserve">ecisive action. </w:t>
            </w:r>
          </w:p>
          <w:p w:rsidR="00630C0A" w:rsidRDefault="00961E71">
            <w:pPr>
              <w:numPr>
                <w:ilvl w:val="0"/>
                <w:numId w:val="41"/>
              </w:numPr>
              <w:spacing w:after="120"/>
              <w:jc w:val="both"/>
              <w:rPr>
                <w:noProof/>
              </w:rPr>
            </w:pPr>
            <w:r>
              <w:rPr>
                <w:noProof/>
              </w:rPr>
              <w:t xml:space="preserve">In 2013, </w:t>
            </w:r>
            <w:r>
              <w:rPr>
                <w:b/>
                <w:bCs/>
                <w:noProof/>
              </w:rPr>
              <w:t>Slovenia</w:t>
            </w:r>
            <w:r>
              <w:rPr>
                <w:noProof/>
              </w:rPr>
              <w:t xml:space="preserve"> was struggling with excessive imbalances and hiking market pressures on its sovereign debt. Against that background, considerable progress was made as of 2013 in repairing the banks' balance sheets. Efforts included asset</w:t>
            </w:r>
            <w:r>
              <w:rPr>
                <w:noProof/>
              </w:rPr>
              <w:t xml:space="preserve"> quality reviews, stress tests, recapitalisation of State-owned banks and transfer of non-performing-loans to a 'bad bank', the Bank Asset Management Company; a new legislative framework for corporate restructuring was introduced in December 2013; also in </w:t>
            </w:r>
            <w:r>
              <w:rPr>
                <w:noProof/>
              </w:rPr>
              <w:t>2013, the labour market reform addressed segmentation and introduced greater flexibility, and the pension reform improved the medium-term sustainability of the pension system. The Slovenian Sovereign Holding, responsible for the management and divestment o</w:t>
            </w:r>
            <w:r>
              <w:rPr>
                <w:noProof/>
              </w:rPr>
              <w:t>f State assets, became fully operational, and a new corporate governance code for State-owned enterprises was adopted in December 2014. Slovenia moved from excessive imbalances to imbalances in February 2015 and eventually corrected the imbalances by March</w:t>
            </w:r>
            <w:r>
              <w:rPr>
                <w:noProof/>
              </w:rPr>
              <w:t xml:space="preserve"> 2018.</w:t>
            </w:r>
          </w:p>
          <w:p w:rsidR="00630C0A" w:rsidRDefault="00961E71">
            <w:pPr>
              <w:spacing w:after="120"/>
              <w:jc w:val="both"/>
              <w:rPr>
                <w:b/>
                <w:bCs/>
                <w:noProof/>
                <w:lang w:val="en-US"/>
              </w:rPr>
            </w:pPr>
            <w:r>
              <w:rPr>
                <w:b/>
                <w:bCs/>
                <w:noProof/>
                <w:lang w:val="en-US"/>
              </w:rPr>
              <w:t>In other situations, the MIP worked by combining calls on the need of addressing governance issues with a ready-set framework for swift policy response.</w:t>
            </w:r>
          </w:p>
          <w:p w:rsidR="00630C0A" w:rsidRDefault="00961E71">
            <w:pPr>
              <w:numPr>
                <w:ilvl w:val="0"/>
                <w:numId w:val="42"/>
              </w:numPr>
              <w:spacing w:after="120"/>
              <w:jc w:val="both"/>
              <w:rPr>
                <w:noProof/>
              </w:rPr>
            </w:pPr>
            <w:r>
              <w:rPr>
                <w:noProof/>
                <w:lang w:val="en-US"/>
              </w:rPr>
              <w:t xml:space="preserve">In early 2015, </w:t>
            </w:r>
            <w:r>
              <w:rPr>
                <w:b/>
                <w:bCs/>
                <w:noProof/>
              </w:rPr>
              <w:t>Bulgaria</w:t>
            </w:r>
            <w:r>
              <w:rPr>
                <w:noProof/>
              </w:rPr>
              <w:t xml:space="preserve"> was moved from imbalances to excessive imbalances following the financial turbulence in the second half of 2014 that revealed major governance flaws and could have had significant implications for the financial sector and the overall macroeconomic stabili</w:t>
            </w:r>
            <w:r>
              <w:rPr>
                <w:noProof/>
              </w:rPr>
              <w:t>ty. Such escalation in MIP surveillance was followed by CSRs to ensure the robustness of the banking sector and the revision of the supervision of the banking and the non-banking financial sectors. The MIP surveillance leveraged the recommendations for tim</w:t>
            </w:r>
            <w:r>
              <w:rPr>
                <w:noProof/>
              </w:rPr>
              <w:t>ely completion of asset quality reviews and stress tests of the banking sector, a portfolio screening for the pension funds and insurance sectors, and the take up of actions found needed. All that happened in a context of a still negative, even if improvin</w:t>
            </w:r>
            <w:r>
              <w:rPr>
                <w:noProof/>
              </w:rPr>
              <w:t>g, external position, corporate overleveraging and weak labour market adjustment. In addition to calls for action, the MIP crucially provided the setting for the close and integrated monitoring of policy action and relevant developments. In light of consid</w:t>
            </w:r>
            <w:r>
              <w:rPr>
                <w:noProof/>
              </w:rPr>
              <w:t>erable progress in tackling the issues identified and monitored under MIP surveillance, and positive developments on the front of bank balance sheets, non-performing loans, and other relevant macroeconomic variables, Bulgaria imbalances were no longer iden</w:t>
            </w:r>
            <w:r>
              <w:rPr>
                <w:noProof/>
              </w:rPr>
              <w:t xml:space="preserve">tified as excessive in 2018.  </w:t>
            </w:r>
          </w:p>
          <w:p w:rsidR="00630C0A" w:rsidRDefault="00961E71">
            <w:pPr>
              <w:numPr>
                <w:ilvl w:val="0"/>
                <w:numId w:val="42"/>
              </w:numPr>
              <w:spacing w:after="120"/>
              <w:jc w:val="both"/>
              <w:rPr>
                <w:noProof/>
              </w:rPr>
            </w:pPr>
            <w:r>
              <w:rPr>
                <w:b/>
                <w:bCs/>
                <w:noProof/>
              </w:rPr>
              <w:t>Romania</w:t>
            </w:r>
            <w:r>
              <w:rPr>
                <w:noProof/>
              </w:rPr>
              <w:t xml:space="preserve"> was found to be with imbalances in March 2019. That decision was also taken based on concerns around recent legislative initiatives creating risks to the financial sector and private investment. The Romanian authoriti</w:t>
            </w:r>
            <w:r>
              <w:rPr>
                <w:noProof/>
              </w:rPr>
              <w:t xml:space="preserve">es have since reversed part of those initiatives even though risks are still building up. Here too the MIP can provide a framework to closely and timely monitor those developments. </w:t>
            </w:r>
          </w:p>
          <w:p w:rsidR="00630C0A" w:rsidRDefault="00961E71">
            <w:pPr>
              <w:spacing w:after="120"/>
              <w:jc w:val="both"/>
              <w:rPr>
                <w:noProof/>
              </w:rPr>
            </w:pPr>
            <w:r>
              <w:rPr>
                <w:b/>
                <w:bCs/>
                <w:noProof/>
              </w:rPr>
              <w:t>There were also cases where the MIP worked by raising awareness and giving</w:t>
            </w:r>
            <w:r>
              <w:rPr>
                <w:b/>
                <w:bCs/>
                <w:noProof/>
              </w:rPr>
              <w:t xml:space="preserve"> prominence to certain issues and help mainstreaming and entrenching them on the policy debate</w:t>
            </w:r>
            <w:r>
              <w:rPr>
                <w:b/>
                <w:bCs/>
                <w:i/>
                <w:iCs/>
                <w:noProof/>
              </w:rPr>
              <w:t>.</w:t>
            </w:r>
            <w:r>
              <w:rPr>
                <w:noProof/>
              </w:rPr>
              <w:t xml:space="preserve"> </w:t>
            </w:r>
          </w:p>
          <w:p w:rsidR="00630C0A" w:rsidRDefault="00961E71">
            <w:pPr>
              <w:numPr>
                <w:ilvl w:val="0"/>
                <w:numId w:val="43"/>
              </w:numPr>
              <w:spacing w:after="120"/>
              <w:jc w:val="both"/>
              <w:rPr>
                <w:noProof/>
              </w:rPr>
            </w:pPr>
            <w:r>
              <w:rPr>
                <w:noProof/>
              </w:rPr>
              <w:t xml:space="preserve">For instance, in </w:t>
            </w:r>
            <w:r>
              <w:rPr>
                <w:b/>
                <w:bCs/>
                <w:noProof/>
              </w:rPr>
              <w:t>Sweden</w:t>
            </w:r>
            <w:r>
              <w:rPr>
                <w:noProof/>
              </w:rPr>
              <w:t xml:space="preserve">, the in-depth review gave augmented prominence to housing issues since the very beginning of MIP surveillance in 2012. More generally, </w:t>
            </w:r>
            <w:r>
              <w:rPr>
                <w:noProof/>
              </w:rPr>
              <w:t>the MIP helped in keeping the topic high on the policy debate.</w:t>
            </w:r>
          </w:p>
          <w:p w:rsidR="00630C0A" w:rsidRDefault="00961E71">
            <w:pPr>
              <w:numPr>
                <w:ilvl w:val="0"/>
                <w:numId w:val="43"/>
              </w:numPr>
              <w:spacing w:after="120"/>
              <w:jc w:val="both"/>
              <w:rPr>
                <w:noProof/>
              </w:rPr>
            </w:pPr>
            <w:r>
              <w:rPr>
                <w:noProof/>
              </w:rPr>
              <w:t xml:space="preserve">Similarly, the in-depth review called for attention to the large current account surplus of </w:t>
            </w:r>
            <w:r>
              <w:rPr>
                <w:b/>
                <w:bCs/>
                <w:noProof/>
              </w:rPr>
              <w:t>the Netherlands</w:t>
            </w:r>
            <w:r>
              <w:rPr>
                <w:noProof/>
              </w:rPr>
              <w:t xml:space="preserve">. In addition, the MIP helped keeping the issue of mortgage interest deductibility on personal income taxes on the policy agenda despite reluctance from the national authorities to act on it. </w:t>
            </w:r>
          </w:p>
          <w:p w:rsidR="00630C0A" w:rsidRDefault="00961E71">
            <w:pPr>
              <w:numPr>
                <w:ilvl w:val="0"/>
                <w:numId w:val="43"/>
              </w:numPr>
              <w:spacing w:after="120"/>
              <w:jc w:val="both"/>
              <w:rPr>
                <w:noProof/>
              </w:rPr>
            </w:pPr>
            <w:r>
              <w:rPr>
                <w:noProof/>
              </w:rPr>
              <w:t xml:space="preserve">Likewise, the MIP has managed to cast </w:t>
            </w:r>
            <w:r>
              <w:rPr>
                <w:b/>
                <w:bCs/>
                <w:noProof/>
              </w:rPr>
              <w:t>Germany</w:t>
            </w:r>
            <w:r>
              <w:rPr>
                <w:noProof/>
              </w:rPr>
              <w:t>’s high current ac</w:t>
            </w:r>
            <w:r>
              <w:rPr>
                <w:noProof/>
              </w:rPr>
              <w:t>count surplus on the policy debate. It raised awareness and shifted the debate with the current account surplus not being regarded only as a re-assurance of strong competitiveness, and led to an engagement on a debate with the Commission and the other Memb</w:t>
            </w:r>
            <w:r>
              <w:rPr>
                <w:noProof/>
              </w:rPr>
              <w:t xml:space="preserve">er States (see also Bokhorst, 2019). </w:t>
            </w:r>
          </w:p>
          <w:p w:rsidR="00630C0A" w:rsidRDefault="00961E71">
            <w:pPr>
              <w:numPr>
                <w:ilvl w:val="0"/>
                <w:numId w:val="43"/>
              </w:numPr>
              <w:spacing w:after="120"/>
              <w:jc w:val="both"/>
              <w:rPr>
                <w:b/>
                <w:bCs/>
                <w:noProof/>
              </w:rPr>
            </w:pPr>
            <w:r>
              <w:rPr>
                <w:noProof/>
              </w:rPr>
              <w:t xml:space="preserve">The MIP has fed the policy debate in </w:t>
            </w:r>
            <w:r>
              <w:rPr>
                <w:b/>
                <w:bCs/>
                <w:noProof/>
              </w:rPr>
              <w:t xml:space="preserve">Croatia </w:t>
            </w:r>
            <w:r>
              <w:rPr>
                <w:noProof/>
              </w:rPr>
              <w:t>and, in light of potentially stronger enforcement associated with the EIP. Moreover, the policy response right after being classified as excessive imbalances triggered visib</w:t>
            </w:r>
            <w:r>
              <w:rPr>
                <w:noProof/>
              </w:rPr>
              <w:t xml:space="preserve">le preparation of policy plans, as shown in the subsequent National Reform Programmes, even if subsequent action was somewhat left wanting. </w:t>
            </w:r>
          </w:p>
        </w:tc>
      </w:tr>
    </w:tbl>
    <w:p w:rsidR="00630C0A" w:rsidRDefault="00630C0A">
      <w:pPr>
        <w:spacing w:after="120"/>
        <w:jc w:val="both"/>
        <w:rPr>
          <w:noProof/>
        </w:rPr>
      </w:pPr>
      <w:bookmarkStart w:id="159" w:name="_Toc9367497"/>
      <w:bookmarkEnd w:id="158"/>
      <w:bookmarkEnd w:id="159"/>
    </w:p>
    <w:p w:rsidR="00630C0A" w:rsidRDefault="00961E71">
      <w:pPr>
        <w:pStyle w:val="Heading3"/>
        <w:numPr>
          <w:ilvl w:val="2"/>
          <w:numId w:val="0"/>
        </w:numPr>
        <w:ind w:left="360"/>
        <w:rPr>
          <w:noProof/>
        </w:rPr>
      </w:pPr>
      <w:bookmarkStart w:id="160" w:name="_Toc9416917"/>
      <w:bookmarkStart w:id="161" w:name="_Toc11351332"/>
      <w:bookmarkStart w:id="162" w:name="_Toc27126039"/>
      <w:bookmarkStart w:id="163" w:name="_Toc27127251"/>
      <w:bookmarkStart w:id="164" w:name="_Toc27132114"/>
      <w:bookmarkStart w:id="165" w:name="_Toc27145699"/>
      <w:bookmarkStart w:id="166" w:name="_Toc27146173"/>
      <w:bookmarkStart w:id="167" w:name="_Toc27156972"/>
      <w:bookmarkStart w:id="168" w:name="_Toc27158134"/>
      <w:bookmarkStart w:id="169" w:name="_Toc31115872"/>
      <w:bookmarkEnd w:id="157"/>
      <w:bookmarkEnd w:id="160"/>
      <w:r>
        <w:rPr>
          <w:noProof/>
        </w:rPr>
        <w:t>3.3.3 Impact on economic outcomes</w:t>
      </w:r>
      <w:bookmarkEnd w:id="161"/>
      <w:bookmarkEnd w:id="162"/>
      <w:bookmarkEnd w:id="163"/>
      <w:bookmarkEnd w:id="164"/>
      <w:bookmarkEnd w:id="165"/>
      <w:bookmarkEnd w:id="166"/>
      <w:bookmarkEnd w:id="167"/>
      <w:bookmarkEnd w:id="168"/>
      <w:bookmarkEnd w:id="169"/>
    </w:p>
    <w:p w:rsidR="00630C0A" w:rsidRDefault="00961E71">
      <w:pPr>
        <w:spacing w:after="120"/>
        <w:jc w:val="both"/>
        <w:rPr>
          <w:noProof/>
        </w:rPr>
      </w:pPr>
      <w:r>
        <w:rPr>
          <w:b/>
          <w:bCs/>
          <w:noProof/>
        </w:rPr>
        <w:t>A thorough assessment of the MIP surveillance on economic outcomes is beyond th</w:t>
      </w:r>
      <w:r>
        <w:rPr>
          <w:b/>
          <w:bCs/>
          <w:noProof/>
        </w:rPr>
        <w:t xml:space="preserve">e scope of the present review. </w:t>
      </w:r>
      <w:r>
        <w:rPr>
          <w:noProof/>
        </w:rPr>
        <w:t>The MIP can affect relevant economic variables not only via its impact on policies carried out by Member States under surveillance but also via the impact that the presence of a structured surveillance framework could have on</w:t>
      </w:r>
      <w:r>
        <w:rPr>
          <w:noProof/>
        </w:rPr>
        <w:t xml:space="preserve"> market sentiment. A thorough assessment would require a counterfactual that permits to check countries’ performance in absence of the MIP.</w:t>
      </w:r>
      <w:r>
        <w:rPr>
          <w:noProof/>
          <w:vertAlign w:val="superscript"/>
        </w:rPr>
        <w:footnoteReference w:id="85"/>
      </w:r>
      <w:r>
        <w:rPr>
          <w:noProof/>
        </w:rPr>
        <w:t xml:space="preserve"> However, the application of econometric techniques usually employed to construct such counterfactual would hardly p</w:t>
      </w:r>
      <w:r>
        <w:rPr>
          <w:noProof/>
        </w:rPr>
        <w:t xml:space="preserve">ermit robust conclusions in the case of the MIP for two main reasons. First, the experience with the implementation of the framework is rather limited, implying that the data do not contain sufficient observations to assess the effectiveness of the MIP in </w:t>
      </w:r>
      <w:r>
        <w:rPr>
          <w:noProof/>
        </w:rPr>
        <w:t xml:space="preserve">the correction of slow-moving stock variables, or the prevention of the accumulation of new imbalances. Second, and moreover, MIP objectives are multifaceted and country specific, implying that a test of MIP effectiveness based on the impact of the MIP on </w:t>
      </w:r>
      <w:r>
        <w:rPr>
          <w:noProof/>
        </w:rPr>
        <w:t>a single or few economic variables cannot lead to general conclusions. The remainder of this section will present nonetheless prima-facie evidence aimed at corroborating a number of tentative findings on the impact of MIP surveillance.</w:t>
      </w:r>
    </w:p>
    <w:p w:rsidR="00630C0A" w:rsidRDefault="00961E71">
      <w:pPr>
        <w:pStyle w:val="Caption"/>
        <w:keepNext/>
        <w:jc w:val="center"/>
        <w:rPr>
          <w:b/>
          <w:bCs/>
          <w:i w:val="0"/>
          <w:iCs w:val="0"/>
          <w:noProof/>
          <w:color w:val="auto"/>
          <w:sz w:val="24"/>
          <w:szCs w:val="24"/>
        </w:rPr>
      </w:pPr>
      <w:bookmarkStart w:id="170" w:name="_Ref26371403"/>
      <w:r>
        <w:rPr>
          <w:b/>
          <w:bCs/>
          <w:i w:val="0"/>
          <w:iCs w:val="0"/>
          <w:noProof/>
          <w:color w:val="auto"/>
          <w:sz w:val="24"/>
          <w:szCs w:val="24"/>
        </w:rPr>
        <w:t xml:space="preserve">Graph </w:t>
      </w:r>
      <w:r>
        <w:rPr>
          <w:noProof/>
        </w:rPr>
        <w:fldChar w:fldCharType="begin"/>
      </w:r>
      <w:r>
        <w:rPr>
          <w:b/>
          <w:i w:val="0"/>
          <w:noProof/>
          <w:color w:val="auto"/>
          <w:sz w:val="24"/>
          <w:szCs w:val="24"/>
        </w:rPr>
        <w:instrText xml:space="preserve"> SEQ Graph \* </w:instrText>
      </w:r>
      <w:r>
        <w:rPr>
          <w:b/>
          <w:i w:val="0"/>
          <w:noProof/>
          <w:color w:val="auto"/>
          <w:sz w:val="24"/>
          <w:szCs w:val="24"/>
        </w:rPr>
        <w:instrText xml:space="preserve">ARABIC </w:instrText>
      </w:r>
      <w:r>
        <w:rPr>
          <w:b/>
          <w:i w:val="0"/>
          <w:noProof/>
          <w:color w:val="auto"/>
          <w:sz w:val="24"/>
          <w:szCs w:val="24"/>
        </w:rPr>
        <w:fldChar w:fldCharType="separate"/>
      </w:r>
      <w:r>
        <w:rPr>
          <w:b/>
          <w:i w:val="0"/>
          <w:noProof/>
          <w:color w:val="auto"/>
          <w:sz w:val="24"/>
          <w:szCs w:val="24"/>
        </w:rPr>
        <w:t>14</w:t>
      </w:r>
      <w:r>
        <w:rPr>
          <w:noProof/>
        </w:rPr>
        <w:fldChar w:fldCharType="end"/>
      </w:r>
      <w:bookmarkEnd w:id="170"/>
      <w:r>
        <w:rPr>
          <w:b/>
          <w:bCs/>
          <w:i w:val="0"/>
          <w:iCs w:val="0"/>
          <w:noProof/>
          <w:color w:val="auto"/>
          <w:sz w:val="24"/>
          <w:szCs w:val="24"/>
        </w:rPr>
        <w:t>: Sovereign 10-year bond spread against Germany</w:t>
      </w:r>
    </w:p>
    <w:p w:rsidR="00630C0A" w:rsidRDefault="00961E71">
      <w:pPr>
        <w:spacing w:after="120"/>
        <w:jc w:val="center"/>
        <w:rPr>
          <w:noProof/>
        </w:rPr>
      </w:pPr>
      <w:r>
        <w:rPr>
          <w:noProof/>
        </w:rPr>
        <w:drawing>
          <wp:inline distT="0" distB="0" distL="0" distR="0">
            <wp:extent cx="2843530" cy="2430780"/>
            <wp:effectExtent l="0" t="0" r="0" b="762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43530" cy="2430780"/>
                    </a:xfrm>
                    <a:prstGeom prst="rect">
                      <a:avLst/>
                    </a:prstGeom>
                    <a:noFill/>
                    <a:ln>
                      <a:noFill/>
                    </a:ln>
                  </pic:spPr>
                </pic:pic>
              </a:graphicData>
            </a:graphic>
          </wp:inline>
        </w:drawing>
      </w:r>
    </w:p>
    <w:p w:rsidR="00630C0A" w:rsidRDefault="00961E71">
      <w:pPr>
        <w:jc w:val="both"/>
        <w:rPr>
          <w:i/>
          <w:iCs/>
          <w:noProof/>
          <w:sz w:val="20"/>
          <w:szCs w:val="20"/>
        </w:rPr>
      </w:pPr>
      <w:r>
        <w:rPr>
          <w:i/>
          <w:iCs/>
          <w:noProof/>
          <w:sz w:val="20"/>
          <w:szCs w:val="20"/>
        </w:rPr>
        <w:t>Note: A Member State is classified as identified with excessive imbalances or imbalances if it has been in that category for at least 3 years (not necessarily consecutively) since MIP inception.</w:t>
      </w:r>
      <w:r>
        <w:rPr>
          <w:i/>
          <w:iCs/>
          <w:noProof/>
          <w:sz w:val="20"/>
          <w:szCs w:val="20"/>
        </w:rPr>
        <w:t xml:space="preserve"> Member States never subject to IDR, or subject to an IDR but with no imbalances found, or with imbalances (or excessive imbalances) but for less than 3 years, are included in the group “Others” for the sake of comparison. Actual composition of the Member </w:t>
      </w:r>
      <w:r>
        <w:rPr>
          <w:i/>
          <w:iCs/>
          <w:noProof/>
          <w:sz w:val="20"/>
          <w:szCs w:val="20"/>
        </w:rPr>
        <w:t>State groups is as follows: “Identified with excessive imbalances”: BG, FR, HR, IT, CY, PT; “Identified with imbalances”: BE, IE, ES, HU, NL, SI, FI, SE, UK”. Averages are unweighted.</w:t>
      </w:r>
    </w:p>
    <w:p w:rsidR="00630C0A" w:rsidRDefault="00961E71">
      <w:pPr>
        <w:spacing w:after="120"/>
        <w:jc w:val="both"/>
        <w:rPr>
          <w:i/>
          <w:iCs/>
          <w:noProof/>
          <w:sz w:val="20"/>
          <w:szCs w:val="20"/>
        </w:rPr>
      </w:pPr>
      <w:r>
        <w:rPr>
          <w:i/>
          <w:iCs/>
          <w:noProof/>
          <w:sz w:val="20"/>
          <w:szCs w:val="20"/>
        </w:rPr>
        <w:t>Source: Eurostat</w:t>
      </w:r>
    </w:p>
    <w:p w:rsidR="00630C0A" w:rsidRDefault="00630C0A">
      <w:pPr>
        <w:spacing w:after="120"/>
        <w:jc w:val="both"/>
        <w:rPr>
          <w:b/>
          <w:noProof/>
        </w:rPr>
      </w:pPr>
    </w:p>
    <w:p w:rsidR="00630C0A" w:rsidRDefault="00961E71">
      <w:pPr>
        <w:spacing w:after="120"/>
        <w:jc w:val="both"/>
        <w:rPr>
          <w:noProof/>
        </w:rPr>
      </w:pPr>
      <w:r>
        <w:rPr>
          <w:b/>
          <w:bCs/>
          <w:noProof/>
        </w:rPr>
        <w:t xml:space="preserve">Member States experiencing imbalances, and especially </w:t>
      </w:r>
      <w:r>
        <w:rPr>
          <w:b/>
          <w:bCs/>
          <w:noProof/>
        </w:rPr>
        <w:t>those found to have excessive imbalances, recorded, on average a bigger drop in risk premia</w:t>
      </w:r>
      <w:r>
        <w:rPr>
          <w:noProof/>
        </w:rPr>
        <w:t xml:space="preserve"> </w:t>
      </w:r>
      <w:r>
        <w:rPr>
          <w:b/>
          <w:bCs/>
          <w:noProof/>
        </w:rPr>
        <w:t xml:space="preserve">as compared with other Member States. </w:t>
      </w:r>
      <w:r>
        <w:rPr>
          <w:noProof/>
        </w:rPr>
        <w:t>Over the post-crisis period, when the MIP was introduced, macro-financial risks as reflected by markets were considerably high</w:t>
      </w:r>
      <w:r>
        <w:rPr>
          <w:noProof/>
        </w:rPr>
        <w:t>er in Member States that were subject to MIP surveillance. Over time, notably as a result of enhanced governance for euro area Member States and the establishments of firewalls addressing default risk and contagion (European Stability Mechanism; Banking Un</w:t>
      </w:r>
      <w:r>
        <w:rPr>
          <w:noProof/>
        </w:rPr>
        <w:t xml:space="preserve">ion, with the Single Supervisory Mechanism and the Single Resolution Mechanism; and measures by the European Central Bank, such as Quantitative Easing and announcement of the Outright Market Transactions programme), risk premia fell in across the EU, with </w:t>
      </w:r>
      <w:r>
        <w:rPr>
          <w:noProof/>
        </w:rPr>
        <w:t>more sizeable reductions on average in cases identified with excessive imbalances (</w:t>
      </w:r>
      <w:r>
        <w:rPr>
          <w:noProof/>
        </w:rPr>
        <w:fldChar w:fldCharType="begin"/>
      </w:r>
      <w:r>
        <w:rPr>
          <w:noProof/>
        </w:rPr>
        <w:instrText xml:space="preserve"> REF _Ref26371403 \h  \* MERGEFORMAT </w:instrText>
      </w:r>
      <w:r>
        <w:rPr>
          <w:noProof/>
        </w:rPr>
      </w:r>
      <w:r>
        <w:rPr>
          <w:noProof/>
        </w:rPr>
        <w:fldChar w:fldCharType="separate"/>
      </w:r>
      <w:r>
        <w:rPr>
          <w:bCs/>
          <w:noProof/>
        </w:rPr>
        <w:t>Graph 14</w:t>
      </w:r>
      <w:r>
        <w:rPr>
          <w:noProof/>
        </w:rPr>
        <w:fldChar w:fldCharType="end"/>
      </w:r>
      <w:r>
        <w:rPr>
          <w:noProof/>
        </w:rPr>
        <w:t>).</w:t>
      </w:r>
    </w:p>
    <w:p w:rsidR="00630C0A" w:rsidRDefault="00961E71">
      <w:pPr>
        <w:spacing w:after="120"/>
        <w:jc w:val="both"/>
        <w:rPr>
          <w:noProof/>
        </w:rPr>
      </w:pPr>
      <w:r>
        <w:rPr>
          <w:b/>
          <w:bCs/>
          <w:noProof/>
        </w:rPr>
        <w:t>Economic activity in Member States that have undergone MIP</w:t>
      </w:r>
      <w:r>
        <w:rPr>
          <w:b/>
          <w:bCs/>
          <w:noProof/>
        </w:rPr>
        <w:t xml:space="preserve"> surveillance has strongly accelerated after years of weaker economic performance. </w:t>
      </w:r>
      <w:r>
        <w:rPr>
          <w:noProof/>
        </w:rPr>
        <w:t>In particular, Member States marked by excessive imbalances have underperformed relative to their EU peers in the post crisis period, with weaker GDP growth and higher unemp</w:t>
      </w:r>
      <w:r>
        <w:rPr>
          <w:noProof/>
        </w:rPr>
        <w:t>loyment. However, the economic recovery appears to have benefited especially a number of Member States under MIP surveillance as growth resumed more markedly therein, especially those that were more affected by adjustment to large current account deficit r</w:t>
      </w:r>
      <w:r>
        <w:rPr>
          <w:noProof/>
        </w:rPr>
        <w:t xml:space="preserve">eversals. In addition, unemployment exhibited a bigger drop as compared with non-MIP Member States. </w:t>
      </w:r>
    </w:p>
    <w:p w:rsidR="00630C0A" w:rsidRDefault="00961E71">
      <w:pPr>
        <w:spacing w:after="120"/>
        <w:jc w:val="both"/>
        <w:rPr>
          <w:noProof/>
        </w:rPr>
      </w:pPr>
      <w:r>
        <w:rPr>
          <w:b/>
          <w:noProof/>
        </w:rPr>
        <w:t xml:space="preserve">The evidence suggests that MIP surveillance has helped to address the risks </w:t>
      </w:r>
      <w:r>
        <w:rPr>
          <w:b/>
          <w:bCs/>
          <w:noProof/>
        </w:rPr>
        <w:t xml:space="preserve">stemming from macroeconomic imbalances, which in turn improved </w:t>
      </w:r>
      <w:r>
        <w:rPr>
          <w:b/>
          <w:noProof/>
        </w:rPr>
        <w:t>economic growth</w:t>
      </w:r>
      <w:r>
        <w:rPr>
          <w:noProof/>
        </w:rPr>
        <w:t>.</w:t>
      </w:r>
      <w:r>
        <w:rPr>
          <w:noProof/>
        </w:rPr>
        <w:t xml:space="preserve"> The reduction in risk premia in Member States subject to MIP contributed to a stronger growth performance by improving prospects for public finances and the banking sector, thereby creating the conditions for resumed domestic demand, notably investment.</w:t>
      </w:r>
      <w:r>
        <w:rPr>
          <w:noProof/>
          <w:vertAlign w:val="superscript"/>
        </w:rPr>
        <w:footnoteReference w:id="86"/>
      </w:r>
      <w:r>
        <w:rPr>
          <w:noProof/>
        </w:rPr>
        <w:t xml:space="preserve"> </w:t>
      </w:r>
      <w:r>
        <w:rPr>
          <w:noProof/>
        </w:rPr>
        <w:t>Resumed growth, in turn, had a positive feedback loop on perceived risks. The fact that the reduction in risk was stronger in Member States under MIP cannot be taken as evidence. Other factors undoubtedly played a role, including market reactions and polic</w:t>
      </w:r>
      <w:r>
        <w:rPr>
          <w:noProof/>
        </w:rPr>
        <w:t>ies not affected by MIP surveillance. The evidence is nonetheless consistent with increased policy activism due to the MIP or improved market sentiment associated with the presence of a structured surveillance framework set by the MIP.</w:t>
      </w:r>
    </w:p>
    <w:p w:rsidR="00630C0A" w:rsidRDefault="00961E71">
      <w:pPr>
        <w:jc w:val="both"/>
        <w:rPr>
          <w:i/>
          <w:iCs/>
          <w:noProof/>
        </w:rPr>
      </w:pPr>
      <w:r>
        <w:rPr>
          <w:b/>
          <w:noProof/>
        </w:rPr>
        <w:t>Sources of imbalance</w:t>
      </w:r>
      <w:r>
        <w:rPr>
          <w:b/>
          <w:noProof/>
        </w:rPr>
        <w:t>s have been receding in Member States.</w:t>
      </w:r>
      <w:r>
        <w:rPr>
          <w:b/>
          <w:bCs/>
          <w:noProof/>
        </w:rPr>
        <w:t xml:space="preserve"> </w:t>
      </w:r>
      <w:r>
        <w:rPr>
          <w:noProof/>
        </w:rPr>
        <w:t>Sources of imbalances identified</w:t>
      </w:r>
      <w:r>
        <w:rPr>
          <w:b/>
          <w:noProof/>
        </w:rPr>
        <w:t xml:space="preserve"> </w:t>
      </w:r>
      <w:r>
        <w:rPr>
          <w:noProof/>
        </w:rPr>
        <w:t>in the earlier years of MIP implementation were often related to large current account deficits, past competitiveness losses, inflated house prices, high debt levels often coupled with</w:t>
      </w:r>
      <w:r>
        <w:rPr>
          <w:noProof/>
        </w:rPr>
        <w:t xml:space="preserve"> undercapitalised banking systems. The available evidence suggests that in most cases, Member States under MIP surveillance have recorded improvements in variables linked to the identified imbalances. </w:t>
      </w:r>
      <w:r>
        <w:rPr>
          <w:noProof/>
        </w:rPr>
        <w:fldChar w:fldCharType="begin"/>
      </w:r>
      <w:r>
        <w:rPr>
          <w:noProof/>
        </w:rPr>
        <w:instrText xml:space="preserve"> REF _Ref26371520 \h  \* MERGEFORMAT </w:instrText>
      </w:r>
      <w:r>
        <w:rPr>
          <w:noProof/>
        </w:rPr>
      </w:r>
      <w:r>
        <w:rPr>
          <w:noProof/>
        </w:rPr>
        <w:fldChar w:fldCharType="separate"/>
      </w:r>
      <w:r>
        <w:rPr>
          <w:noProof/>
          <w:color w:val="000000" w:themeColor="text1"/>
        </w:rPr>
        <w:t>Graph 15</w:t>
      </w:r>
      <w:r>
        <w:rPr>
          <w:noProof/>
        </w:rPr>
        <w:fldChar w:fldCharType="end"/>
      </w:r>
      <w:r>
        <w:rPr>
          <w:noProof/>
        </w:rPr>
        <w:t xml:space="preserve"> and </w:t>
      </w:r>
      <w:r>
        <w:rPr>
          <w:noProof/>
        </w:rPr>
        <w:fldChar w:fldCharType="begin"/>
      </w:r>
      <w:r>
        <w:rPr>
          <w:noProof/>
        </w:rPr>
        <w:instrText xml:space="preserve"> REF _Ref26371540 \h  \* MERGEFORMAT </w:instrText>
      </w:r>
      <w:r>
        <w:rPr>
          <w:noProof/>
        </w:rPr>
      </w:r>
      <w:r>
        <w:rPr>
          <w:noProof/>
        </w:rPr>
        <w:fldChar w:fldCharType="separate"/>
      </w:r>
      <w:r>
        <w:rPr>
          <w:noProof/>
          <w:color w:val="000000" w:themeColor="text1"/>
        </w:rPr>
        <w:t>Graph 16</w:t>
      </w:r>
      <w:r>
        <w:rPr>
          <w:noProof/>
        </w:rPr>
        <w:fldChar w:fldCharType="end"/>
      </w:r>
      <w:r>
        <w:rPr>
          <w:noProof/>
        </w:rPr>
        <w:t xml:space="preserve"> report consistent evidence for external imbalances (current account balances and N</w:t>
      </w:r>
      <w:r>
        <w:rPr>
          <w:noProof/>
        </w:rPr>
        <w:t>IIPs). Member States under MIP surveillance with imbalances identified in areas relating to excessively large current account deficits were reporting much larger deficits compared with other Member States but recorded faster improvements during the years u</w:t>
      </w:r>
      <w:r>
        <w:rPr>
          <w:noProof/>
        </w:rPr>
        <w:t>nder MIP surveillance. Competitiveness also improved faster in Member States with the need to rebalance after a history of large current account deficits.</w:t>
      </w:r>
      <w:r>
        <w:rPr>
          <w:noProof/>
          <w:vertAlign w:val="superscript"/>
        </w:rPr>
        <w:footnoteReference w:id="87"/>
      </w:r>
      <w:r>
        <w:rPr>
          <w:noProof/>
        </w:rPr>
        <w:t xml:space="preserve"> Similar considerations apply to stock variables like the NIIP and private debt, although improvement</w:t>
      </w:r>
      <w:r>
        <w:rPr>
          <w:noProof/>
        </w:rPr>
        <w:t xml:space="preserve">s were visible only recently and stock imbalances remain important. </w:t>
      </w:r>
    </w:p>
    <w:p w:rsidR="00630C0A" w:rsidRDefault="00630C0A">
      <w:pPr>
        <w:spacing w:after="120"/>
        <w:jc w:val="both"/>
        <w:rPr>
          <w:i/>
          <w:noProof/>
        </w:rPr>
      </w:pPr>
    </w:p>
    <w:tbl>
      <w:tblPr>
        <w:tblW w:w="0" w:type="auto"/>
        <w:tblLayout w:type="fixed"/>
        <w:tblLook w:val="04A0" w:firstRow="1" w:lastRow="0" w:firstColumn="1" w:lastColumn="0" w:noHBand="0" w:noVBand="1"/>
      </w:tblPr>
      <w:tblGrid>
        <w:gridCol w:w="4644"/>
        <w:gridCol w:w="4644"/>
      </w:tblGrid>
      <w:tr w:rsidR="00630C0A">
        <w:tc>
          <w:tcPr>
            <w:tcW w:w="4644" w:type="dxa"/>
            <w:hideMark/>
          </w:tcPr>
          <w:p w:rsidR="00630C0A" w:rsidRDefault="00961E71">
            <w:pPr>
              <w:pStyle w:val="Caption"/>
              <w:jc w:val="center"/>
              <w:rPr>
                <w:b/>
                <w:bCs/>
                <w:i w:val="0"/>
                <w:iCs w:val="0"/>
                <w:noProof/>
                <w:color w:val="000000" w:themeColor="text1"/>
                <w:sz w:val="22"/>
                <w:szCs w:val="22"/>
              </w:rPr>
            </w:pPr>
            <w:bookmarkStart w:id="171" w:name="_Ref26371520"/>
            <w:r>
              <w:rPr>
                <w:b/>
                <w:bCs/>
                <w:i w:val="0"/>
                <w:iCs w:val="0"/>
                <w:noProof/>
                <w:color w:val="000000" w:themeColor="text1"/>
                <w:sz w:val="22"/>
                <w:szCs w:val="22"/>
              </w:rPr>
              <w:t xml:space="preserve">Graph </w:t>
            </w:r>
            <w:r>
              <w:rPr>
                <w:noProof/>
              </w:rPr>
              <w:fldChar w:fldCharType="begin"/>
            </w:r>
            <w:r>
              <w:rPr>
                <w:b/>
                <w:i w:val="0"/>
                <w:noProof/>
                <w:color w:val="000000" w:themeColor="text1"/>
                <w:sz w:val="22"/>
              </w:rPr>
              <w:instrText xml:space="preserve"> SEQ Graph \* ARABIC </w:instrText>
            </w:r>
            <w:r>
              <w:rPr>
                <w:b/>
                <w:i w:val="0"/>
                <w:noProof/>
                <w:color w:val="000000" w:themeColor="text1"/>
                <w:sz w:val="22"/>
              </w:rPr>
              <w:fldChar w:fldCharType="separate"/>
            </w:r>
            <w:r>
              <w:rPr>
                <w:b/>
                <w:i w:val="0"/>
                <w:noProof/>
                <w:color w:val="000000" w:themeColor="text1"/>
                <w:sz w:val="22"/>
              </w:rPr>
              <w:t>15</w:t>
            </w:r>
            <w:r>
              <w:rPr>
                <w:noProof/>
              </w:rPr>
              <w:fldChar w:fldCharType="end"/>
            </w:r>
            <w:bookmarkEnd w:id="171"/>
            <w:r>
              <w:rPr>
                <w:b/>
                <w:bCs/>
                <w:i w:val="0"/>
                <w:iCs w:val="0"/>
                <w:noProof/>
                <w:color w:val="000000" w:themeColor="text1"/>
                <w:sz w:val="22"/>
                <w:szCs w:val="22"/>
              </w:rPr>
              <w:t>: Current Accounts: deficits and surpluses as source of imbalances</w:t>
            </w:r>
          </w:p>
          <w:p w:rsidR="00630C0A" w:rsidRDefault="00961E71">
            <w:pPr>
              <w:spacing w:after="120"/>
              <w:jc w:val="both"/>
              <w:rPr>
                <w:noProof/>
              </w:rPr>
            </w:pPr>
            <w:r>
              <w:rPr>
                <w:noProof/>
              </w:rPr>
              <w:drawing>
                <wp:inline distT="0" distB="0" distL="0" distR="0">
                  <wp:extent cx="2802681" cy="252000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02681" cy="2520000"/>
                          </a:xfrm>
                          <a:prstGeom prst="rect">
                            <a:avLst/>
                          </a:prstGeom>
                          <a:noFill/>
                          <a:ln>
                            <a:noFill/>
                          </a:ln>
                        </pic:spPr>
                      </pic:pic>
                    </a:graphicData>
                  </a:graphic>
                </wp:inline>
              </w:drawing>
            </w:r>
          </w:p>
        </w:tc>
        <w:tc>
          <w:tcPr>
            <w:tcW w:w="4644" w:type="dxa"/>
            <w:hideMark/>
          </w:tcPr>
          <w:p w:rsidR="00630C0A" w:rsidRDefault="00961E71">
            <w:pPr>
              <w:pStyle w:val="Caption"/>
              <w:jc w:val="center"/>
              <w:rPr>
                <w:b/>
                <w:i w:val="0"/>
                <w:noProof/>
                <w:color w:val="000000" w:themeColor="text1"/>
                <w:sz w:val="22"/>
                <w:szCs w:val="22"/>
              </w:rPr>
            </w:pPr>
            <w:bookmarkStart w:id="172" w:name="_Ref26371540"/>
            <w:bookmarkStart w:id="173" w:name="NIIPrebal"/>
            <w:r>
              <w:rPr>
                <w:b/>
                <w:bCs/>
                <w:i w:val="0"/>
                <w:iCs w:val="0"/>
                <w:noProof/>
                <w:color w:val="000000" w:themeColor="text1"/>
                <w:sz w:val="22"/>
                <w:szCs w:val="22"/>
              </w:rPr>
              <w:t xml:space="preserve">Graph </w:t>
            </w:r>
            <w:r>
              <w:rPr>
                <w:b/>
                <w:i w:val="0"/>
                <w:noProof/>
                <w:color w:val="000000" w:themeColor="text1"/>
                <w:sz w:val="22"/>
                <w:szCs w:val="22"/>
              </w:rPr>
              <w:fldChar w:fldCharType="begin"/>
            </w:r>
            <w:r>
              <w:rPr>
                <w:b/>
                <w:i w:val="0"/>
                <w:noProof/>
                <w:color w:val="000000" w:themeColor="text1"/>
                <w:sz w:val="22"/>
                <w:szCs w:val="22"/>
              </w:rPr>
              <w:instrText xml:space="preserve"> SEQ Graph \* ARABIC </w:instrText>
            </w:r>
            <w:r>
              <w:rPr>
                <w:b/>
                <w:i w:val="0"/>
                <w:noProof/>
                <w:color w:val="000000" w:themeColor="text1"/>
                <w:sz w:val="22"/>
                <w:szCs w:val="22"/>
              </w:rPr>
              <w:fldChar w:fldCharType="separate"/>
            </w:r>
            <w:r>
              <w:rPr>
                <w:b/>
                <w:i w:val="0"/>
                <w:noProof/>
                <w:color w:val="000000" w:themeColor="text1"/>
                <w:sz w:val="22"/>
                <w:szCs w:val="22"/>
              </w:rPr>
              <w:t>16</w:t>
            </w:r>
            <w:r>
              <w:rPr>
                <w:b/>
                <w:i w:val="0"/>
                <w:noProof/>
                <w:color w:val="000000" w:themeColor="text1"/>
                <w:sz w:val="22"/>
                <w:szCs w:val="22"/>
              </w:rPr>
              <w:fldChar w:fldCharType="end"/>
            </w:r>
            <w:bookmarkEnd w:id="172"/>
            <w:r>
              <w:rPr>
                <w:b/>
                <w:bCs/>
                <w:i w:val="0"/>
                <w:iCs w:val="0"/>
                <w:noProof/>
                <w:color w:val="000000" w:themeColor="text1"/>
                <w:sz w:val="22"/>
                <w:szCs w:val="22"/>
              </w:rPr>
              <w:t>: NIIP</w:t>
            </w:r>
          </w:p>
          <w:p w:rsidR="00630C0A" w:rsidRDefault="00630C0A">
            <w:pPr>
              <w:rPr>
                <w:noProof/>
              </w:rPr>
            </w:pPr>
          </w:p>
          <w:p w:rsidR="00630C0A" w:rsidRDefault="00961E71">
            <w:pPr>
              <w:rPr>
                <w:noProof/>
              </w:rPr>
            </w:pPr>
            <w:r>
              <w:rPr>
                <w:noProof/>
              </w:rPr>
              <w:drawing>
                <wp:inline distT="0" distB="0" distL="0" distR="0">
                  <wp:extent cx="2838180" cy="25200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38180" cy="2520000"/>
                          </a:xfrm>
                          <a:prstGeom prst="rect">
                            <a:avLst/>
                          </a:prstGeom>
                          <a:noFill/>
                          <a:ln>
                            <a:noFill/>
                          </a:ln>
                        </pic:spPr>
                      </pic:pic>
                    </a:graphicData>
                  </a:graphic>
                </wp:inline>
              </w:drawing>
            </w:r>
            <w:bookmarkEnd w:id="173"/>
          </w:p>
        </w:tc>
      </w:tr>
    </w:tbl>
    <w:p w:rsidR="00630C0A" w:rsidRDefault="00961E71">
      <w:pPr>
        <w:jc w:val="both"/>
        <w:rPr>
          <w:b/>
          <w:bCs/>
          <w:i/>
          <w:iCs/>
          <w:noProof/>
          <w:sz w:val="20"/>
          <w:szCs w:val="20"/>
          <w:lang w:val="en-IE"/>
        </w:rPr>
      </w:pPr>
      <w:r>
        <w:rPr>
          <w:i/>
          <w:iCs/>
          <w:noProof/>
          <w:sz w:val="20"/>
          <w:szCs w:val="20"/>
          <w:lang w:val="en-IE"/>
        </w:rPr>
        <w:t xml:space="preserve">Note: "CA deficit a source of imbalances" ("CA surplus a source of imbalances") includes those Member States that have had </w:t>
      </w:r>
      <w:r>
        <w:rPr>
          <w:i/>
          <w:iCs/>
          <w:noProof/>
          <w:sz w:val="20"/>
          <w:szCs w:val="20"/>
        </w:rPr>
        <w:t>current account deficits (surplus) identified as a source of imbalance at least once (as presented in the MIP matrix or chapeau commu</w:t>
      </w:r>
      <w:r>
        <w:rPr>
          <w:i/>
          <w:iCs/>
          <w:noProof/>
          <w:sz w:val="20"/>
          <w:szCs w:val="20"/>
        </w:rPr>
        <w:t xml:space="preserve">nication); and, being classified with imbalances or excessive imbalances for at least 3 years. Actual composition of the groups is as follows: </w:t>
      </w:r>
      <w:r>
        <w:rPr>
          <w:i/>
          <w:iCs/>
          <w:noProof/>
          <w:sz w:val="20"/>
          <w:szCs w:val="20"/>
          <w:lang w:val="en-IE"/>
        </w:rPr>
        <w:t>"CA deficit a source of imbalances": BG, CY, ES, HR, HU, IE, PT; "CA surplus a source of imbalances": DE, NL, SE.</w:t>
      </w:r>
      <w:r>
        <w:rPr>
          <w:i/>
          <w:iCs/>
          <w:noProof/>
          <w:sz w:val="20"/>
          <w:szCs w:val="20"/>
          <w:lang w:val="en-IE"/>
        </w:rPr>
        <w:t xml:space="preserve"> </w:t>
      </w:r>
      <w:r>
        <w:rPr>
          <w:i/>
          <w:iCs/>
          <w:noProof/>
          <w:sz w:val="20"/>
          <w:szCs w:val="20"/>
        </w:rPr>
        <w:t>Averages are unweighted.</w:t>
      </w:r>
    </w:p>
    <w:p w:rsidR="00630C0A" w:rsidRDefault="00961E71">
      <w:pPr>
        <w:spacing w:after="120"/>
        <w:jc w:val="both"/>
        <w:rPr>
          <w:i/>
          <w:iCs/>
          <w:noProof/>
          <w:sz w:val="20"/>
          <w:szCs w:val="20"/>
        </w:rPr>
      </w:pPr>
      <w:r>
        <w:rPr>
          <w:i/>
          <w:iCs/>
          <w:noProof/>
          <w:sz w:val="20"/>
          <w:szCs w:val="20"/>
        </w:rPr>
        <w:t>Source: AMECO</w:t>
      </w:r>
    </w:p>
    <w:p w:rsidR="00630C0A" w:rsidRDefault="00630C0A">
      <w:pPr>
        <w:spacing w:after="120"/>
        <w:jc w:val="both"/>
        <w:rPr>
          <w:b/>
          <w:noProof/>
        </w:rPr>
      </w:pPr>
    </w:p>
    <w:p w:rsidR="00630C0A" w:rsidRDefault="00961E71">
      <w:pPr>
        <w:spacing w:after="120"/>
        <w:jc w:val="both"/>
        <w:rPr>
          <w:b/>
          <w:bCs/>
          <w:noProof/>
        </w:rPr>
      </w:pPr>
      <w:r>
        <w:rPr>
          <w:b/>
          <w:bCs/>
          <w:noProof/>
        </w:rPr>
        <w:t>Despite the positive findings on the effectiveness of MIP surveillance in addressing imbalances and contributing to risk reduction, a number of challenges stand out:</w:t>
      </w:r>
    </w:p>
    <w:p w:rsidR="00630C0A" w:rsidRDefault="00961E71">
      <w:pPr>
        <w:numPr>
          <w:ilvl w:val="0"/>
          <w:numId w:val="44"/>
        </w:numPr>
        <w:spacing w:after="120"/>
        <w:jc w:val="both"/>
        <w:rPr>
          <w:noProof/>
        </w:rPr>
      </w:pPr>
      <w:r>
        <w:rPr>
          <w:b/>
          <w:bCs/>
          <w:noProof/>
        </w:rPr>
        <w:t xml:space="preserve">Stock variables like high public and external debt adjust slowly. </w:t>
      </w:r>
      <w:r>
        <w:rPr>
          <w:noProof/>
        </w:rPr>
        <w:t xml:space="preserve">Imbalances associated with flow variables, like current account balances or house price growth, adjusted swiftly in light of market reactions in a context of compressed demand dynamics and, </w:t>
      </w:r>
      <w:r>
        <w:rPr>
          <w:noProof/>
        </w:rPr>
        <w:t>later on, on the back of the improving economic environment. More recently, rebalancing has been slowing, also as cost competitiveness developments became less supportive. Stock variables like the NIIP or private debt, which are measured as a share of GDP,</w:t>
      </w:r>
      <w:r>
        <w:rPr>
          <w:noProof/>
        </w:rPr>
        <w:t xml:space="preserve"> adjusted much more slowly because the unwinding of imbalances was associated with a detrimental “denominator effect”, on account of the reduced or even falling nominal GDP growth. The economic recovery, which became gradually more widespread and consolida</w:t>
      </w:r>
      <w:r>
        <w:rPr>
          <w:noProof/>
        </w:rPr>
        <w:t>ted, eventually helped to reduce stock imbalances, but vulnerabilities linked inter alia to high debt, non-performing loans, or external liabilities still remain high in some Member States, requiring continued prudent external positions.</w:t>
      </w:r>
    </w:p>
    <w:p w:rsidR="00630C0A" w:rsidRDefault="00961E71">
      <w:pPr>
        <w:numPr>
          <w:ilvl w:val="0"/>
          <w:numId w:val="44"/>
        </w:numPr>
        <w:spacing w:after="120"/>
        <w:jc w:val="both"/>
        <w:rPr>
          <w:noProof/>
        </w:rPr>
      </w:pPr>
      <w:r>
        <w:rPr>
          <w:b/>
          <w:bCs/>
          <w:noProof/>
        </w:rPr>
        <w:t>Large and persiste</w:t>
      </w:r>
      <w:r>
        <w:rPr>
          <w:b/>
          <w:bCs/>
          <w:noProof/>
        </w:rPr>
        <w:t>nt current account surpluses in some Member States adjust slowly.</w:t>
      </w:r>
      <w:r>
        <w:rPr>
          <w:noProof/>
        </w:rPr>
        <w:t xml:space="preserve"> Because of the simultaneous progressive reduction of large current account deficits and the persistency of large current account surpluses in euro area Member States, in light of a major del</w:t>
      </w:r>
      <w:r>
        <w:rPr>
          <w:noProof/>
        </w:rPr>
        <w:t>everaging processes involving various sectors of the economy, including in Member States with little or no deleveraging needs, and strong export performance, the overall current account position of the euro area has moved from broadly balanced to a substan</w:t>
      </w:r>
      <w:r>
        <w:rPr>
          <w:noProof/>
        </w:rPr>
        <w:t>tial surplus. The progressive rise in the euro area surplus reveals persistent weak demand dynamics in the post-crisis period that underpinned the low inflation environment in the euro area. Rebalancing at the euro area level of both current account defici</w:t>
      </w:r>
      <w:r>
        <w:rPr>
          <w:noProof/>
        </w:rPr>
        <w:t xml:space="preserve">ts and surpluses matter for the MIP surveillance as that rebalancing would help fostering nominal growth, which in turns helps narrowing imbalances. Systemic issues linked to the persistency of large surpluses and their impact on the euro area were not at </w:t>
      </w:r>
      <w:r>
        <w:rPr>
          <w:noProof/>
        </w:rPr>
        <w:t>the centre of the policy discussion when the MIP entered into force.</w:t>
      </w:r>
      <w:r>
        <w:rPr>
          <w:noProof/>
          <w:vertAlign w:val="superscript"/>
        </w:rPr>
        <w:footnoteReference w:id="88"/>
      </w:r>
      <w:r>
        <w:rPr>
          <w:noProof/>
        </w:rPr>
        <w:t xml:space="preserve"> Progress on this front will be a key test for the effectiveness of the MIP. In this respect, it is important to highlight that while the correction of large current account deficits is o</w:t>
      </w:r>
      <w:r>
        <w:rPr>
          <w:noProof/>
        </w:rPr>
        <w:t>ften the result of market dynamics (notably, a sudden stop in external financing), the adjustment of surpluses is generally more gradual. In this context, supportive policies sustained over time could make a difference in fostering a rebalancing of both cu</w:t>
      </w:r>
      <w:r>
        <w:rPr>
          <w:noProof/>
        </w:rPr>
        <w:t xml:space="preserve">rrent account deficits and surpluses across the euro area and the EU. </w:t>
      </w:r>
    </w:p>
    <w:p w:rsidR="00630C0A" w:rsidRDefault="00961E71">
      <w:pPr>
        <w:numPr>
          <w:ilvl w:val="0"/>
          <w:numId w:val="44"/>
        </w:numPr>
        <w:spacing w:after="120"/>
        <w:jc w:val="both"/>
        <w:rPr>
          <w:noProof/>
          <w:lang w:val="en-IE"/>
        </w:rPr>
      </w:pPr>
      <w:r>
        <w:rPr>
          <w:b/>
          <w:bCs/>
          <w:noProof/>
        </w:rPr>
        <w:t>The effectiveness of the MIP in preventing the accumulation of new imbalances is still untested</w:t>
      </w:r>
      <w:r>
        <w:rPr>
          <w:noProof/>
        </w:rPr>
        <w:t xml:space="preserve">. The economic recovery is bringing new possible challenges in a number of Member States, </w:t>
      </w:r>
      <w:r>
        <w:rPr>
          <w:noProof/>
        </w:rPr>
        <w:t xml:space="preserve">some of them not directly under MIP surveillance, linked notably to fast-growing unit labour costs and deteriorating competitiveness, acceleration in house prices in a context of resuming household indebtedness, and current account balances returning into </w:t>
      </w:r>
      <w:r>
        <w:rPr>
          <w:noProof/>
        </w:rPr>
        <w:t>negative territory. Detecting those risk and eliciting appropriate policy responses will be a key test on the preventive capacity of the MIP.</w:t>
      </w:r>
    </w:p>
    <w:p w:rsidR="00630C0A" w:rsidRDefault="00630C0A">
      <w:pPr>
        <w:spacing w:after="120"/>
        <w:jc w:val="both"/>
        <w:rPr>
          <w:noProof/>
        </w:rPr>
      </w:pPr>
    </w:p>
    <w:p w:rsidR="00630C0A" w:rsidRDefault="00961E71">
      <w:pPr>
        <w:pStyle w:val="Heading2"/>
        <w:rPr>
          <w:noProof/>
        </w:rPr>
      </w:pPr>
      <w:bookmarkStart w:id="174" w:name="_Toc9340945"/>
      <w:bookmarkStart w:id="175" w:name="_Toc9341025"/>
      <w:bookmarkStart w:id="176" w:name="_Toc9367499"/>
      <w:bookmarkStart w:id="177" w:name="_Toc9416919"/>
      <w:bookmarkStart w:id="178" w:name="_Toc9340947"/>
      <w:bookmarkStart w:id="179" w:name="_Toc9341027"/>
      <w:bookmarkStart w:id="180" w:name="_Toc9367501"/>
      <w:bookmarkStart w:id="181" w:name="_Toc9416921"/>
      <w:bookmarkStart w:id="182" w:name="_Toc7797381"/>
      <w:bookmarkStart w:id="183" w:name="_Toc11351333"/>
      <w:bookmarkStart w:id="184" w:name="_Toc27126040"/>
      <w:bookmarkStart w:id="185" w:name="_Toc27127252"/>
      <w:bookmarkStart w:id="186" w:name="_Toc27132115"/>
      <w:bookmarkStart w:id="187" w:name="_Toc27145700"/>
      <w:bookmarkStart w:id="188" w:name="_Toc27146174"/>
      <w:bookmarkStart w:id="189" w:name="_Toc27158135"/>
      <w:bookmarkStart w:id="190" w:name="_Toc27156973"/>
      <w:bookmarkStart w:id="191" w:name="_Toc31115873"/>
      <w:bookmarkEnd w:id="174"/>
      <w:bookmarkEnd w:id="175"/>
      <w:bookmarkEnd w:id="176"/>
      <w:bookmarkEnd w:id="177"/>
      <w:bookmarkEnd w:id="178"/>
      <w:bookmarkEnd w:id="179"/>
      <w:bookmarkEnd w:id="180"/>
      <w:bookmarkEnd w:id="181"/>
      <w:bookmarkEnd w:id="182"/>
      <w:r>
        <w:rPr>
          <w:noProof/>
        </w:rPr>
        <w:t xml:space="preserve">3.4 </w:t>
      </w:r>
      <w:bookmarkEnd w:id="183"/>
      <w:bookmarkEnd w:id="184"/>
      <w:bookmarkEnd w:id="185"/>
      <w:bookmarkEnd w:id="186"/>
      <w:bookmarkEnd w:id="187"/>
      <w:bookmarkEnd w:id="188"/>
      <w:bookmarkEnd w:id="189"/>
      <w:bookmarkEnd w:id="190"/>
      <w:r>
        <w:rPr>
          <w:noProof/>
        </w:rPr>
        <w:t>Conclusions</w:t>
      </w:r>
      <w:bookmarkEnd w:id="191"/>
    </w:p>
    <w:p w:rsidR="00630C0A" w:rsidRDefault="00961E71">
      <w:pPr>
        <w:spacing w:after="120"/>
        <w:jc w:val="both"/>
        <w:rPr>
          <w:noProof/>
        </w:rPr>
      </w:pPr>
      <w:r>
        <w:rPr>
          <w:b/>
          <w:bCs/>
          <w:noProof/>
        </w:rPr>
        <w:t xml:space="preserve">Overall, the MIP helped broadening economic surveillance. </w:t>
      </w:r>
      <w:r>
        <w:rPr>
          <w:noProof/>
        </w:rPr>
        <w:t>But a number of challenges stand out. T</w:t>
      </w:r>
      <w:r>
        <w:rPr>
          <w:noProof/>
        </w:rPr>
        <w:t>he procedure has sometimes been judged as lacking transparency. In particular, the scope of the MIP has sometimes been seen as too broad and its boundaries as blurred. The MIP contributed to a supportive environment to address macro-stability challenges, b</w:t>
      </w:r>
      <w:r>
        <w:rPr>
          <w:noProof/>
        </w:rPr>
        <w:t>ut it is debatable whether the full potential of the MIP in triggering policy action has been exploited, especially due to the limited political traction that the procedure has generated. Regarding economic outcomes, while flow imbalances linked to the pre</w:t>
      </w:r>
      <w:r>
        <w:rPr>
          <w:noProof/>
        </w:rPr>
        <w:t>-crisis booms have been corrected in a majority of Member States, the correction of stock imbalances such as high public, private and external debt has been slower and is still incomplete. Regarding external rebalancing, the correction of large and persist</w:t>
      </w:r>
      <w:r>
        <w:rPr>
          <w:noProof/>
        </w:rPr>
        <w:t>ent current account surpluses has been slow. The effectiveness of the MIP in preventing the accumulation of new imbalances is largely untested. The rest of this section reviews the achievements to date, and related challenges ahead, along three central que</w:t>
      </w:r>
      <w:r>
        <w:rPr>
          <w:noProof/>
        </w:rPr>
        <w:t>stions.</w:t>
      </w:r>
    </w:p>
    <w:p w:rsidR="00630C0A" w:rsidRDefault="00630C0A">
      <w:pPr>
        <w:spacing w:after="120"/>
        <w:jc w:val="both"/>
        <w:rPr>
          <w:b/>
          <w:i/>
          <w:noProof/>
        </w:rPr>
      </w:pPr>
    </w:p>
    <w:p w:rsidR="00630C0A" w:rsidRDefault="00961E71">
      <w:pPr>
        <w:spacing w:after="120"/>
        <w:jc w:val="both"/>
        <w:rPr>
          <w:b/>
          <w:i/>
          <w:noProof/>
        </w:rPr>
      </w:pPr>
      <w:r>
        <w:rPr>
          <w:b/>
          <w:i/>
          <w:noProof/>
        </w:rPr>
        <w:t>Widening the scope of the macroeconomic surveillance</w:t>
      </w:r>
    </w:p>
    <w:p w:rsidR="00630C0A" w:rsidRDefault="00961E71">
      <w:pPr>
        <w:spacing w:after="120"/>
        <w:jc w:val="both"/>
        <w:rPr>
          <w:noProof/>
        </w:rPr>
      </w:pPr>
      <w:r>
        <w:rPr>
          <w:b/>
          <w:bCs/>
          <w:noProof/>
        </w:rPr>
        <w:t>The MIP broadened surveillance, complementing other procedures, and enhancing the analytical and statistical basis to detect imbalances. T</w:t>
      </w:r>
      <w:r>
        <w:rPr>
          <w:noProof/>
        </w:rPr>
        <w:t xml:space="preserve">he reason underpinning the introduction of the MIP was </w:t>
      </w:r>
      <w:r>
        <w:rPr>
          <w:noProof/>
        </w:rPr>
        <w:t>to give EU macroeconomic surveillance more effective instruments to prevent and correct challenges to macroeconomic stability of various nature, thereby complementing existing surveillance procedures. The MIP framework for analysis was enriched and expande</w:t>
      </w:r>
      <w:r>
        <w:rPr>
          <w:noProof/>
        </w:rPr>
        <w:t xml:space="preserve">d in cooperation with Member States. Progress was made on towards enhancing the standards and methods used for the compilation of data used in MIP analysis as well as strengthening the statistical quality assurance framework. A Memorandum of Understanding </w:t>
      </w:r>
      <w:r>
        <w:rPr>
          <w:noProof/>
        </w:rPr>
        <w:t>was concluded in 2016 between Eurostat and the European Central Bank/Directorate General Statistics on the quality assurance of statistics underlying the MIP.</w:t>
      </w:r>
      <w:r>
        <w:rPr>
          <w:rStyle w:val="FootnoteReference"/>
          <w:noProof/>
        </w:rPr>
        <w:footnoteReference w:id="89"/>
      </w:r>
      <w:r>
        <w:rPr>
          <w:noProof/>
        </w:rPr>
        <w:t xml:space="preserve"> This review of economic governance provides an opportunity to reflect further on how the quality</w:t>
      </w:r>
      <w:r>
        <w:rPr>
          <w:noProof/>
        </w:rPr>
        <w:t xml:space="preserve"> of MIP statistics is best assured.</w:t>
      </w:r>
    </w:p>
    <w:p w:rsidR="00630C0A" w:rsidRDefault="00961E71">
      <w:pPr>
        <w:spacing w:after="120"/>
        <w:jc w:val="both"/>
        <w:rPr>
          <w:noProof/>
        </w:rPr>
      </w:pPr>
      <w:r>
        <w:rPr>
          <w:b/>
          <w:noProof/>
        </w:rPr>
        <w:t>The scope of MIP surveillance has remained anchored to macroeconomic stability</w:t>
      </w:r>
      <w:r>
        <w:rPr>
          <w:noProof/>
        </w:rPr>
        <w:t>. Gradually, it has been taking into account also broader implications relating to adjustment, notably those affecting employment and social d</w:t>
      </w:r>
      <w:r>
        <w:rPr>
          <w:noProof/>
        </w:rPr>
        <w:t>evelopments. The crisis highlighted the need for an enhanced framework to monitor and correct challenges arising from issues such as current account imbalances, private debt, or housing bubbles, as all these factors compounded stability risks originating f</w:t>
      </w:r>
      <w:r>
        <w:rPr>
          <w:noProof/>
        </w:rPr>
        <w:t>rom high government deficits and debt levels. In this respect, the MIP can act as a useful complement to the Stability and Growth Pact by prioritising policies not dealt with directly by the SGP, but which can be of relevance for achieving sound public fin</w:t>
      </w:r>
      <w:r>
        <w:rPr>
          <w:noProof/>
        </w:rPr>
        <w:t>ances. In particular, by covering longer-term potential growth and productivity issues in high-debt countries, the MIP can help addressing public finance challenges arising from an insufficient growth potential. The existing synergies between the MIP and t</w:t>
      </w:r>
      <w:r>
        <w:rPr>
          <w:noProof/>
        </w:rPr>
        <w:t>he SGP may have not been fully exploited effectively.</w:t>
      </w:r>
    </w:p>
    <w:p w:rsidR="00630C0A" w:rsidRDefault="00961E71">
      <w:pPr>
        <w:spacing w:after="120"/>
        <w:jc w:val="both"/>
        <w:rPr>
          <w:noProof/>
        </w:rPr>
      </w:pPr>
      <w:r>
        <w:rPr>
          <w:b/>
          <w:bCs/>
          <w:noProof/>
        </w:rPr>
        <w:t xml:space="preserve">European-level considerations and systemic aspects were taken into account in applying MIP surveillance. </w:t>
      </w:r>
      <w:r>
        <w:rPr>
          <w:noProof/>
        </w:rPr>
        <w:t>Decisions under MIP surveillance were driven mostly by the assessment at Member State level. Howe</w:t>
      </w:r>
      <w:r>
        <w:rPr>
          <w:noProof/>
        </w:rPr>
        <w:t>ver, issues pertaining to the level of the EU and euro area as well as systemic and international aspects were also taken into account. Thus, decisions also reflected the overall economic situation and outlook of the euro area, and the presence of interdep</w:t>
      </w:r>
      <w:r>
        <w:rPr>
          <w:noProof/>
        </w:rPr>
        <w:t>endencies and spill-overs with possible negative implications for the rest of the euro area or the EU. Following the Five Presidents' report, the euro area dimension of imbalances has been assessed on a regular basis in recent Alert Mechanism Reports and r</w:t>
      </w:r>
      <w:r>
        <w:rPr>
          <w:noProof/>
        </w:rPr>
        <w:t xml:space="preserve">eflected in country-specific and euro area recommendations. </w:t>
      </w:r>
    </w:p>
    <w:p w:rsidR="00630C0A" w:rsidRDefault="00961E71">
      <w:pPr>
        <w:spacing w:after="120"/>
        <w:jc w:val="both"/>
        <w:rPr>
          <w:noProof/>
        </w:rPr>
      </w:pPr>
      <w:r>
        <w:rPr>
          <w:b/>
          <w:bCs/>
          <w:noProof/>
        </w:rPr>
        <w:t xml:space="preserve">The MIP has gradually taken on board social aspects linked to adjustment issues. </w:t>
      </w:r>
      <w:r>
        <w:rPr>
          <w:noProof/>
        </w:rPr>
        <w:t>Social and employment considerations linked to adjustment to macroeconomic imbalances have been gradually incorpor</w:t>
      </w:r>
      <w:r>
        <w:rPr>
          <w:noProof/>
        </w:rPr>
        <w:t>ated in MIP surveillance and recommendations were increasingly geared to cater for the trade-offs between ensuring macroeconomic adjustment and addressing social distress. The need to take into account also trade-offs between macroeconomic adjustment and e</w:t>
      </w:r>
      <w:r>
        <w:rPr>
          <w:noProof/>
        </w:rPr>
        <w:t xml:space="preserve">nvironmental and climate challenges may arise in the future, while keeping the macro-stability focus of the MIP. </w:t>
      </w:r>
    </w:p>
    <w:p w:rsidR="00630C0A" w:rsidRDefault="00630C0A">
      <w:pPr>
        <w:spacing w:after="120"/>
        <w:jc w:val="both"/>
        <w:rPr>
          <w:b/>
          <w:i/>
          <w:noProof/>
        </w:rPr>
      </w:pPr>
    </w:p>
    <w:p w:rsidR="00630C0A" w:rsidRDefault="00961E71">
      <w:pPr>
        <w:spacing w:after="120"/>
        <w:jc w:val="both"/>
        <w:rPr>
          <w:b/>
          <w:i/>
          <w:noProof/>
        </w:rPr>
      </w:pPr>
      <w:r>
        <w:rPr>
          <w:b/>
          <w:i/>
          <w:noProof/>
        </w:rPr>
        <w:t xml:space="preserve">Policy responses and correction of imbalances </w:t>
      </w:r>
    </w:p>
    <w:p w:rsidR="00630C0A" w:rsidRDefault="00961E71">
      <w:pPr>
        <w:spacing w:after="120"/>
        <w:jc w:val="both"/>
        <w:rPr>
          <w:noProof/>
        </w:rPr>
      </w:pPr>
      <w:r>
        <w:rPr>
          <w:b/>
          <w:bCs/>
          <w:noProof/>
        </w:rPr>
        <w:t xml:space="preserve">The MIP contributed to a supportive policy environment. </w:t>
      </w:r>
      <w:r>
        <w:rPr>
          <w:noProof/>
        </w:rPr>
        <w:t>The MIP contributed to raise awareness</w:t>
      </w:r>
      <w:r>
        <w:rPr>
          <w:noProof/>
        </w:rPr>
        <w:t xml:space="preserve"> of the relevance of the challenges, mobilise political capital and focus policy action, and deepen the dialogue between EU institutions and national policy authorities. In a number of cases, the MIP provided a framework for policy efforts to shore up macr</w:t>
      </w:r>
      <w:r>
        <w:rPr>
          <w:noProof/>
        </w:rPr>
        <w:t>oeconomic stability in Member States severely threatened by the risk of debt or financial crises, without the need to resort to the more intrusive EIP instrument. More generally, the MIP was effective in raising prominence of risks and challenges and feedi</w:t>
      </w:r>
      <w:r>
        <w:rPr>
          <w:noProof/>
        </w:rPr>
        <w:t>ng the national debate on MIP-related challenges and policy responses.</w:t>
      </w:r>
    </w:p>
    <w:p w:rsidR="00630C0A" w:rsidRDefault="00961E71">
      <w:pPr>
        <w:spacing w:after="120"/>
        <w:jc w:val="both"/>
        <w:rPr>
          <w:noProof/>
        </w:rPr>
      </w:pPr>
      <w:r>
        <w:rPr>
          <w:b/>
          <w:bCs/>
          <w:noProof/>
        </w:rPr>
        <w:t>MIP surveillance was associated with stronger policy progress.</w:t>
      </w:r>
      <w:r>
        <w:rPr>
          <w:noProof/>
        </w:rPr>
        <w:t xml:space="preserve"> Evidence suggests that Member States under MIP surveillance received more recommendations and exhibited more policy progre</w:t>
      </w:r>
      <w:r>
        <w:rPr>
          <w:noProof/>
        </w:rPr>
        <w:t>ss as compared with the other Member States. That effect was particularly strong in the first years of MIP implementation and in a context where market-based discipline proved relevant and awareness of the need to address macroeconomic imbalances was wides</w:t>
      </w:r>
      <w:r>
        <w:rPr>
          <w:noProof/>
        </w:rPr>
        <w:t>pread. However, policy progress declined more recently, and is now comparable to that of other recommendations under the European Semester, reflecting lower perceived urgency of reform and reduced political capital.</w:t>
      </w:r>
    </w:p>
    <w:p w:rsidR="00630C0A" w:rsidRDefault="00961E71">
      <w:pPr>
        <w:spacing w:after="120"/>
        <w:jc w:val="both"/>
        <w:rPr>
          <w:noProof/>
        </w:rPr>
      </w:pPr>
      <w:r>
        <w:rPr>
          <w:b/>
          <w:bCs/>
          <w:noProof/>
        </w:rPr>
        <w:t>MIP surveillance was associated with a c</w:t>
      </w:r>
      <w:r>
        <w:rPr>
          <w:b/>
          <w:bCs/>
          <w:noProof/>
        </w:rPr>
        <w:t>orrection of most flow imbalances and a gradual reduction of stock imbalances</w:t>
      </w:r>
      <w:r>
        <w:rPr>
          <w:noProof/>
        </w:rPr>
        <w:t>. Large current account deficits were reduced or turned into surpluses, competitiveness developments started being supportive of rebalancing, deleveraging in the private sector to</w:t>
      </w:r>
      <w:r>
        <w:rPr>
          <w:noProof/>
        </w:rPr>
        <w:t>ok place in Member States with large debt, inflated house prices undergone a downward correction. Stock variables (e.g., private debt, NIIP) underwent a more gradual correction, and embarked on a downward trend only once nominal GDP growth resumed, requiri</w:t>
      </w:r>
      <w:r>
        <w:rPr>
          <w:noProof/>
        </w:rPr>
        <w:t>ng continued prudent external positions going forward. The evidence is consistent with a possible role played by the MIP in contributing to reduced risks and thereby a fast recovery in output and employment in Member States under MIP surveillance, although</w:t>
      </w:r>
      <w:r>
        <w:rPr>
          <w:noProof/>
        </w:rPr>
        <w:t xml:space="preserve"> causation is difficult to establish.</w:t>
      </w:r>
    </w:p>
    <w:p w:rsidR="00630C0A" w:rsidRDefault="00961E71">
      <w:pPr>
        <w:spacing w:after="120"/>
        <w:jc w:val="both"/>
        <w:rPr>
          <w:noProof/>
        </w:rPr>
      </w:pPr>
      <w:r>
        <w:rPr>
          <w:b/>
          <w:bCs/>
          <w:noProof/>
        </w:rPr>
        <w:t>The MIP has been punching below its weight when it comes to the effectiveness in triggering policy action.</w:t>
      </w:r>
      <w:r>
        <w:rPr>
          <w:b/>
          <w:bCs/>
          <w:i/>
          <w:iCs/>
          <w:noProof/>
        </w:rPr>
        <w:t xml:space="preserve"> </w:t>
      </w:r>
      <w:r>
        <w:rPr>
          <w:noProof/>
        </w:rPr>
        <w:t>Despite MIP surveillance being associated with somehow stronger policy responses and a more supportive policy e</w:t>
      </w:r>
      <w:r>
        <w:rPr>
          <w:noProof/>
        </w:rPr>
        <w:t>nvironment, the MIP might have not managed to get sufficient political traction to mobilise the political capital needed to carry out major reforms also in the absence of market pressure. This may point to weaknesses in terms of communication and focus. It</w:t>
      </w:r>
      <w:r>
        <w:rPr>
          <w:noProof/>
        </w:rPr>
        <w:t xml:space="preserve"> has also been noted that the MIP was so far not used at full potential, as the EIP has not yet been activated. This may be related to the lack of clarity on the implementation of the EIP and on how corrective action under the MIP would be applied. </w:t>
      </w:r>
    </w:p>
    <w:p w:rsidR="00630C0A" w:rsidRDefault="00961E71">
      <w:pPr>
        <w:spacing w:after="120"/>
        <w:jc w:val="both"/>
        <w:rPr>
          <w:noProof/>
          <w:lang w:val="en-IE"/>
        </w:rPr>
      </w:pPr>
      <w:r>
        <w:rPr>
          <w:b/>
          <w:bCs/>
          <w:noProof/>
        </w:rPr>
        <w:t>The ju</w:t>
      </w:r>
      <w:r>
        <w:rPr>
          <w:b/>
          <w:bCs/>
          <w:noProof/>
        </w:rPr>
        <w:t xml:space="preserve">ry is still out on the effectiveness of the MIP in preventing the accumulation of new imbalances. </w:t>
      </w:r>
      <w:r>
        <w:rPr>
          <w:noProof/>
        </w:rPr>
        <w:t>When the MIP was introduced, imbalances were already present in many Member States. However, the effectiveness of the MIP in preventing the accumulation of ne</w:t>
      </w:r>
      <w:r>
        <w:rPr>
          <w:noProof/>
        </w:rPr>
        <w:t>w imbalances is still untested. The economic expansion of recent years has brought new possible challenges in a number of Member States, some of them not directly under MIP surveillance. Those challenges are linked notably to fast-growing unit labour costs</w:t>
      </w:r>
      <w:r>
        <w:rPr>
          <w:noProof/>
        </w:rPr>
        <w:t xml:space="preserve"> and deteriorating competitiveness, acceleration in house prices in a context of resuming household indebtedness, current account balances returning into negative territory. Detecting those risks and eliciting appropriate policy responses will be a key tes</w:t>
      </w:r>
      <w:r>
        <w:rPr>
          <w:noProof/>
        </w:rPr>
        <w:t>t on the preventive role of the MIP.</w:t>
      </w:r>
    </w:p>
    <w:p w:rsidR="00630C0A" w:rsidRDefault="00961E71">
      <w:pPr>
        <w:spacing w:after="120"/>
        <w:jc w:val="both"/>
        <w:rPr>
          <w:noProof/>
        </w:rPr>
      </w:pPr>
      <w:r>
        <w:rPr>
          <w:b/>
          <w:bCs/>
          <w:noProof/>
        </w:rPr>
        <w:t>External deficits have seen a stronger correction that external surpluses.</w:t>
      </w:r>
      <w:r>
        <w:rPr>
          <w:noProof/>
        </w:rPr>
        <w:t xml:space="preserve"> The larger risks associated with external deficits has entailed a stronger focus of the MIP on those Member States, especially in the first year</w:t>
      </w:r>
      <w:r>
        <w:rPr>
          <w:noProof/>
        </w:rPr>
        <w:t>s of application. Those deficits have been gradually reduced, while prudence remains warranted in view of the remaining stock imbalances. However, large and persistent current account surpluses in a number of Member States have not yet been corrected. In t</w:t>
      </w:r>
      <w:r>
        <w:rPr>
          <w:noProof/>
        </w:rPr>
        <w:t>his respect, it is important to highlight that while the correction of large current account deficits is often the result of market dynamics linked to a sudden stop in external financing, this is not the case for surpluses, whose adjustment is generally mo</w:t>
      </w:r>
      <w:r>
        <w:rPr>
          <w:noProof/>
        </w:rPr>
        <w:t xml:space="preserve">re gradual. Altogether, the progressive rise in the euro area surplus reveals persistent weak demand dynamics in the post-crisis period that underpinned the low inflation environment in the euro area. Therefore, the rebalancing not only of current account </w:t>
      </w:r>
      <w:r>
        <w:rPr>
          <w:noProof/>
        </w:rPr>
        <w:t xml:space="preserve">deficits but also that of surpluses would </w:t>
      </w:r>
      <w:r>
        <w:rPr>
          <w:rFonts w:cs="Calibri"/>
          <w:noProof/>
        </w:rPr>
        <w:t xml:space="preserve">help boost growth in the Member States concerned, and would </w:t>
      </w:r>
      <w:r>
        <w:rPr>
          <w:noProof/>
        </w:rPr>
        <w:t>have positive spillovers to the rest of the euro-area. For instance, already in the conclusions to its audit, the European Court of Auditors pointed out t</w:t>
      </w:r>
      <w:r>
        <w:rPr>
          <w:noProof/>
        </w:rPr>
        <w:t xml:space="preserve">hat the MIP was not </w:t>
      </w:r>
      <w:r>
        <w:rPr>
          <w:noProof/>
          <w:lang w:val="en-US" w:eastAsia="en-US"/>
        </w:rPr>
        <w:t xml:space="preserve">encouraging symmetric rebalancing within the euro area and </w:t>
      </w:r>
      <w:r>
        <w:rPr>
          <w:noProof/>
        </w:rPr>
        <w:t>recommended the Commission through the MIP to "give systematic consideration to policies with cross-country impacts that can enhance symmetric rebalancing within the euro area."</w:t>
      </w:r>
      <w:r>
        <w:rPr>
          <w:rStyle w:val="FootnoteReference"/>
          <w:noProof/>
        </w:rPr>
        <w:footnoteReference w:id="90"/>
      </w:r>
      <w:r>
        <w:rPr>
          <w:noProof/>
        </w:rPr>
        <w:t xml:space="preserve"> </w:t>
      </w:r>
    </w:p>
    <w:p w:rsidR="00630C0A" w:rsidRDefault="00630C0A">
      <w:pPr>
        <w:spacing w:after="120"/>
        <w:jc w:val="both"/>
        <w:rPr>
          <w:noProof/>
        </w:rPr>
      </w:pPr>
    </w:p>
    <w:p w:rsidR="00630C0A" w:rsidRDefault="00961E71">
      <w:pPr>
        <w:spacing w:after="120"/>
        <w:jc w:val="both"/>
        <w:rPr>
          <w:b/>
          <w:i/>
          <w:noProof/>
        </w:rPr>
      </w:pPr>
      <w:r>
        <w:rPr>
          <w:b/>
          <w:i/>
          <w:noProof/>
        </w:rPr>
        <w:t>Ownership and governance</w:t>
      </w:r>
    </w:p>
    <w:p w:rsidR="00630C0A" w:rsidRDefault="00961E71">
      <w:pPr>
        <w:spacing w:after="120"/>
        <w:jc w:val="both"/>
        <w:rPr>
          <w:noProof/>
        </w:rPr>
      </w:pPr>
      <w:r>
        <w:rPr>
          <w:b/>
          <w:bCs/>
          <w:noProof/>
        </w:rPr>
        <w:t>The Commission has used economic judgement in the application of the MIP</w:t>
      </w:r>
      <w:r>
        <w:rPr>
          <w:noProof/>
        </w:rPr>
        <w:t>. MIP surveillance does not lend itself to a mechanistic use of numerical rules.</w:t>
      </w:r>
      <w:r>
        <w:rPr>
          <w:b/>
          <w:bCs/>
          <w:noProof/>
        </w:rPr>
        <w:t xml:space="preserve"> </w:t>
      </w:r>
      <w:r>
        <w:rPr>
          <w:noProof/>
        </w:rPr>
        <w:t xml:space="preserve">Issues dealt with in the MIP context are multifaceted and interrelated. Moreover, the nature of imbalances may change across Member States and over time. To address the many macroeconomic challenges that are the object of MIP surveillance, a wide range of </w:t>
      </w:r>
      <w:r>
        <w:rPr>
          <w:noProof/>
        </w:rPr>
        <w:t>policy instruments is needed, which sometimes exert only an indirect and possibly weak effect on economic outcomes. As opposed to fiscal surveillance, use of numerical rules would not be appropriate to MIP surveillance. Hence, the identification and assess</w:t>
      </w:r>
      <w:r>
        <w:rPr>
          <w:noProof/>
        </w:rPr>
        <w:t xml:space="preserve">ment of imbalances has required economic judgement in the first place in line with definition of imbalances in Regulation No 1176/2011: </w:t>
      </w:r>
    </w:p>
    <w:p w:rsidR="00630C0A" w:rsidRDefault="00961E71">
      <w:pPr>
        <w:numPr>
          <w:ilvl w:val="0"/>
          <w:numId w:val="45"/>
        </w:numPr>
        <w:spacing w:after="120"/>
        <w:jc w:val="both"/>
        <w:rPr>
          <w:noProof/>
        </w:rPr>
      </w:pPr>
      <w:r>
        <w:rPr>
          <w:noProof/>
        </w:rPr>
        <w:t>Economic judgement has also been used in the surveillance and follow up to the identification of imbalances. The assess</w:t>
      </w:r>
      <w:r>
        <w:rPr>
          <w:noProof/>
        </w:rPr>
        <w:t>ment and monitoring framework has evolved in light of the accumulated experience, making use of the discretion allowed by the legal framework.</w:t>
      </w:r>
    </w:p>
    <w:p w:rsidR="00630C0A" w:rsidRDefault="00961E71">
      <w:pPr>
        <w:numPr>
          <w:ilvl w:val="0"/>
          <w:numId w:val="45"/>
        </w:numPr>
        <w:spacing w:after="120"/>
        <w:jc w:val="both"/>
        <w:rPr>
          <w:b/>
          <w:bCs/>
          <w:noProof/>
        </w:rPr>
      </w:pPr>
      <w:r>
        <w:rPr>
          <w:noProof/>
        </w:rPr>
        <w:t>While the EIP has never been launched, where Member States were identified with excessive imbalances, recommendat</w:t>
      </w:r>
      <w:r>
        <w:rPr>
          <w:noProof/>
        </w:rPr>
        <w:t>ions in the context of the MIP were more prescriptive compared to those for Member States not directly under MIP, and monitoring of policy response to recommendations was stepped up.</w:t>
      </w:r>
    </w:p>
    <w:p w:rsidR="00630C0A" w:rsidRDefault="00961E71">
      <w:pPr>
        <w:spacing w:after="120"/>
        <w:jc w:val="both"/>
        <w:rPr>
          <w:noProof/>
        </w:rPr>
      </w:pPr>
      <w:r>
        <w:rPr>
          <w:b/>
          <w:bCs/>
          <w:noProof/>
        </w:rPr>
        <w:t xml:space="preserve">The use of economic judgement by the Commission was balanced by enhanced </w:t>
      </w:r>
      <w:r>
        <w:rPr>
          <w:b/>
          <w:bCs/>
          <w:noProof/>
        </w:rPr>
        <w:t>transparency and accountability</w:t>
      </w:r>
      <w:r>
        <w:rPr>
          <w:noProof/>
        </w:rPr>
        <w:t>. The natural counterpart to discretion on the part of the Commission is transparency and accountability towards Member States and main stakeholders, with a view to ensure equal treatment and predictability. This balance is a</w:t>
      </w:r>
      <w:r>
        <w:rPr>
          <w:noProof/>
        </w:rPr>
        <w:t xml:space="preserve">nchored in the Regulation No 1176/2011, which endows the Commission with discretion as concerns assessments and decisions in the MIP context, but under close scrutiny from the Council, which takes conclusions on Commission decisions. While the Council has </w:t>
      </w:r>
      <w:r>
        <w:rPr>
          <w:noProof/>
        </w:rPr>
        <w:t>generally endorsed Commission decisions, a request of increased transparency and predictability was voiced by Member States and EU institutions (notably in the Council conclusions on in-depth reviews and the Five Presidents' report). The Commission has tak</w:t>
      </w:r>
      <w:r>
        <w:rPr>
          <w:noProof/>
        </w:rPr>
        <w:t>en steps to enhance transparency regarding the criteria underpinning assessments (made public in the MIP Compendium), the reasons underlying specific decisions (clarified in the in-depth reviews by means of MIP Assessment Matrices), and the implications of</w:t>
      </w:r>
      <w:r>
        <w:rPr>
          <w:noProof/>
        </w:rPr>
        <w:t xml:space="preserve"> MIP decisions in terms of recommendations and activation of surveillance. At the same time, the Commission simplified the framework by streamlining and stabilising the classification of imbalances. In a nutshell, consistency and predictability of the fram</w:t>
      </w:r>
      <w:r>
        <w:rPr>
          <w:noProof/>
        </w:rPr>
        <w:t>ework was enhanced by increased transparency and the built up of a stock of precedents under the MIP, which made it possible to judge new cases in light of past decisions with analogous challenges and under similar conditions.</w:t>
      </w:r>
    </w:p>
    <w:p w:rsidR="00630C0A" w:rsidRDefault="00961E71">
      <w:pPr>
        <w:spacing w:after="120"/>
        <w:jc w:val="both"/>
        <w:rPr>
          <w:noProof/>
        </w:rPr>
      </w:pPr>
      <w:r>
        <w:rPr>
          <w:b/>
          <w:bCs/>
          <w:noProof/>
        </w:rPr>
        <w:t>There have been calls to furt</w:t>
      </w:r>
      <w:r>
        <w:rPr>
          <w:b/>
          <w:bCs/>
          <w:noProof/>
        </w:rPr>
        <w:t>her enhance transparency and predictability.</w:t>
      </w:r>
      <w:r>
        <w:rPr>
          <w:b/>
          <w:bCs/>
          <w:i/>
          <w:iCs/>
          <w:noProof/>
        </w:rPr>
        <w:t xml:space="preserve"> </w:t>
      </w:r>
      <w:r>
        <w:rPr>
          <w:noProof/>
        </w:rPr>
        <w:t>Despite steps being taken towards a more transparent and stable MIP implementation, some policy makers and experts see scope for further improvement. The European Court of Auditors has recommended clarifying the</w:t>
      </w:r>
      <w:r>
        <w:rPr>
          <w:noProof/>
        </w:rPr>
        <w:t xml:space="preserve"> link between MIP recommendations and recommendations under other surveillance streams (MIP vs. European Semester, link to SGP recommendations, link with recommendations to the euro area). In this respect, the Commission has already taken first steps: in l</w:t>
      </w:r>
      <w:r>
        <w:rPr>
          <w:noProof/>
        </w:rPr>
        <w:t xml:space="preserve">ine with that recommendation by the European Court of Auditors, the 2019 country-specific recommendations include recitals that explain the links between SGP and MIP-related recommendations. A finer mapping between MIP challenges and recommendations would </w:t>
      </w:r>
      <w:r>
        <w:rPr>
          <w:noProof/>
        </w:rPr>
        <w:t>also help focusing the procedure, giving priority to critical recommendations to address imbalances and favour adjustment. Some authors have argued that a more focused MIP could increase its effectiveness.</w:t>
      </w:r>
      <w:r>
        <w:rPr>
          <w:noProof/>
          <w:vertAlign w:val="superscript"/>
        </w:rPr>
        <w:footnoteReference w:id="91"/>
      </w:r>
      <w:r>
        <w:rPr>
          <w:noProof/>
        </w:rPr>
        <w:t xml:space="preserve"> Calls for transparency and disclosure have also c</w:t>
      </w:r>
      <w:r>
        <w:rPr>
          <w:noProof/>
        </w:rPr>
        <w:t>oncerned the Commission’s reasoning for not launching the EIP, as echoed in the European Court of Auditors recommendations.</w:t>
      </w:r>
      <w:r>
        <w:rPr>
          <w:noProof/>
          <w:vertAlign w:val="superscript"/>
        </w:rPr>
        <w:footnoteReference w:id="92"/>
      </w:r>
      <w:r>
        <w:rPr>
          <w:noProof/>
        </w:rPr>
        <w:t xml:space="preserve"> Increased transparency could also concern aspects linked to the implementation of the EIP not detailed in the Regulation No 1176/20</w:t>
      </w:r>
      <w:r>
        <w:rPr>
          <w:noProof/>
        </w:rPr>
        <w:t>11 (see section 3.2.3)</w:t>
      </w:r>
    </w:p>
    <w:p w:rsidR="00630C0A" w:rsidRDefault="00630C0A">
      <w:pPr>
        <w:spacing w:after="120"/>
        <w:jc w:val="both"/>
        <w:rPr>
          <w:noProof/>
        </w:rPr>
        <w:sectPr w:rsidR="00630C0A">
          <w:headerReference w:type="even" r:id="rId44"/>
          <w:headerReference w:type="default" r:id="rId45"/>
          <w:footerReference w:type="even" r:id="rId46"/>
          <w:footerReference w:type="default" r:id="rId47"/>
          <w:headerReference w:type="first" r:id="rId48"/>
          <w:footerReference w:type="first" r:id="rId49"/>
          <w:pgSz w:w="11906" w:h="16838"/>
          <w:pgMar w:top="1276" w:right="1417" w:bottom="1135" w:left="1417" w:header="708" w:footer="708" w:gutter="0"/>
          <w:cols w:space="720"/>
        </w:sectPr>
      </w:pPr>
    </w:p>
    <w:p w:rsidR="00630C0A" w:rsidRDefault="00961E71">
      <w:pPr>
        <w:pStyle w:val="Heading1"/>
        <w:rPr>
          <w:noProof/>
        </w:rPr>
      </w:pPr>
      <w:bookmarkStart w:id="192" w:name="outcomes"/>
      <w:bookmarkStart w:id="193" w:name="FN2"/>
      <w:bookmarkStart w:id="194" w:name="_Toc27126042"/>
      <w:bookmarkStart w:id="195" w:name="_Toc27127254"/>
      <w:bookmarkStart w:id="196" w:name="_Toc27132117"/>
      <w:bookmarkStart w:id="197" w:name="_Toc27145702"/>
      <w:bookmarkStart w:id="198" w:name="_Toc27146176"/>
      <w:bookmarkStart w:id="199" w:name="_Toc27156974"/>
      <w:bookmarkStart w:id="200" w:name="_Toc27158137"/>
      <w:bookmarkStart w:id="201" w:name="_Toc31115874"/>
      <w:bookmarkEnd w:id="192"/>
      <w:bookmarkEnd w:id="193"/>
      <w:r>
        <w:rPr>
          <w:noProof/>
        </w:rPr>
        <w:t>4. Euro area Member States experiencing or threatened with serious difficulties with financial stability</w:t>
      </w:r>
      <w:bookmarkStart w:id="202" w:name="_Toc27122894"/>
      <w:bookmarkStart w:id="203" w:name="_Toc27123370"/>
      <w:bookmarkStart w:id="204" w:name="_Toc27124752"/>
      <w:bookmarkStart w:id="205" w:name="_Toc27125017"/>
      <w:bookmarkStart w:id="206" w:name="_Toc27125147"/>
      <w:bookmarkStart w:id="207" w:name="_Toc27125706"/>
      <w:bookmarkStart w:id="208" w:name="_Toc27126043"/>
      <w:bookmarkStart w:id="209" w:name="_Toc27126282"/>
      <w:bookmarkStart w:id="210" w:name="_Toc27126871"/>
      <w:bookmarkStart w:id="211" w:name="_Toc27126995"/>
      <w:bookmarkStart w:id="212" w:name="_Toc27127222"/>
      <w:bookmarkStart w:id="213" w:name="_Toc27127255"/>
      <w:bookmarkStart w:id="214" w:name="_Toc27127286"/>
      <w:bookmarkStart w:id="215" w:name="_Toc27132118"/>
      <w:bookmarkStart w:id="216" w:name="_Toc27133943"/>
      <w:bookmarkStart w:id="217" w:name="_Toc27139624"/>
      <w:bookmarkStart w:id="218" w:name="_Toc27145703"/>
      <w:bookmarkStart w:id="219" w:name="_Toc27146177"/>
      <w:bookmarkStart w:id="220" w:name="_Toc27146413"/>
      <w:bookmarkStart w:id="221" w:name="_Toc27156975"/>
      <w:bookmarkStart w:id="222" w:name="_Toc27157900"/>
      <w:bookmarkStart w:id="223" w:name="_Toc27158138"/>
      <w:bookmarkStart w:id="224" w:name="_Toc27158808"/>
      <w:bookmarkEnd w:id="194"/>
      <w:bookmarkEnd w:id="195"/>
      <w:bookmarkEnd w:id="196"/>
      <w:bookmarkEnd w:id="197"/>
      <w:bookmarkEnd w:id="198"/>
      <w:bookmarkEnd w:id="199"/>
      <w:bookmarkEnd w:id="20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01"/>
    </w:p>
    <w:p w:rsidR="00630C0A" w:rsidRDefault="00961E71">
      <w:pPr>
        <w:pStyle w:val="Heading2"/>
        <w:rPr>
          <w:noProof/>
        </w:rPr>
      </w:pPr>
      <w:bookmarkStart w:id="225" w:name="_Toc27126044"/>
      <w:bookmarkStart w:id="226" w:name="_Toc27127256"/>
      <w:bookmarkStart w:id="227" w:name="_Toc27132119"/>
      <w:bookmarkStart w:id="228" w:name="_Toc27145704"/>
      <w:bookmarkStart w:id="229" w:name="_Toc27146178"/>
      <w:bookmarkStart w:id="230" w:name="_Toc27156976"/>
      <w:bookmarkStart w:id="231" w:name="_Toc27158139"/>
      <w:bookmarkStart w:id="232" w:name="_Toc31115875"/>
      <w:r>
        <w:rPr>
          <w:noProof/>
        </w:rPr>
        <w:t>4.1 Objectives</w:t>
      </w:r>
      <w:bookmarkEnd w:id="225"/>
      <w:bookmarkEnd w:id="226"/>
      <w:bookmarkEnd w:id="227"/>
      <w:bookmarkEnd w:id="228"/>
      <w:bookmarkEnd w:id="229"/>
      <w:bookmarkEnd w:id="230"/>
      <w:bookmarkEnd w:id="231"/>
      <w:bookmarkEnd w:id="232"/>
    </w:p>
    <w:p w:rsidR="00630C0A" w:rsidRDefault="00961E71">
      <w:pPr>
        <w:spacing w:after="120"/>
        <w:jc w:val="both"/>
        <w:rPr>
          <w:noProof/>
        </w:rPr>
      </w:pPr>
      <w:r>
        <w:rPr>
          <w:rFonts w:eastAsia="Times New Roman"/>
          <w:b/>
          <w:noProof/>
          <w:color w:val="000000" w:themeColor="text1"/>
        </w:rPr>
        <w:t xml:space="preserve">Regulation No 472/2013 provides a framework under which the Commission and the Council can exercise a degree of strengthened surveillance complementary to other existing multilateral surveillance processes. </w:t>
      </w:r>
      <w:r>
        <w:rPr>
          <w:rFonts w:eastAsia="Times New Roman"/>
          <w:noProof/>
          <w:color w:val="000000" w:themeColor="text1"/>
        </w:rPr>
        <w:t>It sets out rules for enhanced surveillance, macr</w:t>
      </w:r>
      <w:r>
        <w:rPr>
          <w:rFonts w:eastAsia="Times New Roman"/>
          <w:noProof/>
          <w:color w:val="000000" w:themeColor="text1"/>
        </w:rPr>
        <w:t>oeconomic adjustment programmes and post-programme surveillance. In particular, it sets the framework for macroeconomic adjustment programmes for euro area Member States in case financial assistance is inter alia provided by the European Stability Mechanis</w:t>
      </w:r>
      <w:r>
        <w:rPr>
          <w:rFonts w:eastAsia="Times New Roman"/>
          <w:noProof/>
          <w:color w:val="000000" w:themeColor="text1"/>
        </w:rPr>
        <w:t xml:space="preserve">m (ESM), which is an intergovernmental institution outside the EU legal framework. </w:t>
      </w:r>
    </w:p>
    <w:p w:rsidR="00630C0A" w:rsidRDefault="00961E71">
      <w:pPr>
        <w:spacing w:after="120"/>
        <w:jc w:val="both"/>
        <w:rPr>
          <w:noProof/>
        </w:rPr>
      </w:pPr>
      <w:r>
        <w:rPr>
          <w:rFonts w:eastAsia="Times New Roman"/>
          <w:b/>
          <w:noProof/>
          <w:color w:val="000000" w:themeColor="text1"/>
        </w:rPr>
        <w:t xml:space="preserve"> Under Regulation No 472/2013, the Commission and the Council can require that a euro area Member State takes</w:t>
      </w:r>
      <w:r>
        <w:rPr>
          <w:rFonts w:eastAsia="Times New Roman"/>
          <w:b/>
          <w:bCs/>
          <w:noProof/>
          <w:color w:val="000000" w:themeColor="text1"/>
        </w:rPr>
        <w:t xml:space="preserve"> further measures to address the specific risks emanating from </w:t>
      </w:r>
      <w:r>
        <w:rPr>
          <w:rFonts w:eastAsia="Times New Roman"/>
          <w:b/>
          <w:bCs/>
          <w:noProof/>
          <w:color w:val="000000" w:themeColor="text1"/>
        </w:rPr>
        <w:t>that Member State to preserve financial stability in the euro area.</w:t>
      </w:r>
      <w:r>
        <w:rPr>
          <w:rFonts w:eastAsia="Times New Roman"/>
          <w:noProof/>
          <w:color w:val="000000" w:themeColor="text1"/>
        </w:rPr>
        <w:t xml:space="preserve"> Those measures aim to rapidly re-establish a sound economic and financial situation and, if relevant, restore the euro area Member State’s capacity to finance itself fully on the financial</w:t>
      </w:r>
      <w:r>
        <w:rPr>
          <w:rFonts w:eastAsia="Times New Roman"/>
          <w:noProof/>
          <w:color w:val="000000" w:themeColor="text1"/>
        </w:rPr>
        <w:t xml:space="preserve"> markets.</w:t>
      </w:r>
    </w:p>
    <w:p w:rsidR="00630C0A" w:rsidRDefault="00961E71">
      <w:pPr>
        <w:spacing w:after="120"/>
        <w:jc w:val="both"/>
        <w:rPr>
          <w:noProof/>
        </w:rPr>
      </w:pPr>
      <w:r>
        <w:rPr>
          <w:rFonts w:eastAsia="Times New Roman"/>
          <w:b/>
          <w:noProof/>
          <w:color w:val="000000" w:themeColor="text1"/>
        </w:rPr>
        <w:t>The changes agreed in the context of ESM Treaty reform do not require a change to Regulation No 472/2013.</w:t>
      </w:r>
      <w:r>
        <w:rPr>
          <w:rFonts w:eastAsia="Times New Roman"/>
          <w:b/>
          <w:bCs/>
          <w:noProof/>
          <w:color w:val="000000" w:themeColor="text1"/>
        </w:rPr>
        <w:t xml:space="preserve"> </w:t>
      </w:r>
      <w:r>
        <w:rPr>
          <w:rFonts w:eastAsia="Times New Roman"/>
          <w:noProof/>
          <w:color w:val="000000" w:themeColor="text1"/>
        </w:rPr>
        <w:t>The Regulation was also used as the basis for agreeing the Memorandum of Cooperation between the Commission and the ESM on their future work</w:t>
      </w:r>
      <w:r>
        <w:rPr>
          <w:rFonts w:eastAsia="Times New Roman"/>
          <w:noProof/>
          <w:color w:val="000000" w:themeColor="text1"/>
        </w:rPr>
        <w:t>ing relations.</w:t>
      </w:r>
      <w:r>
        <w:rPr>
          <w:rStyle w:val="FootnoteReference"/>
          <w:rFonts w:eastAsia="Times New Roman"/>
          <w:noProof/>
          <w:color w:val="000000" w:themeColor="text1"/>
        </w:rPr>
        <w:footnoteReference w:id="93"/>
      </w:r>
      <w:r>
        <w:rPr>
          <w:rFonts w:eastAsia="Times New Roman"/>
          <w:noProof/>
          <w:color w:val="000000" w:themeColor="text1"/>
        </w:rPr>
        <w:t xml:space="preserve"> </w:t>
      </w:r>
    </w:p>
    <w:p w:rsidR="00630C0A" w:rsidRDefault="00961E71">
      <w:pPr>
        <w:pStyle w:val="Heading2"/>
        <w:rPr>
          <w:noProof/>
        </w:rPr>
      </w:pPr>
      <w:bookmarkStart w:id="233" w:name="_Toc27126045"/>
      <w:bookmarkStart w:id="234" w:name="_Toc27127257"/>
      <w:bookmarkStart w:id="235" w:name="_Toc27132120"/>
      <w:bookmarkStart w:id="236" w:name="_Toc27145705"/>
      <w:bookmarkStart w:id="237" w:name="_Toc27146179"/>
      <w:bookmarkStart w:id="238" w:name="_Toc27156977"/>
      <w:bookmarkStart w:id="239" w:name="_Toc27158140"/>
      <w:bookmarkStart w:id="240" w:name="_Toc31115876"/>
      <w:r>
        <w:rPr>
          <w:noProof/>
        </w:rPr>
        <w:t>4.2 Enhanced surveillance</w:t>
      </w:r>
      <w:bookmarkEnd w:id="233"/>
      <w:bookmarkEnd w:id="234"/>
      <w:bookmarkEnd w:id="235"/>
      <w:bookmarkEnd w:id="236"/>
      <w:bookmarkEnd w:id="237"/>
      <w:bookmarkEnd w:id="238"/>
      <w:bookmarkEnd w:id="239"/>
      <w:bookmarkEnd w:id="240"/>
      <w:r>
        <w:rPr>
          <w:noProof/>
        </w:rPr>
        <w:t xml:space="preserve"> </w:t>
      </w:r>
    </w:p>
    <w:p w:rsidR="00630C0A" w:rsidRDefault="00961E71">
      <w:pPr>
        <w:spacing w:after="120"/>
        <w:jc w:val="both"/>
        <w:rPr>
          <w:noProof/>
        </w:rPr>
      </w:pPr>
      <w:r>
        <w:rPr>
          <w:rFonts w:eastAsia="Times New Roman"/>
          <w:b/>
          <w:noProof/>
          <w:color w:val="000000" w:themeColor="text1"/>
        </w:rPr>
        <w:t>Enhanced surveillance aims to ensure that a euro area Member State takes corrective measures to address the sources of its structural imbalances with a view to ensure its swift return to a normal situation and to</w:t>
      </w:r>
      <w:r>
        <w:rPr>
          <w:rFonts w:eastAsia="Times New Roman"/>
          <w:b/>
          <w:noProof/>
          <w:color w:val="000000" w:themeColor="text1"/>
        </w:rPr>
        <w:t xml:space="preserve"> protect other euro area Member States from potential spill-over effects.</w:t>
      </w:r>
      <w:r>
        <w:rPr>
          <w:rFonts w:eastAsia="Times New Roman"/>
          <w:noProof/>
          <w:color w:val="000000" w:themeColor="text1"/>
        </w:rPr>
        <w:t xml:space="preserve"> As such, the decision by the Commission to subject a euro area Member State to enhanced surveillance will usually be based on the findings of the normal European Semester cycle of ec</w:t>
      </w:r>
      <w:r>
        <w:rPr>
          <w:rFonts w:eastAsia="Times New Roman"/>
          <w:noProof/>
          <w:color w:val="000000" w:themeColor="text1"/>
        </w:rPr>
        <w:t>onomic and fiscal policy coordination, notably the Alert Mechanism Report and where available the latest in-depth review.</w:t>
      </w:r>
    </w:p>
    <w:p w:rsidR="00630C0A" w:rsidRDefault="00961E71">
      <w:pPr>
        <w:spacing w:after="120"/>
        <w:jc w:val="both"/>
        <w:rPr>
          <w:noProof/>
        </w:rPr>
      </w:pPr>
      <w:r>
        <w:rPr>
          <w:rFonts w:eastAsia="Times New Roman"/>
          <w:b/>
          <w:noProof/>
          <w:color w:val="000000" w:themeColor="text1"/>
        </w:rPr>
        <w:t>Enhanced surveillance has so far never been applied ex-ante. It has been applied, ex-post, in the case of Greece.</w:t>
      </w:r>
      <w:r>
        <w:rPr>
          <w:rFonts w:eastAsia="Times New Roman"/>
          <w:noProof/>
          <w:color w:val="000000" w:themeColor="text1"/>
        </w:rPr>
        <w:t xml:space="preserve"> Indeed, when Regulat</w:t>
      </w:r>
      <w:r>
        <w:rPr>
          <w:rFonts w:eastAsia="Times New Roman"/>
          <w:noProof/>
          <w:color w:val="000000" w:themeColor="text1"/>
        </w:rPr>
        <w:t>ion No 472/2013 was introduced, no further cases warranted applying that process. Moreover, at that stage, the other euro area Member States in difficulty were already under a macroeconomic adjustment programme. Cyprus was the only Member State whose econo</w:t>
      </w:r>
      <w:r>
        <w:rPr>
          <w:rFonts w:eastAsia="Times New Roman"/>
          <w:noProof/>
          <w:color w:val="000000" w:themeColor="text1"/>
        </w:rPr>
        <w:t>mic and budgetary surveillance took place within the European Semester process before requesting a macroeconomic adjustment programme. However, the macroeconomic imbalances were so high that it was only a matter of months before Cyprus had to request finan</w:t>
      </w:r>
      <w:r>
        <w:rPr>
          <w:rFonts w:eastAsia="Times New Roman"/>
          <w:noProof/>
          <w:color w:val="000000" w:themeColor="text1"/>
        </w:rPr>
        <w:t>cial assistance. Greece started its third macroeconomic adjustment programme in 2015 but had been subject to two other programmes prior to then.</w:t>
      </w:r>
    </w:p>
    <w:p w:rsidR="00630C0A" w:rsidRDefault="00961E71">
      <w:pPr>
        <w:spacing w:after="120"/>
        <w:jc w:val="both"/>
        <w:rPr>
          <w:noProof/>
        </w:rPr>
      </w:pPr>
      <w:r>
        <w:rPr>
          <w:rFonts w:eastAsia="Times New Roman"/>
          <w:b/>
          <w:noProof/>
          <w:color w:val="000000" w:themeColor="text1"/>
        </w:rPr>
        <w:t>The regime foreseen by Regulation No 472/2013 relative to enhanced surveillance was applied in the case of Gree</w:t>
      </w:r>
      <w:r>
        <w:rPr>
          <w:rFonts w:eastAsia="Times New Roman"/>
          <w:b/>
          <w:noProof/>
          <w:color w:val="000000" w:themeColor="text1"/>
        </w:rPr>
        <w:t>ce, but given that the procedure only started at end of August 2018, it is too early to draw definitive conclusions.</w:t>
      </w:r>
      <w:r>
        <w:rPr>
          <w:rFonts w:eastAsia="Times New Roman"/>
          <w:noProof/>
          <w:color w:val="000000" w:themeColor="text1"/>
        </w:rPr>
        <w:t xml:space="preserve"> The decision to subject Greece to enhanced surveillance following the end of its financial assistance programme in August 2018 was taken be</w:t>
      </w:r>
      <w:r>
        <w:rPr>
          <w:rFonts w:eastAsia="Times New Roman"/>
          <w:noProof/>
          <w:color w:val="000000" w:themeColor="text1"/>
        </w:rPr>
        <w:t>cause Greece continued to face risks with respect to its financial stability, which, if they materialise, could have adverse spill-over effects on other euro area Member States, in particular via confidence effects that could increase refinancing costs for</w:t>
      </w:r>
      <w:r>
        <w:rPr>
          <w:rFonts w:eastAsia="Times New Roman"/>
          <w:noProof/>
          <w:color w:val="000000" w:themeColor="text1"/>
        </w:rPr>
        <w:t xml:space="preserve"> their banks and sovereigns.</w:t>
      </w:r>
    </w:p>
    <w:p w:rsidR="00630C0A" w:rsidRDefault="00961E71">
      <w:pPr>
        <w:pStyle w:val="Heading2"/>
        <w:rPr>
          <w:noProof/>
        </w:rPr>
      </w:pPr>
      <w:bookmarkStart w:id="241" w:name="_Toc27126046"/>
      <w:bookmarkStart w:id="242" w:name="_Toc27127258"/>
      <w:bookmarkStart w:id="243" w:name="_Toc27132121"/>
      <w:bookmarkStart w:id="244" w:name="_Toc27145706"/>
      <w:bookmarkStart w:id="245" w:name="_Toc27146180"/>
      <w:bookmarkStart w:id="246" w:name="_Toc27156978"/>
      <w:bookmarkStart w:id="247" w:name="_Toc27158141"/>
      <w:bookmarkStart w:id="248" w:name="_Toc31115877"/>
      <w:r>
        <w:rPr>
          <w:noProof/>
        </w:rPr>
        <w:t>4.3 Financial assistance and macroeconomic adjustment programmes</w:t>
      </w:r>
      <w:bookmarkEnd w:id="241"/>
      <w:bookmarkEnd w:id="242"/>
      <w:bookmarkEnd w:id="243"/>
      <w:bookmarkEnd w:id="244"/>
      <w:bookmarkEnd w:id="245"/>
      <w:bookmarkEnd w:id="246"/>
      <w:bookmarkEnd w:id="247"/>
      <w:bookmarkEnd w:id="248"/>
      <w:r>
        <w:rPr>
          <w:noProof/>
        </w:rPr>
        <w:t xml:space="preserve"> </w:t>
      </w:r>
    </w:p>
    <w:p w:rsidR="00630C0A" w:rsidRDefault="00961E71">
      <w:pPr>
        <w:spacing w:after="120"/>
        <w:jc w:val="both"/>
        <w:rPr>
          <w:noProof/>
        </w:rPr>
      </w:pPr>
      <w:r>
        <w:rPr>
          <w:rFonts w:eastAsia="Times New Roman"/>
          <w:b/>
          <w:noProof/>
          <w:color w:val="000000" w:themeColor="text1"/>
        </w:rPr>
        <w:t>For macroeconomic adjustment programmes, the aim of Regulation No 472/2013 was to codify the process for designing a programme and properly involving the necessa</w:t>
      </w:r>
      <w:r>
        <w:rPr>
          <w:rFonts w:eastAsia="Times New Roman"/>
          <w:b/>
          <w:noProof/>
          <w:color w:val="000000" w:themeColor="text1"/>
        </w:rPr>
        <w:t xml:space="preserve">ry stakeholders sufficiently early in the process. </w:t>
      </w:r>
      <w:r>
        <w:rPr>
          <w:rFonts w:eastAsia="Times New Roman"/>
          <w:noProof/>
          <w:color w:val="000000" w:themeColor="text1"/>
        </w:rPr>
        <w:t>In particular, Regulation No 472/2013 provides for specific requirements for the Commission for euro area Member States under a macroeconomic adjustment programme, namely: (i) the preparation of the progra</w:t>
      </w:r>
      <w:r>
        <w:rPr>
          <w:rFonts w:eastAsia="Times New Roman"/>
          <w:noProof/>
          <w:color w:val="000000" w:themeColor="text1"/>
        </w:rPr>
        <w:t>mme and the information to relevant stakeholders on progress made; (ii) ensuring consistency between the Memorandum of Understanding signed with the euro area Member State and the macroeconomic adjustment programme prepared; (iii) monitoring the progress m</w:t>
      </w:r>
      <w:r>
        <w:rPr>
          <w:rFonts w:eastAsia="Times New Roman"/>
          <w:noProof/>
          <w:color w:val="000000" w:themeColor="text1"/>
        </w:rPr>
        <w:t>ade in implementing the programme through regular review missions and the involvement of social partners and relevant civil society organisations during these missions; (iv) the granting of technical assistance where the requirement is that it helps with t</w:t>
      </w:r>
      <w:r>
        <w:rPr>
          <w:rFonts w:eastAsia="Times New Roman"/>
          <w:noProof/>
          <w:color w:val="000000" w:themeColor="text1"/>
        </w:rPr>
        <w:t xml:space="preserve">he implementation of programme conditionality. </w:t>
      </w:r>
    </w:p>
    <w:p w:rsidR="00630C0A" w:rsidRDefault="00961E71">
      <w:pPr>
        <w:spacing w:after="120"/>
        <w:jc w:val="both"/>
        <w:rPr>
          <w:noProof/>
        </w:rPr>
      </w:pPr>
      <w:r>
        <w:rPr>
          <w:rFonts w:eastAsia="Times New Roman"/>
          <w:b/>
          <w:noProof/>
          <w:color w:val="000000" w:themeColor="text1"/>
        </w:rPr>
        <w:t>The provisions of Regulation No 472/2013 governing the process for framing macroeconomic adjustment programmes have been respected.</w:t>
      </w:r>
      <w:r>
        <w:rPr>
          <w:rFonts w:eastAsia="Times New Roman"/>
          <w:noProof/>
          <w:color w:val="000000" w:themeColor="text1"/>
        </w:rPr>
        <w:t xml:space="preserve"> Information has been provided more regularly to the European Parliament on t</w:t>
      </w:r>
      <w:r>
        <w:rPr>
          <w:rFonts w:eastAsia="Times New Roman"/>
          <w:noProof/>
          <w:color w:val="000000" w:themeColor="text1"/>
        </w:rPr>
        <w:t>he progress made with the implementation of programmes in the case of Greece and Cyprus than Portugal. This was due to the fact that the programme for Portugal began prior to the adoption of Regulation</w:t>
      </w:r>
      <w:r>
        <w:rPr>
          <w:rFonts w:eastAsia="Times New Roman"/>
          <w:b/>
          <w:noProof/>
          <w:color w:val="000000" w:themeColor="text1"/>
        </w:rPr>
        <w:t xml:space="preserve"> </w:t>
      </w:r>
      <w:r>
        <w:rPr>
          <w:rFonts w:eastAsia="Times New Roman"/>
          <w:noProof/>
          <w:color w:val="000000" w:themeColor="text1"/>
        </w:rPr>
        <w:t xml:space="preserve">No 472/2013. </w:t>
      </w:r>
    </w:p>
    <w:p w:rsidR="00630C0A" w:rsidRDefault="00961E71">
      <w:pPr>
        <w:spacing w:after="120"/>
        <w:jc w:val="both"/>
        <w:rPr>
          <w:noProof/>
        </w:rPr>
      </w:pPr>
      <w:r>
        <w:rPr>
          <w:rFonts w:eastAsia="Times New Roman"/>
          <w:b/>
          <w:noProof/>
          <w:color w:val="000000" w:themeColor="text1"/>
        </w:rPr>
        <w:t>The framework put in place by Regulation</w:t>
      </w:r>
      <w:r>
        <w:rPr>
          <w:rFonts w:eastAsia="Times New Roman"/>
          <w:b/>
          <w:noProof/>
          <w:color w:val="000000" w:themeColor="text1"/>
        </w:rPr>
        <w:t xml:space="preserve"> No 472/2013 has been effective in dealing with the problems that led euro area Member States to request macroeconomic adjustment programmes.</w:t>
      </w:r>
      <w:r>
        <w:rPr>
          <w:rFonts w:eastAsia="Times New Roman"/>
          <w:noProof/>
          <w:color w:val="000000" w:themeColor="text1"/>
        </w:rPr>
        <w:t xml:space="preserve"> All the euro area Member States that received financial assistance have been able to return to markets at reasonab</w:t>
      </w:r>
      <w:r>
        <w:rPr>
          <w:rFonts w:eastAsia="Times New Roman"/>
          <w:noProof/>
          <w:color w:val="000000" w:themeColor="text1"/>
        </w:rPr>
        <w:t>le financing rates; external and fiscal balances have been largely resolved; and the stability of the financial sector has been restored. Regulation No 472/2013</w:t>
      </w:r>
      <w:r>
        <w:rPr>
          <w:rFonts w:eastAsia="Times New Roman"/>
          <w:b/>
          <w:noProof/>
          <w:color w:val="000000" w:themeColor="text1"/>
        </w:rPr>
        <w:t xml:space="preserve"> </w:t>
      </w:r>
      <w:r>
        <w:rPr>
          <w:rFonts w:eastAsia="Times New Roman"/>
          <w:noProof/>
          <w:color w:val="000000" w:themeColor="text1"/>
        </w:rPr>
        <w:t>also helped to preserve the financial stability of the euro area as a whole by putting those pr</w:t>
      </w:r>
      <w:r>
        <w:rPr>
          <w:rFonts w:eastAsia="Times New Roman"/>
          <w:noProof/>
          <w:color w:val="000000" w:themeColor="text1"/>
        </w:rPr>
        <w:t xml:space="preserve">ocedures in place. </w:t>
      </w:r>
    </w:p>
    <w:p w:rsidR="00630C0A" w:rsidRDefault="00961E71">
      <w:pPr>
        <w:spacing w:after="120"/>
        <w:jc w:val="both"/>
        <w:rPr>
          <w:noProof/>
        </w:rPr>
      </w:pPr>
      <w:r>
        <w:rPr>
          <w:rFonts w:eastAsia="Times New Roman"/>
          <w:b/>
          <w:noProof/>
          <w:color w:val="000000" w:themeColor="text1"/>
        </w:rPr>
        <w:t>Regulation No 472/2013 has provided the right degree of scrutiny in the economic situation of the vulnerable euro area Member States.</w:t>
      </w:r>
      <w:r>
        <w:rPr>
          <w:rFonts w:eastAsia="Times New Roman"/>
          <w:noProof/>
          <w:color w:val="000000" w:themeColor="text1"/>
        </w:rPr>
        <w:t xml:space="preserve"> It has also allowed a proper management of the procedures such that the imbalances in the euro area Me</w:t>
      </w:r>
      <w:r>
        <w:rPr>
          <w:rFonts w:eastAsia="Times New Roman"/>
          <w:noProof/>
          <w:color w:val="000000" w:themeColor="text1"/>
        </w:rPr>
        <w:t>mber States were resolved in an orderly fashion and without creating major disruption.</w:t>
      </w:r>
      <w:r>
        <w:rPr>
          <w:noProof/>
        </w:rPr>
        <w:t xml:space="preserve"> </w:t>
      </w:r>
      <w:r>
        <w:rPr>
          <w:rFonts w:eastAsia="Times New Roman"/>
          <w:noProof/>
          <w:color w:val="000000" w:themeColor="text1"/>
        </w:rPr>
        <w:t>At the same time, it appears that it has not always been easy to sustain national ownership of the macroeconomic adjustment programmes particularly at the time of progra</w:t>
      </w:r>
      <w:r>
        <w:rPr>
          <w:rFonts w:eastAsia="Times New Roman"/>
          <w:noProof/>
          <w:color w:val="000000" w:themeColor="text1"/>
        </w:rPr>
        <w:t>mme exit or programme discontinuation when incentives for authorities to backtrack on certain reforms agreed in the programme increased.</w:t>
      </w:r>
    </w:p>
    <w:p w:rsidR="00630C0A" w:rsidRDefault="00961E71">
      <w:pPr>
        <w:spacing w:after="120"/>
        <w:jc w:val="both"/>
        <w:rPr>
          <w:noProof/>
        </w:rPr>
      </w:pPr>
      <w:r>
        <w:rPr>
          <w:rFonts w:eastAsia="Times New Roman"/>
          <w:b/>
          <w:noProof/>
          <w:color w:val="000000" w:themeColor="text1"/>
        </w:rPr>
        <w:t>In addition, Regulation No 472/2013 has contributed to a closer coordination of economic policies and a sustained conve</w:t>
      </w:r>
      <w:r>
        <w:rPr>
          <w:rFonts w:eastAsia="Times New Roman"/>
          <w:b/>
          <w:noProof/>
          <w:color w:val="000000" w:themeColor="text1"/>
        </w:rPr>
        <w:t xml:space="preserve">rgence among euro area Member States. </w:t>
      </w:r>
      <w:r>
        <w:rPr>
          <w:rFonts w:eastAsia="Times New Roman"/>
          <w:noProof/>
          <w:color w:val="000000" w:themeColor="text1"/>
        </w:rPr>
        <w:t>This has been achieved by ensuring consistency between the normal surveillance cycle of the European Semester and the strengthened surveillance of a macroeconomic adjustment programme. Vulnerabilities and imbalances id</w:t>
      </w:r>
      <w:r>
        <w:rPr>
          <w:rFonts w:eastAsia="Times New Roman"/>
          <w:noProof/>
          <w:color w:val="000000" w:themeColor="text1"/>
        </w:rPr>
        <w:t xml:space="preserve">entified in the normal surveillance cycle were explicitly addressed in macroeconomic adjustment programmes. Outstanding adjustment needs after the end of a programme were subsequently addressed by the country-specific recommendations in the context of the </w:t>
      </w:r>
      <w:r>
        <w:rPr>
          <w:rFonts w:eastAsia="Times New Roman"/>
          <w:noProof/>
          <w:color w:val="000000" w:themeColor="text1"/>
        </w:rPr>
        <w:t xml:space="preserve">European Semester. </w:t>
      </w:r>
    </w:p>
    <w:p w:rsidR="00630C0A" w:rsidRDefault="00961E71">
      <w:pPr>
        <w:pStyle w:val="Heading2"/>
        <w:rPr>
          <w:noProof/>
        </w:rPr>
      </w:pPr>
      <w:bookmarkStart w:id="249" w:name="_Toc27126047"/>
      <w:bookmarkStart w:id="250" w:name="_Toc27127259"/>
      <w:bookmarkStart w:id="251" w:name="_Toc27132122"/>
      <w:bookmarkStart w:id="252" w:name="_Toc27145707"/>
      <w:bookmarkStart w:id="253" w:name="_Toc27146181"/>
      <w:bookmarkStart w:id="254" w:name="_Toc27156979"/>
      <w:bookmarkStart w:id="255" w:name="_Toc27158142"/>
      <w:bookmarkStart w:id="256" w:name="_Toc31115878"/>
      <w:r>
        <w:rPr>
          <w:noProof/>
        </w:rPr>
        <w:t>4.4 Post-programme surveillance</w:t>
      </w:r>
      <w:bookmarkEnd w:id="249"/>
      <w:bookmarkEnd w:id="250"/>
      <w:bookmarkEnd w:id="251"/>
      <w:bookmarkEnd w:id="252"/>
      <w:bookmarkEnd w:id="253"/>
      <w:bookmarkEnd w:id="254"/>
      <w:bookmarkEnd w:id="255"/>
      <w:bookmarkEnd w:id="256"/>
      <w:r>
        <w:rPr>
          <w:noProof/>
        </w:rPr>
        <w:t xml:space="preserve"> </w:t>
      </w:r>
    </w:p>
    <w:p w:rsidR="00630C0A" w:rsidRDefault="00961E71">
      <w:pPr>
        <w:spacing w:after="120"/>
        <w:jc w:val="both"/>
        <w:rPr>
          <w:noProof/>
        </w:rPr>
      </w:pPr>
      <w:r>
        <w:rPr>
          <w:rFonts w:eastAsia="Times New Roman"/>
          <w:b/>
          <w:noProof/>
          <w:color w:val="000000" w:themeColor="text1"/>
        </w:rPr>
        <w:t>According to Regulation No 472/2013, once a euro area Member State is no longer subject to a macroeconomic adjustment programme, it will be subject to post-programme surveillance until at least 75% of th</w:t>
      </w:r>
      <w:r>
        <w:rPr>
          <w:rFonts w:eastAsia="Times New Roman"/>
          <w:b/>
          <w:noProof/>
          <w:color w:val="000000" w:themeColor="text1"/>
        </w:rPr>
        <w:t>e financial assistance received is paid back.</w:t>
      </w:r>
      <w:r>
        <w:rPr>
          <w:rFonts w:eastAsia="Times New Roman"/>
          <w:noProof/>
          <w:color w:val="000000" w:themeColor="text1"/>
        </w:rPr>
        <w:t xml:space="preserve"> The objective of post-programme surveillance is to ensure a Member State’s capacity to repay the financial assistance granted. At the same time, post-programme surveillance aims to ensure a continuous assessmen</w:t>
      </w:r>
      <w:r>
        <w:rPr>
          <w:rFonts w:eastAsia="Times New Roman"/>
          <w:noProof/>
          <w:color w:val="000000" w:themeColor="text1"/>
        </w:rPr>
        <w:t>t of a Member State’s economic, fiscal and financial situation and identify any risks to its medium-term viability allowing for the continuation of any remaining adjustment.</w:t>
      </w:r>
    </w:p>
    <w:p w:rsidR="00630C0A" w:rsidRDefault="00961E71">
      <w:pPr>
        <w:jc w:val="both"/>
        <w:rPr>
          <w:rFonts w:eastAsia="Times New Roman"/>
          <w:noProof/>
          <w:color w:val="000000" w:themeColor="text1"/>
        </w:rPr>
      </w:pPr>
      <w:r>
        <w:rPr>
          <w:rFonts w:eastAsia="Times New Roman"/>
          <w:b/>
          <w:noProof/>
          <w:color w:val="000000" w:themeColor="text1"/>
        </w:rPr>
        <w:t>The provisions governing post-programme surveillance have been implemented in full</w:t>
      </w:r>
      <w:r>
        <w:rPr>
          <w:rFonts w:eastAsia="Times New Roman"/>
          <w:b/>
          <w:noProof/>
          <w:color w:val="000000" w:themeColor="text1"/>
        </w:rPr>
        <w:t xml:space="preserve"> accordance with the requirements of Regulation No 472/2013. </w:t>
      </w:r>
      <w:r>
        <w:rPr>
          <w:rFonts w:eastAsia="Times New Roman"/>
          <w:noProof/>
          <w:color w:val="000000" w:themeColor="text1"/>
        </w:rPr>
        <w:t>The framework put in place by Regulation No 472/2013</w:t>
      </w:r>
      <w:r>
        <w:rPr>
          <w:rFonts w:eastAsia="Times New Roman"/>
          <w:b/>
          <w:noProof/>
          <w:color w:val="000000" w:themeColor="text1"/>
        </w:rPr>
        <w:t xml:space="preserve"> </w:t>
      </w:r>
      <w:r>
        <w:rPr>
          <w:rFonts w:eastAsia="Times New Roman"/>
          <w:noProof/>
          <w:color w:val="000000" w:themeColor="text1"/>
        </w:rPr>
        <w:t xml:space="preserve">for post-programme surveillance foresees specific requirements in terms of: (i) the information to be provided by the euro area Member State; </w:t>
      </w:r>
      <w:r>
        <w:rPr>
          <w:rFonts w:eastAsia="Times New Roman"/>
          <w:noProof/>
          <w:color w:val="000000" w:themeColor="text1"/>
        </w:rPr>
        <w:t>(ii) the monitoring process by the Commission in liaison with the ECB; (iii) the information provided to the European Parliament, the EFC and the national Parliament of the Member State concerned. The assessment of remaining adjustment needs to be undertak</w:t>
      </w:r>
      <w:r>
        <w:rPr>
          <w:rFonts w:eastAsia="Times New Roman"/>
          <w:noProof/>
          <w:color w:val="000000" w:themeColor="text1"/>
        </w:rPr>
        <w:t>en by the euro area Member State exiting a macroeconomic adjustment programme has been consistent with the findings of the Country Reports published as part of the European Semester cycle. These assessments are also in line with the in-depth reviews conduc</w:t>
      </w:r>
      <w:r>
        <w:rPr>
          <w:rFonts w:eastAsia="Times New Roman"/>
          <w:noProof/>
          <w:color w:val="000000" w:themeColor="text1"/>
        </w:rPr>
        <w:t>ted for those Member States that are still found to have imbalances in the framework of the Macroeconomic Imbalance Procedure. The requirements of Regulation</w:t>
      </w:r>
      <w:r>
        <w:rPr>
          <w:rFonts w:eastAsia="Times New Roman"/>
          <w:b/>
          <w:noProof/>
          <w:color w:val="000000" w:themeColor="text1"/>
        </w:rPr>
        <w:t xml:space="preserve"> </w:t>
      </w:r>
      <w:r>
        <w:rPr>
          <w:rFonts w:eastAsia="Times New Roman"/>
          <w:noProof/>
          <w:color w:val="000000" w:themeColor="text1"/>
        </w:rPr>
        <w:t>No 472/2013 have been respected in terms of the additional data to be provided by the Member State</w:t>
      </w:r>
      <w:r>
        <w:rPr>
          <w:rFonts w:eastAsia="Times New Roman"/>
          <w:noProof/>
          <w:color w:val="000000" w:themeColor="text1"/>
        </w:rPr>
        <w:t xml:space="preserve"> concerned and the regular information provided by the Commission to the European Parliament, EFC and parliaments of the Member State under post-programme surveillance. So far, no corrective measures have been deemed necessary in any of the euro area Membe</w:t>
      </w:r>
      <w:r>
        <w:rPr>
          <w:rFonts w:eastAsia="Times New Roman"/>
          <w:noProof/>
          <w:color w:val="000000" w:themeColor="text1"/>
        </w:rPr>
        <w:t>r States, given the evolution in their adjustment process. There has also been no specific requests from the European Parliament or parliaments for exchanges of views on the progress in post-programme surveillance in those euro area Member States, in addit</w:t>
      </w:r>
      <w:r>
        <w:rPr>
          <w:rFonts w:eastAsia="Times New Roman"/>
          <w:noProof/>
          <w:color w:val="000000" w:themeColor="text1"/>
        </w:rPr>
        <w:t>ion to the regular review mission reports.</w:t>
      </w:r>
    </w:p>
    <w:p w:rsidR="00630C0A" w:rsidRDefault="00630C0A">
      <w:pPr>
        <w:spacing w:after="120"/>
        <w:jc w:val="both"/>
        <w:rPr>
          <w:noProof/>
        </w:rPr>
      </w:pPr>
    </w:p>
    <w:p w:rsidR="00630C0A" w:rsidRDefault="00961E71">
      <w:pPr>
        <w:pStyle w:val="Heading2"/>
        <w:rPr>
          <w:noProof/>
        </w:rPr>
      </w:pPr>
      <w:bookmarkStart w:id="257" w:name="_Toc27126048"/>
      <w:bookmarkStart w:id="258" w:name="_Toc27127260"/>
      <w:bookmarkStart w:id="259" w:name="_Toc27132123"/>
      <w:bookmarkStart w:id="260" w:name="_Toc27145708"/>
      <w:bookmarkStart w:id="261" w:name="_Toc27146182"/>
      <w:bookmarkStart w:id="262" w:name="_Toc27156980"/>
      <w:bookmarkStart w:id="263" w:name="_Toc27158143"/>
      <w:bookmarkStart w:id="264" w:name="_Toc31115879"/>
      <w:r>
        <w:rPr>
          <w:noProof/>
        </w:rPr>
        <w:t xml:space="preserve">4.5 </w:t>
      </w:r>
      <w:bookmarkEnd w:id="257"/>
      <w:bookmarkEnd w:id="258"/>
      <w:bookmarkEnd w:id="259"/>
      <w:bookmarkEnd w:id="260"/>
      <w:bookmarkEnd w:id="261"/>
      <w:bookmarkEnd w:id="262"/>
      <w:bookmarkEnd w:id="263"/>
      <w:r>
        <w:rPr>
          <w:noProof/>
        </w:rPr>
        <w:t>Conclusions</w:t>
      </w:r>
      <w:bookmarkEnd w:id="264"/>
      <w:r>
        <w:rPr>
          <w:noProof/>
        </w:rPr>
        <w:t xml:space="preserve"> </w:t>
      </w:r>
    </w:p>
    <w:p w:rsidR="00630C0A" w:rsidRDefault="00961E71">
      <w:pPr>
        <w:spacing w:after="120"/>
        <w:jc w:val="both"/>
        <w:rPr>
          <w:rFonts w:eastAsia="Times New Roman"/>
          <w:noProof/>
          <w:color w:val="000000" w:themeColor="text1"/>
        </w:rPr>
      </w:pPr>
      <w:r>
        <w:rPr>
          <w:rFonts w:eastAsia="Times New Roman"/>
          <w:b/>
          <w:noProof/>
          <w:color w:val="000000" w:themeColor="text1"/>
        </w:rPr>
        <w:t>All of the criteria</w:t>
      </w:r>
      <w:r>
        <w:rPr>
          <w:rStyle w:val="FootnoteReference"/>
          <w:rFonts w:eastAsia="Times New Roman"/>
          <w:b/>
          <w:noProof/>
          <w:color w:val="000000" w:themeColor="text1"/>
        </w:rPr>
        <w:footnoteReference w:id="94"/>
      </w:r>
      <w:r>
        <w:rPr>
          <w:rFonts w:eastAsia="Times New Roman"/>
          <w:b/>
          <w:noProof/>
          <w:color w:val="000000" w:themeColor="text1"/>
        </w:rPr>
        <w:t xml:space="preserve"> that provided the basis for the evaluation have been broadly met. </w:t>
      </w:r>
      <w:r>
        <w:rPr>
          <w:rFonts w:eastAsia="Times New Roman"/>
          <w:noProof/>
          <w:color w:val="000000" w:themeColor="text1"/>
        </w:rPr>
        <w:t>At the same time, experience has shown that the implementation of the Regulation No 472/2013 could be improv</w:t>
      </w:r>
      <w:r>
        <w:rPr>
          <w:rFonts w:eastAsia="Times New Roman"/>
          <w:noProof/>
          <w:color w:val="000000" w:themeColor="text1"/>
        </w:rPr>
        <w:t>ed, particularly as regards certain aspects of the surveillance processes as well as in relation to economic adjustment programmes.</w:t>
      </w:r>
    </w:p>
    <w:p w:rsidR="00630C0A" w:rsidRDefault="00961E71">
      <w:pPr>
        <w:spacing w:after="120"/>
        <w:jc w:val="both"/>
        <w:rPr>
          <w:noProof/>
        </w:rPr>
      </w:pPr>
      <w:r>
        <w:rPr>
          <w:rFonts w:eastAsia="Times New Roman"/>
          <w:b/>
          <w:bCs/>
          <w:i/>
          <w:iCs/>
          <w:noProof/>
          <w:color w:val="000000" w:themeColor="text1"/>
        </w:rPr>
        <w:t xml:space="preserve">When to place a Member State in enhanced surveillance </w:t>
      </w:r>
    </w:p>
    <w:p w:rsidR="00630C0A" w:rsidRDefault="00961E71">
      <w:pPr>
        <w:spacing w:after="120"/>
        <w:jc w:val="both"/>
        <w:rPr>
          <w:rFonts w:eastAsia="Times New Roman"/>
          <w:noProof/>
          <w:color w:val="000000" w:themeColor="text1"/>
        </w:rPr>
      </w:pPr>
      <w:r>
        <w:rPr>
          <w:rFonts w:eastAsia="Times New Roman"/>
          <w:b/>
          <w:noProof/>
          <w:color w:val="000000" w:themeColor="text1"/>
        </w:rPr>
        <w:t xml:space="preserve">Regulation No 472/2013 provides concrete elements of when to place a </w:t>
      </w:r>
      <w:r>
        <w:rPr>
          <w:rFonts w:eastAsia="Times New Roman"/>
          <w:b/>
          <w:noProof/>
          <w:color w:val="000000" w:themeColor="text1"/>
        </w:rPr>
        <w:t>euro area Member State under enhanced surveillance in some particular cases, but leaves discretion to the Commission in others</w:t>
      </w:r>
      <w:r>
        <w:rPr>
          <w:rStyle w:val="FootnoteReference"/>
          <w:rFonts w:eastAsia="Times New Roman"/>
          <w:b/>
          <w:noProof/>
          <w:color w:val="000000" w:themeColor="text1"/>
        </w:rPr>
        <w:footnoteReference w:id="95"/>
      </w:r>
      <w:r>
        <w:rPr>
          <w:rFonts w:eastAsia="Times New Roman"/>
          <w:b/>
          <w:noProof/>
          <w:color w:val="000000" w:themeColor="text1"/>
        </w:rPr>
        <w:t xml:space="preserve">. </w:t>
      </w:r>
      <w:r>
        <w:rPr>
          <w:rFonts w:eastAsia="Times New Roman"/>
          <w:noProof/>
          <w:color w:val="000000" w:themeColor="text1"/>
        </w:rPr>
        <w:t>The original purpose of the procedure was to be a first step in the strengthened surveillance spectrum to lead a euro area Memb</w:t>
      </w:r>
      <w:r>
        <w:rPr>
          <w:rFonts w:eastAsia="Times New Roman"/>
          <w:noProof/>
          <w:color w:val="000000" w:themeColor="text1"/>
        </w:rPr>
        <w:t>er State to implement measures aimed at solving accumulated imbalances and possibly avoid the next step in terms of strengthened surveillance, which is a macroeconomic adjustment programme. Enhanced surveillance also serves to avoid situations where a euro</w:t>
      </w:r>
      <w:r>
        <w:rPr>
          <w:rFonts w:eastAsia="Times New Roman"/>
          <w:noProof/>
          <w:color w:val="000000" w:themeColor="text1"/>
        </w:rPr>
        <w:t xml:space="preserve"> area Member State delays the request for a financial assistance programme and avoids taking measures to address its imbalances until the adjustment costs become very high. The enhanced surveillance procedure has only been applied once (in the case of Gree</w:t>
      </w:r>
      <w:r>
        <w:rPr>
          <w:rFonts w:eastAsia="Times New Roman"/>
          <w:noProof/>
          <w:color w:val="000000" w:themeColor="text1"/>
        </w:rPr>
        <w:t xml:space="preserve">ce and only after the end of a financial assistance programme rather than prior to a programme). In practice, however, Regulation No 472/2013 allows for a certain degree of flexibility when deciding to place a vulnerable euro area Member State from normal </w:t>
      </w:r>
      <w:r>
        <w:rPr>
          <w:rFonts w:eastAsia="Times New Roman"/>
          <w:noProof/>
          <w:color w:val="000000" w:themeColor="text1"/>
        </w:rPr>
        <w:t>surveillance into enhanced surveillance.</w:t>
      </w:r>
    </w:p>
    <w:p w:rsidR="00630C0A" w:rsidRDefault="00630C0A">
      <w:pPr>
        <w:spacing w:after="120"/>
        <w:jc w:val="both"/>
        <w:rPr>
          <w:rFonts w:eastAsia="Times New Roman"/>
          <w:b/>
          <w:noProof/>
          <w:color w:val="000000" w:themeColor="text1"/>
        </w:rPr>
      </w:pPr>
    </w:p>
    <w:p w:rsidR="00630C0A" w:rsidRDefault="00961E71">
      <w:pPr>
        <w:spacing w:after="120"/>
        <w:jc w:val="both"/>
        <w:rPr>
          <w:b/>
          <w:bCs/>
          <w:i/>
          <w:iCs/>
          <w:noProof/>
        </w:rPr>
      </w:pPr>
      <w:r>
        <w:rPr>
          <w:rFonts w:eastAsia="Times New Roman"/>
          <w:b/>
          <w:bCs/>
          <w:i/>
          <w:iCs/>
          <w:noProof/>
          <w:color w:val="000000" w:themeColor="text1"/>
        </w:rPr>
        <w:t xml:space="preserve">Increased national ownership </w:t>
      </w:r>
    </w:p>
    <w:p w:rsidR="00630C0A" w:rsidRDefault="00961E71">
      <w:pPr>
        <w:spacing w:after="120"/>
        <w:jc w:val="both"/>
        <w:rPr>
          <w:rFonts w:eastAsia="Times New Roman"/>
          <w:noProof/>
          <w:color w:val="000000" w:themeColor="text1"/>
        </w:rPr>
      </w:pPr>
      <w:r>
        <w:rPr>
          <w:rFonts w:eastAsia="Times New Roman"/>
          <w:b/>
          <w:noProof/>
          <w:color w:val="000000" w:themeColor="text1"/>
        </w:rPr>
        <w:t xml:space="preserve">As regards economic adjustment programmes, the appropriate involvement of stakeholders in the Member State is crucial to ensure national ownership, particularly in the transition from </w:t>
      </w:r>
      <w:r>
        <w:rPr>
          <w:rFonts w:eastAsia="Times New Roman"/>
          <w:b/>
          <w:noProof/>
          <w:color w:val="000000" w:themeColor="text1"/>
        </w:rPr>
        <w:t>a programme back into normal surveillance.</w:t>
      </w:r>
      <w:r>
        <w:rPr>
          <w:rFonts w:eastAsia="Times New Roman"/>
          <w:noProof/>
          <w:color w:val="000000" w:themeColor="text1"/>
        </w:rPr>
        <w:t xml:space="preserve"> Regulation No 472/2013 establishes specific requirements as to the involvement of social partners and civil society when preparing a macroeconomic adjustment programme, with a view to building consensus over its c</w:t>
      </w:r>
      <w:r>
        <w:rPr>
          <w:rFonts w:eastAsia="Times New Roman"/>
          <w:noProof/>
          <w:color w:val="000000" w:themeColor="text1"/>
        </w:rPr>
        <w:t>ontent. That requirement was broadly met in all the financial assistance programmes. However, both in the case of Cyprus and Portugal, the programmes ended without the completion of the last review and the disbursement of the last tranche of financial assi</w:t>
      </w:r>
      <w:r>
        <w:rPr>
          <w:rFonts w:eastAsia="Times New Roman"/>
          <w:noProof/>
          <w:color w:val="000000" w:themeColor="text1"/>
        </w:rPr>
        <w:t xml:space="preserve">stance. Overall, those experiences suggest that national ownership of the reforms implemented in the programmes tends to decrease at the end. </w:t>
      </w:r>
    </w:p>
    <w:p w:rsidR="00630C0A" w:rsidRDefault="00961E71">
      <w:pPr>
        <w:spacing w:after="120"/>
        <w:jc w:val="both"/>
        <w:rPr>
          <w:b/>
          <w:bCs/>
          <w:i/>
          <w:iCs/>
          <w:noProof/>
        </w:rPr>
      </w:pPr>
      <w:r>
        <w:rPr>
          <w:b/>
          <w:i/>
          <w:noProof/>
        </w:rPr>
        <w:t>Intensity of post-programme surveillance</w:t>
      </w:r>
    </w:p>
    <w:p w:rsidR="00630C0A" w:rsidRDefault="00961E71">
      <w:pPr>
        <w:spacing w:after="120"/>
        <w:jc w:val="both"/>
        <w:rPr>
          <w:rFonts w:eastAsia="Times New Roman"/>
          <w:b/>
          <w:bCs/>
          <w:noProof/>
          <w:color w:val="000000" w:themeColor="text1"/>
        </w:rPr>
      </w:pPr>
      <w:r>
        <w:rPr>
          <w:rFonts w:eastAsia="Times New Roman"/>
          <w:b/>
          <w:noProof/>
          <w:color w:val="000000" w:themeColor="text1"/>
        </w:rPr>
        <w:t xml:space="preserve">The experience of the recent years has led to a de facto modulation of </w:t>
      </w:r>
      <w:r>
        <w:rPr>
          <w:rFonts w:eastAsia="Times New Roman"/>
          <w:b/>
          <w:noProof/>
          <w:color w:val="000000" w:themeColor="text1"/>
        </w:rPr>
        <w:t>the intensity of the surveillance based on the needs of the euro area Member State in question.</w:t>
      </w:r>
      <w:r>
        <w:rPr>
          <w:rFonts w:eastAsia="Times New Roman"/>
          <w:noProof/>
          <w:color w:val="000000" w:themeColor="text1"/>
        </w:rPr>
        <w:t xml:space="preserve"> This was done through the length of the post-programme surveillance missions to the Member States which varied from four working days to seven working days, as </w:t>
      </w:r>
      <w:r>
        <w:rPr>
          <w:rFonts w:eastAsia="Times New Roman"/>
          <w:noProof/>
          <w:color w:val="000000" w:themeColor="text1"/>
        </w:rPr>
        <w:t>well as focusing the scope of surveillance. Regulation</w:t>
      </w:r>
      <w:r>
        <w:rPr>
          <w:rFonts w:eastAsia="Times New Roman"/>
          <w:b/>
          <w:noProof/>
          <w:color w:val="000000" w:themeColor="text1"/>
        </w:rPr>
        <w:t xml:space="preserve"> </w:t>
      </w:r>
      <w:r>
        <w:rPr>
          <w:rFonts w:eastAsia="Times New Roman"/>
          <w:noProof/>
          <w:color w:val="000000" w:themeColor="text1"/>
        </w:rPr>
        <w:t>No 472/2013 allows for such flexibility as it requires that the Commission conducts regular review missions with a view to identifying factors of importance to the repayment capacity of the Member Stat</w:t>
      </w:r>
      <w:r>
        <w:rPr>
          <w:rFonts w:eastAsia="Times New Roman"/>
          <w:noProof/>
          <w:color w:val="000000" w:themeColor="text1"/>
        </w:rPr>
        <w:t>e concerned and every six months communicates its assessment to the competent committee of the European Parliament, the EFC and the parliament of the Member State concerned.</w:t>
      </w:r>
    </w:p>
    <w:p w:rsidR="00630C0A" w:rsidRDefault="00630C0A">
      <w:pPr>
        <w:spacing w:after="120"/>
        <w:jc w:val="both"/>
        <w:rPr>
          <w:rFonts w:eastAsia="Times New Roman"/>
          <w:iCs/>
          <w:noProof/>
          <w:color w:val="000000" w:themeColor="text1"/>
        </w:rPr>
      </w:pPr>
    </w:p>
    <w:p w:rsidR="00630C0A" w:rsidRDefault="00630C0A">
      <w:pPr>
        <w:spacing w:after="120"/>
        <w:jc w:val="both"/>
        <w:rPr>
          <w:rFonts w:eastAsia="Times New Roman"/>
          <w:iCs/>
          <w:noProof/>
          <w:color w:val="000000" w:themeColor="text1"/>
        </w:rPr>
      </w:pPr>
    </w:p>
    <w:p w:rsidR="00630C0A" w:rsidRDefault="00961E71">
      <w:pPr>
        <w:pStyle w:val="Heading1"/>
        <w:numPr>
          <w:ilvl w:val="0"/>
          <w:numId w:val="63"/>
        </w:numPr>
        <w:rPr>
          <w:noProof/>
        </w:rPr>
      </w:pPr>
      <w:bookmarkStart w:id="265" w:name="_Toc27156981"/>
      <w:bookmarkStart w:id="266" w:name="_Toc27158144"/>
      <w:bookmarkStart w:id="267" w:name="_Toc31115880"/>
      <w:r>
        <w:rPr>
          <w:noProof/>
        </w:rPr>
        <w:t>Overall findings</w:t>
      </w:r>
      <w:bookmarkEnd w:id="265"/>
      <w:bookmarkEnd w:id="266"/>
      <w:bookmarkEnd w:id="267"/>
      <w:r>
        <w:rPr>
          <w:noProof/>
        </w:rPr>
        <w:t xml:space="preserve"> </w:t>
      </w:r>
    </w:p>
    <w:p w:rsidR="00630C0A" w:rsidRDefault="00961E71">
      <w:pPr>
        <w:spacing w:after="120"/>
        <w:jc w:val="both"/>
        <w:rPr>
          <w:rFonts w:eastAsia="Times New Roman"/>
          <w:noProof/>
        </w:rPr>
      </w:pPr>
      <w:r>
        <w:rPr>
          <w:rFonts w:eastAsia="Times New Roman"/>
          <w:b/>
          <w:noProof/>
        </w:rPr>
        <w:t>This review reveals strengths as well as possible areas for im</w:t>
      </w:r>
      <w:r>
        <w:rPr>
          <w:rFonts w:eastAsia="Times New Roman"/>
          <w:b/>
          <w:noProof/>
        </w:rPr>
        <w:t>provement.</w:t>
      </w:r>
      <w:r>
        <w:rPr>
          <w:noProof/>
        </w:rPr>
        <w:t xml:space="preserve"> It confirms that the six-pack and two-pack reform, together with the roll out of the European Semester, have</w:t>
      </w:r>
      <w:r>
        <w:rPr>
          <w:rFonts w:eastAsia="Times New Roman"/>
          <w:noProof/>
        </w:rPr>
        <w:t xml:space="preserve"> strengthened the framework for economic surveillance in the EU and euro area and guided Member States in achieving their economic and fi</w:t>
      </w:r>
      <w:r>
        <w:rPr>
          <w:rFonts w:eastAsia="Times New Roman"/>
          <w:noProof/>
        </w:rPr>
        <w:t xml:space="preserve">scal policy objectives. They have also led to a broader and more integrated approach to surveillance that better assures the overall consistency of policy advice within the European Semester. The establishment of a common budgetary timeline and the policy </w:t>
      </w:r>
      <w:r>
        <w:rPr>
          <w:rFonts w:eastAsia="Times New Roman"/>
          <w:noProof/>
        </w:rPr>
        <w:t>guidance issued on the basis of Member States’ draft budgetary plans has led to closer coordination within the euro area. The measures introduced by the six-pack and two-pack reforms thus have contributed to ensuring closer coordination of economic policie</w:t>
      </w:r>
      <w:r>
        <w:rPr>
          <w:rFonts w:eastAsia="Times New Roman"/>
          <w:noProof/>
        </w:rPr>
        <w:t>s.</w:t>
      </w:r>
    </w:p>
    <w:p w:rsidR="00630C0A" w:rsidRDefault="00961E71">
      <w:pPr>
        <w:spacing w:after="120"/>
        <w:jc w:val="both"/>
        <w:rPr>
          <w:rFonts w:eastAsia="Times New Roman"/>
          <w:noProof/>
        </w:rPr>
      </w:pPr>
      <w:r>
        <w:rPr>
          <w:rFonts w:eastAsia="Times New Roman"/>
          <w:b/>
          <w:noProof/>
        </w:rPr>
        <w:t>The implementation of the recommended policies by Member States has contributed, among other factors, to the gradual strengthening of EU economies and strong job creation recorded in recent years.</w:t>
      </w:r>
      <w:r>
        <w:rPr>
          <w:rFonts w:eastAsia="Times New Roman"/>
          <w:noProof/>
        </w:rPr>
        <w:t xml:space="preserve"> Furthermore, by supporting the correction of existing ma</w:t>
      </w:r>
      <w:r>
        <w:rPr>
          <w:rFonts w:eastAsia="Times New Roman"/>
          <w:noProof/>
        </w:rPr>
        <w:t>croeconomic imbalances, the prevention of the build-up of new imbalances and the reduction of government debt levels, the surveillance framework has helped to create the conditions for sustainable growth, strengthened resilience, reduced vulnerabilities an</w:t>
      </w:r>
      <w:r>
        <w:rPr>
          <w:rFonts w:eastAsia="Times New Roman"/>
          <w:noProof/>
        </w:rPr>
        <w:t>d lowered the risk of potentially harmful spillovers. The six-pack and two-pack reforms have thus contributed to achieving the Union’s strategy for growth and jobs.</w:t>
      </w:r>
    </w:p>
    <w:p w:rsidR="00630C0A" w:rsidRDefault="00961E71">
      <w:pPr>
        <w:spacing w:after="120"/>
        <w:jc w:val="both"/>
        <w:rPr>
          <w:rFonts w:ascii="Calibri" w:eastAsia="Times New Roman" w:hAnsi="Calibri" w:cs="Calibri"/>
          <w:noProof/>
          <w:sz w:val="22"/>
          <w:szCs w:val="22"/>
        </w:rPr>
      </w:pPr>
      <w:r>
        <w:rPr>
          <w:b/>
          <w:noProof/>
        </w:rPr>
        <w:t xml:space="preserve">The strengthened surveillance framework has also fostered </w:t>
      </w:r>
      <w:r>
        <w:rPr>
          <w:rFonts w:eastAsia="Times New Roman"/>
          <w:b/>
          <w:noProof/>
        </w:rPr>
        <w:t>convergence in the economic perfo</w:t>
      </w:r>
      <w:r>
        <w:rPr>
          <w:rFonts w:eastAsia="Times New Roman"/>
          <w:b/>
          <w:noProof/>
        </w:rPr>
        <w:t>rmance of Member States,</w:t>
      </w:r>
      <w:r>
        <w:rPr>
          <w:rFonts w:eastAsia="Times New Roman"/>
          <w:noProof/>
        </w:rPr>
        <w:t xml:space="preserve"> with an overall return to economic growth and declining unemployment rates in all Member States, reduced macroeconomic imbalances, and falling public deficits and debt levels, with all Member States having exited the excessive defi</w:t>
      </w:r>
      <w:r>
        <w:rPr>
          <w:rFonts w:eastAsia="Times New Roman"/>
          <w:noProof/>
        </w:rPr>
        <w:t>cit procedure. Furthermore, the framework</w:t>
      </w:r>
      <w:r>
        <w:rPr>
          <w:noProof/>
        </w:rPr>
        <w:t xml:space="preserve"> put in place to support euro-area Member States experiencing, or threatened with, difficulties with respect to financial stability contributed to reducing the temporary divergence of the Member States concerned fro</w:t>
      </w:r>
      <w:r>
        <w:rPr>
          <w:noProof/>
        </w:rPr>
        <w:t>m the rest of the euro area and laid the ground for renewed convergence.</w:t>
      </w:r>
      <w:r>
        <w:rPr>
          <w:rFonts w:eastAsia="Times New Roman"/>
          <w:noProof/>
        </w:rPr>
        <w:t xml:space="preserve"> </w:t>
      </w:r>
    </w:p>
    <w:p w:rsidR="00630C0A" w:rsidRDefault="00961E71">
      <w:pPr>
        <w:jc w:val="both"/>
        <w:rPr>
          <w:noProof/>
        </w:rPr>
      </w:pPr>
      <w:r>
        <w:rPr>
          <w:b/>
          <w:noProof/>
        </w:rPr>
        <w:t>The recovery since the financial crisis has been long by historical standards, but there has also been a decline in trend growth, accompanied by persistently low inflation, while pub</w:t>
      </w:r>
      <w:r>
        <w:rPr>
          <w:b/>
          <w:noProof/>
        </w:rPr>
        <w:t>lic debt levels remain high in some Member States.</w:t>
      </w:r>
      <w:r>
        <w:rPr>
          <w:noProof/>
        </w:rPr>
        <w:t xml:space="preserve"> Those Member States are also far from their medium-term budgetary objectives while their reform efforts are waning. Some Member States’ economies remain vulnerable to an economic slowdown with risks of spi</w:t>
      </w:r>
      <w:r>
        <w:rPr>
          <w:noProof/>
        </w:rPr>
        <w:t xml:space="preserve">llovers that would affect the functioning of the euro area as a whole. </w:t>
      </w:r>
    </w:p>
    <w:p w:rsidR="00630C0A" w:rsidRDefault="00630C0A">
      <w:pPr>
        <w:jc w:val="both"/>
        <w:rPr>
          <w:noProof/>
        </w:rPr>
      </w:pPr>
    </w:p>
    <w:p w:rsidR="00630C0A" w:rsidRDefault="00961E71">
      <w:pPr>
        <w:spacing w:after="120"/>
        <w:jc w:val="both"/>
        <w:rPr>
          <w:noProof/>
        </w:rPr>
      </w:pPr>
      <w:r>
        <w:rPr>
          <w:rFonts w:eastAsia="Times New Roman"/>
          <w:b/>
          <w:noProof/>
        </w:rPr>
        <w:t>The fiscal stance at Member State-level has frequently been pro-cyclical.</w:t>
      </w:r>
      <w:r>
        <w:rPr>
          <w:rFonts w:eastAsia="Times New Roman"/>
          <w:noProof/>
        </w:rPr>
        <w:t xml:space="preserve"> Moreover, the composition of public finances has not become more growth-friendly and national governments hav</w:t>
      </w:r>
      <w:r>
        <w:rPr>
          <w:rFonts w:eastAsia="Times New Roman"/>
          <w:noProof/>
        </w:rPr>
        <w:t>e revealed their preference for increasing current expenditure rather than protecting investment. In</w:t>
      </w:r>
      <w:r>
        <w:rPr>
          <w:noProof/>
        </w:rPr>
        <w:t xml:space="preserve"> the </w:t>
      </w:r>
      <w:r>
        <w:rPr>
          <w:rFonts w:eastAsia="Times New Roman"/>
          <w:noProof/>
        </w:rPr>
        <w:t>event of large shocks that are not policy-induced, the</w:t>
      </w:r>
      <w:r>
        <w:rPr>
          <w:noProof/>
        </w:rPr>
        <w:t xml:space="preserve"> ability to steer the fiscal stance for the euro area as a whole,</w:t>
      </w:r>
      <w:r>
        <w:rPr>
          <w:rFonts w:eastAsia="Times New Roman"/>
          <w:noProof/>
        </w:rPr>
        <w:t xml:space="preserve"> with the appropriate differentiated fiscal effort among Member States, is hampered by the lack of prudent </w:t>
      </w:r>
      <w:r>
        <w:rPr>
          <w:noProof/>
        </w:rPr>
        <w:t>policies in good times and remains constrained as long as it rests exclusively on coordination of national fiscal policies in the absence of a centra</w:t>
      </w:r>
      <w:r>
        <w:rPr>
          <w:noProof/>
        </w:rPr>
        <w:t xml:space="preserve">l stabilisation capacity. </w:t>
      </w:r>
      <w:r>
        <w:rPr>
          <w:rFonts w:eastAsia="Times New Roman"/>
          <w:noProof/>
        </w:rPr>
        <w:t>The current</w:t>
      </w:r>
      <w:r>
        <w:rPr>
          <w:noProof/>
        </w:rPr>
        <w:t xml:space="preserve"> framework and its implementation </w:t>
      </w:r>
      <w:r>
        <w:rPr>
          <w:rFonts w:eastAsia="Times New Roman"/>
          <w:noProof/>
        </w:rPr>
        <w:t xml:space="preserve">thus </w:t>
      </w:r>
      <w:r>
        <w:rPr>
          <w:noProof/>
        </w:rPr>
        <w:t xml:space="preserve">has not fostered macroeconomic stabilisation. </w:t>
      </w:r>
    </w:p>
    <w:p w:rsidR="00630C0A" w:rsidRDefault="00961E71">
      <w:pPr>
        <w:spacing w:after="120"/>
        <w:jc w:val="both"/>
        <w:rPr>
          <w:rFonts w:eastAsia="Times New Roman"/>
          <w:noProof/>
        </w:rPr>
      </w:pPr>
      <w:r>
        <w:rPr>
          <w:b/>
          <w:noProof/>
        </w:rPr>
        <w:t>Furthermore, the current surveillance framework and its implementation did not ensure a sufficient differentiation between Member Sta</w:t>
      </w:r>
      <w:r>
        <w:rPr>
          <w:b/>
          <w:noProof/>
        </w:rPr>
        <w:t xml:space="preserve">tes that have markedly different fiscal positions, sustainability risks or other vulnerabilities. </w:t>
      </w:r>
      <w:r>
        <w:rPr>
          <w:noProof/>
        </w:rPr>
        <w:t xml:space="preserve">The interplay between Union fiscal rules and national fiscal frameworks is another area of improvement. </w:t>
      </w:r>
    </w:p>
    <w:p w:rsidR="00630C0A" w:rsidRDefault="00961E71">
      <w:pPr>
        <w:spacing w:after="120"/>
        <w:jc w:val="both"/>
        <w:rPr>
          <w:noProof/>
        </w:rPr>
      </w:pPr>
      <w:r>
        <w:rPr>
          <w:b/>
          <w:noProof/>
        </w:rPr>
        <w:t>The fiscal framework (which includes the secondary le</w:t>
      </w:r>
      <w:r>
        <w:rPr>
          <w:b/>
          <w:noProof/>
        </w:rPr>
        <w:t>gislation and other documents that provide more details and transparency on how surveillance is carried out in practice) has grown excessively complex.</w:t>
      </w:r>
      <w:r>
        <w:rPr>
          <w:noProof/>
        </w:rPr>
        <w:t xml:space="preserve"> This complexity results from the framework pursuing multiple objectives and the need to cater for a wide</w:t>
      </w:r>
      <w:r>
        <w:rPr>
          <w:noProof/>
        </w:rPr>
        <w:t xml:space="preserve"> variety of evolving circumstances, including by the use of flexibility, in a context of divergences of views among Member States. It is reflected in a very detailed codification, encompassing several operational indicators of which a number are non-observ</w:t>
      </w:r>
      <w:r>
        <w:rPr>
          <w:noProof/>
        </w:rPr>
        <w:t xml:space="preserve">able and frequently revised, as well as a variety of escape clauses. As a result, the fiscal rules have become less transparent, hampering predictability, communication and political buy-in. </w:t>
      </w:r>
    </w:p>
    <w:p w:rsidR="00630C0A" w:rsidRDefault="00961E71">
      <w:pPr>
        <w:spacing w:after="120"/>
        <w:jc w:val="both"/>
        <w:rPr>
          <w:noProof/>
        </w:rPr>
      </w:pPr>
      <w:r>
        <w:rPr>
          <w:rFonts w:eastAsia="Times New Roman"/>
          <w:b/>
          <w:noProof/>
        </w:rPr>
        <w:t>Other imbalances accumulated during the economic crisis are rece</w:t>
      </w:r>
      <w:r>
        <w:rPr>
          <w:rFonts w:eastAsia="Times New Roman"/>
          <w:b/>
          <w:noProof/>
        </w:rPr>
        <w:t xml:space="preserve">ding, but in many instances only slowly. </w:t>
      </w:r>
      <w:r>
        <w:rPr>
          <w:rFonts w:cs="Calibri"/>
          <w:noProof/>
        </w:rPr>
        <w:t>The MIP has been more successful in reducing current account deficits than it has been in reducing persistent and large current account surpluses. While this may be explained by the more pressing needs to correct la</w:t>
      </w:r>
      <w:r>
        <w:rPr>
          <w:rFonts w:cs="Calibri"/>
          <w:noProof/>
        </w:rPr>
        <w:t xml:space="preserve">rge current account deficits given the concerns about sustainability, persistent current account surpluses can also affect the smooth functioning of the euro area. </w:t>
      </w:r>
      <w:r>
        <w:rPr>
          <w:rFonts w:eastAsia="Times New Roman"/>
          <w:noProof/>
        </w:rPr>
        <w:t xml:space="preserve">The traction of policy recommendations </w:t>
      </w:r>
      <w:r>
        <w:rPr>
          <w:noProof/>
        </w:rPr>
        <w:t xml:space="preserve">is suboptimal and has been </w:t>
      </w:r>
      <w:r>
        <w:rPr>
          <w:rFonts w:eastAsia="Times New Roman"/>
          <w:noProof/>
        </w:rPr>
        <w:t>declining over time as the</w:t>
      </w:r>
      <w:r>
        <w:rPr>
          <w:rFonts w:eastAsia="Times New Roman"/>
          <w:noProof/>
        </w:rPr>
        <w:t xml:space="preserve"> momentum for reform has faded. Moreover, </w:t>
      </w:r>
      <w:r>
        <w:rPr>
          <w:noProof/>
        </w:rPr>
        <w:t>while the interaction between the specific surveillance strands has been adequate, there is further scope to make them work better together. Important links between individual surveillance instruments are not suffi</w:t>
      </w:r>
      <w:r>
        <w:rPr>
          <w:noProof/>
        </w:rPr>
        <w:t>ciently taken into account, in particular where public debt sustainability issues are intrinsically linked to wider macroeconomic imbalances or low potential growth.</w:t>
      </w:r>
      <w:r>
        <w:rPr>
          <w:rStyle w:val="FootnoteReference"/>
          <w:noProof/>
        </w:rPr>
        <w:footnoteReference w:id="96"/>
      </w:r>
      <w:r>
        <w:rPr>
          <w:noProof/>
        </w:rPr>
        <w:t xml:space="preserve"> </w:t>
      </w:r>
    </w:p>
    <w:p w:rsidR="00630C0A" w:rsidRDefault="00961E71">
      <w:pPr>
        <w:spacing w:after="120"/>
        <w:jc w:val="both"/>
        <w:rPr>
          <w:noProof/>
        </w:rPr>
      </w:pPr>
      <w:r>
        <w:rPr>
          <w:b/>
          <w:noProof/>
        </w:rPr>
        <w:t>Finally, thought should be given to the need for the surveillance framework to help tack</w:t>
      </w:r>
      <w:r>
        <w:rPr>
          <w:b/>
          <w:noProof/>
        </w:rPr>
        <w:t>ling today and tomorrow’s pressing economic, demographic and environmental challenges.</w:t>
      </w:r>
      <w:r>
        <w:rPr>
          <w:noProof/>
        </w:rPr>
        <w:t xml:space="preserve"> Currently, one of the key economic challenges is that growth may remain subdued for a longer period unless policy action is taken to boost potential growth. With an alre</w:t>
      </w:r>
      <w:r>
        <w:rPr>
          <w:noProof/>
        </w:rPr>
        <w:t>ady highly accommodative monetary policy, it is important to consider whether and how Member States’ fiscal and structural policies could contribute to the policy mix in the euro area and to raising potential growth, and to reflect on the potential role of</w:t>
      </w:r>
      <w:r>
        <w:rPr>
          <w:noProof/>
        </w:rPr>
        <w:t xml:space="preserve"> the EU economic governance framework therein. Furthermore, it should be considered to what extent the framework can support economic, environmental and social policy needs related to the transition towards a climate-neutral, resource efficient and digital</w:t>
      </w:r>
      <w:r>
        <w:rPr>
          <w:noProof/>
        </w:rPr>
        <w:t xml:space="preserve"> European economy, complementing the key role of the regulatory environment and structural reforms. </w:t>
      </w:r>
    </w:p>
    <w:p w:rsidR="00630C0A" w:rsidRDefault="00961E71">
      <w:pPr>
        <w:spacing w:after="120"/>
        <w:jc w:val="both"/>
        <w:rPr>
          <w:noProof/>
        </w:rPr>
      </w:pPr>
      <w:r>
        <w:rPr>
          <w:noProof/>
        </w:rPr>
        <w:t xml:space="preserve"> </w:t>
      </w:r>
    </w:p>
    <w:p w:rsidR="00630C0A" w:rsidRDefault="00630C0A">
      <w:pPr>
        <w:rPr>
          <w:noProof/>
        </w:rPr>
      </w:pPr>
    </w:p>
    <w:p w:rsidR="00630C0A" w:rsidRDefault="00630C0A">
      <w:pPr>
        <w:spacing w:after="200" w:line="276" w:lineRule="auto"/>
        <w:rPr>
          <w:noProof/>
        </w:rPr>
        <w:sectPr w:rsidR="00630C0A">
          <w:headerReference w:type="even" r:id="rId50"/>
          <w:headerReference w:type="default" r:id="rId51"/>
          <w:footerReference w:type="even" r:id="rId52"/>
          <w:footerReference w:type="default" r:id="rId53"/>
          <w:headerReference w:type="first" r:id="rId54"/>
          <w:footerReference w:type="first" r:id="rId55"/>
          <w:pgSz w:w="11906" w:h="16838"/>
          <w:pgMar w:top="1417" w:right="1417" w:bottom="1417" w:left="1417" w:header="708" w:footer="708" w:gutter="0"/>
          <w:cols w:space="708"/>
          <w:docGrid w:linePitch="360"/>
        </w:sectPr>
      </w:pPr>
    </w:p>
    <w:p w:rsidR="00630C0A" w:rsidRDefault="00961E71">
      <w:pPr>
        <w:pStyle w:val="Heading1"/>
        <w:rPr>
          <w:noProof/>
        </w:rPr>
      </w:pPr>
      <w:bookmarkStart w:id="268" w:name="_Toc27158815"/>
      <w:bookmarkStart w:id="269" w:name="_Toc27394852"/>
      <w:bookmarkStart w:id="270" w:name="_Toc31115881"/>
      <w:bookmarkStart w:id="271" w:name="_Toc11351339"/>
      <w:bookmarkStart w:id="272" w:name="_Toc27126050"/>
      <w:bookmarkStart w:id="273" w:name="_Toc27127262"/>
      <w:bookmarkStart w:id="274" w:name="_Toc27132125"/>
      <w:bookmarkStart w:id="275" w:name="_Toc27145710"/>
      <w:bookmarkStart w:id="276" w:name="_Toc27146184"/>
      <w:bookmarkStart w:id="277" w:name="_Toc27156982"/>
      <w:bookmarkStart w:id="278" w:name="_Toc27158145"/>
      <w:r>
        <w:rPr>
          <w:noProof/>
        </w:rPr>
        <w:t xml:space="preserve">Annex 1: Assessing the impact of the SGP: empirical </w:t>
      </w:r>
      <w:bookmarkEnd w:id="268"/>
      <w:r>
        <w:rPr>
          <w:noProof/>
        </w:rPr>
        <w:t>evidence</w:t>
      </w:r>
      <w:bookmarkEnd w:id="269"/>
      <w:bookmarkEnd w:id="270"/>
    </w:p>
    <w:p w:rsidR="00630C0A" w:rsidRDefault="00630C0A">
      <w:pPr>
        <w:rPr>
          <w:noProof/>
          <w:lang w:eastAsia="en-US"/>
        </w:rPr>
      </w:pPr>
    </w:p>
    <w:p w:rsidR="00630C0A" w:rsidRDefault="00961E71">
      <w:pPr>
        <w:pStyle w:val="ListParagraph"/>
        <w:numPr>
          <w:ilvl w:val="0"/>
          <w:numId w:val="55"/>
        </w:numPr>
        <w:spacing w:after="120"/>
        <w:jc w:val="both"/>
        <w:rPr>
          <w:rFonts w:ascii="Times New Roman" w:hAnsi="Times New Roman" w:cs="Times New Roman"/>
          <w:b/>
          <w:bCs/>
          <w:noProof/>
          <w:sz w:val="24"/>
          <w:szCs w:val="24"/>
        </w:rPr>
      </w:pPr>
      <w:r>
        <w:rPr>
          <w:rFonts w:ascii="Times New Roman" w:hAnsi="Times New Roman" w:cs="Times New Roman"/>
          <w:b/>
          <w:noProof/>
          <w:sz w:val="24"/>
          <w:szCs w:val="24"/>
        </w:rPr>
        <w:t xml:space="preserve">Relationship between fiscal </w:t>
      </w:r>
      <w:r>
        <w:rPr>
          <w:rFonts w:ascii="Times New Roman" w:hAnsi="Times New Roman" w:cs="Times New Roman"/>
          <w:b/>
          <w:noProof/>
          <w:sz w:val="24"/>
          <w:szCs w:val="24"/>
        </w:rPr>
        <w:t>rules and sustainability</w:t>
      </w:r>
    </w:p>
    <w:p w:rsidR="00630C0A" w:rsidRDefault="00961E71">
      <w:pPr>
        <w:jc w:val="both"/>
        <w:rPr>
          <w:noProof/>
        </w:rPr>
      </w:pPr>
      <w:r>
        <w:rPr>
          <w:noProof/>
        </w:rPr>
        <w:t>There is ample of empirical evidence showing that Member States with sound fiscal rules have, on average, lower debt ratios compared to countries without rules.</w:t>
      </w:r>
      <w:r>
        <w:rPr>
          <w:rStyle w:val="FootnoteReference"/>
          <w:noProof/>
        </w:rPr>
        <w:footnoteReference w:id="97"/>
      </w:r>
      <w:r>
        <w:rPr>
          <w:noProof/>
        </w:rPr>
        <w:t xml:space="preserve"> Still, causality is difficult to establish for endogeneity reasons. H</w:t>
      </w:r>
      <w:r>
        <w:rPr>
          <w:noProof/>
        </w:rPr>
        <w:t>aving or adopting a fiscal rule indeed depends on a range of factors that can correlate with fiscal performance. For instance, countries with fiscal rules may have a clear preference for a prudent conduct of fiscal policy whether or not a rule is in place.</w:t>
      </w:r>
      <w:r>
        <w:rPr>
          <w:rStyle w:val="FootnoteReference"/>
          <w:noProof/>
        </w:rPr>
        <w:footnoteReference w:id="98"/>
      </w:r>
      <w:r>
        <w:rPr>
          <w:noProof/>
        </w:rPr>
        <w:t xml:space="preserve"> In addition, evidence on the performance of spending rules used at the EU and Member States’ level was very scarce so far.</w:t>
      </w:r>
    </w:p>
    <w:p w:rsidR="00630C0A" w:rsidRDefault="00630C0A">
      <w:pPr>
        <w:rPr>
          <w:noProof/>
        </w:rPr>
      </w:pPr>
    </w:p>
    <w:p w:rsidR="00630C0A" w:rsidRDefault="00961E71">
      <w:pPr>
        <w:spacing w:after="120"/>
        <w:jc w:val="both"/>
        <w:rPr>
          <w:noProof/>
        </w:rPr>
      </w:pPr>
      <w:r>
        <w:rPr>
          <w:noProof/>
        </w:rPr>
        <w:t>A recent counterfactual simulation shows that public debt ratios would have been significantly lower today, in particular in high-</w:t>
      </w:r>
      <w:r>
        <w:rPr>
          <w:noProof/>
        </w:rPr>
        <w:t>debt Member States, if the expenditure benchmark had been applied and complied with since 2000 (Graph A1.1, green line).</w:t>
      </w:r>
      <w:r>
        <w:rPr>
          <w:rStyle w:val="FootnoteReference"/>
          <w:noProof/>
        </w:rPr>
        <w:footnoteReference w:id="99"/>
      </w:r>
      <w:r>
        <w:rPr>
          <w:noProof/>
        </w:rPr>
        <w:t xml:space="preserve"> Strict compliance with the expenditure benchmark compared with the structural balance adjustment would have required a larger fiscal a</w:t>
      </w:r>
      <w:r>
        <w:rPr>
          <w:noProof/>
        </w:rPr>
        <w:t>djustment in good times, which would have resulted in higher fiscal buffers at the start of recession. As a consequence, the expenditure benchmark-based adjustment would have led to a more growth-friendly adjustment, given the lower average loss in output.</w:t>
      </w:r>
      <w:r>
        <w:rPr>
          <w:noProof/>
        </w:rPr>
        <w:t xml:space="preserve"> </w:t>
      </w:r>
    </w:p>
    <w:p w:rsidR="00630C0A" w:rsidRDefault="00961E71">
      <w:pPr>
        <w:spacing w:after="120"/>
        <w:jc w:val="both"/>
        <w:rPr>
          <w:b/>
          <w:bCs/>
          <w:noProof/>
        </w:rPr>
      </w:pPr>
      <w:r>
        <w:rPr>
          <w:b/>
          <w:noProof/>
        </w:rPr>
        <w:t>Graph A1.1: Debt developments in case of strict implementation of the preventive arm (EU 28, 1999-2019)</w:t>
      </w:r>
    </w:p>
    <w:p w:rsidR="00630C0A" w:rsidRDefault="00961E71">
      <w:pPr>
        <w:spacing w:after="120"/>
        <w:jc w:val="center"/>
        <w:rPr>
          <w:noProof/>
        </w:rPr>
      </w:pPr>
      <w:r>
        <w:rPr>
          <w:noProof/>
        </w:rPr>
        <w:drawing>
          <wp:inline distT="0" distB="0" distL="0" distR="0">
            <wp:extent cx="2743200" cy="222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43200" cy="2228850"/>
                    </a:xfrm>
                    <a:prstGeom prst="rect">
                      <a:avLst/>
                    </a:prstGeom>
                    <a:noFill/>
                    <a:ln>
                      <a:noFill/>
                    </a:ln>
                  </pic:spPr>
                </pic:pic>
              </a:graphicData>
            </a:graphic>
          </wp:inline>
        </w:drawing>
      </w:r>
    </w:p>
    <w:p w:rsidR="00630C0A" w:rsidRDefault="00961E71">
      <w:pPr>
        <w:autoSpaceDE w:val="0"/>
        <w:autoSpaceDN w:val="0"/>
        <w:adjustRightInd w:val="0"/>
        <w:spacing w:after="120"/>
        <w:jc w:val="both"/>
        <w:rPr>
          <w:noProof/>
          <w:sz w:val="20"/>
          <w:szCs w:val="20"/>
        </w:rPr>
      </w:pPr>
      <w:r>
        <w:rPr>
          <w:noProof/>
          <w:sz w:val="20"/>
          <w:szCs w:val="20"/>
        </w:rPr>
        <w:t xml:space="preserve">Note: The black line refers to the baseline in line with the Commission Spring Forecast 2019. The impact of a strict compliance with the preventive </w:t>
      </w:r>
      <w:r>
        <w:rPr>
          <w:noProof/>
          <w:sz w:val="20"/>
          <w:szCs w:val="20"/>
        </w:rPr>
        <w:t>arm are shown using two counterfactual scenarios, namely compliance with the expenditure benchmark (green line C</w:t>
      </w:r>
      <w:r>
        <w:rPr>
          <w:noProof/>
          <w:sz w:val="20"/>
          <w:szCs w:val="20"/>
          <w:vertAlign w:val="superscript"/>
        </w:rPr>
        <w:t>EB</w:t>
      </w:r>
      <w:r>
        <w:rPr>
          <w:noProof/>
          <w:sz w:val="20"/>
          <w:szCs w:val="20"/>
        </w:rPr>
        <w:t>) and the structural balance requirement (red line C</w:t>
      </w:r>
      <w:r>
        <w:rPr>
          <w:noProof/>
          <w:sz w:val="20"/>
          <w:szCs w:val="20"/>
          <w:vertAlign w:val="superscript"/>
        </w:rPr>
        <w:t>SB</w:t>
      </w:r>
      <w:r>
        <w:rPr>
          <w:noProof/>
          <w:sz w:val="20"/>
          <w:szCs w:val="20"/>
        </w:rPr>
        <w:t>).</w:t>
      </w:r>
    </w:p>
    <w:p w:rsidR="00630C0A" w:rsidRDefault="00630C0A">
      <w:pPr>
        <w:spacing w:after="120"/>
        <w:jc w:val="both"/>
        <w:rPr>
          <w:noProof/>
        </w:rPr>
      </w:pPr>
    </w:p>
    <w:p w:rsidR="00630C0A" w:rsidRDefault="00961E71">
      <w:pPr>
        <w:pStyle w:val="ListParagraph"/>
        <w:numPr>
          <w:ilvl w:val="0"/>
          <w:numId w:val="55"/>
        </w:numPr>
        <w:spacing w:after="120"/>
        <w:jc w:val="both"/>
        <w:rPr>
          <w:rFonts w:ascii="Times New Roman" w:hAnsi="Times New Roman" w:cs="Times New Roman"/>
          <w:b/>
          <w:bCs/>
          <w:noProof/>
          <w:sz w:val="24"/>
          <w:szCs w:val="24"/>
        </w:rPr>
      </w:pPr>
      <w:r>
        <w:rPr>
          <w:rFonts w:ascii="Times New Roman" w:hAnsi="Times New Roman" w:cs="Times New Roman"/>
          <w:b/>
          <w:noProof/>
          <w:sz w:val="24"/>
          <w:szCs w:val="24"/>
        </w:rPr>
        <w:t>Relationship between fiscal policy and the economic cycle</w:t>
      </w:r>
    </w:p>
    <w:p w:rsidR="00630C0A" w:rsidRDefault="00961E71">
      <w:pPr>
        <w:spacing w:after="120"/>
        <w:jc w:val="both"/>
        <w:rPr>
          <w:noProof/>
        </w:rPr>
      </w:pPr>
      <w:r>
        <w:rPr>
          <w:noProof/>
        </w:rPr>
        <w:t>Existing evidence points t</w:t>
      </w:r>
      <w:r>
        <w:rPr>
          <w:noProof/>
        </w:rPr>
        <w:t>o a rather pro-cyclical pattern of discretionary fiscal policy in the EU. Studies typically find that total fiscal policy (i.e. discretionary fiscal policy and automatic stabilisers) tend to be a-cyclical or countercyclical,</w:t>
      </w:r>
      <w:r>
        <w:rPr>
          <w:rStyle w:val="FootnoteReference"/>
          <w:noProof/>
        </w:rPr>
        <w:footnoteReference w:id="100"/>
      </w:r>
      <w:r>
        <w:rPr>
          <w:noProof/>
        </w:rPr>
        <w:t xml:space="preserve"> while discretionary fiscal pol</w:t>
      </w:r>
      <w:r>
        <w:rPr>
          <w:noProof/>
        </w:rPr>
        <w:t>icy appears to be pro-cyclical (Table 1.1).</w:t>
      </w:r>
      <w:r>
        <w:rPr>
          <w:rStyle w:val="FootnoteReference"/>
          <w:noProof/>
        </w:rPr>
        <w:footnoteReference w:id="101"/>
      </w:r>
      <w:r>
        <w:rPr>
          <w:noProof/>
        </w:rPr>
        <w:t xml:space="preserve"> Pro-cyclicality happens in particular in good economic times.</w:t>
      </w:r>
      <w:r>
        <w:rPr>
          <w:rStyle w:val="FootnoteReference"/>
          <w:noProof/>
        </w:rPr>
        <w:footnoteReference w:id="102"/>
      </w:r>
      <w:r>
        <w:rPr>
          <w:noProof/>
        </w:rPr>
        <w:t xml:space="preserve"> In Europe, most Member States implemented sizeable fiscal adjustments in the immediate post-crisis period, reflecting a lack of fiscal buffers at th</w:t>
      </w:r>
      <w:r>
        <w:rPr>
          <w:noProof/>
        </w:rPr>
        <w:t>e onset of the economic and financial crisis, a need to correct excessive deficits and, in some cases, market pressure. The role of the reinforced EU fiscal rules on cyclicality has only scarcely been investigated.</w:t>
      </w:r>
    </w:p>
    <w:p w:rsidR="00630C0A" w:rsidRDefault="00961E71">
      <w:pPr>
        <w:rPr>
          <w:noProof/>
        </w:rPr>
      </w:pPr>
      <w:r>
        <w:rPr>
          <w:noProof/>
        </w:rPr>
        <w:t xml:space="preserve"> </w:t>
      </w:r>
      <w:r>
        <w:rPr>
          <w:b/>
          <w:noProof/>
        </w:rPr>
        <w:t>Table A1.1.:</w:t>
      </w:r>
      <w:r>
        <w:rPr>
          <w:b/>
          <w:noProof/>
        </w:rPr>
        <w:tab/>
        <w:t>Empirical findings on cycli</w:t>
      </w:r>
      <w:r>
        <w:rPr>
          <w:b/>
          <w:noProof/>
        </w:rPr>
        <w:t>cality</w:t>
      </w:r>
    </w:p>
    <w:p w:rsidR="00630C0A" w:rsidRDefault="00961E71">
      <w:pPr>
        <w:rPr>
          <w:noProof/>
        </w:rPr>
      </w:pPr>
      <w:r>
        <w:rPr>
          <w:noProof/>
        </w:rPr>
        <w:drawing>
          <wp:inline distT="0" distB="0" distL="0" distR="0">
            <wp:extent cx="5760720" cy="40996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60720" cy="4099603"/>
                    </a:xfrm>
                    <a:prstGeom prst="rect">
                      <a:avLst/>
                    </a:prstGeom>
                    <a:noFill/>
                    <a:ln>
                      <a:noFill/>
                    </a:ln>
                  </pic:spPr>
                </pic:pic>
              </a:graphicData>
            </a:graphic>
          </wp:inline>
        </w:drawing>
      </w:r>
    </w:p>
    <w:p w:rsidR="00630C0A" w:rsidRDefault="00961E71">
      <w:pPr>
        <w:jc w:val="both"/>
        <w:rPr>
          <w:noProof/>
          <w:color w:val="000000"/>
          <w:sz w:val="20"/>
          <w:szCs w:val="20"/>
          <w:lang w:eastAsia="en-US"/>
        </w:rPr>
      </w:pPr>
      <w:r>
        <w:rPr>
          <w:noProof/>
          <w:color w:val="000000"/>
          <w:sz w:val="20"/>
          <w:szCs w:val="20"/>
          <w:lang w:eastAsia="en-US"/>
        </w:rPr>
        <w:t xml:space="preserve">Note: The sample includes the 28 Member States covering the period 2000-18. All estimations are based on real time data from the COM autumn forecast vintages. Regressions are estimated based on the two-step system GMM estimator following Blundell </w:t>
      </w:r>
      <w:r>
        <w:rPr>
          <w:noProof/>
          <w:color w:val="000000"/>
          <w:sz w:val="20"/>
          <w:szCs w:val="20"/>
          <w:lang w:eastAsia="en-US"/>
        </w:rPr>
        <w:t>and Bond (1998), controlling for endogeneity of the lagged dependent variable, output gap and current account. ***, ** and * denote respectively statistical significance at 1, 5 and 10%.</w:t>
      </w:r>
    </w:p>
    <w:p w:rsidR="00630C0A" w:rsidRDefault="00961E71">
      <w:pPr>
        <w:pStyle w:val="TableFootnote"/>
        <w:pBdr>
          <w:top w:val="none" w:sz="0" w:space="0" w:color="auto"/>
          <w:bottom w:val="none" w:sz="0" w:space="0" w:color="auto"/>
        </w:pBdr>
        <w:rPr>
          <w:noProof/>
          <w:sz w:val="20"/>
          <w:szCs w:val="20"/>
        </w:rPr>
      </w:pPr>
      <w:r>
        <w:rPr>
          <w:noProof/>
          <w:sz w:val="20"/>
          <w:szCs w:val="20"/>
        </w:rPr>
        <w:t>Source: European Commission (2019), ’Have EU fiscal rules mitigated p</w:t>
      </w:r>
      <w:r>
        <w:rPr>
          <w:noProof/>
          <w:sz w:val="20"/>
          <w:szCs w:val="20"/>
        </w:rPr>
        <w:t>ro-cyclicality?’, Report on Public Finances in EMU 2018, 121-130.</w:t>
      </w:r>
    </w:p>
    <w:p w:rsidR="00630C0A" w:rsidRDefault="00630C0A">
      <w:pPr>
        <w:rPr>
          <w:noProof/>
        </w:rPr>
      </w:pPr>
    </w:p>
    <w:p w:rsidR="00630C0A" w:rsidRDefault="00961E71">
      <w:pPr>
        <w:spacing w:after="120"/>
        <w:jc w:val="both"/>
        <w:rPr>
          <w:noProof/>
        </w:rPr>
      </w:pPr>
      <w:r>
        <w:rPr>
          <w:noProof/>
        </w:rPr>
        <w:t>New evidence by the Commission shows that that compliance with EU fiscal rules reduces the pro-cyclicality of the fiscal effort.</w:t>
      </w:r>
      <w:r>
        <w:rPr>
          <w:rStyle w:val="FootnoteReference"/>
          <w:noProof/>
        </w:rPr>
        <w:footnoteReference w:id="103"/>
      </w:r>
      <w:r>
        <w:rPr>
          <w:noProof/>
        </w:rPr>
        <w:t xml:space="preserve"> The analysis assesses pro-cyclicality for Member States tha</w:t>
      </w:r>
      <w:r>
        <w:rPr>
          <w:noProof/>
        </w:rPr>
        <w:t xml:space="preserve">t conducted fiscal policy in line with the preventive and corrective arm of the SGP. For that purpose, real-time data is used from past Commission forecast vintages for a sample of Member States since 2000. The results show that Member States who complied </w:t>
      </w:r>
      <w:r>
        <w:rPr>
          <w:noProof/>
        </w:rPr>
        <w:t>with the expenditure benchmark and/or the structural balance requirement exhibit on average a lower pro-cyclical fiscal effort. In addition, Member States with public debt ratios below 60% of GDP have on average a smaller pro-cyclical fiscal effort than Me</w:t>
      </w:r>
      <w:r>
        <w:rPr>
          <w:noProof/>
        </w:rPr>
        <w:t xml:space="preserve">mber States with a debt ratio above 60% of GDP. Conversely, pro-cyclicality appears higher for Member States with debt ratios exceeding 60% of GDP. </w:t>
      </w:r>
    </w:p>
    <w:p w:rsidR="00630C0A" w:rsidRDefault="00961E71">
      <w:pPr>
        <w:spacing w:before="120"/>
        <w:jc w:val="both"/>
        <w:rPr>
          <w:noProof/>
        </w:rPr>
      </w:pPr>
      <w:r>
        <w:rPr>
          <w:noProof/>
        </w:rPr>
        <w:t>As regards national fiscal rules, fiscal policy is found to be least pro-cyclical when expenditure rules op</w:t>
      </w:r>
      <w:r>
        <w:rPr>
          <w:noProof/>
        </w:rPr>
        <w:t>erate in combination with budget balance rules.</w:t>
      </w:r>
      <w:r>
        <w:rPr>
          <w:rStyle w:val="FootnoteReference"/>
          <w:noProof/>
        </w:rPr>
        <w:footnoteReference w:id="104"/>
      </w:r>
      <w:r>
        <w:rPr>
          <w:noProof/>
        </w:rPr>
        <w:t xml:space="preserve"> Well-functioning fiscal frameworks typically consist of several fiscal rules targeting different budgetary aggregates and with different time horizons, thus reinforcing each other. Results suggest that the c</w:t>
      </w:r>
      <w:r>
        <w:rPr>
          <w:noProof/>
        </w:rPr>
        <w:t>ombination of budget balance rules and expenditure rules provides for the least pro-cyclical fiscal policy, namely an a-cyclical fiscal policy (Graph A1.2). In the absence of both expenditure and budget balance rules, fiscal policy would have been more pro</w:t>
      </w:r>
      <w:r>
        <w:rPr>
          <w:noProof/>
        </w:rPr>
        <w:t>-cyclical, while pro-cyclical bias declines only marginally if expenditure rules operate in the absence of budget balance rules.</w:t>
      </w:r>
    </w:p>
    <w:tbl>
      <w:tblPr>
        <w:tblStyle w:val="TableGrid4"/>
        <w:tblpPr w:leftFromText="180" w:rightFromText="180" w:vertAnchor="text" w:horzAnchor="margin"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630C0A">
        <w:trPr>
          <w:trHeight w:val="521"/>
        </w:trPr>
        <w:tc>
          <w:tcPr>
            <w:tcW w:w="9288" w:type="dxa"/>
          </w:tcPr>
          <w:p w:rsidR="00630C0A" w:rsidRDefault="00630C0A">
            <w:pPr>
              <w:jc w:val="both"/>
              <w:rPr>
                <w:noProof/>
              </w:rPr>
            </w:pPr>
          </w:p>
          <w:p w:rsidR="00630C0A" w:rsidRDefault="00961E71">
            <w:pPr>
              <w:jc w:val="both"/>
              <w:rPr>
                <w:rFonts w:cstheme="minorBidi"/>
                <w:b/>
                <w:bCs/>
                <w:noProof/>
                <w:lang w:eastAsia="en-US"/>
              </w:rPr>
            </w:pPr>
            <w:r>
              <w:rPr>
                <w:b/>
                <w:noProof/>
              </w:rPr>
              <w:t>Graph A1.2. Pro-cyclical bias for different combinations of fiscal rules</w:t>
            </w:r>
          </w:p>
        </w:tc>
      </w:tr>
      <w:tr w:rsidR="00630C0A">
        <w:trPr>
          <w:trHeight w:val="1465"/>
        </w:trPr>
        <w:tc>
          <w:tcPr>
            <w:tcW w:w="9288" w:type="dxa"/>
          </w:tcPr>
          <w:p w:rsidR="00630C0A" w:rsidRDefault="00961E71">
            <w:pPr>
              <w:jc w:val="center"/>
              <w:rPr>
                <w:rFonts w:cstheme="minorBidi"/>
                <w:noProof/>
                <w:sz w:val="22"/>
                <w:szCs w:val="22"/>
                <w:lang w:eastAsia="en-US"/>
              </w:rPr>
            </w:pPr>
            <w:r>
              <w:rPr>
                <w:noProof/>
              </w:rPr>
              <w:object w:dxaOrig="6510" w:dyaOrig="3585">
                <v:shape id="_x0000_i1026" type="#_x0000_t75" style="width:325.9pt;height:179.35pt" o:ole="">
                  <v:imagedata r:id="rId58" o:title=""/>
                </v:shape>
                <o:OLEObject Type="Embed" ProgID="PBrush" ShapeID="_x0000_i1026" DrawAspect="Content" ObjectID="_1642332295" r:id="rId59"/>
              </w:object>
            </w:r>
          </w:p>
        </w:tc>
      </w:tr>
      <w:tr w:rsidR="00630C0A">
        <w:trPr>
          <w:trHeight w:val="387"/>
        </w:trPr>
        <w:tc>
          <w:tcPr>
            <w:tcW w:w="9288" w:type="dxa"/>
          </w:tcPr>
          <w:p w:rsidR="00630C0A" w:rsidRDefault="00961E71">
            <w:pPr>
              <w:jc w:val="both"/>
              <w:rPr>
                <w:rFonts w:cstheme="minorBidi"/>
                <w:noProof/>
                <w:sz w:val="20"/>
                <w:szCs w:val="20"/>
                <w:lang w:eastAsia="en-US"/>
              </w:rPr>
            </w:pPr>
            <w:r>
              <w:rPr>
                <w:rFonts w:cstheme="minorBidi"/>
                <w:noProof/>
                <w:sz w:val="20"/>
                <w:szCs w:val="20"/>
                <w:lang w:eastAsia="en-US"/>
              </w:rPr>
              <w:t xml:space="preserve">Source: Stability and </w:t>
            </w:r>
            <w:r>
              <w:rPr>
                <w:rFonts w:cstheme="minorBidi"/>
                <w:noProof/>
                <w:sz w:val="20"/>
                <w:szCs w:val="20"/>
                <w:lang w:eastAsia="en-US"/>
              </w:rPr>
              <w:t>Convergence Programmes, AMECO spring vintage and Commission’s Fiscal Governance Database 2016 vintage.</w:t>
            </w:r>
          </w:p>
          <w:p w:rsidR="00630C0A" w:rsidRDefault="00961E71">
            <w:pPr>
              <w:jc w:val="both"/>
              <w:rPr>
                <w:rFonts w:cstheme="minorBidi"/>
                <w:i/>
                <w:iCs/>
                <w:noProof/>
                <w:sz w:val="22"/>
                <w:szCs w:val="22"/>
                <w:lang w:eastAsia="en-US"/>
              </w:rPr>
            </w:pPr>
            <w:r>
              <w:rPr>
                <w:rFonts w:cstheme="minorBidi"/>
                <w:noProof/>
                <w:sz w:val="20"/>
                <w:szCs w:val="20"/>
                <w:lang w:eastAsia="en-US"/>
              </w:rPr>
              <w:t>Note: The graph shows the pro-cyclical bias, i.e. by how much expenditure increases/decreases to a 1pp of GDP unexpected revenue shortfall/windfall in di</w:t>
            </w:r>
            <w:r>
              <w:rPr>
                <w:rFonts w:cstheme="minorBidi"/>
                <w:noProof/>
                <w:sz w:val="20"/>
                <w:szCs w:val="20"/>
                <w:lang w:eastAsia="en-US"/>
              </w:rPr>
              <w:t xml:space="preserve">fferent combination of rules. ER stands for expenditure rule while BBR stands for budget balance rule. Four combinations of rules are shown: no expenditure or budget balance rules, only expenditure rules, only budget balance rules and both expenditure and </w:t>
            </w:r>
            <w:r>
              <w:rPr>
                <w:rFonts w:cstheme="minorBidi"/>
                <w:noProof/>
                <w:sz w:val="20"/>
                <w:szCs w:val="20"/>
                <w:lang w:eastAsia="en-US"/>
              </w:rPr>
              <w:t>budget balance rules. The bars indicate the 95% confidence interval.</w:t>
            </w:r>
          </w:p>
        </w:tc>
      </w:tr>
    </w:tbl>
    <w:p w:rsidR="00630C0A" w:rsidRDefault="00630C0A">
      <w:pPr>
        <w:spacing w:after="120"/>
        <w:jc w:val="both"/>
        <w:rPr>
          <w:noProof/>
        </w:rPr>
      </w:pPr>
    </w:p>
    <w:p w:rsidR="00630C0A" w:rsidRDefault="00961E71">
      <w:pPr>
        <w:pStyle w:val="ListParagraph"/>
        <w:numPr>
          <w:ilvl w:val="0"/>
          <w:numId w:val="55"/>
        </w:numPr>
        <w:spacing w:after="120"/>
        <w:jc w:val="both"/>
        <w:rPr>
          <w:rFonts w:ascii="Times New Roman" w:hAnsi="Times New Roman" w:cs="Times New Roman"/>
          <w:b/>
          <w:bCs/>
          <w:noProof/>
          <w:sz w:val="24"/>
          <w:szCs w:val="24"/>
        </w:rPr>
      </w:pPr>
      <w:r>
        <w:rPr>
          <w:rFonts w:ascii="Times New Roman" w:hAnsi="Times New Roman" w:cs="Times New Roman"/>
          <w:b/>
          <w:noProof/>
          <w:sz w:val="24"/>
          <w:szCs w:val="24"/>
        </w:rPr>
        <w:t>Relationship between fiscal rules and public investment</w:t>
      </w:r>
    </w:p>
    <w:p w:rsidR="00630C0A" w:rsidRDefault="00961E71">
      <w:pPr>
        <w:spacing w:after="120"/>
        <w:jc w:val="both"/>
        <w:rPr>
          <w:noProof/>
        </w:rPr>
      </w:pPr>
      <w:r>
        <w:rPr>
          <w:noProof/>
          <w:lang w:val="en-US"/>
        </w:rPr>
        <w:t>There is a vivid debate on the relationship between fiscal rules and public investment</w:t>
      </w:r>
      <w:r>
        <w:rPr>
          <w:noProof/>
        </w:rPr>
        <w:t>.</w:t>
      </w:r>
      <w:r>
        <w:rPr>
          <w:noProof/>
          <w:lang w:val="en-US"/>
        </w:rPr>
        <w:t xml:space="preserve"> Evidence from the early years of Economic and Monetary Union finds no clear impact of EU fiscal rules on public investment</w:t>
      </w:r>
      <w:r>
        <w:rPr>
          <w:i/>
          <w:iCs/>
          <w:noProof/>
          <w:lang w:val="en-US"/>
        </w:rPr>
        <w:t>.</w:t>
      </w:r>
      <w:r>
        <w:rPr>
          <w:rStyle w:val="FootnoteReference"/>
          <w:noProof/>
          <w:lang w:val="fr-FR"/>
        </w:rPr>
        <w:footnoteReference w:id="105"/>
      </w:r>
      <w:r>
        <w:rPr>
          <w:noProof/>
          <w:lang w:val="en-US"/>
        </w:rPr>
        <w:t xml:space="preserve"> However, the evidence can be challenged by the short sample period. Recent studies point to a more nuanced picture. Member States’</w:t>
      </w:r>
      <w:r>
        <w:rPr>
          <w:noProof/>
          <w:lang w:val="en-US"/>
        </w:rPr>
        <w:t xml:space="preserve"> </w:t>
      </w:r>
      <w:r>
        <w:rPr>
          <w:noProof/>
        </w:rPr>
        <w:t>investment decisions appear to be more constrained by high debt than by the SGP.</w:t>
      </w:r>
      <w:r>
        <w:rPr>
          <w:rStyle w:val="FootnoteReference"/>
          <w:noProof/>
        </w:rPr>
        <w:footnoteReference w:id="106"/>
      </w:r>
      <w:r>
        <w:rPr>
          <w:noProof/>
        </w:rPr>
        <w:t xml:space="preserve"> Similarly, f</w:t>
      </w:r>
      <w:r>
        <w:rPr>
          <w:noProof/>
          <w:lang w:val="en-US"/>
        </w:rPr>
        <w:t>iscal rules and governance quality appear to reduce the negative impact of public debt on public investment.</w:t>
      </w:r>
      <w:r>
        <w:rPr>
          <w:rStyle w:val="FootnoteReference"/>
          <w:noProof/>
          <w:lang w:val="fr-FR"/>
        </w:rPr>
        <w:footnoteReference w:id="107"/>
      </w:r>
    </w:p>
    <w:p w:rsidR="00630C0A" w:rsidRDefault="00961E71">
      <w:pPr>
        <w:jc w:val="both"/>
        <w:rPr>
          <w:noProof/>
        </w:rPr>
      </w:pPr>
      <w:r>
        <w:rPr>
          <w:noProof/>
          <w:lang w:val="en-US"/>
        </w:rPr>
        <w:t xml:space="preserve">Commission analysis provides new evidence on the relationship between fiscal rules and public investment. </w:t>
      </w:r>
      <w:r>
        <w:rPr>
          <w:noProof/>
        </w:rPr>
        <w:t>The key objective of that analysis was to run a positive analysis supported by a very large number of robustness checks.</w:t>
      </w:r>
      <w:r>
        <w:rPr>
          <w:rStyle w:val="FootnoteReference"/>
          <w:noProof/>
        </w:rPr>
        <w:footnoteReference w:id="108"/>
      </w:r>
      <w:r>
        <w:rPr>
          <w:noProof/>
        </w:rPr>
        <w:t xml:space="preserve"> Overall, the study does not </w:t>
      </w:r>
      <w:r>
        <w:rPr>
          <w:noProof/>
        </w:rPr>
        <w:t>find evidence that fiscal rules hamper public investment. This finding holds irrespective of the analysed duration of the impact (short vs. long term), the type of investment (total investment, investment in infrastructure, redistribution), the level of go</w:t>
      </w:r>
      <w:r>
        <w:rPr>
          <w:noProof/>
        </w:rPr>
        <w:t xml:space="preserve">vernment (general, national and sub-national government level) and the type of fiscal rules (balanced budget, expenditure, debt and revenue rules) (Graph A1.3). </w:t>
      </w:r>
    </w:p>
    <w:p w:rsidR="00630C0A" w:rsidRDefault="00630C0A">
      <w:pPr>
        <w:spacing w:after="120"/>
        <w:jc w:val="both"/>
        <w:rPr>
          <w:b/>
          <w:bCs/>
          <w:i/>
          <w:iCs/>
          <w:noProof/>
          <w:lang w:val="en-US"/>
        </w:rPr>
      </w:pPr>
    </w:p>
    <w:p w:rsidR="00630C0A" w:rsidRDefault="00961E71">
      <w:pPr>
        <w:spacing w:after="120"/>
        <w:jc w:val="both"/>
        <w:rPr>
          <w:b/>
          <w:bCs/>
          <w:noProof/>
          <w:lang w:val="en-US"/>
        </w:rPr>
      </w:pPr>
      <w:r>
        <w:rPr>
          <w:b/>
          <w:noProof/>
          <w:lang w:val="en-US"/>
        </w:rPr>
        <w:t xml:space="preserve">Graph A1.3: Summary: significance levels of regressions </w:t>
      </w:r>
      <w:r>
        <w:rPr>
          <w:b/>
          <w:noProof/>
        </w:rPr>
        <w:t>(</w:t>
      </w:r>
      <w:r>
        <w:rPr>
          <w:b/>
          <w:noProof/>
          <w:lang w:val="en-US"/>
        </w:rPr>
        <w:t>in percentage points)</w:t>
      </w:r>
    </w:p>
    <w:p w:rsidR="00630C0A" w:rsidRDefault="00961E71">
      <w:pPr>
        <w:spacing w:after="120"/>
        <w:jc w:val="center"/>
        <w:rPr>
          <w:b/>
          <w:noProof/>
        </w:rPr>
      </w:pPr>
      <w:r>
        <w:rPr>
          <w:noProof/>
        </w:rPr>
        <w:drawing>
          <wp:inline distT="0" distB="0" distL="0" distR="0">
            <wp:extent cx="2908935" cy="2974769"/>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20536" cy="2986633"/>
                    </a:xfrm>
                    <a:prstGeom prst="rect">
                      <a:avLst/>
                    </a:prstGeom>
                    <a:noFill/>
                    <a:ln>
                      <a:noFill/>
                    </a:ln>
                  </pic:spPr>
                </pic:pic>
              </a:graphicData>
            </a:graphic>
          </wp:inline>
        </w:drawing>
      </w:r>
    </w:p>
    <w:p w:rsidR="00630C0A" w:rsidRDefault="00961E71">
      <w:pPr>
        <w:spacing w:after="120"/>
        <w:jc w:val="both"/>
        <w:rPr>
          <w:noProof/>
          <w:sz w:val="20"/>
          <w:szCs w:val="20"/>
        </w:rPr>
      </w:pPr>
      <w:r>
        <w:rPr>
          <w:noProof/>
          <w:sz w:val="20"/>
          <w:szCs w:val="20"/>
        </w:rPr>
        <w:t>Note: The ch</w:t>
      </w:r>
      <w:r>
        <w:rPr>
          <w:noProof/>
          <w:sz w:val="20"/>
          <w:szCs w:val="20"/>
        </w:rPr>
        <w:t>art summarises the main findings of the panel regressions on the impact of fiscal rules on public investment for a sample of EU Member States over the time period 1990-2018. It shows the percentage share fiscal rules turned out to be significant and non-si</w:t>
      </w:r>
      <w:r>
        <w:rPr>
          <w:noProof/>
          <w:sz w:val="20"/>
          <w:szCs w:val="20"/>
        </w:rPr>
        <w:t>gnificant based on more than 10000 robustness tests. Reading example: Taking the full sample shows that 87 percent of the regressions suggested that fiscal rules have no statistically significant impact on public investment. Only in 13 percent of the regre</w:t>
      </w:r>
      <w:r>
        <w:rPr>
          <w:noProof/>
          <w:sz w:val="20"/>
          <w:szCs w:val="20"/>
        </w:rPr>
        <w:t>ssions fiscal rules turned out to be significant, with an almost equal split on the direction of fiscal rules on public investment (6% positive impact of fiscal rules on public investment, 7% negative and significant impact).</w:t>
      </w:r>
    </w:p>
    <w:p w:rsidR="00630C0A" w:rsidRDefault="00630C0A">
      <w:pPr>
        <w:spacing w:after="200" w:line="276" w:lineRule="auto"/>
        <w:rPr>
          <w:noProof/>
        </w:rPr>
      </w:pP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eastAsia="Calibri"/>
          <w:b/>
          <w:bCs/>
          <w:noProof/>
        </w:rPr>
      </w:pPr>
      <w:r>
        <w:rPr>
          <w:rFonts w:eastAsia="Calibri"/>
          <w:b/>
          <w:noProof/>
        </w:rPr>
        <w:t>Box A1: Possible implications</w:t>
      </w:r>
      <w:r>
        <w:rPr>
          <w:rFonts w:eastAsia="Calibri"/>
          <w:b/>
          <w:noProof/>
        </w:rPr>
        <w:t xml:space="preserve"> for the policy mix of current trends in debt reduction across the euro area</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Calibri"/>
          <w:noProof/>
        </w:rPr>
      </w:pPr>
      <w:r>
        <w:rPr>
          <w:rFonts w:eastAsia="Calibri"/>
          <w:noProof/>
        </w:rPr>
        <w:t xml:space="preserve">Fiscal discipline is a crucial component of the economic and monetary union framework, as responsible fiscal policies are key for the macroeconomic stability and long-term growth </w:t>
      </w:r>
      <w:r>
        <w:rPr>
          <w:rFonts w:eastAsia="Calibri"/>
          <w:noProof/>
        </w:rPr>
        <w:t>potential of its Member States. In particular, in a monetary union fiscal policy might be relied on to address country-specific shocks in the absence of national monetary and exchange rate policies. From a monetary policy perspective, excessive indebtednes</w:t>
      </w:r>
      <w:r>
        <w:rPr>
          <w:rFonts w:eastAsia="Calibri"/>
          <w:noProof/>
        </w:rPr>
        <w:t>s carries the risk of fiscal dominance, i.e. a situation in which the central bank is restricted in the pursuit of its price stability objective by the potential impact of a policy tightening on the sovereign’s solvency. In light of this, the Treaty on the</w:t>
      </w:r>
      <w:r>
        <w:rPr>
          <w:rFonts w:eastAsia="Calibri"/>
          <w:noProof/>
        </w:rPr>
        <w:t xml:space="preserve"> Functioning of the European Union includes strong clauses on central bank independence and the prohibition of monetary financing.</w:t>
      </w:r>
      <w:r>
        <w:rPr>
          <w:rStyle w:val="FootnoteReference"/>
          <w:rFonts w:eastAsia="Calibri"/>
          <w:noProof/>
        </w:rPr>
        <w:footnoteReference w:id="109"/>
      </w:r>
      <w:r>
        <w:rPr>
          <w:rFonts w:eastAsia="Calibri"/>
          <w:noProof/>
        </w:rPr>
        <w:t xml:space="preserve"> Furthermore, a Member State’s over-indebtedness might increase its banks’ financing costs via the sovereign-bank nexus and u</w:t>
      </w:r>
      <w:r>
        <w:rPr>
          <w:rFonts w:eastAsia="Calibri"/>
          <w:noProof/>
        </w:rPr>
        <w:t>ltimately distort the transmission of the ECB’s single monetary policy across Member States. That being said, a sustainable volume of government debt is necessary to ensure the smooth implementation of monetary policy, which partly relies on the presence o</w:t>
      </w:r>
      <w:r>
        <w:rPr>
          <w:rFonts w:eastAsia="Calibri"/>
          <w:noProof/>
        </w:rPr>
        <w:t xml:space="preserve">f a sufficient amount of safe assets. </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Calibri"/>
          <w:noProof/>
        </w:rPr>
      </w:pPr>
      <w:r>
        <w:rPr>
          <w:rFonts w:eastAsia="Calibri"/>
          <w:noProof/>
        </w:rPr>
        <w:t>Government debt currently with the highest rating in the euro area is set to rapidly decrease in the next decade. After a period of steep increase following the Great Financial Crisis, government debt-to-GDP ratios ha</w:t>
      </w:r>
      <w:r>
        <w:rPr>
          <w:rFonts w:eastAsia="Calibri"/>
          <w:noProof/>
        </w:rPr>
        <w:t>ve gradually decreased in most Member States since 2014, albeit at different pace across Member States (see Table A). In 2019, 9 out of 19 euro-area Member States would have government debt ratios below the Treaty reference value of 60% of GDP. Assuming fu</w:t>
      </w:r>
      <w:r>
        <w:rPr>
          <w:rFonts w:eastAsia="Calibri"/>
          <w:noProof/>
        </w:rPr>
        <w:t>ll implementation of Member States’ fiscal plans, that overall downtrend trend should continue in the next decade. Debt projections for countries such as Germany and the Netherlands in particular show a reduction over that horizon (see Graph A), notably on</w:t>
      </w:r>
      <w:r>
        <w:rPr>
          <w:rFonts w:eastAsia="Calibri"/>
          <w:noProof/>
        </w:rPr>
        <w:t xml:space="preserve"> the back of a continuing favourable differential between interest and growth rates. In those two Member States, government debt-to-GDP ratios are projected to fall to around 45% and 40% of GDP respectively by 2029. In that context, the amount of governmen</w:t>
      </w:r>
      <w:r>
        <w:rPr>
          <w:rFonts w:eastAsia="Calibri"/>
          <w:noProof/>
        </w:rPr>
        <w:t>t debt rated AAA, which has already declined markedly,</w:t>
      </w:r>
      <w:r>
        <w:rPr>
          <w:rStyle w:val="FootnoteReference"/>
          <w:rFonts w:eastAsia="Calibri"/>
          <w:noProof/>
        </w:rPr>
        <w:footnoteReference w:id="110"/>
      </w:r>
      <w:r>
        <w:rPr>
          <w:rFonts w:eastAsia="Calibri"/>
          <w:noProof/>
        </w:rPr>
        <w:t xml:space="preserve"> is expected to continue to do so over the coming years (see Graph B). At the same time, in some high-debt Member States without AAA rating (such as IT and FR), debt burdens are set to decrease conside</w:t>
      </w:r>
      <w:r>
        <w:rPr>
          <w:rFonts w:eastAsia="Calibri"/>
          <w:noProof/>
        </w:rPr>
        <w:t xml:space="preserve">rably less in the next decade, remaining at values (well) above 90% of GDP. </w:t>
      </w:r>
    </w:p>
    <w:p w:rsidR="00630C0A" w:rsidRDefault="00961E71">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b/>
          <w:bCs/>
          <w:noProof/>
        </w:rPr>
      </w:pPr>
      <w:r>
        <w:rPr>
          <w:b/>
          <w:bCs/>
          <w:noProof/>
        </w:rPr>
        <w:t>Table A and Graph A: Government debt-to-GDP ratio, historical and projected values in the euro area (Stability and Convergence Programmes’ scenario)</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b/>
          <w:bCs/>
          <w:noProof/>
        </w:rPr>
      </w:pPr>
      <w:r>
        <w:rPr>
          <w:noProof/>
        </w:rPr>
        <w:drawing>
          <wp:inline distT="0" distB="0" distL="0" distR="0">
            <wp:extent cx="2884170" cy="21911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02970" cy="2205437"/>
                    </a:xfrm>
                    <a:prstGeom prst="rect">
                      <a:avLst/>
                    </a:prstGeom>
                    <a:noFill/>
                    <a:ln>
                      <a:noFill/>
                    </a:ln>
                  </pic:spPr>
                </pic:pic>
              </a:graphicData>
            </a:graphic>
          </wp:inline>
        </w:drawing>
      </w:r>
      <w:r>
        <w:rPr>
          <w:b/>
          <w:bCs/>
          <w:noProof/>
        </w:rPr>
        <w:t xml:space="preserve"> </w:t>
      </w:r>
      <w:r>
        <w:rPr>
          <w:b/>
          <w:bCs/>
          <w:noProof/>
        </w:rPr>
        <w:drawing>
          <wp:inline distT="0" distB="0" distL="0" distR="0">
            <wp:extent cx="2760663" cy="2238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2">
                      <a:extLst>
                        <a:ext uri="{28A0092B-C50C-407E-A947-70E740481C1C}">
                          <a14:useLocalDpi xmlns:a14="http://schemas.microsoft.com/office/drawing/2010/main" val="0"/>
                        </a:ext>
                      </a:extLst>
                    </a:blip>
                    <a:srcRect l="2058" t="5251" r="1592" b="3672"/>
                    <a:stretch/>
                  </pic:blipFill>
                  <pic:spPr bwMode="auto">
                    <a:xfrm>
                      <a:off x="0" y="0"/>
                      <a:ext cx="2767248" cy="2243714"/>
                    </a:xfrm>
                    <a:prstGeom prst="rect">
                      <a:avLst/>
                    </a:prstGeom>
                    <a:noFill/>
                    <a:ln>
                      <a:noFill/>
                    </a:ln>
                    <a:extLst>
                      <a:ext uri="{53640926-AAD7-44D8-BBD7-CCE9431645EC}">
                        <a14:shadowObscured xmlns:a14="http://schemas.microsoft.com/office/drawing/2010/main"/>
                      </a:ext>
                    </a:extLst>
                  </pic:spPr>
                </pic:pic>
              </a:graphicData>
            </a:graphic>
          </wp:inline>
        </w:drawing>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i/>
          <w:iCs/>
          <w:noProof/>
          <w:sz w:val="20"/>
          <w:szCs w:val="20"/>
        </w:rPr>
      </w:pPr>
      <w:r>
        <w:rPr>
          <w:i/>
          <w:iCs/>
          <w:noProof/>
          <w:sz w:val="20"/>
          <w:szCs w:val="20"/>
        </w:rPr>
        <w:t xml:space="preserve">Source: European </w:t>
      </w:r>
      <w:r>
        <w:rPr>
          <w:i/>
          <w:iCs/>
          <w:noProof/>
          <w:sz w:val="20"/>
          <w:szCs w:val="20"/>
        </w:rPr>
        <w:t>Commission based on projections according to the ‘Stability and Convergence Programmes’ scenario (see 2018 Fiscal Sustainability Report for more explanations on the methodology)</w:t>
      </w:r>
    </w:p>
    <w:p w:rsidR="00630C0A" w:rsidRDefault="00630C0A">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entury Gothic" w:hAnsi="Century Gothic"/>
          <w:i/>
          <w:noProof/>
          <w:sz w:val="14"/>
          <w:szCs w:val="14"/>
        </w:rPr>
      </w:pP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b/>
          <w:bCs/>
          <w:noProof/>
        </w:rPr>
      </w:pPr>
      <w:r>
        <w:rPr>
          <w:b/>
          <w:bCs/>
          <w:noProof/>
        </w:rPr>
        <w:t xml:space="preserve">Graph B: Government debt in the euro area, per credit rating (Stability and </w:t>
      </w:r>
      <w:r>
        <w:rPr>
          <w:b/>
          <w:bCs/>
          <w:noProof/>
        </w:rPr>
        <w:t>Convergence Programmes’ scenario)</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b/>
          <w:bCs/>
          <w:noProof/>
        </w:rPr>
      </w:pPr>
      <w:r>
        <w:rPr>
          <w:noProof/>
        </w:rPr>
        <w:drawing>
          <wp:inline distT="0" distB="0" distL="0" distR="0">
            <wp:extent cx="2498400" cy="209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98400" cy="2098800"/>
                    </a:xfrm>
                    <a:prstGeom prst="rect">
                      <a:avLst/>
                    </a:prstGeom>
                    <a:noFill/>
                    <a:ln>
                      <a:noFill/>
                    </a:ln>
                  </pic:spPr>
                </pic:pic>
              </a:graphicData>
            </a:graphic>
          </wp:inline>
        </w:drawing>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i/>
          <w:iCs/>
          <w:noProof/>
          <w:sz w:val="20"/>
          <w:szCs w:val="20"/>
        </w:rPr>
      </w:pPr>
      <w:r>
        <w:rPr>
          <w:i/>
          <w:iCs/>
          <w:noProof/>
          <w:sz w:val="20"/>
          <w:szCs w:val="20"/>
        </w:rPr>
        <w:t>Note: for the projections, countries considered rated AAA are those rated at this grade end 2019 (i.e. DE, LU and NL).</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i/>
          <w:iCs/>
          <w:noProof/>
          <w:sz w:val="20"/>
          <w:szCs w:val="20"/>
        </w:rPr>
      </w:pPr>
      <w:r>
        <w:rPr>
          <w:i/>
          <w:iCs/>
          <w:noProof/>
          <w:sz w:val="20"/>
          <w:szCs w:val="20"/>
        </w:rPr>
        <w:t>Source: Bloomberg, European Commission</w:t>
      </w:r>
    </w:p>
    <w:p w:rsidR="00630C0A" w:rsidRDefault="00630C0A">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noProof/>
        </w:rPr>
      </w:pP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noProof/>
          <w:lang w:val="en-US"/>
        </w:rPr>
      </w:pPr>
      <w:r>
        <w:rPr>
          <w:noProof/>
          <w:lang w:val="en-US"/>
        </w:rPr>
        <w:t>While declining supply of safe assets</w:t>
      </w:r>
      <w:r>
        <w:rPr>
          <w:noProof/>
          <w:vertAlign w:val="superscript"/>
          <w:lang w:val="en-US"/>
        </w:rPr>
        <w:footnoteReference w:id="111"/>
      </w:r>
      <w:r>
        <w:rPr>
          <w:noProof/>
          <w:lang w:val="en-US"/>
        </w:rPr>
        <w:t xml:space="preserve"> currently does not see</w:t>
      </w:r>
      <w:r>
        <w:rPr>
          <w:noProof/>
          <w:lang w:val="en-US"/>
        </w:rPr>
        <w:t>m to pose a problem for monetary policy implementation and transmission in the euro area, a hypothetical severe contraction could have negative consequences. For example, the ECB’s Extended Asset Purchase Programme so far relied to a large part on sovereig</w:t>
      </w:r>
      <w:r>
        <w:rPr>
          <w:noProof/>
          <w:lang w:val="en-US"/>
        </w:rPr>
        <w:t>n debt purchases, which were conducted according to the ECB’s capital key and were subject to an issuer limit of 33% applied to all consolidated Eurosystem holdings. A significant reduction in outstanding sovereign debt of individual Member States would th</w:t>
      </w:r>
      <w:r>
        <w:rPr>
          <w:noProof/>
          <w:lang w:val="en-US"/>
        </w:rPr>
        <w:t>us restrict the scope of any future purchase programme</w:t>
      </w:r>
      <w:r>
        <w:rPr>
          <w:rStyle w:val="FootnoteReference"/>
          <w:noProof/>
          <w:lang w:val="en-US"/>
        </w:rPr>
        <w:footnoteReference w:id="112"/>
      </w:r>
      <w:r>
        <w:rPr>
          <w:noProof/>
          <w:lang w:val="en-US"/>
        </w:rPr>
        <w:t> with similar parameters from the onset. While the ECB could react to a severe reduction in outstanding sovereign debt by selected Member States in a possible future asset purchase programme by focusin</w:t>
      </w:r>
      <w:r>
        <w:rPr>
          <w:noProof/>
          <w:lang w:val="en-US"/>
        </w:rPr>
        <w:t>g on other asset classes such as corporate bonds, this could come at the cost of higher Eurosystem risk-taking and market distortions in those relatively less deep markets. Compared with the euro area sovereign bond markets, the pool of outstanding euro ar</w:t>
      </w:r>
      <w:r>
        <w:rPr>
          <w:noProof/>
          <w:lang w:val="en-US"/>
        </w:rPr>
        <w:t>ea corporate bonds is significantly smaller in volume, overall riskier and stronger focused on short- to medium-term maturities.</w:t>
      </w:r>
      <w:r>
        <w:rPr>
          <w:rStyle w:val="FootnoteReference"/>
          <w:noProof/>
          <w:lang w:val="en-US"/>
        </w:rPr>
        <w:footnoteReference w:id="113"/>
      </w:r>
      <w:r>
        <w:rPr>
          <w:noProof/>
          <w:lang w:val="en-US"/>
        </w:rPr>
        <w:t xml:space="preserve">  </w:t>
      </w:r>
    </w:p>
    <w:p w:rsidR="00630C0A" w:rsidRDefault="00961E7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noProof/>
        </w:rPr>
      </w:pPr>
      <w:r>
        <w:rPr>
          <w:noProof/>
          <w:lang w:val="en-US"/>
        </w:rPr>
        <w:t>A second concern relates to the role of safe sovereign bonds as collateral in central bank liquidity-providing operations an</w:t>
      </w:r>
      <w:r>
        <w:rPr>
          <w:noProof/>
          <w:lang w:val="en-US"/>
        </w:rPr>
        <w:t>d secured money market transactions. While central government securities made up around half of the universe of assets eligible as collateral in Eurosystem credit operations in 2019Q3, their share in actually pledged collateral was only 14% and has been de</w:t>
      </w:r>
      <w:r>
        <w:rPr>
          <w:noProof/>
          <w:lang w:val="en-US"/>
        </w:rPr>
        <w:t>creasing since the start of the Public Sector Purchase Programme. By contrast, government bonds play a dominant role in repo markets,</w:t>
      </w:r>
      <w:r>
        <w:rPr>
          <w:rStyle w:val="FootnoteReference"/>
          <w:noProof/>
          <w:lang w:val="en-US"/>
        </w:rPr>
        <w:footnoteReference w:id="114"/>
      </w:r>
      <w:r>
        <w:rPr>
          <w:noProof/>
          <w:lang w:val="en-US"/>
        </w:rPr>
        <w:t xml:space="preserve"> and consequently, a severe reduction in outstanding safe assets (triple-A in this case) could impact repo market pricing </w:t>
      </w:r>
      <w:r>
        <w:rPr>
          <w:noProof/>
          <w:lang w:val="en-US"/>
        </w:rPr>
        <w:t>and impair repo market functioning. Already following the launch of the PSPP, tensions occurred in collateral markets as reflected in both widening repo premia on special collateral (SC) markets – in particular for German government bonds – and also in a m</w:t>
      </w:r>
      <w:r>
        <w:rPr>
          <w:noProof/>
          <w:lang w:val="en-US"/>
        </w:rPr>
        <w:t>arked divergence between core and peripheral euro area countries’ national General Collateral (GC) rates</w:t>
      </w:r>
      <w:r>
        <w:rPr>
          <w:rStyle w:val="FootnoteReference"/>
          <w:noProof/>
          <w:lang w:val="en-US"/>
        </w:rPr>
        <w:footnoteReference w:id="115"/>
      </w:r>
      <w:r>
        <w:rPr>
          <w:noProof/>
          <w:lang w:val="en-US"/>
        </w:rPr>
        <w:t>. Although the ECB’s securities lending programme</w:t>
      </w:r>
      <w:r>
        <w:rPr>
          <w:rStyle w:val="FootnoteReference"/>
          <w:noProof/>
          <w:lang w:val="en-US"/>
        </w:rPr>
        <w:footnoteReference w:id="116"/>
      </w:r>
      <w:r>
        <w:rPr>
          <w:noProof/>
          <w:lang w:val="en-US"/>
        </w:rPr>
        <w:t xml:space="preserve"> has alleviated those concerns to some extent and has led to a decrease in repo premia,</w:t>
      </w:r>
      <w:r>
        <w:rPr>
          <w:rStyle w:val="FootnoteReference"/>
          <w:noProof/>
          <w:lang w:val="en-US"/>
        </w:rPr>
        <w:footnoteReference w:id="117"/>
      </w:r>
      <w:r>
        <w:rPr>
          <w:noProof/>
          <w:lang w:val="en-US"/>
        </w:rPr>
        <w:t xml:space="preserve"> this suggest</w:t>
      </w:r>
      <w:r>
        <w:rPr>
          <w:noProof/>
          <w:lang w:val="en-US"/>
        </w:rPr>
        <w:t>s some dispersion of money market funding conditions across the euro area and thus could signal a potentially uneven transmission of monetary policy.</w:t>
      </w:r>
      <w:r>
        <w:rPr>
          <w:noProof/>
        </w:rPr>
        <w:t xml:space="preserve"> </w:t>
      </w:r>
      <w:r>
        <w:rPr>
          <w:noProof/>
          <w:lang w:val="en-US"/>
        </w:rPr>
        <w:t>One explanation for diverging rates on national GC repo baskets that has been brought forward is that at t</w:t>
      </w:r>
      <w:r>
        <w:rPr>
          <w:noProof/>
          <w:lang w:val="en-US"/>
        </w:rPr>
        <w:t>he current juncture, country-specific GC rates are not completely cash-driven when all bonds from a given country have value as special collateral.</w:t>
      </w:r>
      <w:r>
        <w:rPr>
          <w:rStyle w:val="FootnoteReference"/>
          <w:noProof/>
          <w:lang w:val="en-US"/>
        </w:rPr>
        <w:footnoteReference w:id="118"/>
      </w:r>
      <w:r>
        <w:rPr>
          <w:noProof/>
          <w:lang w:val="en-US"/>
        </w:rPr>
        <w:t xml:space="preserve"> In other words, in an environment of safe asset scarcity, increased bond specialness</w:t>
      </w:r>
      <w:r>
        <w:rPr>
          <w:rStyle w:val="FootnoteReference"/>
          <w:noProof/>
          <w:lang w:val="en-US"/>
        </w:rPr>
        <w:footnoteReference w:id="119"/>
      </w:r>
      <w:r>
        <w:rPr>
          <w:noProof/>
          <w:lang w:val="en-US"/>
        </w:rPr>
        <w:t xml:space="preserve"> might spill over to G</w:t>
      </w:r>
      <w:r>
        <w:rPr>
          <w:noProof/>
          <w:lang w:val="en-US"/>
        </w:rPr>
        <w:t>C repo funding. Therefore, a further significant reduction of outstanding safe government bonds could resuscitate tensions in SC repo markets and reinforce existing divergences in GC repo spreads across Member States, which might ultimately manifest itself</w:t>
      </w:r>
      <w:r>
        <w:rPr>
          <w:noProof/>
          <w:lang w:val="en-US"/>
        </w:rPr>
        <w:t xml:space="preserve"> in steady differences in lending and borrowing conditions at the later stages of the monetary policy transmission mechanism. Safe asset scarcity and its effects on repo markets could gain particular relevance in situations of heightened uncertainty and ma</w:t>
      </w:r>
      <w:r>
        <w:rPr>
          <w:noProof/>
          <w:lang w:val="en-US"/>
        </w:rPr>
        <w:t>rket stress, with potential financial stability implications. What is more, financial stability could be adversely affected in the long run with</w:t>
      </w:r>
      <w:r>
        <w:rPr>
          <w:noProof/>
        </w:rPr>
        <w:t xml:space="preserve"> financial markets relying on other assets to play the role of the safe asset. </w:t>
      </w:r>
    </w:p>
    <w:p w:rsidR="00630C0A" w:rsidRDefault="00961E71">
      <w:pPr>
        <w:spacing w:after="200" w:line="276" w:lineRule="auto"/>
        <w:rPr>
          <w:rFonts w:eastAsia="Times New Roman" w:cs="Calibri"/>
          <w:b/>
          <w:bCs/>
          <w:smallCaps/>
          <w:noProof/>
          <w:color w:val="000000"/>
          <w:sz w:val="28"/>
          <w:szCs w:val="28"/>
          <w:lang w:eastAsia="en-US"/>
        </w:rPr>
      </w:pPr>
      <w:r>
        <w:rPr>
          <w:rFonts w:eastAsia="Times New Roman" w:cs="Calibri"/>
          <w:b/>
          <w:bCs/>
          <w:smallCaps/>
          <w:noProof/>
          <w:color w:val="000000"/>
          <w:sz w:val="28"/>
          <w:szCs w:val="28"/>
          <w:lang w:eastAsia="en-US"/>
        </w:rPr>
        <w:br w:type="page"/>
      </w:r>
    </w:p>
    <w:p w:rsidR="00630C0A" w:rsidRDefault="00961E71">
      <w:pPr>
        <w:pStyle w:val="Heading1"/>
        <w:rPr>
          <w:noProof/>
        </w:rPr>
      </w:pPr>
      <w:bookmarkStart w:id="279" w:name="_Toc31115882"/>
      <w:r>
        <w:rPr>
          <w:noProof/>
        </w:rPr>
        <w:t xml:space="preserve">Annex 2: Assessing the impact </w:t>
      </w:r>
      <w:r>
        <w:rPr>
          <w:noProof/>
        </w:rPr>
        <w:t>of the MIP on policy progress: an empirical assessment</w:t>
      </w:r>
      <w:bookmarkEnd w:id="271"/>
      <w:bookmarkEnd w:id="272"/>
      <w:bookmarkEnd w:id="273"/>
      <w:bookmarkEnd w:id="274"/>
      <w:bookmarkEnd w:id="275"/>
      <w:bookmarkEnd w:id="276"/>
      <w:bookmarkEnd w:id="277"/>
      <w:bookmarkEnd w:id="278"/>
      <w:bookmarkEnd w:id="279"/>
    </w:p>
    <w:p w:rsidR="00630C0A" w:rsidRDefault="00961E71">
      <w:pPr>
        <w:spacing w:after="120"/>
        <w:jc w:val="both"/>
        <w:rPr>
          <w:noProof/>
        </w:rPr>
      </w:pPr>
      <w:r>
        <w:rPr>
          <w:noProof/>
        </w:rPr>
        <w:t>Assessing to what extent MIP surveillance strengthens policy progress requires controlling for other factors that may play a role in driving reform outcomes. Empirical work was performed to this purpos</w:t>
      </w:r>
      <w:r>
        <w:rPr>
          <w:noProof/>
        </w:rPr>
        <w:t>e in the MIP Compendium. Those results showed that, controlling for other factors, the MIP did have a positive impact on policy progress.</w:t>
      </w:r>
      <w:r>
        <w:rPr>
          <w:rStyle w:val="FootnoteReference"/>
          <w:noProof/>
        </w:rPr>
        <w:footnoteReference w:id="120"/>
      </w:r>
      <w:r>
        <w:rPr>
          <w:noProof/>
        </w:rPr>
        <w:t xml:space="preserve"> The analysis below updates and extends that earlier analysis to cover the CSRs issued over the period 2013-2018 and t</w:t>
      </w:r>
      <w:r>
        <w:rPr>
          <w:noProof/>
        </w:rPr>
        <w:t>o take into account additional factors that may have had an impact on policy progress.</w:t>
      </w:r>
      <w:r>
        <w:rPr>
          <w:rStyle w:val="FootnoteReference"/>
          <w:noProof/>
        </w:rPr>
        <w:footnoteReference w:id="121"/>
      </w:r>
    </w:p>
    <w:p w:rsidR="00630C0A" w:rsidRDefault="00961E71">
      <w:pPr>
        <w:spacing w:after="120"/>
        <w:jc w:val="both"/>
        <w:rPr>
          <w:noProof/>
        </w:rPr>
      </w:pPr>
      <w:r>
        <w:rPr>
          <w:noProof/>
        </w:rPr>
        <w:t xml:space="preserve">In Table A2.1, columns (3) and (4) display results corresponding to the specification found in the MIP Compendium estimated to a sample extended until CSRs issued in </w:t>
      </w:r>
      <w:r>
        <w:rPr>
          <w:noProof/>
        </w:rPr>
        <w:t xml:space="preserve">year 2018. Some additional explanatory variables are tested in columns (1) and (2) of Table A2.1: with a view to capture potential reform fatigue, past progress and the number of sub-CSRs cumulated until the year before have been added as regressors. More </w:t>
      </w:r>
      <w:r>
        <w:rPr>
          <w:noProof/>
        </w:rPr>
        <w:t>precisely, for each year, Member States are classified by quartiles, depending on the sum of progress over all their sub-CSRs and the number of sub-CSRs, higher quartiles corresponding to more progress and more sub-CSRs respectively. This treatment helps c</w:t>
      </w:r>
      <w:r>
        <w:rPr>
          <w:noProof/>
        </w:rPr>
        <w:t>omparability over time, enabling to control for the streamlining of the number of CSRs and sub-CSRs around 2015, which appears in the second part of the period now under review.</w:t>
      </w:r>
    </w:p>
    <w:p w:rsidR="00630C0A" w:rsidRDefault="00961E71">
      <w:pPr>
        <w:spacing w:after="120"/>
        <w:jc w:val="both"/>
        <w:rPr>
          <w:noProof/>
        </w:rPr>
      </w:pPr>
      <w:r>
        <w:rPr>
          <w:noProof/>
        </w:rPr>
        <w:t>A number of findings emerge from the analysis.</w:t>
      </w:r>
    </w:p>
    <w:p w:rsidR="00630C0A" w:rsidRDefault="00961E71">
      <w:pPr>
        <w:pStyle w:val="ListParagraph"/>
        <w:numPr>
          <w:ilvl w:val="0"/>
          <w:numId w:val="50"/>
        </w:num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In all cases, over the whole pe</w:t>
      </w:r>
      <w:r>
        <w:rPr>
          <w:rFonts w:ascii="Times New Roman" w:hAnsi="Times New Roman" w:cs="Times New Roman"/>
          <w:noProof/>
          <w:sz w:val="24"/>
          <w:szCs w:val="24"/>
        </w:rPr>
        <w:t>riod, the MIP imbalance category has a significant and positive impact on progress, at the 5% significance level.</w:t>
      </w:r>
    </w:p>
    <w:p w:rsidR="00630C0A" w:rsidRDefault="00961E71">
      <w:pPr>
        <w:pStyle w:val="ListParagraph"/>
        <w:numPr>
          <w:ilvl w:val="0"/>
          <w:numId w:val="50"/>
        </w:num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Recommendations that </w:t>
      </w:r>
      <w:r>
        <w:rPr>
          <w:rFonts w:ascii="Times New Roman" w:hAnsi="Times New Roman" w:cs="Times New Roman"/>
          <w:i/>
          <w:noProof/>
          <w:sz w:val="24"/>
          <w:szCs w:val="24"/>
        </w:rPr>
        <w:t>a priori</w:t>
      </w:r>
      <w:r>
        <w:rPr>
          <w:rFonts w:ascii="Times New Roman" w:hAnsi="Times New Roman" w:cs="Times New Roman"/>
          <w:noProof/>
          <w:sz w:val="24"/>
          <w:szCs w:val="24"/>
        </w:rPr>
        <w:t xml:space="preserve"> are hard-to-comply with, have a negative and significant impact on the overall compliance rate at the 1% level (</w:t>
      </w:r>
      <w:r>
        <w:rPr>
          <w:rFonts w:ascii="Times New Roman" w:hAnsi="Times New Roman" w:cs="Times New Roman"/>
          <w:noProof/>
          <w:sz w:val="24"/>
          <w:szCs w:val="24"/>
        </w:rPr>
        <w:t>columns (1</w:t>
      </w:r>
      <w:r>
        <w:rPr>
          <w:noProof/>
        </w:rPr>
        <w:t>)</w:t>
      </w:r>
      <w:r>
        <w:rPr>
          <w:rFonts w:ascii="Times New Roman" w:hAnsi="Times New Roman" w:cs="Times New Roman"/>
          <w:noProof/>
          <w:sz w:val="24"/>
          <w:szCs w:val="24"/>
        </w:rPr>
        <w:t xml:space="preserve"> to (4</w:t>
      </w:r>
      <w:r>
        <w:rPr>
          <w:noProof/>
        </w:rPr>
        <w:t>)</w:t>
      </w:r>
      <w:r>
        <w:rPr>
          <w:rFonts w:ascii="Times New Roman" w:hAnsi="Times New Roman" w:cs="Times New Roman"/>
          <w:noProof/>
          <w:sz w:val="24"/>
          <w:szCs w:val="24"/>
        </w:rPr>
        <w:t>).</w:t>
      </w:r>
    </w:p>
    <w:p w:rsidR="00630C0A" w:rsidRDefault="00961E71">
      <w:pPr>
        <w:pStyle w:val="ListParagraph"/>
        <w:numPr>
          <w:ilvl w:val="0"/>
          <w:numId w:val="50"/>
        </w:num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GDP growth normally has a positive sign, implying that growth helps reform compliance by raising the available political capital. The interest rate spread variable has also normally a positive effect, linked to market pressure. Neither</w:t>
      </w:r>
      <w:r>
        <w:rPr>
          <w:rFonts w:ascii="Times New Roman" w:hAnsi="Times New Roman" w:cs="Times New Roman"/>
          <w:noProof/>
          <w:sz w:val="24"/>
          <w:szCs w:val="24"/>
        </w:rPr>
        <w:t xml:space="preserve"> variable however reach statistical significance.</w:t>
      </w:r>
    </w:p>
    <w:p w:rsidR="00630C0A" w:rsidRDefault="00961E71">
      <w:pPr>
        <w:pStyle w:val="ListParagraph"/>
        <w:numPr>
          <w:ilvl w:val="0"/>
          <w:numId w:val="50"/>
        </w:num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Parliamentary elections, notably if to come by the subsequent year, have a strong and significant negative impact as reforms are perceived to be potentially costly in electoral terms.</w:t>
      </w:r>
    </w:p>
    <w:p w:rsidR="00630C0A" w:rsidRDefault="00961E71">
      <w:pPr>
        <w:pStyle w:val="ListParagraph"/>
        <w:numPr>
          <w:ilvl w:val="0"/>
          <w:numId w:val="50"/>
        </w:num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The cumulated number o</w:t>
      </w:r>
      <w:r>
        <w:rPr>
          <w:rFonts w:ascii="Times New Roman" w:hAnsi="Times New Roman" w:cs="Times New Roman"/>
          <w:noProof/>
          <w:sz w:val="24"/>
          <w:szCs w:val="24"/>
        </w:rPr>
        <w:t xml:space="preserve">f past sub-CSRs plays a negative and significant role at the 1% level, implying that CSR progress tend to be lower the higher the cumulated number of previous recommendations, consistently with the idea of “reform fatigue”. </w:t>
      </w:r>
    </w:p>
    <w:p w:rsidR="00630C0A" w:rsidRDefault="00961E71">
      <w:pPr>
        <w:pStyle w:val="ListParagraph"/>
        <w:numPr>
          <w:ilvl w:val="0"/>
          <w:numId w:val="50"/>
        </w:num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At the same time, it appears th</w:t>
      </w:r>
      <w:r>
        <w:rPr>
          <w:rFonts w:ascii="Times New Roman" w:hAnsi="Times New Roman" w:cs="Times New Roman"/>
          <w:noProof/>
          <w:sz w:val="24"/>
          <w:szCs w:val="24"/>
        </w:rPr>
        <w:t>at reform progress can unfold only gradually, as reform progress depends positively past progress. This is confirmed by the coefficient of the variable "cumulated progress until previous year" which is significant at the 1% level and positive.</w:t>
      </w:r>
    </w:p>
    <w:p w:rsidR="00630C0A" w:rsidRDefault="00961E71">
      <w:pPr>
        <w:pStyle w:val="ListParagraph"/>
        <w:numPr>
          <w:ilvl w:val="0"/>
          <w:numId w:val="50"/>
        </w:numPr>
        <w:spacing w:after="120"/>
        <w:contextualSpacing/>
        <w:jc w:val="both"/>
        <w:rPr>
          <w:rFonts w:cs="Times New Roman"/>
          <w:b/>
          <w:bCs/>
          <w:noProof/>
          <w:sz w:val="24"/>
          <w:szCs w:val="24"/>
        </w:rPr>
      </w:pPr>
      <w:r>
        <w:rPr>
          <w:rFonts w:ascii="Times New Roman" w:hAnsi="Times New Roman" w:cs="Times New Roman"/>
          <w:noProof/>
          <w:sz w:val="24"/>
          <w:szCs w:val="24"/>
        </w:rPr>
        <w:t xml:space="preserve">Once reform </w:t>
      </w:r>
      <w:r>
        <w:rPr>
          <w:rFonts w:ascii="Times New Roman" w:hAnsi="Times New Roman" w:cs="Times New Roman"/>
          <w:noProof/>
          <w:sz w:val="24"/>
          <w:szCs w:val="24"/>
        </w:rPr>
        <w:t>fatigue effects are taken into account, the impact of MIP surveillance on policy progress appears stronger. This is consistent with a stronger reform fatigue in MIP countries, which needs to be taken into account to fully appreciate the impact of MIP surve</w:t>
      </w:r>
      <w:r>
        <w:rPr>
          <w:rFonts w:ascii="Times New Roman" w:hAnsi="Times New Roman" w:cs="Times New Roman"/>
          <w:noProof/>
          <w:sz w:val="24"/>
          <w:szCs w:val="24"/>
        </w:rPr>
        <w:t xml:space="preserve">illance on CSR compliance. </w:t>
      </w:r>
    </w:p>
    <w:p w:rsidR="00630C0A" w:rsidRDefault="00961E71">
      <w:pPr>
        <w:spacing w:after="120"/>
        <w:jc w:val="both"/>
        <w:rPr>
          <w:noProof/>
        </w:rPr>
      </w:pPr>
      <w:r>
        <w:rPr>
          <w:b/>
          <w:noProof/>
        </w:rPr>
        <w:t>Table A2.1</w:t>
      </w:r>
      <w:r>
        <w:rPr>
          <w:noProof/>
        </w:rPr>
        <w:t xml:space="preserve">: </w:t>
      </w:r>
      <w:r>
        <w:rPr>
          <w:b/>
          <w:noProof/>
        </w:rPr>
        <w:t>MIP surveillance and CSR progress, data at detailed recommendation level, all Member States (except those under adjustment programme)</w:t>
      </w:r>
    </w:p>
    <w:tbl>
      <w:tblPr>
        <w:tblW w:w="8074" w:type="dxa"/>
        <w:jc w:val="center"/>
        <w:tblLayout w:type="fixed"/>
        <w:tblCellMar>
          <w:left w:w="75" w:type="dxa"/>
          <w:right w:w="75" w:type="dxa"/>
        </w:tblCellMar>
        <w:tblLook w:val="0000" w:firstRow="0" w:lastRow="0" w:firstColumn="0" w:lastColumn="0" w:noHBand="0" w:noVBand="0"/>
      </w:tblPr>
      <w:tblGrid>
        <w:gridCol w:w="3354"/>
        <w:gridCol w:w="1234"/>
        <w:gridCol w:w="1292"/>
        <w:gridCol w:w="1092"/>
        <w:gridCol w:w="1102"/>
      </w:tblGrid>
      <w:tr w:rsidR="00630C0A">
        <w:trPr>
          <w:trHeight w:val="366"/>
          <w:jc w:val="center"/>
        </w:trPr>
        <w:tc>
          <w:tcPr>
            <w:tcW w:w="3354" w:type="dxa"/>
            <w:tcBorders>
              <w:top w:val="single" w:sz="6" w:space="0" w:color="auto"/>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234" w:type="dxa"/>
            <w:tcBorders>
              <w:top w:val="single" w:sz="6" w:space="0" w:color="auto"/>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(1)</w:t>
            </w:r>
          </w:p>
        </w:tc>
        <w:tc>
          <w:tcPr>
            <w:tcW w:w="1292" w:type="dxa"/>
            <w:tcBorders>
              <w:top w:val="single" w:sz="6" w:space="0" w:color="auto"/>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(2)</w:t>
            </w:r>
          </w:p>
        </w:tc>
        <w:tc>
          <w:tcPr>
            <w:tcW w:w="1092" w:type="dxa"/>
            <w:tcBorders>
              <w:top w:val="single" w:sz="6" w:space="0" w:color="auto"/>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(3)</w:t>
            </w:r>
          </w:p>
        </w:tc>
        <w:tc>
          <w:tcPr>
            <w:tcW w:w="1102" w:type="dxa"/>
            <w:tcBorders>
              <w:top w:val="single" w:sz="6" w:space="0" w:color="auto"/>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(4)</w:t>
            </w:r>
          </w:p>
        </w:tc>
      </w:tr>
      <w:tr w:rsidR="00630C0A">
        <w:trPr>
          <w:trHeight w:val="336"/>
          <w:jc w:val="center"/>
        </w:trPr>
        <w:tc>
          <w:tcPr>
            <w:tcW w:w="3354" w:type="dxa"/>
            <w:tcBorders>
              <w:top w:val="nil"/>
              <w:left w:val="nil"/>
              <w:bottom w:val="single" w:sz="6" w:space="0" w:color="auto"/>
              <w:right w:val="nil"/>
            </w:tcBorders>
          </w:tcPr>
          <w:p w:rsidR="00630C0A" w:rsidRDefault="00961E71">
            <w:pPr>
              <w:autoSpaceDE w:val="0"/>
              <w:autoSpaceDN w:val="0"/>
              <w:adjustRightInd w:val="0"/>
              <w:spacing w:after="120"/>
              <w:jc w:val="both"/>
              <w:rPr>
                <w:noProof/>
                <w:sz w:val="20"/>
                <w:szCs w:val="20"/>
                <w:lang w:val="en-IE"/>
              </w:rPr>
            </w:pPr>
            <w:r>
              <w:rPr>
                <w:noProof/>
                <w:color w:val="000000"/>
                <w:sz w:val="20"/>
                <w:szCs w:val="20"/>
              </w:rPr>
              <w:t>Dependent variable: CSR compliance score</w:t>
            </w:r>
          </w:p>
        </w:tc>
        <w:tc>
          <w:tcPr>
            <w:tcW w:w="1234" w:type="dxa"/>
            <w:tcBorders>
              <w:top w:val="nil"/>
              <w:left w:val="nil"/>
              <w:bottom w:val="single" w:sz="6" w:space="0" w:color="auto"/>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Ordered PROBIT</w:t>
            </w:r>
          </w:p>
        </w:tc>
        <w:tc>
          <w:tcPr>
            <w:tcW w:w="1292" w:type="dxa"/>
            <w:tcBorders>
              <w:top w:val="nil"/>
              <w:left w:val="nil"/>
              <w:bottom w:val="single" w:sz="6" w:space="0" w:color="auto"/>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OLS</w:t>
            </w:r>
          </w:p>
        </w:tc>
        <w:tc>
          <w:tcPr>
            <w:tcW w:w="1092" w:type="dxa"/>
            <w:tcBorders>
              <w:top w:val="nil"/>
              <w:left w:val="nil"/>
              <w:bottom w:val="single" w:sz="6" w:space="0" w:color="auto"/>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Ordered PROBIT</w:t>
            </w:r>
          </w:p>
        </w:tc>
        <w:tc>
          <w:tcPr>
            <w:tcW w:w="1102" w:type="dxa"/>
            <w:tcBorders>
              <w:top w:val="nil"/>
              <w:left w:val="nil"/>
              <w:bottom w:val="single" w:sz="6" w:space="0" w:color="auto"/>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OLS</w:t>
            </w:r>
          </w:p>
        </w:tc>
      </w:tr>
      <w:tr w:rsidR="00630C0A">
        <w:trPr>
          <w:trHeight w:val="366"/>
          <w:jc w:val="center"/>
        </w:trPr>
        <w:tc>
          <w:tcPr>
            <w:tcW w:w="3354"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234"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292"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092"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102"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r>
      <w:tr w:rsidR="00630C0A">
        <w:trPr>
          <w:trHeight w:val="366"/>
          <w:jc w:val="center"/>
        </w:trPr>
        <w:tc>
          <w:tcPr>
            <w:tcW w:w="335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MIP imbalance category</w:t>
            </w: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0.222***</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0.170**</w:t>
            </w:r>
          </w:p>
        </w:tc>
        <w:tc>
          <w:tcPr>
            <w:tcW w:w="10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0.184***</w:t>
            </w: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0.133**</w:t>
            </w:r>
          </w:p>
        </w:tc>
      </w:tr>
      <w:tr w:rsidR="00630C0A">
        <w:trPr>
          <w:trHeight w:val="366"/>
          <w:jc w:val="center"/>
        </w:trPr>
        <w:tc>
          <w:tcPr>
            <w:tcW w:w="3354"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(0.0762)</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(0.0672)</w:t>
            </w:r>
          </w:p>
        </w:tc>
        <w:tc>
          <w:tcPr>
            <w:tcW w:w="10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(0.0673)</w:t>
            </w: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(0.0616)</w:t>
            </w:r>
          </w:p>
        </w:tc>
      </w:tr>
      <w:tr w:rsidR="00630C0A">
        <w:trPr>
          <w:trHeight w:val="336"/>
          <w:jc w:val="center"/>
        </w:trPr>
        <w:tc>
          <w:tcPr>
            <w:tcW w:w="335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GDP growth</w:t>
            </w: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-0.0133</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-0.0452</w:t>
            </w:r>
          </w:p>
        </w:tc>
        <w:tc>
          <w:tcPr>
            <w:tcW w:w="10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0.00525</w:t>
            </w: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-0.0230</w:t>
            </w:r>
          </w:p>
        </w:tc>
      </w:tr>
      <w:tr w:rsidR="00630C0A">
        <w:trPr>
          <w:trHeight w:val="366"/>
          <w:jc w:val="center"/>
        </w:trPr>
        <w:tc>
          <w:tcPr>
            <w:tcW w:w="3354"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(0.0300)</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(0.0335)</w:t>
            </w:r>
          </w:p>
        </w:tc>
        <w:tc>
          <w:tcPr>
            <w:tcW w:w="10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(0.0322)</w:t>
            </w: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(0.0351)</w:t>
            </w:r>
          </w:p>
        </w:tc>
      </w:tr>
      <w:tr w:rsidR="00630C0A">
        <w:trPr>
          <w:trHeight w:val="366"/>
          <w:jc w:val="center"/>
        </w:trPr>
        <w:tc>
          <w:tcPr>
            <w:tcW w:w="335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Cumulated progress until previous year</w:t>
            </w: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0.0842***</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0.0733***</w:t>
            </w:r>
          </w:p>
        </w:tc>
        <w:tc>
          <w:tcPr>
            <w:tcW w:w="1092"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102"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r>
      <w:tr w:rsidR="00630C0A">
        <w:trPr>
          <w:trHeight w:val="366"/>
          <w:jc w:val="center"/>
        </w:trPr>
        <w:tc>
          <w:tcPr>
            <w:tcW w:w="3354"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(0.0213)</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(0.0216)</w:t>
            </w:r>
          </w:p>
        </w:tc>
        <w:tc>
          <w:tcPr>
            <w:tcW w:w="1092"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102"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r>
      <w:tr w:rsidR="00630C0A">
        <w:trPr>
          <w:trHeight w:val="366"/>
          <w:jc w:val="center"/>
        </w:trPr>
        <w:tc>
          <w:tcPr>
            <w:tcW w:w="335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Cumulated number of sub-CSRs until previous year</w:t>
            </w: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-0.0670***</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-0.0629***</w:t>
            </w:r>
          </w:p>
        </w:tc>
        <w:tc>
          <w:tcPr>
            <w:tcW w:w="1092"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102"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r>
      <w:tr w:rsidR="00630C0A">
        <w:trPr>
          <w:trHeight w:val="366"/>
          <w:jc w:val="center"/>
        </w:trPr>
        <w:tc>
          <w:tcPr>
            <w:tcW w:w="3354"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(0.0166)</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(0.0180)</w:t>
            </w:r>
          </w:p>
        </w:tc>
        <w:tc>
          <w:tcPr>
            <w:tcW w:w="1092"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102"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r>
      <w:tr w:rsidR="00630C0A">
        <w:trPr>
          <w:trHeight w:val="336"/>
          <w:jc w:val="center"/>
        </w:trPr>
        <w:tc>
          <w:tcPr>
            <w:tcW w:w="335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Hard-to-comply with recommendation, dummy</w:t>
            </w: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-0.232***</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-0.320***</w:t>
            </w:r>
          </w:p>
        </w:tc>
        <w:tc>
          <w:tcPr>
            <w:tcW w:w="10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-0.211***</w:t>
            </w: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-0.296***</w:t>
            </w:r>
          </w:p>
        </w:tc>
      </w:tr>
      <w:tr w:rsidR="00630C0A">
        <w:trPr>
          <w:trHeight w:val="366"/>
          <w:jc w:val="center"/>
        </w:trPr>
        <w:tc>
          <w:tcPr>
            <w:tcW w:w="3354"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(0.0705)</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(0.0885)</w:t>
            </w:r>
          </w:p>
        </w:tc>
        <w:tc>
          <w:tcPr>
            <w:tcW w:w="10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(0.0673)</w:t>
            </w: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(0.0857)</w:t>
            </w:r>
          </w:p>
        </w:tc>
      </w:tr>
      <w:tr w:rsidR="00630C0A">
        <w:trPr>
          <w:trHeight w:val="366"/>
          <w:jc w:val="center"/>
        </w:trPr>
        <w:tc>
          <w:tcPr>
            <w:tcW w:w="335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Interest rate spread in previous year</w:t>
            </w: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0.0158</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0.0220</w:t>
            </w:r>
          </w:p>
        </w:tc>
        <w:tc>
          <w:tcPr>
            <w:tcW w:w="10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-0.0148</w:t>
            </w: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-0.00901</w:t>
            </w:r>
          </w:p>
        </w:tc>
      </w:tr>
      <w:tr w:rsidR="00630C0A">
        <w:trPr>
          <w:trHeight w:val="366"/>
          <w:jc w:val="center"/>
        </w:trPr>
        <w:tc>
          <w:tcPr>
            <w:tcW w:w="3354"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(0.0309)</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(0.0344)</w:t>
            </w:r>
          </w:p>
        </w:tc>
        <w:tc>
          <w:tcPr>
            <w:tcW w:w="10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(0.0350)</w:t>
            </w: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(0.0388)</w:t>
            </w:r>
          </w:p>
        </w:tc>
      </w:tr>
      <w:tr w:rsidR="00630C0A">
        <w:trPr>
          <w:trHeight w:val="366"/>
          <w:jc w:val="center"/>
        </w:trPr>
        <w:tc>
          <w:tcPr>
            <w:tcW w:w="335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Elections in previous year</w:t>
            </w: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-0.0583</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-0.0892</w:t>
            </w:r>
          </w:p>
        </w:tc>
        <w:tc>
          <w:tcPr>
            <w:tcW w:w="10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-0.125</w:t>
            </w: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-0.148</w:t>
            </w:r>
          </w:p>
        </w:tc>
      </w:tr>
      <w:tr w:rsidR="00630C0A">
        <w:trPr>
          <w:trHeight w:val="366"/>
          <w:jc w:val="center"/>
        </w:trPr>
        <w:tc>
          <w:tcPr>
            <w:tcW w:w="3354"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(0.0838)</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(0.0886)</w:t>
            </w:r>
          </w:p>
        </w:tc>
        <w:tc>
          <w:tcPr>
            <w:tcW w:w="10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(0.0881)</w:t>
            </w: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(0.0932)</w:t>
            </w:r>
          </w:p>
        </w:tc>
      </w:tr>
      <w:tr w:rsidR="00630C0A">
        <w:trPr>
          <w:trHeight w:val="366"/>
          <w:jc w:val="center"/>
        </w:trPr>
        <w:tc>
          <w:tcPr>
            <w:tcW w:w="335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Elections by the following year</w:t>
            </w: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-0.187**</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-0.192**</w:t>
            </w:r>
          </w:p>
        </w:tc>
        <w:tc>
          <w:tcPr>
            <w:tcW w:w="10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-0.189*</w:t>
            </w: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-0.201**</w:t>
            </w:r>
          </w:p>
        </w:tc>
      </w:tr>
      <w:tr w:rsidR="00630C0A">
        <w:trPr>
          <w:trHeight w:val="336"/>
          <w:jc w:val="center"/>
        </w:trPr>
        <w:tc>
          <w:tcPr>
            <w:tcW w:w="3354"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(0.0920)</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(0.0926)</w:t>
            </w:r>
          </w:p>
        </w:tc>
        <w:tc>
          <w:tcPr>
            <w:tcW w:w="10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(0.101)</w:t>
            </w: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(0.101)</w:t>
            </w:r>
          </w:p>
        </w:tc>
      </w:tr>
      <w:tr w:rsidR="00630C0A">
        <w:trPr>
          <w:trHeight w:val="366"/>
          <w:jc w:val="center"/>
        </w:trPr>
        <w:tc>
          <w:tcPr>
            <w:tcW w:w="335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Constant</w:t>
            </w:r>
          </w:p>
        </w:tc>
        <w:tc>
          <w:tcPr>
            <w:tcW w:w="1234"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3.507***</w:t>
            </w:r>
          </w:p>
        </w:tc>
        <w:tc>
          <w:tcPr>
            <w:tcW w:w="1092"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3.558***</w:t>
            </w:r>
          </w:p>
        </w:tc>
      </w:tr>
      <w:tr w:rsidR="00630C0A">
        <w:trPr>
          <w:trHeight w:val="366"/>
          <w:jc w:val="center"/>
        </w:trPr>
        <w:tc>
          <w:tcPr>
            <w:tcW w:w="3354"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234"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(0.273)</w:t>
            </w:r>
          </w:p>
        </w:tc>
        <w:tc>
          <w:tcPr>
            <w:tcW w:w="1092"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(0.271)</w:t>
            </w:r>
          </w:p>
        </w:tc>
      </w:tr>
      <w:tr w:rsidR="00630C0A">
        <w:trPr>
          <w:trHeight w:val="366"/>
          <w:jc w:val="center"/>
        </w:trPr>
        <w:tc>
          <w:tcPr>
            <w:tcW w:w="335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Observations</w:t>
            </w: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1,548</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1,548</w:t>
            </w:r>
          </w:p>
        </w:tc>
        <w:tc>
          <w:tcPr>
            <w:tcW w:w="10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1,580</w:t>
            </w: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1,580</w:t>
            </w:r>
          </w:p>
        </w:tc>
      </w:tr>
      <w:tr w:rsidR="00630C0A">
        <w:trPr>
          <w:trHeight w:val="366"/>
          <w:jc w:val="center"/>
        </w:trPr>
        <w:tc>
          <w:tcPr>
            <w:tcW w:w="335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R-squared</w:t>
            </w:r>
          </w:p>
        </w:tc>
        <w:tc>
          <w:tcPr>
            <w:tcW w:w="1234"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0.061</w:t>
            </w:r>
          </w:p>
        </w:tc>
        <w:tc>
          <w:tcPr>
            <w:tcW w:w="1092" w:type="dxa"/>
            <w:tcBorders>
              <w:top w:val="nil"/>
              <w:left w:val="nil"/>
              <w:bottom w:val="nil"/>
              <w:right w:val="nil"/>
            </w:tcBorders>
          </w:tcPr>
          <w:p w:rsidR="00630C0A" w:rsidRDefault="00630C0A">
            <w:pPr>
              <w:autoSpaceDE w:val="0"/>
              <w:autoSpaceDN w:val="0"/>
              <w:adjustRightInd w:val="0"/>
              <w:spacing w:after="120"/>
              <w:jc w:val="both"/>
              <w:rPr>
                <w:noProof/>
                <w:sz w:val="20"/>
                <w:szCs w:val="20"/>
                <w:lang w:val="en-IE"/>
              </w:rPr>
            </w:pP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0.043</w:t>
            </w:r>
          </w:p>
        </w:tc>
      </w:tr>
      <w:tr w:rsidR="00630C0A">
        <w:trPr>
          <w:trHeight w:val="336"/>
          <w:jc w:val="center"/>
        </w:trPr>
        <w:tc>
          <w:tcPr>
            <w:tcW w:w="335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Year F.E</w:t>
            </w: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Yes</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Yes</w:t>
            </w:r>
          </w:p>
        </w:tc>
        <w:tc>
          <w:tcPr>
            <w:tcW w:w="10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Yes</w:t>
            </w: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Yes</w:t>
            </w:r>
          </w:p>
        </w:tc>
      </w:tr>
      <w:tr w:rsidR="00630C0A">
        <w:trPr>
          <w:trHeight w:val="366"/>
          <w:jc w:val="center"/>
        </w:trPr>
        <w:tc>
          <w:tcPr>
            <w:tcW w:w="335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Control for policy area</w:t>
            </w:r>
          </w:p>
        </w:tc>
        <w:tc>
          <w:tcPr>
            <w:tcW w:w="1234"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Yes</w:t>
            </w:r>
          </w:p>
        </w:tc>
        <w:tc>
          <w:tcPr>
            <w:tcW w:w="12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Yes</w:t>
            </w:r>
          </w:p>
        </w:tc>
        <w:tc>
          <w:tcPr>
            <w:tcW w:w="109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Yes</w:t>
            </w:r>
          </w:p>
        </w:tc>
        <w:tc>
          <w:tcPr>
            <w:tcW w:w="1102" w:type="dxa"/>
            <w:tcBorders>
              <w:top w:val="nil"/>
              <w:left w:val="nil"/>
              <w:bottom w:val="nil"/>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Yes</w:t>
            </w:r>
          </w:p>
        </w:tc>
      </w:tr>
      <w:tr w:rsidR="00630C0A">
        <w:tblPrEx>
          <w:tblBorders>
            <w:bottom w:val="single" w:sz="6" w:space="0" w:color="auto"/>
          </w:tblBorders>
        </w:tblPrEx>
        <w:trPr>
          <w:trHeight w:val="366"/>
          <w:jc w:val="center"/>
        </w:trPr>
        <w:tc>
          <w:tcPr>
            <w:tcW w:w="3354" w:type="dxa"/>
            <w:tcBorders>
              <w:top w:val="nil"/>
              <w:left w:val="nil"/>
              <w:bottom w:val="single" w:sz="6" w:space="0" w:color="auto"/>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 xml:space="preserve">Clustering at </w:t>
            </w:r>
            <w:r>
              <w:rPr>
                <w:noProof/>
                <w:sz w:val="20"/>
                <w:szCs w:val="20"/>
                <w:lang w:val="en-IE"/>
              </w:rPr>
              <w:t>country-year level</w:t>
            </w:r>
          </w:p>
        </w:tc>
        <w:tc>
          <w:tcPr>
            <w:tcW w:w="1234" w:type="dxa"/>
            <w:tcBorders>
              <w:top w:val="nil"/>
              <w:left w:val="nil"/>
              <w:bottom w:val="single" w:sz="6" w:space="0" w:color="auto"/>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Yes</w:t>
            </w:r>
          </w:p>
        </w:tc>
        <w:tc>
          <w:tcPr>
            <w:tcW w:w="1292" w:type="dxa"/>
            <w:tcBorders>
              <w:top w:val="nil"/>
              <w:left w:val="nil"/>
              <w:bottom w:val="single" w:sz="6" w:space="0" w:color="auto"/>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Yes</w:t>
            </w:r>
          </w:p>
        </w:tc>
        <w:tc>
          <w:tcPr>
            <w:tcW w:w="1092" w:type="dxa"/>
            <w:tcBorders>
              <w:top w:val="nil"/>
              <w:left w:val="nil"/>
              <w:bottom w:val="single" w:sz="6" w:space="0" w:color="auto"/>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Yes</w:t>
            </w:r>
          </w:p>
        </w:tc>
        <w:tc>
          <w:tcPr>
            <w:tcW w:w="1102" w:type="dxa"/>
            <w:tcBorders>
              <w:top w:val="nil"/>
              <w:left w:val="nil"/>
              <w:bottom w:val="single" w:sz="6" w:space="0" w:color="auto"/>
              <w:right w:val="nil"/>
            </w:tcBorders>
          </w:tcPr>
          <w:p w:rsidR="00630C0A" w:rsidRDefault="00961E71">
            <w:pPr>
              <w:autoSpaceDE w:val="0"/>
              <w:autoSpaceDN w:val="0"/>
              <w:adjustRightInd w:val="0"/>
              <w:spacing w:after="120"/>
              <w:jc w:val="both"/>
              <w:rPr>
                <w:noProof/>
                <w:sz w:val="20"/>
                <w:szCs w:val="20"/>
                <w:lang w:val="en-IE"/>
              </w:rPr>
            </w:pPr>
            <w:r>
              <w:rPr>
                <w:noProof/>
                <w:sz w:val="20"/>
                <w:szCs w:val="20"/>
                <w:lang w:val="en-IE"/>
              </w:rPr>
              <w:t>Yes</w:t>
            </w:r>
          </w:p>
        </w:tc>
      </w:tr>
    </w:tbl>
    <w:p w:rsidR="00630C0A" w:rsidRDefault="00961E71">
      <w:pPr>
        <w:autoSpaceDE w:val="0"/>
        <w:autoSpaceDN w:val="0"/>
        <w:adjustRightInd w:val="0"/>
        <w:jc w:val="both"/>
        <w:rPr>
          <w:noProof/>
          <w:sz w:val="20"/>
          <w:szCs w:val="20"/>
        </w:rPr>
      </w:pPr>
      <w:r>
        <w:rPr>
          <w:b/>
          <w:noProof/>
          <w:sz w:val="20"/>
          <w:szCs w:val="20"/>
        </w:rPr>
        <w:t>Note:</w:t>
      </w:r>
      <w:r>
        <w:rPr>
          <w:noProof/>
          <w:sz w:val="20"/>
          <w:szCs w:val="20"/>
        </w:rPr>
        <w:t>*, ** and ***: coefficients significant at the 10%, 5% and 1% level respectively. Student-t are reported in parenthesis. Standard errors are robust with-respect to clustering at the country-year level.</w:t>
      </w:r>
    </w:p>
    <w:p w:rsidR="00630C0A" w:rsidRDefault="00961E71">
      <w:pPr>
        <w:autoSpaceDE w:val="0"/>
        <w:autoSpaceDN w:val="0"/>
        <w:adjustRightInd w:val="0"/>
        <w:jc w:val="both"/>
        <w:rPr>
          <w:noProof/>
          <w:sz w:val="20"/>
          <w:szCs w:val="20"/>
        </w:rPr>
      </w:pPr>
      <w:r>
        <w:rPr>
          <w:noProof/>
          <w:sz w:val="20"/>
          <w:szCs w:val="20"/>
        </w:rPr>
        <w:t xml:space="preserve">Dependent </w:t>
      </w:r>
      <w:r>
        <w:rPr>
          <w:noProof/>
          <w:sz w:val="20"/>
          <w:szCs w:val="20"/>
        </w:rPr>
        <w:t>variable: CSR compliance score defined at disaggregated policy field. 0=no progress; 25=limited progress; 50=some progress; 75=substantial progress; 100=full achievement. The scores are transformed as log(1+score) to smooth the effect of the retained scali</w:t>
      </w:r>
      <w:r>
        <w:rPr>
          <w:noProof/>
          <w:sz w:val="20"/>
          <w:szCs w:val="20"/>
        </w:rPr>
        <w:t>ng.</w:t>
      </w:r>
    </w:p>
    <w:p w:rsidR="00630C0A" w:rsidRDefault="00961E71">
      <w:pPr>
        <w:autoSpaceDE w:val="0"/>
        <w:autoSpaceDN w:val="0"/>
        <w:adjustRightInd w:val="0"/>
        <w:jc w:val="both"/>
        <w:rPr>
          <w:noProof/>
          <w:sz w:val="20"/>
          <w:szCs w:val="20"/>
        </w:rPr>
      </w:pPr>
      <w:r>
        <w:rPr>
          <w:noProof/>
          <w:sz w:val="20"/>
          <w:szCs w:val="20"/>
          <w:lang w:val="pt-PT"/>
        </w:rPr>
        <w:t xml:space="preserve">MIP categories: no imbalances=0; imbalances=1; excessive imbalances=2. </w:t>
      </w:r>
      <w:r>
        <w:rPr>
          <w:noProof/>
          <w:sz w:val="20"/>
          <w:szCs w:val="20"/>
        </w:rPr>
        <w:t xml:space="preserve">The MIP categorisation refers to the preceding year. The correspondence between the classifications in MIP categories used in 2013 and 2014 is the one displayed in table 4.3 of the </w:t>
      </w:r>
      <w:r>
        <w:rPr>
          <w:noProof/>
          <w:sz w:val="20"/>
          <w:szCs w:val="20"/>
        </w:rPr>
        <w:t>MIP Compendium, with the two categories qualified as being excessive imbalances in 2013 corresponding to excessive imbalances category of 2014.</w:t>
      </w:r>
    </w:p>
    <w:p w:rsidR="00630C0A" w:rsidRDefault="00961E71">
      <w:pPr>
        <w:autoSpaceDE w:val="0"/>
        <w:autoSpaceDN w:val="0"/>
        <w:adjustRightInd w:val="0"/>
        <w:jc w:val="both"/>
        <w:rPr>
          <w:noProof/>
          <w:sz w:val="20"/>
          <w:szCs w:val="20"/>
        </w:rPr>
      </w:pPr>
      <w:r>
        <w:rPr>
          <w:noProof/>
          <w:sz w:val="20"/>
          <w:szCs w:val="20"/>
        </w:rPr>
        <w:t xml:space="preserve">The "hard-to-comply with recommendations" variable is a dummy variable taking value 1 for sub-CSRs belonging to </w:t>
      </w:r>
      <w:r>
        <w:rPr>
          <w:noProof/>
          <w:sz w:val="20"/>
          <w:szCs w:val="20"/>
        </w:rPr>
        <w:t>the fields listed in the note to Table A.3.1. in the MIP Compendium.</w:t>
      </w:r>
    </w:p>
    <w:p w:rsidR="00630C0A" w:rsidRDefault="00961E71">
      <w:pPr>
        <w:autoSpaceDE w:val="0"/>
        <w:autoSpaceDN w:val="0"/>
        <w:adjustRightInd w:val="0"/>
        <w:jc w:val="both"/>
        <w:rPr>
          <w:noProof/>
          <w:sz w:val="20"/>
          <w:szCs w:val="20"/>
        </w:rPr>
      </w:pPr>
      <w:r>
        <w:rPr>
          <w:noProof/>
          <w:sz w:val="20"/>
          <w:szCs w:val="20"/>
        </w:rPr>
        <w:t>Interest rate spreads are expressed as the difference of the 10-year government bond yield with the one of Germany.</w:t>
      </w:r>
    </w:p>
    <w:p w:rsidR="00630C0A" w:rsidRDefault="00961E71">
      <w:pPr>
        <w:autoSpaceDE w:val="0"/>
        <w:autoSpaceDN w:val="0"/>
        <w:adjustRightInd w:val="0"/>
        <w:jc w:val="both"/>
        <w:rPr>
          <w:noProof/>
          <w:sz w:val="20"/>
          <w:szCs w:val="20"/>
        </w:rPr>
      </w:pPr>
      <w:r>
        <w:rPr>
          <w:noProof/>
          <w:sz w:val="20"/>
          <w:szCs w:val="20"/>
        </w:rPr>
        <w:t>"Elections in previous year" and "Elections in following year" are dumm</w:t>
      </w:r>
      <w:r>
        <w:rPr>
          <w:noProof/>
          <w:sz w:val="20"/>
          <w:szCs w:val="20"/>
        </w:rPr>
        <w:t>ies equal to one if legislative elections have taken place at most one year before the related year or if these elections are to take place in at most by one year, respectively.</w:t>
      </w:r>
    </w:p>
    <w:p w:rsidR="00630C0A" w:rsidRDefault="00961E71">
      <w:pPr>
        <w:autoSpaceDE w:val="0"/>
        <w:autoSpaceDN w:val="0"/>
        <w:adjustRightInd w:val="0"/>
        <w:jc w:val="both"/>
        <w:rPr>
          <w:noProof/>
          <w:sz w:val="20"/>
          <w:szCs w:val="20"/>
        </w:rPr>
      </w:pPr>
      <w:r>
        <w:rPr>
          <w:noProof/>
          <w:sz w:val="20"/>
          <w:szCs w:val="20"/>
        </w:rPr>
        <w:t>The variables on cumulated progress and number of sub-CSRs are based on classi</w:t>
      </w:r>
      <w:r>
        <w:rPr>
          <w:noProof/>
          <w:sz w:val="20"/>
          <w:szCs w:val="20"/>
        </w:rPr>
        <w:t xml:space="preserve">fications by quartiles, depending on the sum of progress over all sub-CSRs and the number of sub-CSRs, higher quartiles corresponding respectively to more progress and more sub-CSRs. </w:t>
      </w:r>
    </w:p>
    <w:p w:rsidR="00630C0A" w:rsidRDefault="00961E71">
      <w:pPr>
        <w:autoSpaceDE w:val="0"/>
        <w:autoSpaceDN w:val="0"/>
        <w:adjustRightInd w:val="0"/>
        <w:jc w:val="both"/>
        <w:rPr>
          <w:noProof/>
          <w:sz w:val="20"/>
          <w:szCs w:val="20"/>
        </w:rPr>
      </w:pPr>
      <w:r>
        <w:rPr>
          <w:b/>
          <w:noProof/>
          <w:sz w:val="20"/>
          <w:szCs w:val="20"/>
        </w:rPr>
        <w:t>Source:</w:t>
      </w:r>
      <w:r>
        <w:rPr>
          <w:noProof/>
          <w:sz w:val="20"/>
          <w:szCs w:val="20"/>
        </w:rPr>
        <w:t xml:space="preserve"> European Commission CeSAR database, DG ECFIN AMECO database, Eur</w:t>
      </w:r>
      <w:r>
        <w:rPr>
          <w:noProof/>
          <w:sz w:val="20"/>
          <w:szCs w:val="20"/>
        </w:rPr>
        <w:t>ostat, World Bank political database.</w:t>
      </w:r>
    </w:p>
    <w:p w:rsidR="00630C0A" w:rsidRDefault="00630C0A">
      <w:pPr>
        <w:spacing w:after="120"/>
        <w:jc w:val="both"/>
        <w:rPr>
          <w:noProof/>
          <w:szCs w:val="20"/>
        </w:rPr>
      </w:pPr>
    </w:p>
    <w:p w:rsidR="00630C0A" w:rsidRDefault="00961E71">
      <w:pPr>
        <w:jc w:val="both"/>
        <w:rPr>
          <w:noProof/>
          <w:szCs w:val="20"/>
        </w:rPr>
      </w:pPr>
      <w:r>
        <w:rPr>
          <w:noProof/>
        </w:rPr>
        <w:t xml:space="preserve">Additional regressions are displayed in Table A2.2, which distinguishes by sub-periods. Moreover, additional specifications attempt to address reverse causation, i.e. the fact that policy progress affects the extent </w:t>
      </w:r>
      <w:r>
        <w:rPr>
          <w:noProof/>
        </w:rPr>
        <w:t>of MIP surveillance. To control for this issue, instrumentation is performed in columns (3) and (4) of Table A2.2, over the whole period and the last two years respectively. Instruments correspond to the synthetic indicators of economic conditions in stock</w:t>
      </w:r>
      <w:r>
        <w:rPr>
          <w:noProof/>
        </w:rPr>
        <w:t>s and flows, used in Annex 2 of the MIP Compendium, taking into account sources of imbalances identified in in-depth reviews.</w:t>
      </w:r>
    </w:p>
    <w:p w:rsidR="00630C0A" w:rsidRDefault="00961E71">
      <w:pPr>
        <w:spacing w:after="120"/>
        <w:jc w:val="both"/>
        <w:rPr>
          <w:noProof/>
          <w:szCs w:val="20"/>
        </w:rPr>
      </w:pPr>
      <w:r>
        <w:rPr>
          <w:noProof/>
        </w:rPr>
        <w:t>Results in Table A2.2 show that the additional impact of MIP surveillance on policy progress seems to vanish in the sub-period 201</w:t>
      </w:r>
      <w:r>
        <w:rPr>
          <w:noProof/>
        </w:rPr>
        <w:t>6-2018 (column (2)). However, this appears to be partly related to a reverse causation effect, namely, to the fact that policy progress also reduces the likelihood for a country to remain under MIP surveillance. Once this effect is taken into account by me</w:t>
      </w:r>
      <w:r>
        <w:rPr>
          <w:noProof/>
        </w:rPr>
        <w:t xml:space="preserve">ans of instrumental variables estimation, the magnitude of the impact of MIP surveillance rises over the whole period and also for the 2016-2018 sub-period, although not reaching statistical significance. </w:t>
      </w:r>
    </w:p>
    <w:p w:rsidR="00630C0A" w:rsidRDefault="00630C0A">
      <w:pPr>
        <w:spacing w:after="120"/>
        <w:jc w:val="both"/>
        <w:rPr>
          <w:b/>
          <w:noProof/>
          <w:szCs w:val="20"/>
        </w:rPr>
      </w:pPr>
    </w:p>
    <w:p w:rsidR="00630C0A" w:rsidRDefault="00961E71">
      <w:pPr>
        <w:spacing w:after="120"/>
        <w:jc w:val="both"/>
        <w:rPr>
          <w:noProof/>
          <w:szCs w:val="20"/>
        </w:rPr>
      </w:pPr>
      <w:r>
        <w:rPr>
          <w:b/>
          <w:noProof/>
        </w:rPr>
        <w:t>Table A2</w:t>
      </w:r>
      <w:r>
        <w:rPr>
          <w:noProof/>
        </w:rPr>
        <w:t xml:space="preserve">: </w:t>
      </w:r>
      <w:r>
        <w:rPr>
          <w:b/>
          <w:noProof/>
        </w:rPr>
        <w:t>MIP surveillance and CSR progress, data</w:t>
      </w:r>
      <w:r>
        <w:rPr>
          <w:b/>
          <w:noProof/>
        </w:rPr>
        <w:t xml:space="preserve"> at detailed recommendation level, all Member States by sub-periods and taking into account reverse causation (except those under adjustment programme)</w:t>
      </w:r>
    </w:p>
    <w:tbl>
      <w:tblPr>
        <w:tblW w:w="8187" w:type="dxa"/>
        <w:jc w:val="center"/>
        <w:tblLayout w:type="fixed"/>
        <w:tblCellMar>
          <w:left w:w="75" w:type="dxa"/>
          <w:right w:w="75" w:type="dxa"/>
        </w:tblCellMar>
        <w:tblLook w:val="0000" w:firstRow="0" w:lastRow="0" w:firstColumn="0" w:lastColumn="0" w:noHBand="0" w:noVBand="0"/>
      </w:tblPr>
      <w:tblGrid>
        <w:gridCol w:w="3311"/>
        <w:gridCol w:w="1219"/>
        <w:gridCol w:w="1219"/>
        <w:gridCol w:w="1219"/>
        <w:gridCol w:w="1219"/>
      </w:tblGrid>
      <w:tr w:rsidR="00630C0A">
        <w:trPr>
          <w:trHeight w:val="404"/>
          <w:jc w:val="center"/>
        </w:trPr>
        <w:tc>
          <w:tcPr>
            <w:tcW w:w="3311" w:type="dxa"/>
            <w:tcBorders>
              <w:top w:val="single" w:sz="6" w:space="0" w:color="auto"/>
              <w:left w:val="nil"/>
              <w:bottom w:val="nil"/>
              <w:right w:val="nil"/>
            </w:tcBorders>
          </w:tcPr>
          <w:p w:rsidR="00630C0A" w:rsidRDefault="00630C0A">
            <w:pPr>
              <w:widowControl w:val="0"/>
              <w:autoSpaceDE w:val="0"/>
              <w:autoSpaceDN w:val="0"/>
              <w:adjustRightInd w:val="0"/>
              <w:spacing w:after="120"/>
              <w:rPr>
                <w:noProof/>
                <w:sz w:val="20"/>
                <w:szCs w:val="18"/>
                <w:lang w:val="en-IE" w:eastAsia="en-IE"/>
              </w:rPr>
            </w:pPr>
          </w:p>
        </w:tc>
        <w:tc>
          <w:tcPr>
            <w:tcW w:w="1219" w:type="dxa"/>
            <w:tcBorders>
              <w:top w:val="single" w:sz="6" w:space="0" w:color="auto"/>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(1)</w:t>
            </w:r>
          </w:p>
        </w:tc>
        <w:tc>
          <w:tcPr>
            <w:tcW w:w="1219" w:type="dxa"/>
            <w:tcBorders>
              <w:top w:val="single" w:sz="6" w:space="0" w:color="auto"/>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(2)</w:t>
            </w:r>
          </w:p>
        </w:tc>
        <w:tc>
          <w:tcPr>
            <w:tcW w:w="1219" w:type="dxa"/>
            <w:tcBorders>
              <w:top w:val="single" w:sz="6" w:space="0" w:color="auto"/>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(3)</w:t>
            </w:r>
          </w:p>
        </w:tc>
        <w:tc>
          <w:tcPr>
            <w:tcW w:w="1219" w:type="dxa"/>
            <w:tcBorders>
              <w:top w:val="single" w:sz="6" w:space="0" w:color="auto"/>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(4)</w:t>
            </w:r>
          </w:p>
        </w:tc>
      </w:tr>
      <w:tr w:rsidR="00630C0A">
        <w:trPr>
          <w:trHeight w:val="351"/>
          <w:jc w:val="center"/>
        </w:trPr>
        <w:tc>
          <w:tcPr>
            <w:tcW w:w="3311" w:type="dxa"/>
            <w:tcBorders>
              <w:top w:val="nil"/>
              <w:left w:val="nil"/>
              <w:bottom w:val="single" w:sz="6" w:space="0" w:color="auto"/>
              <w:right w:val="nil"/>
            </w:tcBorders>
          </w:tcPr>
          <w:p w:rsidR="00630C0A" w:rsidRDefault="00961E71">
            <w:pPr>
              <w:widowControl w:val="0"/>
              <w:autoSpaceDE w:val="0"/>
              <w:autoSpaceDN w:val="0"/>
              <w:adjustRightInd w:val="0"/>
              <w:spacing w:after="120"/>
              <w:rPr>
                <w:noProof/>
                <w:sz w:val="20"/>
                <w:szCs w:val="20"/>
                <w:lang w:val="en-IE" w:eastAsia="en-IE"/>
              </w:rPr>
            </w:pPr>
            <w:r>
              <w:rPr>
                <w:noProof/>
                <w:color w:val="000000"/>
                <w:sz w:val="20"/>
                <w:szCs w:val="20"/>
              </w:rPr>
              <w:t>Dependent variable: CSR compliance score</w:t>
            </w:r>
          </w:p>
        </w:tc>
        <w:tc>
          <w:tcPr>
            <w:tcW w:w="1219" w:type="dxa"/>
            <w:tcBorders>
              <w:top w:val="nil"/>
              <w:left w:val="nil"/>
              <w:bottom w:val="single" w:sz="6" w:space="0" w:color="auto"/>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Ordered PROBIT [2013:2015]</w:t>
            </w:r>
          </w:p>
        </w:tc>
        <w:tc>
          <w:tcPr>
            <w:tcW w:w="1219" w:type="dxa"/>
            <w:tcBorders>
              <w:top w:val="nil"/>
              <w:left w:val="nil"/>
              <w:bottom w:val="single" w:sz="6" w:space="0" w:color="auto"/>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Ordered PROBIT [20</w:t>
            </w:r>
            <w:r>
              <w:rPr>
                <w:noProof/>
                <w:sz w:val="20"/>
                <w:szCs w:val="20"/>
                <w:lang w:val="en-IE" w:eastAsia="en-IE"/>
              </w:rPr>
              <w:t>16:2018]</w:t>
            </w:r>
          </w:p>
        </w:tc>
        <w:tc>
          <w:tcPr>
            <w:tcW w:w="1219" w:type="dxa"/>
            <w:tcBorders>
              <w:top w:val="nil"/>
              <w:left w:val="nil"/>
              <w:bottom w:val="single" w:sz="6" w:space="0" w:color="auto"/>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IV Regress [2013:2018]</w:t>
            </w:r>
          </w:p>
        </w:tc>
        <w:tc>
          <w:tcPr>
            <w:tcW w:w="1219" w:type="dxa"/>
            <w:tcBorders>
              <w:top w:val="nil"/>
              <w:left w:val="nil"/>
              <w:bottom w:val="single" w:sz="6" w:space="0" w:color="auto"/>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IV Regress [2016:2018]</w:t>
            </w:r>
          </w:p>
        </w:tc>
      </w:tr>
      <w:tr w:rsidR="00630C0A">
        <w:trPr>
          <w:trHeight w:val="404"/>
          <w:jc w:val="center"/>
        </w:trPr>
        <w:tc>
          <w:tcPr>
            <w:tcW w:w="3311" w:type="dxa"/>
            <w:tcBorders>
              <w:top w:val="nil"/>
              <w:left w:val="nil"/>
              <w:bottom w:val="nil"/>
              <w:right w:val="nil"/>
            </w:tcBorders>
          </w:tcPr>
          <w:p w:rsidR="00630C0A" w:rsidRDefault="00630C0A">
            <w:pPr>
              <w:widowControl w:val="0"/>
              <w:autoSpaceDE w:val="0"/>
              <w:autoSpaceDN w:val="0"/>
              <w:adjustRightInd w:val="0"/>
              <w:spacing w:after="120"/>
              <w:rPr>
                <w:noProof/>
                <w:sz w:val="20"/>
                <w:szCs w:val="18"/>
                <w:lang w:val="en-IE" w:eastAsia="en-IE"/>
              </w:rPr>
            </w:pPr>
          </w:p>
        </w:tc>
        <w:tc>
          <w:tcPr>
            <w:tcW w:w="1219" w:type="dxa"/>
            <w:tcBorders>
              <w:top w:val="nil"/>
              <w:left w:val="nil"/>
              <w:bottom w:val="nil"/>
              <w:right w:val="nil"/>
            </w:tcBorders>
          </w:tcPr>
          <w:p w:rsidR="00630C0A" w:rsidRDefault="00630C0A">
            <w:pPr>
              <w:widowControl w:val="0"/>
              <w:autoSpaceDE w:val="0"/>
              <w:autoSpaceDN w:val="0"/>
              <w:adjustRightInd w:val="0"/>
              <w:spacing w:after="120"/>
              <w:jc w:val="center"/>
              <w:rPr>
                <w:noProof/>
                <w:sz w:val="20"/>
                <w:szCs w:val="18"/>
                <w:lang w:val="en-IE" w:eastAsia="en-IE"/>
              </w:rPr>
            </w:pPr>
          </w:p>
        </w:tc>
        <w:tc>
          <w:tcPr>
            <w:tcW w:w="1219" w:type="dxa"/>
            <w:tcBorders>
              <w:top w:val="nil"/>
              <w:left w:val="nil"/>
              <w:bottom w:val="nil"/>
              <w:right w:val="nil"/>
            </w:tcBorders>
          </w:tcPr>
          <w:p w:rsidR="00630C0A" w:rsidRDefault="00630C0A">
            <w:pPr>
              <w:widowControl w:val="0"/>
              <w:autoSpaceDE w:val="0"/>
              <w:autoSpaceDN w:val="0"/>
              <w:adjustRightInd w:val="0"/>
              <w:spacing w:after="120"/>
              <w:jc w:val="center"/>
              <w:rPr>
                <w:noProof/>
                <w:sz w:val="20"/>
                <w:szCs w:val="18"/>
                <w:lang w:val="en-IE" w:eastAsia="en-IE"/>
              </w:rPr>
            </w:pPr>
          </w:p>
        </w:tc>
        <w:tc>
          <w:tcPr>
            <w:tcW w:w="1219" w:type="dxa"/>
            <w:tcBorders>
              <w:top w:val="nil"/>
              <w:left w:val="nil"/>
              <w:bottom w:val="nil"/>
              <w:right w:val="nil"/>
            </w:tcBorders>
          </w:tcPr>
          <w:p w:rsidR="00630C0A" w:rsidRDefault="00630C0A">
            <w:pPr>
              <w:widowControl w:val="0"/>
              <w:autoSpaceDE w:val="0"/>
              <w:autoSpaceDN w:val="0"/>
              <w:adjustRightInd w:val="0"/>
              <w:spacing w:after="120"/>
              <w:jc w:val="center"/>
              <w:rPr>
                <w:noProof/>
                <w:sz w:val="20"/>
                <w:szCs w:val="18"/>
                <w:lang w:val="en-IE" w:eastAsia="en-IE"/>
              </w:rPr>
            </w:pPr>
          </w:p>
        </w:tc>
        <w:tc>
          <w:tcPr>
            <w:tcW w:w="1219" w:type="dxa"/>
            <w:tcBorders>
              <w:top w:val="nil"/>
              <w:left w:val="nil"/>
              <w:bottom w:val="nil"/>
              <w:right w:val="nil"/>
            </w:tcBorders>
          </w:tcPr>
          <w:p w:rsidR="00630C0A" w:rsidRDefault="00630C0A">
            <w:pPr>
              <w:widowControl w:val="0"/>
              <w:autoSpaceDE w:val="0"/>
              <w:autoSpaceDN w:val="0"/>
              <w:adjustRightInd w:val="0"/>
              <w:spacing w:after="120"/>
              <w:jc w:val="center"/>
              <w:rPr>
                <w:noProof/>
                <w:sz w:val="20"/>
                <w:szCs w:val="18"/>
                <w:lang w:val="en-IE" w:eastAsia="en-IE"/>
              </w:rPr>
            </w:pPr>
          </w:p>
        </w:tc>
      </w:tr>
      <w:tr w:rsidR="00630C0A">
        <w:trPr>
          <w:trHeight w:val="351"/>
          <w:jc w:val="center"/>
        </w:trPr>
        <w:tc>
          <w:tcPr>
            <w:tcW w:w="3311" w:type="dxa"/>
            <w:tcBorders>
              <w:top w:val="nil"/>
              <w:left w:val="nil"/>
              <w:bottom w:val="nil"/>
              <w:right w:val="nil"/>
            </w:tcBorders>
          </w:tcPr>
          <w:p w:rsidR="00630C0A" w:rsidRDefault="00961E71">
            <w:pPr>
              <w:widowControl w:val="0"/>
              <w:autoSpaceDE w:val="0"/>
              <w:autoSpaceDN w:val="0"/>
              <w:adjustRightInd w:val="0"/>
              <w:spacing w:after="120"/>
              <w:rPr>
                <w:noProof/>
                <w:sz w:val="20"/>
                <w:szCs w:val="20"/>
                <w:lang w:val="en-IE" w:eastAsia="en-IE"/>
              </w:rPr>
            </w:pPr>
            <w:r>
              <w:rPr>
                <w:noProof/>
                <w:sz w:val="20"/>
                <w:szCs w:val="20"/>
                <w:lang w:val="en-IE" w:eastAsia="en-IE"/>
              </w:rPr>
              <w:t>MIP imbalance category</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0.252***</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0.0895</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0.331***</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0.196</w:t>
            </w:r>
          </w:p>
        </w:tc>
      </w:tr>
      <w:tr w:rsidR="00630C0A">
        <w:trPr>
          <w:trHeight w:val="351"/>
          <w:jc w:val="center"/>
        </w:trPr>
        <w:tc>
          <w:tcPr>
            <w:tcW w:w="3311" w:type="dxa"/>
            <w:tcBorders>
              <w:top w:val="nil"/>
              <w:left w:val="nil"/>
              <w:bottom w:val="nil"/>
              <w:right w:val="nil"/>
            </w:tcBorders>
          </w:tcPr>
          <w:p w:rsidR="00630C0A" w:rsidRDefault="00630C0A">
            <w:pPr>
              <w:widowControl w:val="0"/>
              <w:autoSpaceDE w:val="0"/>
              <w:autoSpaceDN w:val="0"/>
              <w:adjustRightInd w:val="0"/>
              <w:spacing w:after="120"/>
              <w:rPr>
                <w:noProof/>
                <w:sz w:val="20"/>
                <w:szCs w:val="18"/>
                <w:lang w:val="en-IE" w:eastAsia="en-IE"/>
              </w:rPr>
            </w:pP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(0.0934)</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(0.114)</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(0.0862)</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(0.216)</w:t>
            </w:r>
          </w:p>
        </w:tc>
      </w:tr>
      <w:tr w:rsidR="00630C0A">
        <w:trPr>
          <w:trHeight w:val="351"/>
          <w:jc w:val="center"/>
        </w:trPr>
        <w:tc>
          <w:tcPr>
            <w:tcW w:w="3311" w:type="dxa"/>
            <w:tcBorders>
              <w:top w:val="nil"/>
              <w:left w:val="nil"/>
              <w:bottom w:val="nil"/>
              <w:right w:val="nil"/>
            </w:tcBorders>
          </w:tcPr>
          <w:p w:rsidR="00630C0A" w:rsidRDefault="00961E71">
            <w:pPr>
              <w:widowControl w:val="0"/>
              <w:autoSpaceDE w:val="0"/>
              <w:autoSpaceDN w:val="0"/>
              <w:adjustRightInd w:val="0"/>
              <w:spacing w:after="120"/>
              <w:rPr>
                <w:noProof/>
                <w:sz w:val="20"/>
                <w:szCs w:val="20"/>
                <w:lang w:val="en-IE" w:eastAsia="en-IE"/>
              </w:rPr>
            </w:pPr>
            <w:r>
              <w:rPr>
                <w:noProof/>
                <w:sz w:val="20"/>
                <w:szCs w:val="20"/>
                <w:lang w:val="en-IE" w:eastAsia="en-IE"/>
              </w:rPr>
              <w:t>GDP growth</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0.00724</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-0.0714</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-0.0179</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-0.0555</w:t>
            </w:r>
          </w:p>
        </w:tc>
      </w:tr>
      <w:tr w:rsidR="00630C0A">
        <w:trPr>
          <w:trHeight w:val="404"/>
          <w:jc w:val="center"/>
        </w:trPr>
        <w:tc>
          <w:tcPr>
            <w:tcW w:w="3311" w:type="dxa"/>
            <w:tcBorders>
              <w:top w:val="nil"/>
              <w:left w:val="nil"/>
              <w:bottom w:val="nil"/>
              <w:right w:val="nil"/>
            </w:tcBorders>
          </w:tcPr>
          <w:p w:rsidR="00630C0A" w:rsidRDefault="00630C0A">
            <w:pPr>
              <w:widowControl w:val="0"/>
              <w:autoSpaceDE w:val="0"/>
              <w:autoSpaceDN w:val="0"/>
              <w:adjustRightInd w:val="0"/>
              <w:spacing w:after="120"/>
              <w:rPr>
                <w:noProof/>
                <w:sz w:val="20"/>
                <w:szCs w:val="18"/>
                <w:lang w:val="en-IE" w:eastAsia="en-IE"/>
              </w:rPr>
            </w:pP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(0.0337)</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(0.0582)</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(0.0329)</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(0.0602)</w:t>
            </w:r>
          </w:p>
        </w:tc>
      </w:tr>
      <w:tr w:rsidR="00630C0A">
        <w:trPr>
          <w:trHeight w:val="351"/>
          <w:jc w:val="center"/>
        </w:trPr>
        <w:tc>
          <w:tcPr>
            <w:tcW w:w="3311" w:type="dxa"/>
            <w:tcBorders>
              <w:top w:val="nil"/>
              <w:left w:val="nil"/>
              <w:bottom w:val="nil"/>
              <w:right w:val="nil"/>
            </w:tcBorders>
          </w:tcPr>
          <w:p w:rsidR="00630C0A" w:rsidRDefault="00961E71">
            <w:pPr>
              <w:widowControl w:val="0"/>
              <w:autoSpaceDE w:val="0"/>
              <w:autoSpaceDN w:val="0"/>
              <w:adjustRightInd w:val="0"/>
              <w:spacing w:after="120"/>
              <w:rPr>
                <w:noProof/>
                <w:sz w:val="20"/>
                <w:szCs w:val="20"/>
                <w:lang w:val="en-IE" w:eastAsia="en-IE"/>
              </w:rPr>
            </w:pPr>
            <w:r>
              <w:rPr>
                <w:noProof/>
                <w:sz w:val="20"/>
                <w:szCs w:val="20"/>
                <w:lang w:val="en-IE" w:eastAsia="en-IE"/>
              </w:rPr>
              <w:t xml:space="preserve">Cumulated progress </w:t>
            </w:r>
            <w:r>
              <w:rPr>
                <w:noProof/>
                <w:sz w:val="20"/>
                <w:szCs w:val="20"/>
                <w:lang w:val="en-IE" w:eastAsia="en-IE"/>
              </w:rPr>
              <w:t>until previous year</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0.101***</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0.0660**</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0.0719***</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0.0662**</w:t>
            </w:r>
          </w:p>
        </w:tc>
      </w:tr>
      <w:tr w:rsidR="00630C0A">
        <w:trPr>
          <w:trHeight w:val="351"/>
          <w:jc w:val="center"/>
        </w:trPr>
        <w:tc>
          <w:tcPr>
            <w:tcW w:w="3311" w:type="dxa"/>
            <w:tcBorders>
              <w:top w:val="nil"/>
              <w:left w:val="nil"/>
              <w:bottom w:val="nil"/>
              <w:right w:val="nil"/>
            </w:tcBorders>
          </w:tcPr>
          <w:p w:rsidR="00630C0A" w:rsidRDefault="00630C0A">
            <w:pPr>
              <w:widowControl w:val="0"/>
              <w:autoSpaceDE w:val="0"/>
              <w:autoSpaceDN w:val="0"/>
              <w:adjustRightInd w:val="0"/>
              <w:spacing w:after="120"/>
              <w:rPr>
                <w:noProof/>
                <w:sz w:val="20"/>
                <w:szCs w:val="18"/>
                <w:lang w:val="en-IE" w:eastAsia="en-IE"/>
              </w:rPr>
            </w:pP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(0.0280)</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(0.0306)</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(0.0223)</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(0.0260)</w:t>
            </w:r>
          </w:p>
        </w:tc>
      </w:tr>
      <w:tr w:rsidR="00630C0A">
        <w:trPr>
          <w:trHeight w:val="404"/>
          <w:jc w:val="center"/>
        </w:trPr>
        <w:tc>
          <w:tcPr>
            <w:tcW w:w="3311" w:type="dxa"/>
            <w:tcBorders>
              <w:top w:val="nil"/>
              <w:left w:val="nil"/>
              <w:bottom w:val="nil"/>
              <w:right w:val="nil"/>
            </w:tcBorders>
          </w:tcPr>
          <w:p w:rsidR="00630C0A" w:rsidRDefault="00961E71">
            <w:pPr>
              <w:widowControl w:val="0"/>
              <w:autoSpaceDE w:val="0"/>
              <w:autoSpaceDN w:val="0"/>
              <w:adjustRightInd w:val="0"/>
              <w:spacing w:after="120"/>
              <w:rPr>
                <w:noProof/>
                <w:sz w:val="20"/>
                <w:szCs w:val="20"/>
                <w:lang w:val="en-IE" w:eastAsia="en-IE"/>
              </w:rPr>
            </w:pPr>
            <w:r>
              <w:rPr>
                <w:noProof/>
                <w:sz w:val="20"/>
                <w:szCs w:val="20"/>
                <w:lang w:val="en-IE" w:eastAsia="en-IE"/>
              </w:rPr>
              <w:t>Cumulated number of sub-CSRs until previous year</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-0.0538**</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-0.0709***</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-0.0717***</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-0.0793***</w:t>
            </w:r>
          </w:p>
        </w:tc>
      </w:tr>
      <w:tr w:rsidR="00630C0A">
        <w:trPr>
          <w:trHeight w:val="351"/>
          <w:jc w:val="center"/>
        </w:trPr>
        <w:tc>
          <w:tcPr>
            <w:tcW w:w="3311" w:type="dxa"/>
            <w:tcBorders>
              <w:top w:val="nil"/>
              <w:left w:val="nil"/>
              <w:bottom w:val="nil"/>
              <w:right w:val="nil"/>
            </w:tcBorders>
          </w:tcPr>
          <w:p w:rsidR="00630C0A" w:rsidRDefault="00630C0A">
            <w:pPr>
              <w:widowControl w:val="0"/>
              <w:autoSpaceDE w:val="0"/>
              <w:autoSpaceDN w:val="0"/>
              <w:adjustRightInd w:val="0"/>
              <w:spacing w:after="120"/>
              <w:rPr>
                <w:noProof/>
                <w:sz w:val="20"/>
                <w:szCs w:val="18"/>
                <w:lang w:val="en-IE" w:eastAsia="en-IE"/>
              </w:rPr>
            </w:pP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(0.0233)</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(0.0273)</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(0.0199)</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(0.0304)</w:t>
            </w:r>
          </w:p>
        </w:tc>
      </w:tr>
      <w:tr w:rsidR="00630C0A">
        <w:trPr>
          <w:trHeight w:val="351"/>
          <w:jc w:val="center"/>
        </w:trPr>
        <w:tc>
          <w:tcPr>
            <w:tcW w:w="3311" w:type="dxa"/>
            <w:tcBorders>
              <w:top w:val="nil"/>
              <w:left w:val="nil"/>
              <w:bottom w:val="nil"/>
              <w:right w:val="nil"/>
            </w:tcBorders>
          </w:tcPr>
          <w:p w:rsidR="00630C0A" w:rsidRDefault="00961E71">
            <w:pPr>
              <w:widowControl w:val="0"/>
              <w:autoSpaceDE w:val="0"/>
              <w:autoSpaceDN w:val="0"/>
              <w:adjustRightInd w:val="0"/>
              <w:spacing w:after="120"/>
              <w:rPr>
                <w:noProof/>
                <w:sz w:val="20"/>
                <w:szCs w:val="20"/>
                <w:lang w:val="en-IE" w:eastAsia="en-IE"/>
              </w:rPr>
            </w:pPr>
            <w:r>
              <w:rPr>
                <w:noProof/>
                <w:sz w:val="20"/>
                <w:szCs w:val="20"/>
                <w:lang w:val="en-IE" w:eastAsia="en-IE"/>
              </w:rPr>
              <w:t xml:space="preserve">Hard-to-comply with </w:t>
            </w:r>
            <w:r>
              <w:rPr>
                <w:noProof/>
                <w:sz w:val="20"/>
                <w:szCs w:val="20"/>
                <w:lang w:val="en-IE" w:eastAsia="en-IE"/>
              </w:rPr>
              <w:t>recommendation, dummy</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-0.179**</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-0.337***</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-0.329***</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-0.452***</w:t>
            </w:r>
          </w:p>
        </w:tc>
      </w:tr>
      <w:tr w:rsidR="00630C0A">
        <w:trPr>
          <w:trHeight w:val="351"/>
          <w:jc w:val="center"/>
        </w:trPr>
        <w:tc>
          <w:tcPr>
            <w:tcW w:w="3311" w:type="dxa"/>
            <w:tcBorders>
              <w:top w:val="nil"/>
              <w:left w:val="nil"/>
              <w:bottom w:val="nil"/>
              <w:right w:val="nil"/>
            </w:tcBorders>
          </w:tcPr>
          <w:p w:rsidR="00630C0A" w:rsidRDefault="00630C0A">
            <w:pPr>
              <w:widowControl w:val="0"/>
              <w:autoSpaceDE w:val="0"/>
              <w:autoSpaceDN w:val="0"/>
              <w:adjustRightInd w:val="0"/>
              <w:spacing w:after="120"/>
              <w:rPr>
                <w:noProof/>
                <w:sz w:val="20"/>
                <w:szCs w:val="18"/>
                <w:lang w:val="en-IE" w:eastAsia="en-IE"/>
              </w:rPr>
            </w:pP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(0.0870)</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(0.124)</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(0.0874)</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(0.137)</w:t>
            </w:r>
          </w:p>
        </w:tc>
      </w:tr>
      <w:tr w:rsidR="00630C0A">
        <w:trPr>
          <w:trHeight w:val="404"/>
          <w:jc w:val="center"/>
        </w:trPr>
        <w:tc>
          <w:tcPr>
            <w:tcW w:w="3311" w:type="dxa"/>
            <w:tcBorders>
              <w:top w:val="nil"/>
              <w:left w:val="nil"/>
              <w:bottom w:val="nil"/>
              <w:right w:val="nil"/>
            </w:tcBorders>
          </w:tcPr>
          <w:p w:rsidR="00630C0A" w:rsidRDefault="00961E71">
            <w:pPr>
              <w:widowControl w:val="0"/>
              <w:autoSpaceDE w:val="0"/>
              <w:autoSpaceDN w:val="0"/>
              <w:adjustRightInd w:val="0"/>
              <w:spacing w:after="120"/>
              <w:rPr>
                <w:noProof/>
                <w:sz w:val="20"/>
                <w:szCs w:val="20"/>
                <w:lang w:val="en-IE" w:eastAsia="en-IE"/>
              </w:rPr>
            </w:pPr>
            <w:r>
              <w:rPr>
                <w:noProof/>
                <w:sz w:val="20"/>
                <w:szCs w:val="20"/>
                <w:lang w:val="en-IE" w:eastAsia="en-IE"/>
              </w:rPr>
              <w:t>Interest rate spread in previous year</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0.0112</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0.0310</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0.0156</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0.0382</w:t>
            </w:r>
          </w:p>
        </w:tc>
      </w:tr>
      <w:tr w:rsidR="00630C0A">
        <w:trPr>
          <w:trHeight w:val="351"/>
          <w:jc w:val="center"/>
        </w:trPr>
        <w:tc>
          <w:tcPr>
            <w:tcW w:w="3311" w:type="dxa"/>
            <w:tcBorders>
              <w:top w:val="nil"/>
              <w:left w:val="nil"/>
              <w:bottom w:val="nil"/>
              <w:right w:val="nil"/>
            </w:tcBorders>
          </w:tcPr>
          <w:p w:rsidR="00630C0A" w:rsidRDefault="00630C0A">
            <w:pPr>
              <w:widowControl w:val="0"/>
              <w:autoSpaceDE w:val="0"/>
              <w:autoSpaceDN w:val="0"/>
              <w:adjustRightInd w:val="0"/>
              <w:spacing w:after="120"/>
              <w:rPr>
                <w:noProof/>
                <w:sz w:val="20"/>
                <w:szCs w:val="18"/>
                <w:lang w:val="en-IE" w:eastAsia="en-IE"/>
              </w:rPr>
            </w:pP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(0.0346)</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(0.0616)</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(0.0380)</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(0.0603)</w:t>
            </w:r>
          </w:p>
        </w:tc>
      </w:tr>
      <w:tr w:rsidR="00630C0A">
        <w:trPr>
          <w:trHeight w:val="351"/>
          <w:jc w:val="center"/>
        </w:trPr>
        <w:tc>
          <w:tcPr>
            <w:tcW w:w="3311" w:type="dxa"/>
            <w:tcBorders>
              <w:top w:val="nil"/>
              <w:left w:val="nil"/>
              <w:bottom w:val="nil"/>
              <w:right w:val="nil"/>
            </w:tcBorders>
          </w:tcPr>
          <w:p w:rsidR="00630C0A" w:rsidRDefault="00961E71">
            <w:pPr>
              <w:widowControl w:val="0"/>
              <w:autoSpaceDE w:val="0"/>
              <w:autoSpaceDN w:val="0"/>
              <w:adjustRightInd w:val="0"/>
              <w:spacing w:after="120"/>
              <w:rPr>
                <w:noProof/>
                <w:sz w:val="20"/>
                <w:szCs w:val="20"/>
                <w:lang w:val="en-IE" w:eastAsia="en-IE"/>
              </w:rPr>
            </w:pPr>
            <w:r>
              <w:rPr>
                <w:noProof/>
                <w:sz w:val="20"/>
                <w:szCs w:val="20"/>
                <w:lang w:val="en-IE" w:eastAsia="en-IE"/>
              </w:rPr>
              <w:t>Elections in previous year</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-0.0998</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0.116</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-0.104</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-0.0320</w:t>
            </w:r>
          </w:p>
        </w:tc>
      </w:tr>
      <w:tr w:rsidR="00630C0A">
        <w:trPr>
          <w:trHeight w:val="404"/>
          <w:jc w:val="center"/>
        </w:trPr>
        <w:tc>
          <w:tcPr>
            <w:tcW w:w="3311" w:type="dxa"/>
            <w:tcBorders>
              <w:top w:val="nil"/>
              <w:left w:val="nil"/>
              <w:bottom w:val="nil"/>
              <w:right w:val="nil"/>
            </w:tcBorders>
          </w:tcPr>
          <w:p w:rsidR="00630C0A" w:rsidRDefault="00630C0A">
            <w:pPr>
              <w:widowControl w:val="0"/>
              <w:autoSpaceDE w:val="0"/>
              <w:autoSpaceDN w:val="0"/>
              <w:adjustRightInd w:val="0"/>
              <w:spacing w:after="120"/>
              <w:rPr>
                <w:noProof/>
                <w:sz w:val="20"/>
                <w:szCs w:val="18"/>
                <w:lang w:val="en-IE" w:eastAsia="en-IE"/>
              </w:rPr>
            </w:pP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(0.114)</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(0.136)</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(0.0898)</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(0.133)</w:t>
            </w:r>
          </w:p>
        </w:tc>
      </w:tr>
      <w:tr w:rsidR="00630C0A">
        <w:trPr>
          <w:trHeight w:val="351"/>
          <w:jc w:val="center"/>
        </w:trPr>
        <w:tc>
          <w:tcPr>
            <w:tcW w:w="3311" w:type="dxa"/>
            <w:tcBorders>
              <w:top w:val="nil"/>
              <w:left w:val="nil"/>
              <w:bottom w:val="nil"/>
              <w:right w:val="nil"/>
            </w:tcBorders>
          </w:tcPr>
          <w:p w:rsidR="00630C0A" w:rsidRDefault="00961E71">
            <w:pPr>
              <w:widowControl w:val="0"/>
              <w:autoSpaceDE w:val="0"/>
              <w:autoSpaceDN w:val="0"/>
              <w:adjustRightInd w:val="0"/>
              <w:spacing w:after="120"/>
              <w:rPr>
                <w:noProof/>
                <w:sz w:val="20"/>
                <w:szCs w:val="20"/>
                <w:lang w:val="en-IE" w:eastAsia="en-IE"/>
              </w:rPr>
            </w:pPr>
            <w:r>
              <w:rPr>
                <w:noProof/>
                <w:sz w:val="20"/>
                <w:szCs w:val="20"/>
                <w:lang w:val="en-IE" w:eastAsia="en-IE"/>
              </w:rPr>
              <w:t>Elections by following year</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-0.218*</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-0.00900</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-0.238**</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-0.0884</w:t>
            </w:r>
          </w:p>
        </w:tc>
      </w:tr>
      <w:tr w:rsidR="00630C0A">
        <w:trPr>
          <w:trHeight w:val="351"/>
          <w:jc w:val="center"/>
        </w:trPr>
        <w:tc>
          <w:tcPr>
            <w:tcW w:w="3311" w:type="dxa"/>
            <w:tcBorders>
              <w:top w:val="nil"/>
              <w:left w:val="nil"/>
              <w:bottom w:val="nil"/>
              <w:right w:val="nil"/>
            </w:tcBorders>
          </w:tcPr>
          <w:p w:rsidR="00630C0A" w:rsidRDefault="00630C0A">
            <w:pPr>
              <w:widowControl w:val="0"/>
              <w:autoSpaceDE w:val="0"/>
              <w:autoSpaceDN w:val="0"/>
              <w:adjustRightInd w:val="0"/>
              <w:spacing w:after="120"/>
              <w:rPr>
                <w:noProof/>
                <w:sz w:val="20"/>
                <w:szCs w:val="18"/>
                <w:lang w:val="en-IE" w:eastAsia="en-IE"/>
              </w:rPr>
            </w:pP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(0.126)</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(0.163)</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(0.0990)</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(0.166)</w:t>
            </w:r>
          </w:p>
        </w:tc>
      </w:tr>
      <w:tr w:rsidR="00630C0A">
        <w:trPr>
          <w:trHeight w:val="351"/>
          <w:jc w:val="center"/>
        </w:trPr>
        <w:tc>
          <w:tcPr>
            <w:tcW w:w="3311" w:type="dxa"/>
            <w:tcBorders>
              <w:top w:val="nil"/>
              <w:left w:val="nil"/>
              <w:bottom w:val="nil"/>
              <w:right w:val="nil"/>
            </w:tcBorders>
          </w:tcPr>
          <w:p w:rsidR="00630C0A" w:rsidRDefault="00961E71">
            <w:pPr>
              <w:widowControl w:val="0"/>
              <w:autoSpaceDE w:val="0"/>
              <w:autoSpaceDN w:val="0"/>
              <w:adjustRightInd w:val="0"/>
              <w:spacing w:after="120"/>
              <w:rPr>
                <w:noProof/>
                <w:sz w:val="20"/>
                <w:szCs w:val="20"/>
                <w:lang w:val="en-IE" w:eastAsia="en-IE"/>
              </w:rPr>
            </w:pPr>
            <w:r>
              <w:rPr>
                <w:noProof/>
                <w:sz w:val="20"/>
                <w:szCs w:val="20"/>
                <w:lang w:val="en-IE" w:eastAsia="en-IE"/>
              </w:rPr>
              <w:t>Constant</w:t>
            </w:r>
          </w:p>
        </w:tc>
        <w:tc>
          <w:tcPr>
            <w:tcW w:w="1219" w:type="dxa"/>
            <w:tcBorders>
              <w:top w:val="nil"/>
              <w:left w:val="nil"/>
              <w:bottom w:val="nil"/>
              <w:right w:val="nil"/>
            </w:tcBorders>
          </w:tcPr>
          <w:p w:rsidR="00630C0A" w:rsidRDefault="00630C0A">
            <w:pPr>
              <w:widowControl w:val="0"/>
              <w:autoSpaceDE w:val="0"/>
              <w:autoSpaceDN w:val="0"/>
              <w:adjustRightInd w:val="0"/>
              <w:spacing w:after="120"/>
              <w:jc w:val="center"/>
              <w:rPr>
                <w:noProof/>
                <w:sz w:val="20"/>
                <w:szCs w:val="18"/>
                <w:lang w:val="en-IE" w:eastAsia="en-IE"/>
              </w:rPr>
            </w:pPr>
          </w:p>
        </w:tc>
        <w:tc>
          <w:tcPr>
            <w:tcW w:w="1219" w:type="dxa"/>
            <w:tcBorders>
              <w:top w:val="nil"/>
              <w:left w:val="nil"/>
              <w:bottom w:val="nil"/>
              <w:right w:val="nil"/>
            </w:tcBorders>
          </w:tcPr>
          <w:p w:rsidR="00630C0A" w:rsidRDefault="00630C0A">
            <w:pPr>
              <w:widowControl w:val="0"/>
              <w:autoSpaceDE w:val="0"/>
              <w:autoSpaceDN w:val="0"/>
              <w:adjustRightInd w:val="0"/>
              <w:spacing w:after="120"/>
              <w:jc w:val="center"/>
              <w:rPr>
                <w:noProof/>
                <w:sz w:val="20"/>
                <w:szCs w:val="18"/>
                <w:lang w:val="en-IE" w:eastAsia="en-IE"/>
              </w:rPr>
            </w:pP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3.469***</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3.087***</w:t>
            </w:r>
          </w:p>
        </w:tc>
      </w:tr>
      <w:tr w:rsidR="00630C0A">
        <w:trPr>
          <w:trHeight w:val="404"/>
          <w:jc w:val="center"/>
        </w:trPr>
        <w:tc>
          <w:tcPr>
            <w:tcW w:w="3311" w:type="dxa"/>
            <w:tcBorders>
              <w:top w:val="nil"/>
              <w:left w:val="nil"/>
              <w:bottom w:val="nil"/>
              <w:right w:val="nil"/>
            </w:tcBorders>
          </w:tcPr>
          <w:p w:rsidR="00630C0A" w:rsidRDefault="00630C0A">
            <w:pPr>
              <w:widowControl w:val="0"/>
              <w:autoSpaceDE w:val="0"/>
              <w:autoSpaceDN w:val="0"/>
              <w:adjustRightInd w:val="0"/>
              <w:spacing w:after="120"/>
              <w:rPr>
                <w:noProof/>
                <w:sz w:val="20"/>
                <w:szCs w:val="18"/>
                <w:lang w:val="en-IE" w:eastAsia="en-IE"/>
              </w:rPr>
            </w:pPr>
          </w:p>
        </w:tc>
        <w:tc>
          <w:tcPr>
            <w:tcW w:w="1219" w:type="dxa"/>
            <w:tcBorders>
              <w:top w:val="nil"/>
              <w:left w:val="nil"/>
              <w:bottom w:val="nil"/>
              <w:right w:val="nil"/>
            </w:tcBorders>
          </w:tcPr>
          <w:p w:rsidR="00630C0A" w:rsidRDefault="00630C0A">
            <w:pPr>
              <w:widowControl w:val="0"/>
              <w:autoSpaceDE w:val="0"/>
              <w:autoSpaceDN w:val="0"/>
              <w:adjustRightInd w:val="0"/>
              <w:spacing w:after="120"/>
              <w:jc w:val="center"/>
              <w:rPr>
                <w:noProof/>
                <w:sz w:val="20"/>
                <w:szCs w:val="18"/>
                <w:lang w:val="en-IE" w:eastAsia="en-IE"/>
              </w:rPr>
            </w:pPr>
          </w:p>
        </w:tc>
        <w:tc>
          <w:tcPr>
            <w:tcW w:w="1219" w:type="dxa"/>
            <w:tcBorders>
              <w:top w:val="nil"/>
              <w:left w:val="nil"/>
              <w:bottom w:val="nil"/>
              <w:right w:val="nil"/>
            </w:tcBorders>
          </w:tcPr>
          <w:p w:rsidR="00630C0A" w:rsidRDefault="00630C0A">
            <w:pPr>
              <w:widowControl w:val="0"/>
              <w:autoSpaceDE w:val="0"/>
              <w:autoSpaceDN w:val="0"/>
              <w:adjustRightInd w:val="0"/>
              <w:spacing w:after="120"/>
              <w:jc w:val="center"/>
              <w:rPr>
                <w:noProof/>
                <w:sz w:val="20"/>
                <w:szCs w:val="18"/>
                <w:lang w:val="en-IE" w:eastAsia="en-IE"/>
              </w:rPr>
            </w:pP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(0.274)</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(0.381)</w:t>
            </w:r>
          </w:p>
        </w:tc>
      </w:tr>
      <w:tr w:rsidR="00630C0A">
        <w:trPr>
          <w:trHeight w:val="351"/>
          <w:jc w:val="center"/>
        </w:trPr>
        <w:tc>
          <w:tcPr>
            <w:tcW w:w="3311" w:type="dxa"/>
            <w:tcBorders>
              <w:top w:val="nil"/>
              <w:left w:val="nil"/>
              <w:bottom w:val="nil"/>
              <w:right w:val="nil"/>
            </w:tcBorders>
          </w:tcPr>
          <w:p w:rsidR="00630C0A" w:rsidRDefault="00961E71">
            <w:pPr>
              <w:widowControl w:val="0"/>
              <w:autoSpaceDE w:val="0"/>
              <w:autoSpaceDN w:val="0"/>
              <w:adjustRightInd w:val="0"/>
              <w:spacing w:after="120"/>
              <w:rPr>
                <w:noProof/>
                <w:sz w:val="20"/>
                <w:szCs w:val="20"/>
                <w:lang w:val="en-IE" w:eastAsia="en-IE"/>
              </w:rPr>
            </w:pPr>
            <w:r>
              <w:rPr>
                <w:noProof/>
                <w:sz w:val="20"/>
                <w:szCs w:val="20"/>
                <w:lang w:val="en-IE" w:eastAsia="en-IE"/>
              </w:rPr>
              <w:t>Observations</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1,029</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500</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1,548</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500</w:t>
            </w:r>
          </w:p>
        </w:tc>
      </w:tr>
      <w:tr w:rsidR="00630C0A">
        <w:trPr>
          <w:trHeight w:val="404"/>
          <w:jc w:val="center"/>
        </w:trPr>
        <w:tc>
          <w:tcPr>
            <w:tcW w:w="3311" w:type="dxa"/>
            <w:tcBorders>
              <w:top w:val="nil"/>
              <w:left w:val="nil"/>
              <w:bottom w:val="nil"/>
              <w:right w:val="nil"/>
            </w:tcBorders>
          </w:tcPr>
          <w:p w:rsidR="00630C0A" w:rsidRDefault="00961E71">
            <w:pPr>
              <w:widowControl w:val="0"/>
              <w:autoSpaceDE w:val="0"/>
              <w:autoSpaceDN w:val="0"/>
              <w:adjustRightInd w:val="0"/>
              <w:spacing w:after="120"/>
              <w:rPr>
                <w:noProof/>
                <w:sz w:val="20"/>
                <w:szCs w:val="20"/>
                <w:lang w:val="en-IE" w:eastAsia="en-IE"/>
              </w:rPr>
            </w:pPr>
            <w:r>
              <w:rPr>
                <w:noProof/>
                <w:sz w:val="20"/>
                <w:szCs w:val="20"/>
                <w:lang w:val="en-IE" w:eastAsia="en-IE"/>
              </w:rPr>
              <w:t>Year F.E</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Yes</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Yes</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Yes</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Yes</w:t>
            </w:r>
          </w:p>
        </w:tc>
      </w:tr>
      <w:tr w:rsidR="00630C0A">
        <w:trPr>
          <w:trHeight w:val="351"/>
          <w:jc w:val="center"/>
        </w:trPr>
        <w:tc>
          <w:tcPr>
            <w:tcW w:w="3311" w:type="dxa"/>
            <w:tcBorders>
              <w:top w:val="nil"/>
              <w:left w:val="nil"/>
              <w:bottom w:val="nil"/>
              <w:right w:val="nil"/>
            </w:tcBorders>
          </w:tcPr>
          <w:p w:rsidR="00630C0A" w:rsidRDefault="00961E71">
            <w:pPr>
              <w:widowControl w:val="0"/>
              <w:autoSpaceDE w:val="0"/>
              <w:autoSpaceDN w:val="0"/>
              <w:adjustRightInd w:val="0"/>
              <w:spacing w:after="120"/>
              <w:rPr>
                <w:noProof/>
                <w:sz w:val="20"/>
                <w:szCs w:val="20"/>
                <w:lang w:val="en-IE" w:eastAsia="en-IE"/>
              </w:rPr>
            </w:pPr>
            <w:r>
              <w:rPr>
                <w:noProof/>
                <w:sz w:val="20"/>
                <w:szCs w:val="20"/>
                <w:lang w:val="en-IE" w:eastAsia="en-IE"/>
              </w:rPr>
              <w:t>Control for policy area</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Yes</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Yes</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Yes</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Yes</w:t>
            </w:r>
          </w:p>
        </w:tc>
      </w:tr>
      <w:tr w:rsidR="00630C0A">
        <w:trPr>
          <w:trHeight w:val="351"/>
          <w:jc w:val="center"/>
        </w:trPr>
        <w:tc>
          <w:tcPr>
            <w:tcW w:w="3311" w:type="dxa"/>
            <w:tcBorders>
              <w:top w:val="nil"/>
              <w:left w:val="nil"/>
              <w:bottom w:val="nil"/>
              <w:right w:val="nil"/>
            </w:tcBorders>
          </w:tcPr>
          <w:p w:rsidR="00630C0A" w:rsidRDefault="00961E71">
            <w:pPr>
              <w:widowControl w:val="0"/>
              <w:autoSpaceDE w:val="0"/>
              <w:autoSpaceDN w:val="0"/>
              <w:adjustRightInd w:val="0"/>
              <w:spacing w:after="120"/>
              <w:rPr>
                <w:noProof/>
                <w:sz w:val="20"/>
                <w:szCs w:val="20"/>
                <w:lang w:val="en-IE" w:eastAsia="en-IE"/>
              </w:rPr>
            </w:pPr>
            <w:r>
              <w:rPr>
                <w:noProof/>
                <w:sz w:val="20"/>
                <w:szCs w:val="20"/>
                <w:lang w:val="en-IE" w:eastAsia="en-IE"/>
              </w:rPr>
              <w:t>Clustering at country-year level</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Yes</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Yes</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Yes</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Yes</w:t>
            </w:r>
          </w:p>
        </w:tc>
      </w:tr>
      <w:tr w:rsidR="00630C0A">
        <w:trPr>
          <w:trHeight w:val="351"/>
          <w:jc w:val="center"/>
        </w:trPr>
        <w:tc>
          <w:tcPr>
            <w:tcW w:w="3311" w:type="dxa"/>
            <w:tcBorders>
              <w:top w:val="nil"/>
              <w:left w:val="nil"/>
              <w:bottom w:val="nil"/>
              <w:right w:val="nil"/>
            </w:tcBorders>
          </w:tcPr>
          <w:p w:rsidR="00630C0A" w:rsidRDefault="00961E71">
            <w:pPr>
              <w:widowControl w:val="0"/>
              <w:autoSpaceDE w:val="0"/>
              <w:autoSpaceDN w:val="0"/>
              <w:adjustRightInd w:val="0"/>
              <w:spacing w:after="120"/>
              <w:rPr>
                <w:noProof/>
                <w:sz w:val="20"/>
                <w:szCs w:val="20"/>
                <w:lang w:val="en-IE" w:eastAsia="en-IE"/>
              </w:rPr>
            </w:pPr>
            <w:r>
              <w:rPr>
                <w:noProof/>
                <w:sz w:val="20"/>
                <w:szCs w:val="20"/>
                <w:lang w:val="en-IE" w:eastAsia="en-IE"/>
              </w:rPr>
              <w:t>Sample countries</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All</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All</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All</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All</w:t>
            </w:r>
          </w:p>
        </w:tc>
      </w:tr>
      <w:tr w:rsidR="00630C0A">
        <w:trPr>
          <w:trHeight w:val="404"/>
          <w:jc w:val="center"/>
        </w:trPr>
        <w:tc>
          <w:tcPr>
            <w:tcW w:w="3311" w:type="dxa"/>
            <w:tcBorders>
              <w:top w:val="nil"/>
              <w:left w:val="nil"/>
              <w:bottom w:val="nil"/>
              <w:right w:val="nil"/>
            </w:tcBorders>
          </w:tcPr>
          <w:p w:rsidR="00630C0A" w:rsidRDefault="00961E71">
            <w:pPr>
              <w:widowControl w:val="0"/>
              <w:autoSpaceDE w:val="0"/>
              <w:autoSpaceDN w:val="0"/>
              <w:adjustRightInd w:val="0"/>
              <w:spacing w:after="120"/>
              <w:rPr>
                <w:noProof/>
                <w:sz w:val="20"/>
                <w:szCs w:val="20"/>
                <w:lang w:val="en-IE" w:eastAsia="en-IE"/>
              </w:rPr>
            </w:pPr>
            <w:r>
              <w:rPr>
                <w:noProof/>
                <w:sz w:val="20"/>
                <w:szCs w:val="20"/>
                <w:lang w:val="en-IE" w:eastAsia="en-IE"/>
              </w:rPr>
              <w:t>R-squared</w:t>
            </w:r>
          </w:p>
        </w:tc>
        <w:tc>
          <w:tcPr>
            <w:tcW w:w="1219" w:type="dxa"/>
            <w:tcBorders>
              <w:top w:val="nil"/>
              <w:left w:val="nil"/>
              <w:bottom w:val="nil"/>
              <w:right w:val="nil"/>
            </w:tcBorders>
          </w:tcPr>
          <w:p w:rsidR="00630C0A" w:rsidRDefault="00630C0A">
            <w:pPr>
              <w:widowControl w:val="0"/>
              <w:autoSpaceDE w:val="0"/>
              <w:autoSpaceDN w:val="0"/>
              <w:adjustRightInd w:val="0"/>
              <w:spacing w:after="120"/>
              <w:jc w:val="center"/>
              <w:rPr>
                <w:noProof/>
                <w:sz w:val="20"/>
                <w:szCs w:val="18"/>
                <w:lang w:val="en-IE" w:eastAsia="en-IE"/>
              </w:rPr>
            </w:pPr>
          </w:p>
        </w:tc>
        <w:tc>
          <w:tcPr>
            <w:tcW w:w="1219" w:type="dxa"/>
            <w:tcBorders>
              <w:top w:val="nil"/>
              <w:left w:val="nil"/>
              <w:bottom w:val="nil"/>
              <w:right w:val="nil"/>
            </w:tcBorders>
          </w:tcPr>
          <w:p w:rsidR="00630C0A" w:rsidRDefault="00630C0A">
            <w:pPr>
              <w:widowControl w:val="0"/>
              <w:autoSpaceDE w:val="0"/>
              <w:autoSpaceDN w:val="0"/>
              <w:adjustRightInd w:val="0"/>
              <w:spacing w:after="120"/>
              <w:jc w:val="center"/>
              <w:rPr>
                <w:noProof/>
                <w:sz w:val="20"/>
                <w:szCs w:val="18"/>
                <w:lang w:val="en-IE" w:eastAsia="en-IE"/>
              </w:rPr>
            </w:pP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0.056</w:t>
            </w:r>
          </w:p>
        </w:tc>
        <w:tc>
          <w:tcPr>
            <w:tcW w:w="1219" w:type="dxa"/>
            <w:tcBorders>
              <w:top w:val="nil"/>
              <w:left w:val="nil"/>
              <w:bottom w:val="nil"/>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0.097</w:t>
            </w:r>
          </w:p>
        </w:tc>
      </w:tr>
      <w:tr w:rsidR="00630C0A">
        <w:tblPrEx>
          <w:tblBorders>
            <w:bottom w:val="single" w:sz="6" w:space="0" w:color="auto"/>
          </w:tblBorders>
        </w:tblPrEx>
        <w:trPr>
          <w:trHeight w:val="351"/>
          <w:jc w:val="center"/>
        </w:trPr>
        <w:tc>
          <w:tcPr>
            <w:tcW w:w="3311" w:type="dxa"/>
            <w:tcBorders>
              <w:top w:val="nil"/>
              <w:left w:val="nil"/>
              <w:bottom w:val="single" w:sz="6" w:space="0" w:color="auto"/>
              <w:right w:val="nil"/>
            </w:tcBorders>
          </w:tcPr>
          <w:p w:rsidR="00630C0A" w:rsidRDefault="00961E71">
            <w:pPr>
              <w:widowControl w:val="0"/>
              <w:autoSpaceDE w:val="0"/>
              <w:autoSpaceDN w:val="0"/>
              <w:adjustRightInd w:val="0"/>
              <w:spacing w:after="120"/>
              <w:rPr>
                <w:noProof/>
                <w:sz w:val="20"/>
                <w:szCs w:val="20"/>
                <w:lang w:val="en-IE" w:eastAsia="en-IE"/>
              </w:rPr>
            </w:pPr>
            <w:r>
              <w:rPr>
                <w:noProof/>
                <w:sz w:val="20"/>
                <w:szCs w:val="20"/>
                <w:lang w:val="en-IE" w:eastAsia="en-IE"/>
              </w:rPr>
              <w:t>Fisher coefficient</w:t>
            </w:r>
          </w:p>
        </w:tc>
        <w:tc>
          <w:tcPr>
            <w:tcW w:w="1219" w:type="dxa"/>
            <w:tcBorders>
              <w:top w:val="nil"/>
              <w:left w:val="nil"/>
              <w:bottom w:val="single" w:sz="6" w:space="0" w:color="auto"/>
              <w:right w:val="nil"/>
            </w:tcBorders>
          </w:tcPr>
          <w:p w:rsidR="00630C0A" w:rsidRDefault="00630C0A">
            <w:pPr>
              <w:widowControl w:val="0"/>
              <w:autoSpaceDE w:val="0"/>
              <w:autoSpaceDN w:val="0"/>
              <w:adjustRightInd w:val="0"/>
              <w:spacing w:after="120"/>
              <w:jc w:val="center"/>
              <w:rPr>
                <w:noProof/>
                <w:sz w:val="20"/>
                <w:szCs w:val="18"/>
                <w:lang w:val="en-IE" w:eastAsia="en-IE"/>
              </w:rPr>
            </w:pPr>
          </w:p>
        </w:tc>
        <w:tc>
          <w:tcPr>
            <w:tcW w:w="1219" w:type="dxa"/>
            <w:tcBorders>
              <w:top w:val="nil"/>
              <w:left w:val="nil"/>
              <w:bottom w:val="single" w:sz="6" w:space="0" w:color="auto"/>
              <w:right w:val="nil"/>
            </w:tcBorders>
          </w:tcPr>
          <w:p w:rsidR="00630C0A" w:rsidRDefault="00630C0A">
            <w:pPr>
              <w:widowControl w:val="0"/>
              <w:autoSpaceDE w:val="0"/>
              <w:autoSpaceDN w:val="0"/>
              <w:adjustRightInd w:val="0"/>
              <w:spacing w:after="120"/>
              <w:jc w:val="center"/>
              <w:rPr>
                <w:noProof/>
                <w:sz w:val="20"/>
                <w:szCs w:val="18"/>
                <w:lang w:val="en-IE" w:eastAsia="en-IE"/>
              </w:rPr>
            </w:pPr>
          </w:p>
        </w:tc>
        <w:tc>
          <w:tcPr>
            <w:tcW w:w="1219" w:type="dxa"/>
            <w:tcBorders>
              <w:top w:val="nil"/>
              <w:left w:val="nil"/>
              <w:bottom w:val="single" w:sz="6" w:space="0" w:color="auto"/>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62.17</w:t>
            </w:r>
          </w:p>
        </w:tc>
        <w:tc>
          <w:tcPr>
            <w:tcW w:w="1219" w:type="dxa"/>
            <w:tcBorders>
              <w:top w:val="nil"/>
              <w:left w:val="nil"/>
              <w:bottom w:val="single" w:sz="6" w:space="0" w:color="auto"/>
              <w:right w:val="nil"/>
            </w:tcBorders>
          </w:tcPr>
          <w:p w:rsidR="00630C0A" w:rsidRDefault="00961E71">
            <w:pPr>
              <w:widowControl w:val="0"/>
              <w:autoSpaceDE w:val="0"/>
              <w:autoSpaceDN w:val="0"/>
              <w:adjustRightInd w:val="0"/>
              <w:spacing w:after="120"/>
              <w:jc w:val="center"/>
              <w:rPr>
                <w:noProof/>
                <w:sz w:val="20"/>
                <w:szCs w:val="20"/>
                <w:lang w:val="en-IE" w:eastAsia="en-IE"/>
              </w:rPr>
            </w:pPr>
            <w:r>
              <w:rPr>
                <w:noProof/>
                <w:sz w:val="20"/>
                <w:szCs w:val="20"/>
                <w:lang w:val="en-IE" w:eastAsia="en-IE"/>
              </w:rPr>
              <w:t>14.47</w:t>
            </w:r>
          </w:p>
        </w:tc>
      </w:tr>
    </w:tbl>
    <w:p w:rsidR="00630C0A" w:rsidRDefault="00961E71">
      <w:pPr>
        <w:autoSpaceDE w:val="0"/>
        <w:autoSpaceDN w:val="0"/>
        <w:adjustRightInd w:val="0"/>
        <w:jc w:val="both"/>
        <w:rPr>
          <w:noProof/>
          <w:sz w:val="20"/>
          <w:szCs w:val="20"/>
        </w:rPr>
      </w:pPr>
      <w:r>
        <w:rPr>
          <w:b/>
          <w:noProof/>
          <w:sz w:val="20"/>
          <w:szCs w:val="20"/>
        </w:rPr>
        <w:t>Note:</w:t>
      </w:r>
      <w:r>
        <w:rPr>
          <w:noProof/>
          <w:sz w:val="20"/>
          <w:szCs w:val="20"/>
        </w:rPr>
        <w:t xml:space="preserve">*, ** and ***: coefficients significant at the 10%, 5% and 1% level respectively. Student-t are reported in parenthesis. </w:t>
      </w:r>
    </w:p>
    <w:p w:rsidR="00630C0A" w:rsidRDefault="00961E71">
      <w:pPr>
        <w:autoSpaceDE w:val="0"/>
        <w:autoSpaceDN w:val="0"/>
        <w:adjustRightInd w:val="0"/>
        <w:jc w:val="both"/>
        <w:rPr>
          <w:noProof/>
          <w:sz w:val="20"/>
          <w:szCs w:val="20"/>
        </w:rPr>
      </w:pPr>
      <w:r>
        <w:rPr>
          <w:noProof/>
          <w:sz w:val="20"/>
          <w:szCs w:val="20"/>
        </w:rPr>
        <w:t>Standard errors are robust with-respect to clustering at the country-year level.</w:t>
      </w:r>
    </w:p>
    <w:p w:rsidR="00630C0A" w:rsidRDefault="00961E71">
      <w:pPr>
        <w:autoSpaceDE w:val="0"/>
        <w:autoSpaceDN w:val="0"/>
        <w:adjustRightInd w:val="0"/>
        <w:jc w:val="both"/>
        <w:rPr>
          <w:noProof/>
          <w:sz w:val="20"/>
          <w:szCs w:val="20"/>
        </w:rPr>
      </w:pPr>
      <w:r>
        <w:rPr>
          <w:noProof/>
          <w:sz w:val="20"/>
          <w:szCs w:val="20"/>
        </w:rPr>
        <w:t>For the definition of variables see notes to Table A1</w:t>
      </w:r>
      <w:r>
        <w:rPr>
          <w:noProof/>
          <w:sz w:val="20"/>
          <w:szCs w:val="20"/>
        </w:rPr>
        <w:t xml:space="preserve">. </w:t>
      </w:r>
    </w:p>
    <w:p w:rsidR="00630C0A" w:rsidRDefault="00961E71">
      <w:pPr>
        <w:autoSpaceDE w:val="0"/>
        <w:autoSpaceDN w:val="0"/>
        <w:adjustRightInd w:val="0"/>
        <w:jc w:val="both"/>
        <w:rPr>
          <w:noProof/>
          <w:sz w:val="18"/>
          <w:szCs w:val="18"/>
        </w:rPr>
      </w:pPr>
      <w:r>
        <w:rPr>
          <w:b/>
          <w:noProof/>
          <w:sz w:val="20"/>
          <w:szCs w:val="20"/>
        </w:rPr>
        <w:t>Source:</w:t>
      </w:r>
      <w:r>
        <w:rPr>
          <w:noProof/>
          <w:sz w:val="20"/>
          <w:szCs w:val="20"/>
        </w:rPr>
        <w:t xml:space="preserve"> European Commission, Eurostat, World Bank political database, national sources, own calculations.</w:t>
      </w:r>
    </w:p>
    <w:p w:rsidR="00630C0A" w:rsidRDefault="00630C0A">
      <w:pPr>
        <w:autoSpaceDE w:val="0"/>
        <w:autoSpaceDN w:val="0"/>
        <w:adjustRightInd w:val="0"/>
        <w:spacing w:after="120"/>
        <w:jc w:val="both"/>
        <w:rPr>
          <w:noProof/>
        </w:rPr>
      </w:pPr>
    </w:p>
    <w:p w:rsidR="00630C0A" w:rsidRDefault="00630C0A">
      <w:pPr>
        <w:spacing w:after="120"/>
        <w:jc w:val="both"/>
        <w:rPr>
          <w:noProof/>
        </w:rPr>
      </w:pPr>
    </w:p>
    <w:sectPr w:rsidR="00630C0A">
      <w:headerReference w:type="even" r:id="rId64"/>
      <w:headerReference w:type="default" r:id="rId65"/>
      <w:footerReference w:type="even" r:id="rId66"/>
      <w:footerReference w:type="default" r:id="rId67"/>
      <w:headerReference w:type="first" r:id="rId68"/>
      <w:footerReference w:type="first" r:id="rId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C0A" w:rsidRDefault="00961E71">
      <w:r>
        <w:separator/>
      </w:r>
    </w:p>
  </w:endnote>
  <w:endnote w:type="continuationSeparator" w:id="0">
    <w:p w:rsidR="00630C0A" w:rsidRDefault="00961E71">
      <w:r>
        <w:continuationSeparator/>
      </w:r>
    </w:p>
  </w:endnote>
  <w:endnote w:type="continuationNotice" w:id="1">
    <w:p w:rsidR="00630C0A" w:rsidRDefault="00630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421700"/>
      <w:docPartObj>
        <w:docPartGallery w:val="Page Numbers (Bottom of Page)"/>
        <w:docPartUnique/>
      </w:docPartObj>
    </w:sdtPr>
    <w:sdtEndPr>
      <w:rPr>
        <w:noProof/>
      </w:rPr>
    </w:sdtEndPr>
    <w:sdtContent>
      <w:p w:rsidR="00630C0A" w:rsidRDefault="00961E71">
        <w:pPr>
          <w:pStyle w:val="Footer"/>
          <w:jc w:val="center"/>
        </w:pPr>
        <w:r>
          <w:fldChar w:fldCharType="begin"/>
        </w:r>
        <w:r>
          <w:instrText xml:space="preserve"> PAGE   \* MERGEFORMAT </w:instrText>
        </w:r>
        <w:r>
          <w:fldChar w:fldCharType="separate"/>
        </w:r>
        <w:r>
          <w:rPr>
            <w:noProof/>
          </w:rPr>
          <w:t>59</w:t>
        </w:r>
        <w:r>
          <w:rPr>
            <w:noProof/>
          </w:rPr>
          <w:fldChar w:fldCharType="end"/>
        </w:r>
      </w:p>
    </w:sdtContent>
  </w:sdt>
  <w:p w:rsidR="00630C0A" w:rsidRDefault="00630C0A"/>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993828"/>
      <w:docPartObj>
        <w:docPartGallery w:val="Page Numbers (Bottom of Page)"/>
        <w:docPartUnique/>
      </w:docPartObj>
    </w:sdtPr>
    <w:sdtEndPr>
      <w:rPr>
        <w:noProof/>
      </w:rPr>
    </w:sdtEndPr>
    <w:sdtContent>
      <w:p w:rsidR="00630C0A" w:rsidRDefault="00961E71">
        <w:pPr>
          <w:pStyle w:val="Footer"/>
          <w:jc w:val="center"/>
        </w:pPr>
        <w:r>
          <w:fldChar w:fldCharType="begin"/>
        </w:r>
        <w:r>
          <w:instrText xml:space="preserve"> PAGE   \* MERGEFORMAT </w:instrText>
        </w:r>
        <w:r>
          <w:fldChar w:fldCharType="separate"/>
        </w:r>
        <w:r>
          <w:rPr>
            <w:noProof/>
          </w:rPr>
          <w:t>66</w:t>
        </w:r>
        <w:r>
          <w:rPr>
            <w:noProof/>
          </w:rPr>
          <w:fldChar w:fldCharType="end"/>
        </w:r>
      </w:p>
    </w:sdtContent>
  </w:sdt>
  <w:p w:rsidR="00630C0A" w:rsidRDefault="00630C0A"/>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961E71">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46865"/>
      <w:docPartObj>
        <w:docPartGallery w:val="Page Numbers (Bottom of Page)"/>
        <w:docPartUnique/>
      </w:docPartObj>
    </w:sdtPr>
    <w:sdtEndPr>
      <w:rPr>
        <w:noProof/>
      </w:rPr>
    </w:sdtEndPr>
    <w:sdtContent>
      <w:p w:rsidR="00630C0A" w:rsidRDefault="00961E71">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630C0A" w:rsidRDefault="00630C0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122486"/>
      <w:docPartObj>
        <w:docPartGallery w:val="Page Numbers (Bottom of Page)"/>
        <w:docPartUnique/>
      </w:docPartObj>
    </w:sdtPr>
    <w:sdtEndPr>
      <w:rPr>
        <w:noProof/>
      </w:rPr>
    </w:sdtEndPr>
    <w:sdtContent>
      <w:p w:rsidR="00630C0A" w:rsidRDefault="00961E71">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rsidR="00630C0A" w:rsidRDefault="00630C0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C0A" w:rsidRDefault="00961E71">
      <w:r>
        <w:separator/>
      </w:r>
    </w:p>
  </w:footnote>
  <w:footnote w:type="continuationSeparator" w:id="0">
    <w:p w:rsidR="00630C0A" w:rsidRDefault="00961E71">
      <w:r>
        <w:continuationSeparator/>
      </w:r>
    </w:p>
  </w:footnote>
  <w:footnote w:type="continuationNotice" w:id="1">
    <w:p w:rsidR="00630C0A" w:rsidRDefault="00630C0A"/>
  </w:footnote>
  <w:footnote w:id="2">
    <w:p w:rsidR="00630C0A" w:rsidRDefault="00961E71">
      <w:pPr>
        <w:autoSpaceDE w:val="0"/>
        <w:autoSpaceDN w:val="0"/>
        <w:adjustRightInd w:val="0"/>
        <w:jc w:val="both"/>
        <w:rPr>
          <w:sz w:val="20"/>
          <w:szCs w:val="20"/>
          <w:lang w:eastAsia="en-US"/>
        </w:rPr>
      </w:pPr>
      <w:r>
        <w:rPr>
          <w:rStyle w:val="FootnoteReference"/>
        </w:rPr>
        <w:footnoteRef/>
      </w:r>
      <w:r>
        <w:t xml:space="preserve"> </w:t>
      </w:r>
      <w:r>
        <w:rPr>
          <w:sz w:val="20"/>
          <w:szCs w:val="20"/>
        </w:rPr>
        <w:t>Six pack:</w:t>
      </w:r>
      <w:r>
        <w:t xml:space="preserve"> </w:t>
      </w:r>
      <w:r>
        <w:rPr>
          <w:sz w:val="20"/>
          <w:szCs w:val="20"/>
          <w:lang w:eastAsia="en-US"/>
        </w:rPr>
        <w:t xml:space="preserve">Regulation (EU) No 1173/2011 of the European Parliament and of the Council of 16 November </w:t>
      </w:r>
      <w:r>
        <w:rPr>
          <w:sz w:val="20"/>
          <w:szCs w:val="20"/>
          <w:lang w:eastAsia="en-US"/>
        </w:rPr>
        <w:t>2011 on the effective enforcement of budgetary surveillance in the euro area, OJ L 306, 23.11.2011, p. 1; Regulation (EU) No 1174/2011 of the European Parliament and of the Council of 16 November 2011 on enforcement measures to correct excessive macroecono</w:t>
      </w:r>
      <w:r>
        <w:rPr>
          <w:sz w:val="20"/>
          <w:szCs w:val="20"/>
          <w:lang w:eastAsia="en-US"/>
        </w:rPr>
        <w:t>mic imbalances in the euro area, OJ L 306, 23.11.2011, p. 8; Regulation (EU) No 1175/2011 of the European Parliament and of the Council of 16 November 2011 amending Council Regulation (EC) No 1466/97 on the strengthening of the surveillance of budgetary po</w:t>
      </w:r>
      <w:r>
        <w:rPr>
          <w:sz w:val="20"/>
          <w:szCs w:val="20"/>
          <w:lang w:eastAsia="en-US"/>
        </w:rPr>
        <w:t xml:space="preserve">sitions and the surveillance and coordination of economic policies, OJ L 306, 23.11.2011, p. 12; Regulation (EU) 1176/2011 of the European Parliament and of the Council of 16 November 2011 on the prevention and correction of macroeconomic imbalances, OJ L </w:t>
      </w:r>
      <w:r>
        <w:rPr>
          <w:sz w:val="20"/>
          <w:szCs w:val="20"/>
          <w:lang w:eastAsia="en-US"/>
        </w:rPr>
        <w:t>306, 23.11.2011, p. 25; Regulation (EU) No 1177/2011 of 8 November 2011 amending Regulation (EC) No 1467/97 on speeding up and clarifying the implementation of the excessive deficit procedure, OJ L 306, 23.11.2011, p. 33; Directive 2011/85/EU of the Counci</w:t>
      </w:r>
      <w:r>
        <w:rPr>
          <w:sz w:val="20"/>
          <w:szCs w:val="20"/>
          <w:lang w:eastAsia="en-US"/>
        </w:rPr>
        <w:t>l of 8 November 2011 on the requirements for budgetary frameworks of the Member States, OJ L 306, 23.11.2011, p. 41; Two-pack: Regulation (EU) No 472/2013 of the European Parliament and of the Council of 21 May 2013 on the strengthening of economic and bud</w:t>
      </w:r>
      <w:r>
        <w:rPr>
          <w:sz w:val="20"/>
          <w:szCs w:val="20"/>
          <w:lang w:eastAsia="en-US"/>
        </w:rPr>
        <w:t>getary surveillance of Member States in the euro area experiencing or threatened with serious difficulties with respect to their financial stability, OJ L 140, 27.5.2013, p. 1; Regulation (EU) No 473/2013 of the European Parliament and of the Council of 21</w:t>
      </w:r>
      <w:r>
        <w:rPr>
          <w:sz w:val="20"/>
          <w:szCs w:val="20"/>
          <w:lang w:eastAsia="en-US"/>
        </w:rPr>
        <w:t xml:space="preserve"> May 2013 on common provisions for monitoring and assessing draft budgetary plans and ensuring the correction of excessive deficit of the Member States in the euro area, OJ L 140, 27.5.2013, p. 11.</w:t>
      </w:r>
    </w:p>
    <w:p w:rsidR="00630C0A" w:rsidRDefault="00630C0A">
      <w:pPr>
        <w:pStyle w:val="FootnoteText"/>
        <w:jc w:val="both"/>
        <w:rPr>
          <w:rFonts w:ascii="Times New Roman" w:hAnsi="Times New Roman" w:cs="Times New Roman"/>
        </w:rPr>
      </w:pPr>
    </w:p>
  </w:footnote>
  <w:footnote w:id="3">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Staff Working Document covers the seven Regulation</w:t>
      </w:r>
      <w:r>
        <w:rPr>
          <w:rFonts w:ascii="Times New Roman" w:hAnsi="Times New Roman" w:cs="Times New Roman"/>
        </w:rPr>
        <w:t>s included in the six and two-pack. With regards to Council Directive 2011/85/EU on requirements for budgetary frameworks of the Member States, which has a specific review clause, a dedicated review assesses its overall suitability, including the suitabili</w:t>
      </w:r>
      <w:r>
        <w:rPr>
          <w:rFonts w:ascii="Times New Roman" w:hAnsi="Times New Roman" w:cs="Times New Roman"/>
        </w:rPr>
        <w:t>ty of the statistical requirements for all sub-sectors of government, the design and effectiveness of numerical fiscal rules, and the general level of transparency of public finances in the Member States.</w:t>
      </w:r>
    </w:p>
  </w:footnote>
  <w:footnote w:id="4">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is mandated in Regulation No 472/2013 and Re</w:t>
      </w:r>
      <w:r>
        <w:rPr>
          <w:rFonts w:ascii="Times New Roman" w:hAnsi="Times New Roman" w:cs="Times New Roman"/>
        </w:rPr>
        <w:t>gulation No 473/2013.</w:t>
      </w:r>
    </w:p>
  </w:footnote>
  <w:footnote w:id="5">
    <w:p w:rsidR="00630C0A" w:rsidRDefault="00961E71">
      <w:pPr>
        <w:pStyle w:val="FootnoteText"/>
        <w:jc w:val="both"/>
      </w:pPr>
      <w:r>
        <w:rPr>
          <w:rFonts w:ascii="Times New Roman" w:hAnsi="Times New Roman" w:cs="Times New Roman"/>
          <w:vertAlign w:val="superscript"/>
        </w:rPr>
        <w:footnoteRef/>
      </w:r>
      <w:r>
        <w:rPr>
          <w:rFonts w:ascii="Times New Roman" w:hAnsi="Times New Roman" w:cs="Times New Roman"/>
        </w:rPr>
        <w:t xml:space="preserve"> A summary of the challenges associated with designing supranational fiscal rules can be found in Yared, P. (2019), ‘Rising Government Debt: Causes and Solutions for a Decades-Old Trend’, Journal of Economic Perspectives, Vol 33 No 2</w:t>
      </w:r>
      <w:r>
        <w:rPr>
          <w:rFonts w:ascii="Times New Roman" w:hAnsi="Times New Roman" w:cs="Times New Roman"/>
        </w:rPr>
        <w:t>.</w:t>
      </w:r>
    </w:p>
  </w:footnote>
  <w:footnote w:id="6">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is the so-called macro-economic conditionality of European Funds, which falls outside the scope of the Stability and Growth Pact. It is not a sanction, but instead aims to safeguard the funds belonging to the Union budget.</w:t>
      </w:r>
    </w:p>
  </w:footnote>
  <w:footnote w:id="7">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addition, the inter</w:t>
      </w:r>
      <w:r>
        <w:rPr>
          <w:rFonts w:ascii="Times New Roman" w:hAnsi="Times New Roman" w:cs="Times New Roman"/>
        </w:rPr>
        <w:t>governmental Treaty on Stability, Coordination and Governance in EMU sets a lower limit of a structural deficit of 0.5% of GDP for its signatories. See section 2.3</w:t>
      </w:r>
    </w:p>
  </w:footnote>
  <w:footnote w:id="8">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Under the intergovernmental Treaty on Stability, Coordination and Governance in EMU, euro-</w:t>
      </w:r>
      <w:r>
        <w:rPr>
          <w:rFonts w:ascii="Times New Roman" w:hAnsi="Times New Roman" w:cs="Times New Roman"/>
        </w:rPr>
        <w:t>area Member States committed to also use reverse qualified majority voting on other proposals or recommendations submitted by the Commission for euro-area Member States in breach of the deficit criterion in the framework of an excessive deficit procedure.</w:t>
      </w:r>
    </w:p>
  </w:footnote>
  <w:footnote w:id="9">
    <w:p w:rsidR="00630C0A" w:rsidRDefault="00961E71">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(2015), ‘Making the best use of the flexibility within the existing rules of the Stability and Growth Pact’, COM(2015)12 of 13 January 2015.</w:t>
      </w:r>
    </w:p>
  </w:footnote>
  <w:footnote w:id="10">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Commonly agreed position on flexibility within the Stability and Growth Pact, endorsed by t</w:t>
      </w:r>
      <w:r>
        <w:rPr>
          <w:rFonts w:ascii="Times New Roman" w:hAnsi="Times New Roman" w:cs="Times New Roman"/>
        </w:rPr>
        <w:t>he Council on 12 February 2016.</w:t>
      </w:r>
    </w:p>
  </w:footnote>
  <w:footnote w:id="11">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Court of Auditors, Is the main objective of the preventive arm of the Stability and Growth Pact delivered?, Special report No 18/2018; </w:t>
      </w:r>
    </w:p>
  </w:footnote>
  <w:footnote w:id="12">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Each year, the Directorate-General for Economic and Financial Affairs of th</w:t>
      </w:r>
      <w:r>
        <w:rPr>
          <w:rFonts w:ascii="Times New Roman" w:hAnsi="Times New Roman" w:cs="Times New Roman"/>
        </w:rPr>
        <w:t xml:space="preserve">e European Commission publishes a Vade Mecum on the Stability and Growth Pact that brings together all the relevant procedures and methodologies involved in the implementation of the EU's rules-based fiscal policy framework. For the 2019 edition, see: </w:t>
      </w:r>
      <w:hyperlink r:id="rId1" w:history="1">
        <w:r>
          <w:rPr>
            <w:rStyle w:val="Hyperlink"/>
            <w:rFonts w:ascii="Times New Roman" w:hAnsi="Times New Roman" w:cs="Times New Roman"/>
          </w:rPr>
          <w:t>https://ec.europa.eu/info/publications/vade-mecum-stability-and-growth-pact-2019-edition_en</w:t>
        </w:r>
      </w:hyperlink>
    </w:p>
  </w:footnote>
  <w:footnote w:id="13">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They included also substantive rules, on top of requirements for the design of policy frameworks</w:t>
      </w:r>
    </w:p>
  </w:footnote>
  <w:footnote w:id="14">
    <w:p w:rsidR="00630C0A" w:rsidRDefault="00961E71">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Finland was placed in EDP for a planned breach, although the deficit eventually stayed below 3%.</w:t>
      </w:r>
    </w:p>
  </w:footnote>
  <w:footnote w:id="15">
    <w:p w:rsidR="00630C0A" w:rsidRDefault="00961E71">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With the exception of Cyprus, where there was a temporary</w:t>
      </w:r>
      <w:r>
        <w:rPr>
          <w:rFonts w:ascii="Times New Roman" w:hAnsi="Times New Roman" w:cs="Times New Roman"/>
        </w:rPr>
        <w:t xml:space="preserve"> peak in the deficit in 2018 (at 4.4% of GDP), due to the one-off support measures related to the sale of the Cyprus Cooperative Bank. In 2019, the budget balance is expected to have returned to a comfortable surplus of close to 4% of GDP.</w:t>
      </w:r>
    </w:p>
  </w:footnote>
  <w:footnote w:id="16">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turn, growt</w:t>
      </w:r>
      <w:r>
        <w:rPr>
          <w:rFonts w:ascii="Times New Roman" w:hAnsi="Times New Roman" w:cs="Times New Roman"/>
        </w:rPr>
        <w:t>h dynamics, in both real and nominal terms, have been significantly affected by the unwinding of large macro-economic imbalances accumulated in the run-up to the crisis.</w:t>
      </w:r>
    </w:p>
  </w:footnote>
  <w:footnote w:id="17">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a more detailed overview of recent fiscal developments in the EU, see European C</w:t>
      </w:r>
      <w:r>
        <w:rPr>
          <w:rFonts w:ascii="Times New Roman" w:hAnsi="Times New Roman" w:cs="Times New Roman"/>
        </w:rPr>
        <w:t xml:space="preserve">ommission (2019), ‘Fiscal policy’, Quarterly Report of the Euro Area, Volume 18 N. 2, Institutional Paper 119, November 2019. </w:t>
      </w:r>
      <w:hyperlink r:id="rId2" w:history="1">
        <w:r>
          <w:rPr>
            <w:rStyle w:val="Hyperlink"/>
            <w:rFonts w:ascii="Times New Roman" w:hAnsi="Times New Roman" w:cs="Times New Roman"/>
          </w:rPr>
          <w:t>https://ec.europa.eu/info</w:t>
        </w:r>
        <w:r>
          <w:rPr>
            <w:rStyle w:val="Hyperlink"/>
            <w:rFonts w:ascii="Times New Roman" w:hAnsi="Times New Roman" w:cs="Times New Roman"/>
          </w:rPr>
          <w:t>/publications/quarterly-report-euro-area-volume-18-no-2-2019_en</w:t>
        </w:r>
      </w:hyperlink>
    </w:p>
  </w:footnote>
  <w:footnote w:id="18">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w:t>
      </w:r>
      <w:r>
        <w:rPr>
          <w:rFonts w:ascii="Times New Roman" w:hAnsi="Times New Roman" w:cs="Times New Roman"/>
          <w:i/>
        </w:rPr>
        <w:t>Review of the suitability of Council Directive 2011/85/EU on requirements for budgetary frameworks of the Member States</w:t>
      </w:r>
      <w:r>
        <w:rPr>
          <w:rFonts w:ascii="Times New Roman" w:hAnsi="Times New Roman" w:cs="Times New Roman"/>
        </w:rPr>
        <w:t>, Commission Staff Working Document (</w:t>
      </w:r>
      <w:r>
        <w:rPr>
          <w:rFonts w:ascii="Times New Roman" w:hAnsi="Times New Roman" w:cs="Times New Roman"/>
          <w:lang w:val="en-IE"/>
        </w:rPr>
        <w:t xml:space="preserve"> SWD(2020) 211</w:t>
      </w:r>
      <w:r>
        <w:rPr>
          <w:rFonts w:ascii="Times New Roman" w:hAnsi="Times New Roman" w:cs="Times New Roman"/>
        </w:rPr>
        <w:t>).</w:t>
      </w:r>
    </w:p>
  </w:footnote>
  <w:footnote w:id="19">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i.e.: </w:t>
      </w:r>
      <w:r>
        <w:rPr>
          <w:rFonts w:ascii="Times New Roman" w:hAnsi="Times New Roman" w:cs="Times New Roman"/>
        </w:rPr>
        <w:t>(i) systems of budgetary accounting and statistical reporting; (ii) rules and procedures governing the preparation of forecasts for budgetary planning; (iii) country-specific numerical fiscal rules; (iv) medium-term budgetary frameworks; and (v) transparen</w:t>
      </w:r>
      <w:r>
        <w:rPr>
          <w:rFonts w:ascii="Times New Roman" w:hAnsi="Times New Roman" w:cs="Times New Roman"/>
        </w:rPr>
        <w:t>cy of public finances and mechanisms that regulate fiscal relationships between public authorities across sub-sectors of general government.</w:t>
      </w:r>
    </w:p>
  </w:footnote>
  <w:footnote w:id="20">
    <w:p w:rsidR="00630C0A" w:rsidRDefault="00961E71">
      <w:pPr>
        <w:pStyle w:val="FootnoteText"/>
        <w:jc w:val="both"/>
        <w:rPr>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Outside the euro area, Bulgaria, Denmark and Romania have also submitted voluntarily to the same requirements.</w:t>
      </w:r>
    </w:p>
  </w:footnote>
  <w:footnote w:id="21">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This also partly reflected intense financial market pressure on some Member States during that period.</w:t>
      </w:r>
    </w:p>
  </w:footnote>
  <w:footnote w:id="22">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These Member States followed a so-called ‘nominal strategy’ whereby they met the headline deficit targets without implementing the structural adjustment targets of the EDP recommendations. </w:t>
      </w:r>
    </w:p>
  </w:footnote>
  <w:footnote w:id="23">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It is sometimes argued that the fiscal consolidation following </w:t>
      </w:r>
      <w:r>
        <w:rPr>
          <w:rFonts w:ascii="Times New Roman" w:hAnsi="Times New Roman" w:cs="Times New Roman"/>
        </w:rPr>
        <w:t>the economic crisis has been self-defeating in some high-debt Member States. However, the possible contractionary effects and possible induced increase in the debt-to-GDP ratio is in most cases short-lived and unwinding in the medium run. For further analy</w:t>
      </w:r>
      <w:r>
        <w:rPr>
          <w:rFonts w:ascii="Times New Roman" w:hAnsi="Times New Roman" w:cs="Times New Roman"/>
        </w:rPr>
        <w:t xml:space="preserve">sis: see European Commission (2012), ‘Consolidation and dynamics of the multipliers. Are there counter-intuitive effects?’ in ‘Report on Public Finances 2012’ European Economy 4. July 2012, </w:t>
      </w:r>
    </w:p>
  </w:footnote>
  <w:footnote w:id="24">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Fiscal Board (2019), ‘Assessment of the EU fiscal rule</w:t>
      </w:r>
      <w:r>
        <w:rPr>
          <w:rFonts w:ascii="Times New Roman" w:hAnsi="Times New Roman" w:cs="Times New Roman"/>
        </w:rPr>
        <w:t>s with a focus on the six and two-pack legislation’.</w:t>
      </w:r>
    </w:p>
  </w:footnote>
  <w:footnote w:id="25">
    <w:p w:rsidR="00630C0A" w:rsidRDefault="00961E71">
      <w:pPr>
        <w:pStyle w:val="FootnoteText"/>
      </w:pPr>
      <w:r>
        <w:rPr>
          <w:rStyle w:val="FootnoteReference"/>
        </w:rPr>
        <w:footnoteRef/>
      </w:r>
      <w:r>
        <w:t xml:space="preserve"> </w:t>
      </w:r>
      <w:r>
        <w:rPr>
          <w:rFonts w:ascii="Times New Roman" w:hAnsi="Times New Roman" w:cs="Times New Roman"/>
        </w:rPr>
        <w:t>European Commission (2019), ‘Performance of spending rules at the EU and Member States’ level’ in Report on Public Finances in EMU 2019, forthcoming.</w:t>
      </w:r>
    </w:p>
  </w:footnote>
  <w:footnote w:id="26">
    <w:p w:rsidR="00630C0A" w:rsidRDefault="00961E71">
      <w:pPr>
        <w:pStyle w:val="FootnoteText"/>
      </w:pPr>
      <w:r>
        <w:rPr>
          <w:rStyle w:val="FootnoteReference"/>
          <w:rFonts w:ascii="Times New Roman" w:hAnsi="Times New Roman" w:cs="Times New Roman"/>
        </w:rPr>
        <w:footnoteRef/>
      </w:r>
      <w:r>
        <w:t xml:space="preserve"> </w:t>
      </w:r>
      <w:r>
        <w:rPr>
          <w:rFonts w:ascii="Times New Roman" w:hAnsi="Times New Roman" w:cs="Times New Roman"/>
        </w:rPr>
        <w:t>See for instance: European Commission (2019), ‘Fi</w:t>
      </w:r>
      <w:r>
        <w:rPr>
          <w:rFonts w:ascii="Times New Roman" w:hAnsi="Times New Roman" w:cs="Times New Roman"/>
        </w:rPr>
        <w:t>scal outcomes in the EU in a rules-based framework – new evidence’ in Report on Public Finances in EMU 2018, Institutional Paper 095.</w:t>
      </w:r>
    </w:p>
  </w:footnote>
  <w:footnote w:id="27">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instance: Caselli, F. and Wingender, M. (2018), ‘Bunching at 3 Percent: The Maastricht Fiscal Criterion and Gove</w:t>
      </w:r>
      <w:r>
        <w:rPr>
          <w:rFonts w:ascii="Times New Roman" w:hAnsi="Times New Roman" w:cs="Times New Roman"/>
        </w:rPr>
        <w:t>rnment Deficits’, IMF Working Paper 18/182.</w:t>
      </w:r>
    </w:p>
  </w:footnote>
  <w:footnote w:id="28">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(2017), ‘2017 European Semester: Country-specific recommendations’, COM(2017) 500 final.</w:t>
      </w:r>
    </w:p>
  </w:footnote>
  <w:footnote w:id="29">
    <w:p w:rsidR="00630C0A" w:rsidRDefault="00961E71">
      <w:pPr>
        <w:pStyle w:val="FootnoteText"/>
        <w:jc w:val="both"/>
      </w:pPr>
      <w:r>
        <w:rPr>
          <w:rFonts w:ascii="Times New Roman" w:hAnsi="Times New Roman" w:cs="Times New Roman"/>
          <w:vertAlign w:val="superscript"/>
        </w:rPr>
        <w:footnoteRef/>
      </w:r>
      <w:r>
        <w:rPr>
          <w:rFonts w:ascii="Times New Roman" w:hAnsi="Times New Roman" w:cs="Times New Roman"/>
        </w:rPr>
        <w:t xml:space="preserve"> European Commission (2019), ‘Fiscal outcomes in the EU in a rules-based framework – new evidence’ i</w:t>
      </w:r>
      <w:r>
        <w:rPr>
          <w:rFonts w:ascii="Times New Roman" w:hAnsi="Times New Roman" w:cs="Times New Roman"/>
        </w:rPr>
        <w:t>n Report on Public Finances in EMU 2018, Institutional Paper 095.</w:t>
      </w:r>
    </w:p>
  </w:footnote>
  <w:footnote w:id="30">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Such a fiscal stabilisation function was put forward in the 2015 Five Presidents’ Report on Completing the Economic and Monetary Union, but falls outside the scope of this review.</w:t>
      </w:r>
    </w:p>
  </w:footnote>
  <w:footnote w:id="31">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that context, the European Central Bank has recently called for a more active role for fiscal policy. See for instance President Draghi’s press conference of 12 September 2019: </w:t>
      </w:r>
      <w:hyperlink r:id="rId3" w:history="1">
        <w:r>
          <w:rPr>
            <w:rStyle w:val="Hyperlink"/>
            <w:rFonts w:ascii="Times New Roman" w:hAnsi="Times New Roman" w:cs="Times New Roman"/>
          </w:rPr>
          <w:t>https://www.ecb.europa.eu/press/pressconf/2019/html/ecb.is190912~658eb51d68.en.html</w:t>
        </w:r>
      </w:hyperlink>
    </w:p>
  </w:footnote>
  <w:footnote w:id="32">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Ceparullo and Mourre (forthcoming), ‘How and How much? The growth-friendliness of public spending through the lens?’; European Commission (2016),</w:t>
      </w:r>
      <w:r>
        <w:rPr>
          <w:rFonts w:ascii="Times New Roman" w:hAnsi="Times New Roman" w:cs="Times New Roman"/>
        </w:rPr>
        <w:t xml:space="preserve"> ‘Insights on the quality of public expenditures’ in Report on Public Finances in EMU 2016, Institutional Paper 045.</w:t>
      </w:r>
    </w:p>
  </w:footnote>
  <w:footnote w:id="33">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example: European Commission (2019), ‘The 2019 Stability and Convergence programmes: an overview and assessment of the euro area </w:t>
      </w:r>
      <w:r>
        <w:rPr>
          <w:rFonts w:ascii="Times New Roman" w:hAnsi="Times New Roman" w:cs="Times New Roman"/>
        </w:rPr>
        <w:t>fiscal stance’, Box 2.7.</w:t>
      </w:r>
    </w:p>
  </w:footnote>
  <w:footnote w:id="34">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Once achieved, a Member State’s MTO is primarily meant to ensure (i) the long-term sustainability of public finances and (ii) a safety margin towards breaching the 3% of GDP reference value of the Treaty. The definition of the mi</w:t>
      </w:r>
      <w:r>
        <w:rPr>
          <w:rFonts w:ascii="Times New Roman" w:hAnsi="Times New Roman" w:cs="Times New Roman"/>
        </w:rPr>
        <w:t>nimum MTO under Regulation No 1466/97 also refers to room for budgetary manoeuvre and in particular the need for public investment.</w:t>
      </w:r>
    </w:p>
  </w:footnote>
  <w:footnote w:id="35">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Mohl and Poissonnier (forthcoming), ‘Do fiscal rules hamper public investment?’; European Commission (2017), ‘Government i</w:t>
      </w:r>
      <w:r>
        <w:rPr>
          <w:rFonts w:ascii="Times New Roman" w:hAnsi="Times New Roman" w:cs="Times New Roman"/>
        </w:rPr>
        <w:t>nvestment in the EU’ in Report on Public Finances in EMU 2017, Institutional Paper 069.</w:t>
      </w:r>
    </w:p>
  </w:footnote>
  <w:footnote w:id="36">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Moreover, euro-area Member States that become subject to an EDP must submit an Economic Partnership Programme describing the policy measures and structural reforms ne</w:t>
      </w:r>
      <w:r>
        <w:rPr>
          <w:rFonts w:ascii="Times New Roman" w:hAnsi="Times New Roman" w:cs="Times New Roman"/>
        </w:rPr>
        <w:t xml:space="preserve">eded to ensure an effective and lasting correction of the excessive deficit. The policy priorities in the programme must also be consistent with the Union’s strategy for growth and jobs. </w:t>
      </w:r>
    </w:p>
  </w:footnote>
  <w:footnote w:id="37">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(2015), ‘Making the best use of the flexibilit</w:t>
      </w:r>
      <w:r>
        <w:rPr>
          <w:rFonts w:ascii="Times New Roman" w:hAnsi="Times New Roman" w:cs="Times New Roman"/>
        </w:rPr>
        <w:t>y within the existing rules of the Stability and Growth Pact’, COM(2015)12 of 13 January 2015.</w:t>
      </w:r>
    </w:p>
  </w:footnote>
  <w:footnote w:id="38">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structural reform clause was applied in the case of Italy in 2016, Latvia, Lithuania and Finland in 2017, and Belgium in 2019. On the assessment of the 201</w:t>
      </w:r>
      <w:r>
        <w:rPr>
          <w:rFonts w:ascii="Times New Roman" w:hAnsi="Times New Roman" w:cs="Times New Roman"/>
        </w:rPr>
        <w:t>5 Flexibility Communication, see European Commission (2019), ‘</w:t>
      </w:r>
      <w:r>
        <w:rPr>
          <w:rFonts w:ascii="Times New Roman" w:hAnsi="Times New Roman" w:cs="Times New Roman"/>
          <w:i/>
        </w:rPr>
        <w:t>Staff Working Document accompanying the Commission Communication on the review of the flexibility under the Stability and Growth Pact</w:t>
      </w:r>
      <w:r>
        <w:rPr>
          <w:rFonts w:ascii="Times New Roman" w:hAnsi="Times New Roman" w:cs="Times New Roman"/>
        </w:rPr>
        <w:t>’, SWD(2018) 270 final.</w:t>
      </w:r>
    </w:p>
  </w:footnote>
  <w:footnote w:id="39">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(2019), ‘The Eu</w:t>
      </w:r>
      <w:r>
        <w:rPr>
          <w:rFonts w:ascii="Times New Roman" w:hAnsi="Times New Roman" w:cs="Times New Roman"/>
        </w:rPr>
        <w:t>ropean Green Deal’, COM(2019) 640 final.</w:t>
      </w:r>
    </w:p>
  </w:footnote>
  <w:footnote w:id="40">
    <w:p w:rsidR="00630C0A" w:rsidRDefault="00961E71">
      <w:pPr>
        <w:pStyle w:val="FootnoteText"/>
        <w:spacing w:after="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instance: Balassone, F. and D. Franco (2000): </w:t>
      </w:r>
      <w:r>
        <w:rPr>
          <w:rFonts w:ascii="Times New Roman" w:hAnsi="Times New Roman" w:cs="Times New Roman"/>
          <w:i/>
        </w:rPr>
        <w:t>Public investment, the Stability Pact and the ‘Golden Rule’</w:t>
      </w:r>
      <w:r>
        <w:rPr>
          <w:rFonts w:ascii="Times New Roman" w:hAnsi="Times New Roman" w:cs="Times New Roman"/>
        </w:rPr>
        <w:t xml:space="preserve">, Fiscal Studies, 21(2), 207-229; Blanchard, O. (2019): </w:t>
      </w:r>
      <w:r>
        <w:rPr>
          <w:rFonts w:ascii="Times New Roman" w:hAnsi="Times New Roman" w:cs="Times New Roman"/>
          <w:i/>
        </w:rPr>
        <w:t>Public debt and low interest rates</w:t>
      </w:r>
      <w:r>
        <w:rPr>
          <w:rFonts w:ascii="Times New Roman" w:hAnsi="Times New Roman" w:cs="Times New Roman"/>
        </w:rPr>
        <w:t>, NBER Wor</w:t>
      </w:r>
      <w:r>
        <w:rPr>
          <w:rFonts w:ascii="Times New Roman" w:hAnsi="Times New Roman" w:cs="Times New Roman"/>
        </w:rPr>
        <w:t xml:space="preserve">king Paper 25621; Buiter, W. (1984), </w:t>
      </w:r>
      <w:r>
        <w:rPr>
          <w:rFonts w:ascii="Times New Roman" w:hAnsi="Times New Roman" w:cs="Times New Roman"/>
          <w:i/>
        </w:rPr>
        <w:t>Measuring aspects of fiscal and financial policy</w:t>
      </w:r>
      <w:r>
        <w:rPr>
          <w:rFonts w:ascii="Times New Roman" w:hAnsi="Times New Roman" w:cs="Times New Roman"/>
        </w:rPr>
        <w:t xml:space="preserve">, NBER Working Paper 1332; European Fiscal Board (2019), </w:t>
      </w:r>
      <w:r>
        <w:rPr>
          <w:rFonts w:ascii="Times New Roman" w:hAnsi="Times New Roman" w:cs="Times New Roman"/>
          <w:i/>
        </w:rPr>
        <w:t>Assessment of EU fiscal rules with a focus on the six and two-pack legislation</w:t>
      </w:r>
      <w:r>
        <w:rPr>
          <w:rFonts w:ascii="Times New Roman" w:hAnsi="Times New Roman" w:cs="Times New Roman"/>
        </w:rPr>
        <w:t xml:space="preserve">, 11 September; Truger, A. (2016): </w:t>
      </w:r>
      <w:r>
        <w:rPr>
          <w:rFonts w:ascii="Times New Roman" w:hAnsi="Times New Roman" w:cs="Times New Roman"/>
          <w:i/>
        </w:rPr>
        <w:t>T</w:t>
      </w:r>
      <w:r>
        <w:rPr>
          <w:rFonts w:ascii="Times New Roman" w:hAnsi="Times New Roman" w:cs="Times New Roman"/>
          <w:i/>
        </w:rPr>
        <w:t>he golden rule of public investment: A necessary and sufficient reform of the EU fiscal framework</w:t>
      </w:r>
      <w:r>
        <w:rPr>
          <w:rFonts w:ascii="Times New Roman" w:hAnsi="Times New Roman" w:cs="Times New Roman"/>
        </w:rPr>
        <w:t xml:space="preserve">, IMF Working Paper, 168. </w:t>
      </w:r>
    </w:p>
  </w:footnote>
  <w:footnote w:id="41">
    <w:p w:rsidR="00630C0A" w:rsidRDefault="00961E71">
      <w:pPr>
        <w:pStyle w:val="FootnoteText"/>
        <w:spacing w:after="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instance: Heinemann, F. (2006): </w:t>
      </w:r>
      <w:r>
        <w:rPr>
          <w:rFonts w:ascii="Times New Roman" w:hAnsi="Times New Roman" w:cs="Times New Roman"/>
          <w:i/>
        </w:rPr>
        <w:t>Factor mobility, government debt and the decline in public investment,</w:t>
      </w:r>
      <w:r>
        <w:rPr>
          <w:rFonts w:ascii="Times New Roman" w:hAnsi="Times New Roman" w:cs="Times New Roman"/>
        </w:rPr>
        <w:t xml:space="preserve"> IEEP, 3, 11-26. Meh</w:t>
      </w:r>
      <w:r>
        <w:rPr>
          <w:rFonts w:ascii="Times New Roman" w:hAnsi="Times New Roman" w:cs="Times New Roman"/>
        </w:rPr>
        <w:t xml:space="preserve">rotra, A. and T. Välilä (2006): </w:t>
      </w:r>
      <w:r>
        <w:rPr>
          <w:rFonts w:ascii="Times New Roman" w:hAnsi="Times New Roman" w:cs="Times New Roman"/>
          <w:i/>
        </w:rPr>
        <w:t>Public investment in Europe: Evolution and determinants in perspective</w:t>
      </w:r>
      <w:r>
        <w:rPr>
          <w:rFonts w:ascii="Times New Roman" w:hAnsi="Times New Roman" w:cs="Times New Roman"/>
        </w:rPr>
        <w:t xml:space="preserve">, Fiscal Studies, 27(4), 443-471. Minea, A. and P. Villieu (2009): </w:t>
      </w:r>
      <w:r>
        <w:rPr>
          <w:rFonts w:ascii="Times New Roman" w:hAnsi="Times New Roman" w:cs="Times New Roman"/>
          <w:i/>
        </w:rPr>
        <w:t xml:space="preserve">Borrowing to finance public investment? The golden rule of public finance reconsidered </w:t>
      </w:r>
      <w:r>
        <w:rPr>
          <w:rFonts w:ascii="Times New Roman" w:hAnsi="Times New Roman" w:cs="Times New Roman"/>
          <w:i/>
        </w:rPr>
        <w:t>in an endogeneous growth setting</w:t>
      </w:r>
      <w:r>
        <w:rPr>
          <w:rFonts w:ascii="Times New Roman" w:hAnsi="Times New Roman" w:cs="Times New Roman"/>
        </w:rPr>
        <w:t xml:space="preserve">, Fiscal Studies, 30(1), 103-133. </w:t>
      </w:r>
    </w:p>
  </w:footnote>
  <w:footnote w:id="42">
    <w:p w:rsidR="00630C0A" w:rsidRDefault="00961E71">
      <w:pPr>
        <w:pStyle w:val="FootnoteText"/>
        <w:spacing w:after="60"/>
        <w:rPr>
          <w:sz w:val="18"/>
          <w:szCs w:val="18"/>
        </w:rPr>
      </w:pPr>
      <w:r>
        <w:rPr>
          <w:rStyle w:val="FootnoteReference"/>
          <w:rFonts w:ascii="Times New Roman" w:hAnsi="Times New Roman" w:cs="Times New Roman"/>
        </w:rPr>
        <w:footnoteRef/>
      </w:r>
      <w:r>
        <w:rPr>
          <w:rFonts w:ascii="Times New Roman" w:hAnsi="Times New Roman" w:cs="Times New Roman"/>
        </w:rPr>
        <w:t xml:space="preserve"> Mohl and Poissonnier (forthcoming), ‘Do fiscal rules hamper public investment?’; European Commission (2017), ‘Government investment in the EU’ in Report on Public Finances in EMU 2017, In</w:t>
      </w:r>
      <w:r>
        <w:rPr>
          <w:rFonts w:ascii="Times New Roman" w:hAnsi="Times New Roman" w:cs="Times New Roman"/>
        </w:rPr>
        <w:t>stitutional Paper 069.</w:t>
      </w:r>
    </w:p>
  </w:footnote>
  <w:footnote w:id="43">
    <w:p w:rsidR="00630C0A" w:rsidRDefault="00961E71">
      <w:pPr>
        <w:pStyle w:val="FootnoteText"/>
        <w:jc w:val="both"/>
        <w:rPr>
          <w:lang w:val="en-US"/>
        </w:rPr>
      </w:pPr>
      <w:r>
        <w:rPr>
          <w:rStyle w:val="FootnoteReference"/>
        </w:rPr>
        <w:footnoteRef/>
      </w:r>
      <w:r>
        <w:t xml:space="preserve"> </w:t>
      </w:r>
      <w:r>
        <w:rPr>
          <w:rFonts w:ascii="Times New Roman" w:hAnsi="Times New Roman" w:cs="Times New Roman"/>
        </w:rPr>
        <w:t>The s</w:t>
      </w:r>
      <w:r>
        <w:rPr>
          <w:rFonts w:ascii="Times New Roman" w:hAnsi="Times New Roman" w:cs="Times New Roman"/>
          <w:lang w:val="en-US"/>
        </w:rPr>
        <w:t>tructural balance also depends upon fiscal semi-elasticities, which are estimated from macroeconomic data and information on tax revenues; see Mourre, Poissonnier and Lausegger (2019), ‘The semi-elasticities underlying the cyc</w:t>
      </w:r>
      <w:r>
        <w:rPr>
          <w:rFonts w:ascii="Times New Roman" w:hAnsi="Times New Roman" w:cs="Times New Roman"/>
          <w:lang w:val="en-US"/>
        </w:rPr>
        <w:t xml:space="preserve">lically-adjusted budget balance: an update and further analysis’, Commission ECFIN Discussion Paper 098.  </w:t>
      </w:r>
      <w:r>
        <w:rPr>
          <w:lang w:val="en-US"/>
        </w:rPr>
        <w:t xml:space="preserve"> </w:t>
      </w:r>
    </w:p>
  </w:footnote>
  <w:footnote w:id="44">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However, it should be borne in mind that the main source of revisions are errors in forecasting, which are bound to affect the working of any forw</w:t>
      </w:r>
      <w:r>
        <w:rPr>
          <w:rFonts w:ascii="Times New Roman" w:hAnsi="Times New Roman" w:cs="Times New Roman"/>
        </w:rPr>
        <w:t>ard-looking framework.</w:t>
      </w:r>
    </w:p>
  </w:footnote>
  <w:footnote w:id="45">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order to provide ex ante guidance and to ensure predictability of the assessment’s outcome and certainty on what is expected from a Member State, the required adjustment for year t is frozen in the spring of year t-1, on the basis of the estimated outp</w:t>
      </w:r>
      <w:r>
        <w:rPr>
          <w:rFonts w:ascii="Times New Roman" w:hAnsi="Times New Roman" w:cs="Times New Roman"/>
        </w:rPr>
        <w:t>ut gap and Member State’s distance to its MTO at that time.</w:t>
      </w:r>
    </w:p>
  </w:footnote>
  <w:footnote w:id="46">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Fiscal Board has suggested to replace the debt reduction benchmark and the MTO by an expenditure rule (net of discretionary revenue measures) anchored on debt. Doing so would reduce</w:t>
      </w:r>
      <w:r>
        <w:rPr>
          <w:rFonts w:ascii="Times New Roman" w:hAnsi="Times New Roman" w:cs="Times New Roman"/>
        </w:rPr>
        <w:t xml:space="preserve"> the role of unobservable variables. See: European Fiscal Board (2019), ‘Assessment of the EU fiscal rules with a focus on the six and two-pack legislation’.</w:t>
      </w:r>
    </w:p>
  </w:footnote>
  <w:footnote w:id="47">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rPr>
        <w:t>European Court of Auditors, Is the main objective of the preventive arm of the Stability and Gro</w:t>
      </w:r>
      <w:r>
        <w:rPr>
          <w:rFonts w:ascii="Times New Roman" w:hAnsi="Times New Roman" w:cs="Times New Roman"/>
        </w:rPr>
        <w:t>wth Pact delivered?, Special report No 18/2018; European Court of Auditors, Further improvements needed to ensure effective implementation of the excessive deficit procedure.</w:t>
      </w:r>
    </w:p>
  </w:footnote>
  <w:footnote w:id="48">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Fiscal Board has argued that the introduction of reverse qualified</w:t>
      </w:r>
      <w:r>
        <w:rPr>
          <w:rFonts w:ascii="Times New Roman" w:hAnsi="Times New Roman" w:cs="Times New Roman"/>
        </w:rPr>
        <w:t xml:space="preserve"> majority voting has blurred the distinction between the analytical and (growing) political role of the Commission. It recommends a better separation between the economic analysis performed within the Commission and the policy decisions taken on the basis </w:t>
      </w:r>
      <w:r>
        <w:rPr>
          <w:rFonts w:ascii="Times New Roman" w:hAnsi="Times New Roman" w:cs="Times New Roman"/>
        </w:rPr>
        <w:t>of that analysis. In addition, it proposes to remove the reverse qualified majority voting principle.  See: European Fiscal Board (2019), ‘Assessment of the EU fiscal rules with a focus on the six and two-pack legislation’.</w:t>
      </w:r>
    </w:p>
  </w:footnote>
  <w:footnote w:id="49">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(2019), “Has ownership of the EU’s fiscal rules been strengthened by national fiscal frameworks?” in Report on Public Finances in EMU 2018, Institutional Paper 095</w:t>
      </w:r>
    </w:p>
  </w:footnote>
  <w:footnote w:id="50">
    <w:p w:rsidR="00630C0A" w:rsidRDefault="00961E71">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European Commission (forthcoming), “Performance of spending rules at </w:t>
      </w:r>
      <w:r>
        <w:rPr>
          <w:rFonts w:ascii="Times New Roman" w:hAnsi="Times New Roman" w:cs="Times New Roman"/>
        </w:rPr>
        <w:t xml:space="preserve">the EU and Member States’ level” in Report on Public Finances in EMU 2019, Institutional Paper forthcoming.  </w:t>
      </w:r>
    </w:p>
  </w:footnote>
  <w:footnote w:id="51">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 attempt in that direction was made in December 2017, when the Commission presented a proposal for a Directive incorporating the Fiscal Compac</w:t>
      </w:r>
      <w:r>
        <w:rPr>
          <w:rFonts w:ascii="Times New Roman" w:hAnsi="Times New Roman" w:cs="Times New Roman"/>
        </w:rPr>
        <w:t>t into EU law, which however has not received sufficient support from legislators.</w:t>
      </w:r>
    </w:p>
  </w:footnote>
  <w:footnote w:id="52">
    <w:p w:rsidR="00630C0A" w:rsidRDefault="00961E71">
      <w:pPr>
        <w:pStyle w:val="FootnoteText"/>
        <w:rPr>
          <w:lang w:val="en-US"/>
        </w:rPr>
      </w:pPr>
      <w:r>
        <w:rPr>
          <w:rStyle w:val="FootnoteReference"/>
        </w:rPr>
        <w:footnoteRef/>
      </w:r>
      <w:r>
        <w:t xml:space="preserve"> </w:t>
      </w:r>
      <w:r>
        <w:rPr>
          <w:rFonts w:ascii="Times New Roman" w:hAnsi="Times New Roman" w:cs="Times New Roman"/>
        </w:rPr>
        <w:t>European Court of Auditors, “EU requirements for national budgetary frameworks: need to further strengthen them and to better monitor their application”, Special Report No</w:t>
      </w:r>
      <w:r>
        <w:rPr>
          <w:rFonts w:ascii="Times New Roman" w:hAnsi="Times New Roman" w:cs="Times New Roman"/>
        </w:rPr>
        <w:t xml:space="preserve"> 22/2019.</w:t>
      </w:r>
    </w:p>
  </w:footnote>
  <w:footnote w:id="53">
    <w:p w:rsidR="00630C0A" w:rsidRDefault="00961E71">
      <w:pPr>
        <w:pStyle w:val="FootnoteText"/>
      </w:pPr>
      <w:r>
        <w:rPr>
          <w:rStyle w:val="FootnoteReference"/>
          <w:rFonts w:ascii="Times New Roman" w:hAnsi="Times New Roman" w:cs="Times New Roman"/>
        </w:rPr>
        <w:footnoteRef/>
      </w:r>
      <w:r>
        <w:t xml:space="preserve"> </w:t>
      </w:r>
      <w:r>
        <w:rPr>
          <w:rFonts w:ascii="Times New Roman" w:hAnsi="Times New Roman" w:cs="Times New Roman"/>
        </w:rPr>
        <w:t>Cf. Article 126(2) TFEU.</w:t>
      </w:r>
    </w:p>
  </w:footnote>
  <w:footnote w:id="54">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Regulation (EU) No 472/2013 on the strengthening of economic and budgetary surveillance of Member States in the euro area experiencing or threatened with serious difficulties with respect to their financi</w:t>
      </w:r>
      <w:r>
        <w:rPr>
          <w:rFonts w:ascii="Times New Roman" w:hAnsi="Times New Roman" w:cs="Times New Roman"/>
        </w:rPr>
        <w:t>al stability, MIP surveillance does not apply to euro area Member States subject to a macroeconomic adjustment programme for the duration of that programme.</w:t>
      </w:r>
    </w:p>
  </w:footnote>
  <w:footnote w:id="55">
    <w:p w:rsidR="00630C0A" w:rsidRDefault="00961E71">
      <w:pPr>
        <w:jc w:val="both"/>
      </w:pPr>
      <w:r>
        <w:rPr>
          <w:rStyle w:val="FootnoteReference"/>
          <w:sz w:val="20"/>
          <w:szCs w:val="20"/>
        </w:rPr>
        <w:footnoteRef/>
      </w:r>
      <w:r>
        <w:rPr>
          <w:rStyle w:val="FootnoteTextChar"/>
        </w:rPr>
        <w:t xml:space="preserve"> European Commission (2016), “The Macroeconomic Imbalance Procedure. Rationale, Process, Applicati</w:t>
      </w:r>
      <w:r>
        <w:rPr>
          <w:rStyle w:val="FootnoteTextChar"/>
        </w:rPr>
        <w:t>on: a Compendium”, European Commission, Institutional Paper 39, November 2016.</w:t>
      </w:r>
    </w:p>
  </w:footnote>
  <w:footnote w:id="56">
    <w:p w:rsidR="00630C0A" w:rsidRDefault="00961E71">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European Court of Auditors (2018), "Audit of the Macroeconomic Imbalance Procedure", Special Report 03.</w:t>
      </w:r>
    </w:p>
  </w:footnote>
  <w:footnote w:id="57">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These indicators are mainly compiled by Eurostat from the data transm</w:t>
      </w:r>
      <w:r>
        <w:rPr>
          <w:rFonts w:ascii="Times New Roman" w:hAnsi="Times New Roman" w:cs="Times New Roman"/>
        </w:rPr>
        <w:t>itted by Member States, following Union legislation. Some indicators are produced in the Member States by National Central Banks in their capacity as members of the European System of Central Banks (ESCB). Eurostat prepares a Statistical Annex to the Alert</w:t>
      </w:r>
      <w:r>
        <w:rPr>
          <w:rFonts w:ascii="Times New Roman" w:hAnsi="Times New Roman" w:cs="Times New Roman"/>
        </w:rPr>
        <w:t xml:space="preserve"> Mechanism Report scoreboard and auxiliary indicators.</w:t>
      </w:r>
    </w:p>
  </w:footnote>
  <w:footnote w:id="58">
    <w:p w:rsidR="00630C0A" w:rsidRDefault="00961E71">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The MIP Compendium (section 3.3.1.1.) elaborates on the indicators in the scoreboard, the rationale for their choice, their statistical definitions, data sources and the relevant thresholds and the c</w:t>
      </w:r>
      <w:r>
        <w:rPr>
          <w:rFonts w:ascii="Times New Roman" w:hAnsi="Times New Roman" w:cs="Times New Roman"/>
        </w:rPr>
        <w:t>riteria for their determination. S</w:t>
      </w:r>
      <w:r>
        <w:rPr>
          <w:rFonts w:ascii="Times New Roman" w:hAnsi="Times New Roman" w:cs="Times New Roman"/>
          <w:lang w:eastAsia="es-ES"/>
        </w:rPr>
        <w:t xml:space="preserve">ee also European Commission, "Scoreboard for the Surveillance of Macroeconomic Imbalances" </w:t>
      </w:r>
      <w:r>
        <w:rPr>
          <w:rFonts w:ascii="Times New Roman" w:hAnsi="Times New Roman" w:cs="Times New Roman"/>
        </w:rPr>
        <w:t xml:space="preserve">– </w:t>
      </w:r>
      <w:r>
        <w:rPr>
          <w:rFonts w:ascii="Times New Roman" w:hAnsi="Times New Roman" w:cs="Times New Roman"/>
          <w:lang w:eastAsia="es-ES"/>
        </w:rPr>
        <w:t xml:space="preserve">European Economy, Occasional Paper 92, 2012; and </w:t>
      </w:r>
      <w:r>
        <w:rPr>
          <w:rFonts w:ascii="Times New Roman" w:hAnsi="Times New Roman" w:cs="Times New Roman"/>
        </w:rPr>
        <w:t xml:space="preserve">"Scoreboard for the surveillance of macroeconomic imbalances: envisaged initial </w:t>
      </w:r>
      <w:r>
        <w:rPr>
          <w:rFonts w:ascii="Times New Roman" w:hAnsi="Times New Roman" w:cs="Times New Roman"/>
        </w:rPr>
        <w:t>design", – SEC (2011) 1361 final, 8.11.2011.</w:t>
      </w:r>
    </w:p>
  </w:footnote>
  <w:footnote w:id="59">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E.g., C. Kamps, R. De Stefani, N. Leiner-Killinger, R. Rüffer and D. Sondermann (2014), "The identification of fiscal and macroeconomic imbalances unexploited synergies under the strengthened EU governance fra</w:t>
      </w:r>
      <w:r>
        <w:rPr>
          <w:rFonts w:ascii="Times New Roman" w:hAnsi="Times New Roman" w:cs="Times New Roman"/>
        </w:rPr>
        <w:t>mework", ECB Occasional paper Series No 157, November 2014; B. Pierluigi, and D. Sondermann (2018), Macroeconomic imbalances in the euro area: where do we stand?", ECB Occasional paper Series No 211, June 2018.</w:t>
      </w:r>
    </w:p>
  </w:footnote>
  <w:footnote w:id="60">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in particular, section 3.3.1.2 of the </w:t>
      </w:r>
      <w:r>
        <w:rPr>
          <w:rFonts w:ascii="Times New Roman" w:hAnsi="Times New Roman" w:cs="Times New Roman"/>
        </w:rPr>
        <w:t>MIP Compendium.</w:t>
      </w:r>
    </w:p>
  </w:footnote>
  <w:footnote w:id="61">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may include regular or ad-hoc reports and analyses by international organisations and institutions, such as ECB, ESRB, OECD, IMF, central banks, or academia.</w:t>
      </w:r>
    </w:p>
  </w:footnote>
  <w:footnote w:id="62">
    <w:p w:rsidR="00630C0A" w:rsidRDefault="00961E71">
      <w:pPr>
        <w:pStyle w:val="FootnoteText"/>
        <w:jc w:val="both"/>
        <w:rPr>
          <w:rFonts w:cs="Times New Roman"/>
        </w:rPr>
      </w:pPr>
      <w:r>
        <w:rPr>
          <w:rStyle w:val="FootnoteReference"/>
          <w:rFonts w:ascii="Times New Roman" w:hAnsi="Times New Roman" w:cs="Times New Roman"/>
        </w:rPr>
        <w:footnoteRef/>
      </w:r>
      <w:r>
        <w:rPr>
          <w:rFonts w:ascii="Times New Roman" w:hAnsi="Times New Roman" w:cs="Times New Roman"/>
        </w:rPr>
        <w:t xml:space="preserve"> Although the scoreboard has not been used mechanistically to identify imbalances, it turns out that the number of readings beyond the thresholds has tended to be higher in Member States with imbalances and especially excessive imbalances (see MIP Compendi</w:t>
      </w:r>
      <w:r>
        <w:rPr>
          <w:rFonts w:ascii="Times New Roman" w:hAnsi="Times New Roman" w:cs="Times New Roman"/>
        </w:rPr>
        <w:t xml:space="preserve">um, section 4.3.1). </w:t>
      </w:r>
    </w:p>
  </w:footnote>
  <w:footnote w:id="63">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instance, the selection of Romania for an IDR as in the AMR 2019 was partly motivated by financial governance issues.</w:t>
      </w:r>
    </w:p>
  </w:footnote>
  <w:footnote w:id="64">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the ECOFIN Council Conclusions on AMR 2019: </w:t>
      </w:r>
      <w:hyperlink r:id="rId4" w:history="1">
        <w:r>
          <w:rPr>
            <w:rStyle w:val="Hyperlink"/>
            <w:rFonts w:ascii="Times New Roman" w:hAnsi="Times New Roman" w:cs="Times New Roman"/>
          </w:rPr>
          <w:t>https://data.consilium.europa.eu/doc/document/ST-5603-2019-INIT/en/pdf</w:t>
        </w:r>
      </w:hyperlink>
    </w:p>
  </w:footnote>
  <w:footnote w:id="65">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e.g., Council conclusions on the 2015 IDRs: </w:t>
      </w:r>
      <w:hyperlink r:id="rId5" w:history="1">
        <w:r>
          <w:rPr>
            <w:rStyle w:val="Hyperlink"/>
            <w:rFonts w:ascii="Times New Roman" w:hAnsi="Times New Roman" w:cs="Times New Roman"/>
          </w:rPr>
          <w:t>https://www.consilium.europa.eu/en/press/press-releases/2016/05/25/conclusions-in-depth-review-2015-csr/</w:t>
        </w:r>
      </w:hyperlink>
    </w:p>
  </w:footnote>
  <w:footnote w:id="66">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 Efstathiou and G. B. Wolff (2018), "Is the European Semester effective and useful?", Bruegel Policy Contribution, Issue 09, June</w:t>
      </w:r>
      <w:r>
        <w:rPr>
          <w:rFonts w:ascii="Times New Roman" w:hAnsi="Times New Roman" w:cs="Times New Roman"/>
        </w:rPr>
        <w:t xml:space="preserve"> 2018. A. Bénassy-Quéré (2017), "Making the European semester more efficient", ECB Forum on Central Banking "Investment and growth in advanced economies: Conference proceedings".</w:t>
      </w:r>
    </w:p>
  </w:footnote>
  <w:footnote w:id="67">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Juncker, J.-C. in close cooperation with D. Tusk, J. Dijsselbloem, M. Dragh</w:t>
      </w:r>
      <w:r>
        <w:rPr>
          <w:rFonts w:ascii="Times New Roman" w:hAnsi="Times New Roman" w:cs="Times New Roman"/>
        </w:rPr>
        <w:t>i and M. Schulz (2015), "Completing Europe's Economic and Monetary Union".</w:t>
      </w:r>
    </w:p>
  </w:footnote>
  <w:footnote w:id="68">
    <w:p w:rsidR="00630C0A" w:rsidRDefault="00961E71">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Communication from the Commission to the European Parliament, the Council and the European Central Bank "On Steps towards completing Economic and Monetary Union", COM(2015) 600 fi</w:t>
      </w:r>
      <w:r>
        <w:rPr>
          <w:rFonts w:ascii="Times New Roman" w:hAnsi="Times New Roman" w:cs="Times New Roman"/>
        </w:rPr>
        <w:t xml:space="preserve">nal. </w:t>
      </w:r>
      <w:hyperlink r:id="rId6" w:history="1">
        <w:r>
          <w:rPr>
            <w:rStyle w:val="Hyperlink"/>
            <w:rFonts w:ascii="Times New Roman" w:hAnsi="Times New Roman" w:cs="Times New Roman"/>
          </w:rPr>
          <w:t>https://ec.europa.eu/transparency/regdoc/rep/1/2015/EN/1-2015-600-EN-F1-1.PDF</w:t>
        </w:r>
      </w:hyperlink>
    </w:p>
  </w:footnote>
  <w:footnote w:id="69">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was corroborated by the Council on its conclusions on the original desig</w:t>
      </w:r>
      <w:r>
        <w:rPr>
          <w:rFonts w:ascii="Times New Roman" w:hAnsi="Times New Roman" w:cs="Times New Roman"/>
        </w:rPr>
        <w:t xml:space="preserve">n of the scoreboard: </w:t>
      </w:r>
      <w:hyperlink r:id="rId7" w:history="1">
        <w:r>
          <w:rPr>
            <w:rStyle w:val="Hyperlink"/>
            <w:rFonts w:ascii="Times New Roman" w:hAnsi="Times New Roman" w:cs="Times New Roman"/>
          </w:rPr>
          <w:t>https://register.consilium.europa.eu/doc/srv?l=EN&amp;f=ST%2015781%202011%20REV%202</w:t>
        </w:r>
      </w:hyperlink>
    </w:p>
  </w:footnote>
  <w:footnote w:id="70">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footnote</w:t>
      </w:r>
      <w:r>
        <w:rPr>
          <w:rFonts w:ascii="Times New Roman" w:hAnsi="Times New Roman" w:cs="Times New Roman"/>
        </w:rPr>
        <w:fldChar w:fldCharType="begin"/>
      </w:r>
      <w:r>
        <w:rPr>
          <w:rFonts w:ascii="Times New Roman" w:hAnsi="Times New Roman" w:cs="Times New Roman"/>
        </w:rPr>
        <w:instrText xml:space="preserve"> NOTEREF _Ref25673183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67</w:t>
      </w:r>
      <w:r>
        <w:rPr>
          <w:rFonts w:ascii="Times New Roman" w:hAnsi="Times New Roman" w:cs="Times New Roman"/>
        </w:rPr>
        <w:fldChar w:fldCharType="end"/>
      </w:r>
      <w:r>
        <w:rPr>
          <w:rFonts w:ascii="Times New Roman" w:hAnsi="Times New Roman" w:cs="Times New Roman"/>
        </w:rPr>
        <w:t>.</w:t>
      </w:r>
    </w:p>
  </w:footnote>
  <w:footnote w:id="71">
    <w:p w:rsidR="00630C0A" w:rsidRDefault="00961E71">
      <w:pPr>
        <w:pStyle w:val="ListParagraph"/>
        <w:ind w:left="0"/>
        <w:jc w:val="both"/>
        <w:rPr>
          <w:rFonts w:asciiTheme="minorHAnsi" w:hAnsiTheme="minorHAnsi"/>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Government debt sustainability analysis developed in the context of the surveillance related to the Stability and Growth Pact is also used when relevant for the MIP analysis.</w:t>
      </w:r>
    </w:p>
  </w:footnote>
  <w:footnote w:id="72">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footnote </w:t>
      </w:r>
      <w:r>
        <w:rPr>
          <w:rFonts w:ascii="Times New Roman" w:hAnsi="Times New Roman" w:cs="Times New Roman"/>
        </w:rPr>
        <w:fldChar w:fldCharType="begin"/>
      </w:r>
      <w:r>
        <w:rPr>
          <w:rFonts w:ascii="Times New Roman" w:hAnsi="Times New Roman" w:cs="Times New Roman"/>
        </w:rPr>
        <w:instrText xml:space="preserve"> NOTEREF _Ref</w:instrText>
      </w:r>
      <w:r>
        <w:rPr>
          <w:rFonts w:ascii="Times New Roman" w:hAnsi="Times New Roman" w:cs="Times New Roman"/>
        </w:rPr>
        <w:instrText xml:space="preserve">25673183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67</w:t>
      </w:r>
      <w:r>
        <w:rPr>
          <w:rFonts w:ascii="Times New Roman" w:hAnsi="Times New Roman" w:cs="Times New Roman"/>
        </w:rPr>
        <w:fldChar w:fldCharType="end"/>
      </w:r>
      <w:r>
        <w:rPr>
          <w:rFonts w:ascii="Times New Roman" w:hAnsi="Times New Roman" w:cs="Times New Roman"/>
        </w:rPr>
        <w:t>, and also Communication from the Commission to the European Parliament, the Council, the European Central Bank and the Eurogroup, "2016 European Semester: An assessment of progress on structural reforms, prevention and correction of macroeconomic imbalanc</w:t>
      </w:r>
      <w:r>
        <w:rPr>
          <w:rFonts w:ascii="Times New Roman" w:hAnsi="Times New Roman" w:cs="Times New Roman"/>
        </w:rPr>
        <w:t xml:space="preserve">es, and results of in-depth reviews under Regulation (EU) No 1176/2011", Strasbourg, 8.3.2016 COM(2016) 95 final, </w:t>
      </w:r>
      <w:hyperlink r:id="rId8" w:history="1">
        <w:r>
          <w:rPr>
            <w:rStyle w:val="Hyperlink"/>
            <w:rFonts w:ascii="Times New Roman" w:hAnsi="Times New Roman" w:cs="Times New Roman"/>
          </w:rPr>
          <w:t>http://ec.europa.eu/europe2020/pdf/csr2016/cr2016_comm_en.pdf</w:t>
        </w:r>
      </w:hyperlink>
      <w:r>
        <w:rPr>
          <w:rFonts w:ascii="Times New Roman" w:hAnsi="Times New Roman" w:cs="Times New Roman"/>
        </w:rPr>
        <w:t>.</w:t>
      </w:r>
    </w:p>
  </w:footnote>
  <w:footnote w:id="73">
    <w:p w:rsidR="00630C0A" w:rsidRDefault="00961E71">
      <w:pPr>
        <w:pStyle w:val="FootnoteText"/>
        <w:jc w:val="both"/>
        <w:rPr>
          <w:rFonts w:ascii="Calibri" w:hAnsi="Calibri" w:cs="Times New Roman"/>
        </w:rPr>
      </w:pPr>
      <w:r>
        <w:rPr>
          <w:rStyle w:val="FootnoteReference"/>
          <w:rFonts w:ascii="Times New Roman" w:hAnsi="Times New Roman" w:cs="Times New Roman"/>
        </w:rPr>
        <w:footnoteRef/>
      </w:r>
      <w:r>
        <w:rPr>
          <w:rFonts w:ascii="Times New Roman" w:hAnsi="Times New Roman" w:cs="Times New Roman"/>
        </w:rPr>
        <w:t xml:space="preserve"> To allow a finer degree of detail, data on policy recommendations presented here refers always to CSR subparts unless stated otherwise</w:t>
      </w:r>
      <w:r>
        <w:t>.</w:t>
      </w:r>
    </w:p>
  </w:footnote>
  <w:footnote w:id="74">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e.g., Bénassy-Quéré (2017).</w:t>
      </w:r>
    </w:p>
  </w:footnote>
  <w:footnote w:id="75">
    <w:p w:rsidR="00630C0A" w:rsidRDefault="00961E71">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Within the European Semester, a regular monitoring process applies to all CSRs, ir</w:t>
      </w:r>
      <w:r>
        <w:rPr>
          <w:rFonts w:ascii="Times New Roman" w:hAnsi="Times New Roman" w:cs="Times New Roman"/>
        </w:rPr>
        <w:t xml:space="preserve">respective of whether countries are under MIP surveillance or if the CSRs are flagged as MIP-relevant or not, and the results are published in detail with the annual Country Reports. </w:t>
      </w:r>
    </w:p>
  </w:footnote>
  <w:footnote w:id="76">
    <w:p w:rsidR="00630C0A" w:rsidRDefault="00961E71">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See, e.g., the January 2019 ECOFIN Council Conclusions on the specific monitoring, which are bundled with those on the AMR: </w:t>
      </w:r>
      <w:hyperlink r:id="rId9" w:history="1">
        <w:r>
          <w:rPr>
            <w:rStyle w:val="Hyperlink"/>
            <w:rFonts w:ascii="Times New Roman" w:hAnsi="Times New Roman" w:cs="Times New Roman"/>
          </w:rPr>
          <w:t>https://data.consilium.europa.eu/doc/documen</w:t>
        </w:r>
        <w:r>
          <w:rPr>
            <w:rStyle w:val="Hyperlink"/>
            <w:rFonts w:ascii="Times New Roman" w:hAnsi="Times New Roman" w:cs="Times New Roman"/>
          </w:rPr>
          <w:t>t/ST-5603-2019-INIT/en/pdf</w:t>
        </w:r>
      </w:hyperlink>
      <w:r>
        <w:rPr>
          <w:rFonts w:ascii="Times New Roman" w:hAnsi="Times New Roman" w:cs="Times New Roman"/>
        </w:rPr>
        <w:t>.</w:t>
      </w:r>
    </w:p>
  </w:footnote>
  <w:footnote w:id="77">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MIP Compendium and J.C. Bricongne and A. Turrini (2017), "The EU Macroeconomic Imbalance Procedure: Some impact and no sanctions", VOXEU column, 22 June 2017, for similar results limited to the first years of MIP impl</w:t>
      </w:r>
      <w:r>
        <w:rPr>
          <w:rFonts w:ascii="Times New Roman" w:hAnsi="Times New Roman" w:cs="Times New Roman"/>
        </w:rPr>
        <w:t>ementation.</w:t>
      </w:r>
    </w:p>
  </w:footnote>
  <w:footnote w:id="78">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e.g. the Council Conclusions on the 2016 and 2017 IDRs. </w:t>
      </w:r>
    </w:p>
  </w:footnote>
  <w:footnote w:id="79">
    <w:p w:rsidR="00630C0A" w:rsidRDefault="00961E71">
      <w:pPr>
        <w:autoSpaceDE w:val="0"/>
        <w:autoSpaceDN w:val="0"/>
        <w:adjustRightInd w:val="0"/>
        <w:jc w:val="both"/>
        <w:rPr>
          <w:rFonts w:asciiTheme="minorHAnsi" w:hAnsiTheme="minorHAnsi"/>
        </w:rPr>
      </w:pPr>
      <w:r>
        <w:rPr>
          <w:rStyle w:val="FootnoteReference"/>
          <w:sz w:val="20"/>
          <w:szCs w:val="20"/>
        </w:rPr>
        <w:footnoteRef/>
      </w:r>
      <w:r>
        <w:rPr>
          <w:sz w:val="20"/>
          <w:szCs w:val="20"/>
        </w:rPr>
        <w:t xml:space="preserve"> </w:t>
      </w:r>
      <w:r>
        <w:rPr>
          <w:sz w:val="20"/>
          <w:szCs w:val="20"/>
          <w:lang w:val="en-US" w:eastAsia="fr-BE"/>
        </w:rPr>
        <w:t>ECB, Economic Bulletin, Issue 2/2019, Box 7. Similar views have been expressed in several other instances, for example, Economic Bulletin, Issue 2/2018 and Economic Bulletin, Iss</w:t>
      </w:r>
      <w:r>
        <w:rPr>
          <w:sz w:val="20"/>
          <w:szCs w:val="20"/>
          <w:lang w:val="en-US" w:eastAsia="fr-BE"/>
        </w:rPr>
        <w:t>ue 2/2017.</w:t>
      </w:r>
      <w:r>
        <w:rPr>
          <w:rFonts w:asciiTheme="minorHAnsi" w:hAnsiTheme="minorHAnsi" w:cs="Calibri"/>
          <w:sz w:val="20"/>
          <w:szCs w:val="20"/>
          <w:lang w:val="en-US" w:eastAsia="fr-BE"/>
        </w:rPr>
        <w:t xml:space="preserve"> </w:t>
      </w:r>
    </w:p>
  </w:footnote>
  <w:footnote w:id="80">
    <w:p w:rsidR="00630C0A" w:rsidRDefault="00961E71">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See e.g. S.</w:t>
      </w:r>
      <w:r>
        <w:t xml:space="preserve"> </w:t>
      </w:r>
      <w:r>
        <w:rPr>
          <w:rFonts w:ascii="Times New Roman" w:hAnsi="Times New Roman" w:cs="Times New Roman"/>
        </w:rPr>
        <w:t xml:space="preserve">Darvas and A. Leandro (2015), "Economic policy coordination in the euro area under the European Semester", European Parliament, Directorate-General for Internal Policies, Study provided at the request of the Economic and Monetary </w:t>
      </w:r>
      <w:r>
        <w:rPr>
          <w:rFonts w:ascii="Times New Roman" w:hAnsi="Times New Roman" w:cs="Times New Roman"/>
        </w:rPr>
        <w:t>Affairs Committee. The authors find that over the 2012-2014 period, the highest rates of implementation were observed for recommendations under the Stability and Growth Pact, followed by MIP-related recommendations, and then other country-specific recommen</w:t>
      </w:r>
      <w:r>
        <w:rPr>
          <w:rFonts w:ascii="Times New Roman" w:hAnsi="Times New Roman" w:cs="Times New Roman"/>
        </w:rPr>
        <w:t>dations.</w:t>
      </w:r>
    </w:p>
  </w:footnote>
  <w:footnote w:id="81">
    <w:p w:rsidR="00630C0A" w:rsidRDefault="00961E71">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K.</w:t>
      </w:r>
      <w:r>
        <w:t xml:space="preserve"> </w:t>
      </w:r>
      <w:r>
        <w:rPr>
          <w:rFonts w:ascii="Times New Roman" w:hAnsi="Times New Roman" w:cs="Times New Roman"/>
        </w:rPr>
        <w:t>Efstathiou, and G. Wolff (2019), "What drives national implementation of EU policy recommendations?" Bruegel Working Paper, Issue 04, April 2019.</w:t>
      </w:r>
    </w:p>
  </w:footnote>
  <w:footnote w:id="82">
    <w:p w:rsidR="00630C0A" w:rsidRDefault="00961E71">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The CSR progress indicator is calculated as the simple average of progress for all CSRs. It is</w:t>
      </w:r>
      <w:r>
        <w:rPr>
          <w:rFonts w:ascii="Times New Roman" w:hAnsi="Times New Roman" w:cs="Times New Roman"/>
        </w:rPr>
        <w:t xml:space="preserve"> based on five possible categories: no progress; limited progress; some progress; substantial progress; full progress, to which values of 0, 25, 50, 75, and 100 are assigned respectively following the methodology first used in S. Deroose and J. Griesse (20</w:t>
      </w:r>
      <w:r>
        <w:rPr>
          <w:rFonts w:ascii="Times New Roman" w:hAnsi="Times New Roman" w:cs="Times New Roman"/>
        </w:rPr>
        <w:t>14), "Implementing economic reforms – are EU Member States responding to European Semester recommendations?", ECFIN Economic Brief, Issue 37. Thus, an overall progress indicator of 100 indicates full progress for all CSRs subparts, and a reading of 0 arise</w:t>
      </w:r>
      <w:r>
        <w:rPr>
          <w:rFonts w:ascii="Times New Roman" w:hAnsi="Times New Roman" w:cs="Times New Roman"/>
        </w:rPr>
        <w:t>s in case of no progress in any CSR subpart. The progress indicator at CSR subpart level is available starting only from the CSRs issued in 2013 as no assessment at subpart level was carried out for the CSRs issued in 2012.</w:t>
      </w:r>
    </w:p>
  </w:footnote>
  <w:footnote w:id="83">
    <w:p w:rsidR="00630C0A" w:rsidRDefault="00961E71">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See, e.g., D. J. Bokhorst (2019), "Governing Imbalances in the Economic and Monetary Union: A Political Economy Analysis of the Macroeconomic Imbalance Procedure", Doctoral dissertation, University of Amsterdam, Department of Political Science; Pierluigi </w:t>
      </w:r>
      <w:r>
        <w:rPr>
          <w:rFonts w:ascii="Times New Roman" w:hAnsi="Times New Roman" w:cs="Times New Roman"/>
        </w:rPr>
        <w:t>and Sondermann (2018), op. cit.</w:t>
      </w:r>
    </w:p>
  </w:footnote>
  <w:footnote w:id="84">
    <w:p w:rsidR="00630C0A" w:rsidRDefault="00961E71">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ECA (2018): </w:t>
      </w:r>
      <w:r>
        <w:rPr>
          <w:rFonts w:ascii="Times New Roman" w:hAnsi="Times New Roman" w:cs="Times New Roman"/>
        </w:rPr>
        <w:t>answers to questions 36, 40 and 44 of the survey to EPC members.</w:t>
      </w:r>
    </w:p>
  </w:footnote>
  <w:footnote w:id="85">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 approach sometimes used to establish a counterfactual against which to compare the effects of economic surveillance frameworks is by means o</w:t>
      </w:r>
      <w:r>
        <w:rPr>
          <w:rFonts w:ascii="Times New Roman" w:hAnsi="Times New Roman" w:cs="Times New Roman"/>
        </w:rPr>
        <w:t>f a difference-in-difference regression approach (aimed at assessing whether the presence of MIP surveillance made a difference for the countries concerned as opposed to those countries not under the MIP, controlling for other factors). An alternative is t</w:t>
      </w:r>
      <w:r>
        <w:rPr>
          <w:rFonts w:ascii="Times New Roman" w:hAnsi="Times New Roman" w:cs="Times New Roman"/>
        </w:rPr>
        <w:t>he use of “synthetic counterfactual” analysis (where the performance of each MIP country under MIP surveillance is confronted with that of a synthetic comparator combining the relevant characteristics that best resemble the country under investigation, exc</w:t>
      </w:r>
      <w:r>
        <w:rPr>
          <w:rFonts w:ascii="Times New Roman" w:hAnsi="Times New Roman" w:cs="Times New Roman"/>
        </w:rPr>
        <w:t>ept being under MIP surveillance).</w:t>
      </w:r>
    </w:p>
  </w:footnote>
  <w:footnote w:id="86">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 the role of macroeconomic imbalances in affecting patterns of growth and convergence in the euro area see, e.g., M. Buti and A. Turrini (2015), "Three waves of convergence. Can Eurozone countries start growing togeth</w:t>
      </w:r>
      <w:r>
        <w:rPr>
          <w:rFonts w:ascii="Times New Roman" w:hAnsi="Times New Roman" w:cs="Times New Roman"/>
        </w:rPr>
        <w:t xml:space="preserve">er again?" VOXEU column, 17 April 2015; and L. Coutinho and A. Turrini (2019), "Convergence and Macroeconomic Imbalances", Quarterly Report on the Euro Area, European Economy, Institutional Paper 111, July 2019. </w:t>
      </w:r>
    </w:p>
  </w:footnote>
  <w:footnote w:id="87">
    <w:p w:rsidR="00630C0A" w:rsidRDefault="00961E71">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See, e.g., European Commission, Alert Mec</w:t>
      </w:r>
      <w:r>
        <w:rPr>
          <w:rFonts w:ascii="Times New Roman" w:hAnsi="Times New Roman" w:cs="Times New Roman"/>
        </w:rPr>
        <w:t>hanism Report, issues 2015-2019. Regarding imbalances associated with past housing booms, downward house prices corrections were in most cases recorded in the countries concerned already before MIP surveillance started being implemented (e.g., Spain).</w:t>
      </w:r>
      <w:r>
        <w:t xml:space="preserve"> </w:t>
      </w:r>
    </w:p>
  </w:footnote>
  <w:footnote w:id="88">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w:t>
      </w:r>
      <w:r>
        <w:rPr>
          <w:rFonts w:ascii="Times New Roman" w:hAnsi="Times New Roman" w:cs="Times New Roman"/>
        </w:rPr>
        <w:t>ecital 17 to Regulation No 1176/2011 acknowledges the lower degree of risk associated with large current account surpluses as compared with deficits, a point made also in a Commission declaration joined to the same Regulation.</w:t>
      </w:r>
    </w:p>
  </w:footnote>
  <w:footnote w:id="89">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an outcome, a joint ESS-</w:t>
      </w:r>
      <w:r>
        <w:rPr>
          <w:rFonts w:ascii="Times New Roman" w:hAnsi="Times New Roman" w:cs="Times New Roman"/>
        </w:rPr>
        <w:t>ESCB annual quality reports provides an assessment of the quality of these statistics.</w:t>
      </w:r>
    </w:p>
  </w:footnote>
  <w:footnote w:id="90">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ECA(2018) op. cit., recommendation 5.</w:t>
      </w:r>
    </w:p>
  </w:footnote>
  <w:footnote w:id="91">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E.g., Bénassy-Quéré (2017), op. cit.; Efsthatiou and Wolff (2018), op. cit.</w:t>
      </w:r>
    </w:p>
  </w:footnote>
  <w:footnote w:id="92">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the Council conclusions on the 2019 IDRs</w:t>
      </w:r>
      <w:r>
        <w:rPr>
          <w:rFonts w:ascii="Times New Roman" w:hAnsi="Times New Roman" w:cs="Times New Roman"/>
        </w:rPr>
        <w:t xml:space="preserve">: </w:t>
      </w:r>
      <w:hyperlink r:id="rId10" w:history="1">
        <w:r>
          <w:rPr>
            <w:rStyle w:val="Hyperlink"/>
            <w:rFonts w:ascii="Times New Roman" w:hAnsi="Times New Roman" w:cs="Times New Roman"/>
          </w:rPr>
          <w:t>https://data.consilium.europa.eu/doc/document/ST-9473-2019-INIT/en/pdf</w:t>
        </w:r>
      </w:hyperlink>
    </w:p>
  </w:footnote>
  <w:footnote w:id="93">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Memorandum of Cooperation will be concluded between the Commission and the ESM once the am</w:t>
      </w:r>
      <w:r>
        <w:rPr>
          <w:rFonts w:ascii="Times New Roman" w:hAnsi="Times New Roman" w:cs="Times New Roman"/>
        </w:rPr>
        <w:t xml:space="preserve">ended Treaty of the ESM has been ratified. It will be based on the Memorandum of Understanding concluded in April 2018 and the Joint Position of the Commission and the ESM in November 2018, </w:t>
      </w:r>
      <w:hyperlink r:id="rId11" w:history="1">
        <w:r>
          <w:rPr>
            <w:rStyle w:val="Hyperlink"/>
            <w:rFonts w:ascii="Times New Roman" w:hAnsi="Times New Roman" w:cs="Times New Roman"/>
          </w:rPr>
          <w:t>https://ec.europa.eu/info/business-economy-euro/economic-and-fiscal-policy-coordination/eu-financial-assistance/loan-programmes/european-stabi</w:t>
        </w:r>
        <w:r>
          <w:rPr>
            <w:rStyle w:val="Hyperlink"/>
            <w:rFonts w:ascii="Times New Roman" w:hAnsi="Times New Roman" w:cs="Times New Roman"/>
          </w:rPr>
          <w:t>lity-mechanism-esm_en</w:t>
        </w:r>
      </w:hyperlink>
      <w:r>
        <w:rPr>
          <w:rFonts w:ascii="Times New Roman" w:hAnsi="Times New Roman" w:cs="Times New Roman"/>
        </w:rPr>
        <w:t>.</w:t>
      </w:r>
    </w:p>
  </w:footnote>
  <w:footnote w:id="94">
    <w:p w:rsidR="00630C0A" w:rsidRDefault="00961E71">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These criteria are: (i) the effectiveness of the Regulation; (ii) progress in ensuring closer coordination of economic policies and sustained convergence of economic performance of the Member States in accordance with the TFEU; and</w:t>
      </w:r>
      <w:r>
        <w:rPr>
          <w:rFonts w:ascii="Times New Roman" w:hAnsi="Times New Roman" w:cs="Times New Roman"/>
          <w:lang w:val="en-IE"/>
        </w:rPr>
        <w:t xml:space="preserve"> (iii) the contribution of this Regulation to the achievement of the Union’s strategy for growth and jobs.</w:t>
      </w:r>
    </w:p>
  </w:footnote>
  <w:footnote w:id="95">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color w:val="000000" w:themeColor="text1"/>
        </w:rPr>
        <w:t>Regulation No 472/2013 provides that in case a euro area Member State requests precautionary financial assistance from the ESM with the exception o</w:t>
      </w:r>
      <w:r>
        <w:rPr>
          <w:rFonts w:ascii="Times New Roman" w:eastAsia="Times New Roman" w:hAnsi="Times New Roman" w:cs="Times New Roman"/>
          <w:color w:val="000000" w:themeColor="text1"/>
        </w:rPr>
        <w:t xml:space="preserve">f a </w:t>
      </w:r>
      <w:r>
        <w:rPr>
          <w:rFonts w:ascii="Times New Roman" w:eastAsia="Times New Roman" w:hAnsi="Times New Roman" w:cs="Times New Roman"/>
          <w:color w:val="000000" w:themeColor="text1"/>
          <w:lang w:val="en-IE"/>
        </w:rPr>
        <w:t>Precautionary Conditioned Credit Line</w:t>
      </w:r>
      <w:r>
        <w:rPr>
          <w:rFonts w:ascii="Times New Roman" w:eastAsia="Times New Roman" w:hAnsi="Times New Roman" w:cs="Times New Roman"/>
          <w:color w:val="000000" w:themeColor="text1"/>
        </w:rPr>
        <w:t xml:space="preserve"> that is not drawn, the EFSM, the EFSF, one or several other Member States or third countries or another relevant international financial institution such as the IMF, a Member State should be placed in enhanced surv</w:t>
      </w:r>
      <w:r>
        <w:rPr>
          <w:rFonts w:ascii="Times New Roman" w:eastAsia="Times New Roman" w:hAnsi="Times New Roman" w:cs="Times New Roman"/>
          <w:color w:val="000000" w:themeColor="text1"/>
        </w:rPr>
        <w:t>eillance. If the euro area Member State does not request precautionary financial assistance, then it may be placed in enhanced surveillance if it is experiencing or threatened with serious difficulties with respect to its financial stability which are like</w:t>
      </w:r>
      <w:r>
        <w:rPr>
          <w:rFonts w:ascii="Times New Roman" w:eastAsia="Times New Roman" w:hAnsi="Times New Roman" w:cs="Times New Roman"/>
          <w:color w:val="000000" w:themeColor="text1"/>
        </w:rPr>
        <w:t>ly to have adverse effects on other euro area Member States. This is a discretionary decision of the Commission based on its expert judgement of when a euro area Member State would find itself in such a situation.</w:t>
      </w:r>
    </w:p>
  </w:footnote>
  <w:footnote w:id="96">
    <w:p w:rsidR="00630C0A" w:rsidRDefault="00961E71">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In addition, the surveillance of sovereign-bank spillovers has not played a central role within the framework, although their relevance for macroeconomic and financial stability remains.</w:t>
      </w:r>
    </w:p>
  </w:footnote>
  <w:footnote w:id="97">
    <w:p w:rsidR="00630C0A" w:rsidRPr="00961E71" w:rsidRDefault="00961E71">
      <w:pPr>
        <w:pStyle w:val="FootnoteText"/>
        <w:rPr>
          <w:rFonts w:ascii="Times New Roman" w:hAnsi="Times New Roman"/>
          <w:lang w:val="fr-BE"/>
        </w:rPr>
      </w:pPr>
      <w:r>
        <w:rPr>
          <w:rStyle w:val="FootnoteReference"/>
          <w:rFonts w:ascii="Times New Roman" w:hAnsi="Times New Roman" w:cs="Times New Roman"/>
        </w:rPr>
        <w:footnoteRef/>
      </w:r>
      <w:r>
        <w:rPr>
          <w:rFonts w:ascii="Times New Roman" w:hAnsi="Times New Roman" w:cs="Times New Roman"/>
          <w:lang w:val="de-DE"/>
        </w:rPr>
        <w:t xml:space="preserve"> See IMF (2009), Heinemann et al. </w:t>
      </w:r>
      <w:r>
        <w:rPr>
          <w:rFonts w:ascii="Times New Roman" w:hAnsi="Times New Roman" w:cs="Times New Roman"/>
          <w:lang w:val="it-IT"/>
        </w:rPr>
        <w:t>(2018), Tapsoba (2012), Debrun et</w:t>
      </w:r>
      <w:r>
        <w:rPr>
          <w:rFonts w:ascii="Times New Roman" w:hAnsi="Times New Roman" w:cs="Times New Roman"/>
          <w:lang w:val="it-IT"/>
        </w:rPr>
        <w:t xml:space="preserve"> al. (2008), Caselli et al. </w:t>
      </w:r>
      <w:r w:rsidRPr="00961E71">
        <w:rPr>
          <w:rFonts w:ascii="Times New Roman" w:hAnsi="Times New Roman"/>
          <w:lang w:val="fr-BE"/>
        </w:rPr>
        <w:t>(2018).</w:t>
      </w:r>
    </w:p>
  </w:footnote>
  <w:footnote w:id="98">
    <w:p w:rsidR="00630C0A" w:rsidRPr="00961E71" w:rsidRDefault="00961E71">
      <w:pPr>
        <w:pStyle w:val="FootnoteText"/>
        <w:rPr>
          <w:rFonts w:ascii="Times New Roman" w:hAnsi="Times New Roman"/>
          <w:lang w:val="fr-BE"/>
        </w:rPr>
      </w:pPr>
      <w:r>
        <w:rPr>
          <w:rStyle w:val="FootnoteReference"/>
          <w:rFonts w:ascii="Times New Roman" w:hAnsi="Times New Roman" w:cs="Times New Roman"/>
        </w:rPr>
        <w:footnoteRef/>
      </w:r>
      <w:r w:rsidRPr="00961E71">
        <w:rPr>
          <w:rFonts w:ascii="Times New Roman" w:hAnsi="Times New Roman"/>
          <w:lang w:val="fr-BE"/>
        </w:rPr>
        <w:t xml:space="preserve"> Poterba (1996).</w:t>
      </w:r>
    </w:p>
  </w:footnote>
  <w:footnote w:id="99">
    <w:p w:rsidR="00630C0A" w:rsidRDefault="00961E71">
      <w:pPr>
        <w:pStyle w:val="FootnoteText"/>
      </w:pPr>
      <w:r>
        <w:rPr>
          <w:rStyle w:val="FootnoteReference"/>
          <w:rFonts w:ascii="Times New Roman" w:hAnsi="Times New Roman" w:cs="Times New Roman"/>
        </w:rPr>
        <w:footnoteRef/>
      </w:r>
      <w:r>
        <w:rPr>
          <w:rFonts w:ascii="Times New Roman" w:hAnsi="Times New Roman" w:cs="Times New Roman"/>
        </w:rPr>
        <w:t xml:space="preserve"> European Commission (forthcoming), ‘Performance of spending rules at the EU and national level’, Report on Public Finances in EMU 2019.</w:t>
      </w:r>
    </w:p>
  </w:footnote>
  <w:footnote w:id="100">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Fatas, and Mihov 2009, Benetrix and Lane 2013, Afonso and Hau</w:t>
      </w:r>
      <w:r>
        <w:rPr>
          <w:rFonts w:ascii="Times New Roman" w:hAnsi="Times New Roman" w:cs="Times New Roman"/>
        </w:rPr>
        <w:t>ptmeier 2009, Baldi and Staehr 2015.</w:t>
      </w:r>
    </w:p>
  </w:footnote>
  <w:footnote w:id="101">
    <w:p w:rsidR="00630C0A" w:rsidRDefault="00961E71">
      <w:pPr>
        <w:pStyle w:val="FootnoteText"/>
        <w:rPr>
          <w:rFonts w:ascii="Times New Roman" w:hAnsi="Times New Roman" w:cs="Times New Roman"/>
        </w:rPr>
      </w:pPr>
      <w:r>
        <w:rPr>
          <w:rFonts w:ascii="Times New Roman" w:hAnsi="Times New Roman" w:cs="Times New Roman"/>
        </w:rPr>
        <w:t>Woo 2009, Checherita-Westphal and Žďárek (2017), Baldi and Staehr (2016); The findings by Eyraud et al. (2017) indicate acylical fiscal policy based on Member States plans, but pro-cyclical fiscal policy based on real-t</w:t>
      </w:r>
      <w:r>
        <w:rPr>
          <w:rFonts w:ascii="Times New Roman" w:hAnsi="Times New Roman" w:cs="Times New Roman"/>
        </w:rPr>
        <w:t>ime and ex-post data.</w:t>
      </w:r>
    </w:p>
  </w:footnote>
  <w:footnote w:id="102">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(2018), ‘Fiscal outcomes in the EU in a rules-based framework – new evidence’, Report on Public Finances in EMU 2018, 105-156, Eyraud, Gaspar and Poghosyan (2017), Fiscal politics in the Euro area. IMF Working Pa</w:t>
      </w:r>
      <w:r>
        <w:rPr>
          <w:rFonts w:ascii="Times New Roman" w:hAnsi="Times New Roman" w:cs="Times New Roman"/>
        </w:rPr>
        <w:t>per 17/18.</w:t>
      </w:r>
    </w:p>
  </w:footnote>
  <w:footnote w:id="103">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(2018), ‘Fiscal outcomes in the EU in a rules-based framework – new evidence’, Report on Public Finances in EMU 2018, 105-156,</w:t>
      </w:r>
    </w:p>
  </w:footnote>
  <w:footnote w:id="104">
    <w:p w:rsidR="00630C0A" w:rsidRDefault="00961E71">
      <w:pPr>
        <w:pStyle w:val="FootnoteText"/>
      </w:pPr>
      <w:r>
        <w:rPr>
          <w:rStyle w:val="FootnoteReference"/>
          <w:rFonts w:ascii="Times New Roman" w:hAnsi="Times New Roman" w:cs="Times New Roman"/>
        </w:rPr>
        <w:footnoteRef/>
      </w:r>
      <w:r>
        <w:rPr>
          <w:rFonts w:ascii="Times New Roman" w:hAnsi="Times New Roman" w:cs="Times New Roman"/>
        </w:rPr>
        <w:t xml:space="preserve"> European Commission (forthcoming), ‘Performance of spending rules at the EU and national level’, Report on Public Finances in EMU 2019.</w:t>
      </w:r>
    </w:p>
  </w:footnote>
  <w:footnote w:id="105">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bCs/>
          <w:lang w:val="en-US"/>
        </w:rPr>
        <w:t xml:space="preserve"> </w:t>
      </w:r>
      <w:r>
        <w:rPr>
          <w:rFonts w:ascii="Times New Roman" w:hAnsi="Times New Roman" w:cs="Times New Roman"/>
          <w:lang w:val="en-US"/>
        </w:rPr>
        <w:t>Gal</w:t>
      </w:r>
      <w:r>
        <w:rPr>
          <w:rFonts w:ascii="Times New Roman" w:hAnsi="Times New Roman" w:cs="Times New Roman"/>
        </w:rPr>
        <w:t>í</w:t>
      </w:r>
      <w:r>
        <w:rPr>
          <w:rFonts w:ascii="Times New Roman" w:hAnsi="Times New Roman" w:cs="Times New Roman"/>
          <w:lang w:val="en-US"/>
        </w:rPr>
        <w:t xml:space="preserve"> and Perotti 2003, Turrini 2004, </w:t>
      </w:r>
      <w:r>
        <w:rPr>
          <w:rFonts w:ascii="Times New Roman" w:hAnsi="Times New Roman" w:cs="Times New Roman"/>
        </w:rPr>
        <w:t xml:space="preserve">Perée and Välilä 2005, </w:t>
      </w:r>
      <w:r>
        <w:rPr>
          <w:rFonts w:ascii="Times New Roman" w:hAnsi="Times New Roman" w:cs="Times New Roman"/>
          <w:lang w:val="en-US"/>
        </w:rPr>
        <w:t xml:space="preserve">Heinemann 2006, </w:t>
      </w:r>
      <w:r>
        <w:rPr>
          <w:rFonts w:ascii="Times New Roman" w:hAnsi="Times New Roman" w:cs="Times New Roman"/>
        </w:rPr>
        <w:t>Mehrotra and Välilä 2006.</w:t>
      </w:r>
    </w:p>
  </w:footnote>
  <w:footnote w:id="106">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Bacchiocchi</w:t>
      </w:r>
      <w:r>
        <w:rPr>
          <w:rFonts w:ascii="Times New Roman" w:hAnsi="Times New Roman" w:cs="Times New Roman"/>
        </w:rPr>
        <w:t xml:space="preserve"> et al. 2011.</w:t>
      </w:r>
    </w:p>
  </w:footnote>
  <w:footnote w:id="107">
    <w:p w:rsidR="00630C0A" w:rsidRDefault="00961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 European Commission 2017, Government investment in the EU : the role of institutional factors, Report on Public Finances in Emu 2017, 133-186.</w:t>
      </w:r>
    </w:p>
  </w:footnote>
  <w:footnote w:id="108">
    <w:p w:rsidR="00630C0A" w:rsidRDefault="00961E71">
      <w:pPr>
        <w:pStyle w:val="FootnoteText"/>
      </w:pPr>
      <w:r>
        <w:rPr>
          <w:rStyle w:val="FootnoteReference"/>
          <w:rFonts w:ascii="Times New Roman" w:hAnsi="Times New Roman" w:cs="Times New Roman"/>
        </w:rPr>
        <w:footnoteRef/>
      </w:r>
      <w:r>
        <w:rPr>
          <w:rFonts w:ascii="Times New Roman" w:hAnsi="Times New Roman" w:cs="Times New Roman"/>
        </w:rPr>
        <w:t xml:space="preserve"> Overall, the study is based on more than 25000 regressions.</w:t>
      </w:r>
    </w:p>
  </w:footnote>
  <w:footnote w:id="109">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particular Articles 123, 124 </w:t>
      </w:r>
      <w:r>
        <w:rPr>
          <w:rFonts w:ascii="Times New Roman" w:hAnsi="Times New Roman" w:cs="Times New Roman"/>
        </w:rPr>
        <w:t>and 130 TFEU. Of course, fiscal dominance can arise from governments’ over-indebtedness irrespective of monetary financing.</w:t>
      </w:r>
    </w:p>
  </w:footnote>
  <w:footnote w:id="110">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First, as a result of several downgrades following the crisis, then, as a result of the reduction of debt to GDP ratios in soverei</w:t>
      </w:r>
      <w:r>
        <w:rPr>
          <w:rFonts w:ascii="Times New Roman" w:hAnsi="Times New Roman" w:cs="Times New Roman"/>
        </w:rPr>
        <w:t>gns rated AAA.</w:t>
      </w:r>
    </w:p>
  </w:footnote>
  <w:footnote w:id="111">
    <w:p w:rsidR="00630C0A" w:rsidRDefault="00961E71">
      <w:pPr>
        <w:rPr>
          <w:rFonts w:eastAsia="Times New Roman"/>
        </w:rPr>
      </w:pPr>
      <w:r>
        <w:rPr>
          <w:sz w:val="20"/>
          <w:szCs w:val="20"/>
          <w:vertAlign w:val="superscript"/>
        </w:rPr>
        <w:footnoteRef/>
      </w:r>
      <w:r>
        <w:rPr>
          <w:sz w:val="20"/>
          <w:szCs w:val="20"/>
          <w:vertAlign w:val="superscript"/>
        </w:rPr>
        <w:t xml:space="preserve"> </w:t>
      </w:r>
      <w:r>
        <w:rPr>
          <w:sz w:val="20"/>
          <w:szCs w:val="20"/>
        </w:rPr>
        <w:t>A safe asset can be understood as any asset with low default risk or risk of loss of value, independent of cyclical conditions.</w:t>
      </w:r>
    </w:p>
  </w:footnote>
  <w:footnote w:id="112">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ECB has repeatedly indicated that it considers asset purchases a permanent feature of its monetary policy toolbox going forward.</w:t>
      </w:r>
    </w:p>
  </w:footnote>
  <w:footnote w:id="113">
    <w:p w:rsidR="00630C0A" w:rsidRDefault="00961E71">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As of early January 2020, investment-grade EMU non-financial corporate bonds were estimated to amount to just 25% of the</w:t>
      </w:r>
      <w:r>
        <w:rPr>
          <w:rFonts w:ascii="Times New Roman" w:hAnsi="Times New Roman" w:cs="Times New Roman"/>
        </w:rPr>
        <w:t xml:space="preserve"> outstanding amount of investment-grade EMU sovereign bonds. Among the respective investment-grade bonds, only 8.4% were rated AA or higher for non-financial corporate issuers (sovereign bonds: 57%), while 59% were rated BBB (sovereign bonds: 25.7%). The a</w:t>
      </w:r>
      <w:r>
        <w:rPr>
          <w:rFonts w:ascii="Times New Roman" w:hAnsi="Times New Roman" w:cs="Times New Roman"/>
        </w:rPr>
        <w:t>verage remaining maturity of investment-grade corporate bonds was 5.6 years, compared to 8.3 years for investment-grade rated euro area sovereign bonds (Source: Bloomberg).</w:t>
      </w:r>
    </w:p>
  </w:footnote>
  <w:footnote w:id="114">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the International Capital Market Association’s (ICMA) June 2019 Euro</w:t>
      </w:r>
      <w:r>
        <w:rPr>
          <w:rFonts w:ascii="Times New Roman" w:hAnsi="Times New Roman" w:cs="Times New Roman"/>
        </w:rPr>
        <w:t>pean repo market survey, EU central government bonds accounted for two-thirds of pledged collateral in European repo transactions, with German central government bonds accounting for 15%.</w:t>
      </w:r>
    </w:p>
  </w:footnote>
  <w:footnote w:id="115">
    <w:p w:rsidR="00630C0A" w:rsidRDefault="00961E71">
      <w:pPr>
        <w:pStyle w:val="FootnoteText"/>
        <w:jc w:val="both"/>
      </w:pPr>
      <w:r>
        <w:rPr>
          <w:rStyle w:val="FootnoteReference"/>
        </w:rPr>
        <w:footnoteRef/>
      </w:r>
      <w:r>
        <w:t xml:space="preserve"> </w:t>
      </w:r>
      <w:r>
        <w:rPr>
          <w:rFonts w:ascii="Times New Roman" w:hAnsi="Times New Roman" w:cs="Times New Roman"/>
        </w:rPr>
        <w:t>Besides euro area-wide General Collateral (e.g. GC pooling) basket</w:t>
      </w:r>
      <w:r>
        <w:rPr>
          <w:rFonts w:ascii="Times New Roman" w:hAnsi="Times New Roman" w:cs="Times New Roman"/>
        </w:rPr>
        <w:t>s, several national GC baskets exist, i.e. baskets containing only sovereign bonds from the respective country.</w:t>
      </w:r>
    </w:p>
  </w:footnote>
  <w:footnote w:id="116">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Under the securities lending programme, the Eurosystem makes securities purchased under the PSPP available for lending. The programme was enha</w:t>
      </w:r>
      <w:r>
        <w:rPr>
          <w:rFonts w:ascii="Times New Roman" w:hAnsi="Times New Roman" w:cs="Times New Roman"/>
        </w:rPr>
        <w:t>nced in December 2016 by allowing Eurosystem central banks to also accept cash as collateral in the lending process.</w:t>
      </w:r>
    </w:p>
  </w:footnote>
  <w:footnote w:id="117">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Brand, C., Ferrante, L. and A. Hubert (2019). “From cash- to securities-driven euro area repo markets: the role of financial stress a</w:t>
      </w:r>
      <w:r>
        <w:rPr>
          <w:rFonts w:ascii="Times New Roman" w:hAnsi="Times New Roman" w:cs="Times New Roman"/>
        </w:rPr>
        <w:t>nd safe asset scarcity”. ECB Working paper No 2232, January 2019.</w:t>
      </w:r>
    </w:p>
  </w:footnote>
  <w:footnote w:id="118">
    <w:p w:rsidR="00630C0A" w:rsidRDefault="00961E71">
      <w:pPr>
        <w:pStyle w:val="FootnoteText"/>
        <w:jc w:val="both"/>
        <w:rPr>
          <w:lang w:val="en-US"/>
        </w:rPr>
      </w:pPr>
      <w:r>
        <w:rPr>
          <w:rStyle w:val="FootnoteReference"/>
        </w:rPr>
        <w:footnoteRef/>
      </w:r>
      <w:r>
        <w:t xml:space="preserve"> </w:t>
      </w:r>
      <w:r>
        <w:rPr>
          <w:rFonts w:ascii="Times New Roman" w:hAnsi="Times New Roman" w:cs="Times New Roman"/>
        </w:rPr>
        <w:t>See, e.g. Arrata, W. Nguyen, Rahmouni-Rousseau, I. and M. Vari (2018). “The Scarcity Effect of Quantitative Easing on Repo Rates: Evidence from the Euro Area”. IMF Working paper 18/258.</w:t>
      </w:r>
    </w:p>
  </w:footnote>
  <w:footnote w:id="119">
    <w:p w:rsidR="00630C0A" w:rsidRDefault="00961E71">
      <w:pPr>
        <w:pStyle w:val="FootnoteText"/>
        <w:jc w:val="both"/>
        <w:rPr>
          <w:lang w:val="en-US"/>
        </w:rPr>
      </w:pPr>
      <w:r>
        <w:rPr>
          <w:rStyle w:val="FootnoteReference"/>
        </w:rPr>
        <w:footnoteRef/>
      </w:r>
      <w:r>
        <w:t xml:space="preserve"> </w:t>
      </w:r>
      <w:r>
        <w:rPr>
          <w:rFonts w:ascii="Times New Roman" w:hAnsi="Times New Roman" w:cs="Times New Roman"/>
        </w:rPr>
        <w:t>The International Capital Market Association defines specialness as the case when the repo rate quoted on a particular security falls at least about 10 basis points below the GC repo rate for that currency.</w:t>
      </w:r>
    </w:p>
  </w:footnote>
  <w:footnote w:id="120">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control variables were as follows: a dummy </w:t>
      </w:r>
      <w:r>
        <w:rPr>
          <w:rFonts w:ascii="Times New Roman" w:hAnsi="Times New Roman" w:cs="Times New Roman"/>
        </w:rPr>
        <w:t>indicating whether the recommendation is “hard-to-comply” with because politically costly, GDP growth, the sovereign spread with respect to the benchmark German 10-year interest rate on government bonds, dummies indicating legislative elections at most one</w:t>
      </w:r>
      <w:r>
        <w:rPr>
          <w:rFonts w:ascii="Times New Roman" w:hAnsi="Times New Roman" w:cs="Times New Roman"/>
        </w:rPr>
        <w:t xml:space="preserve"> year before or by next year, and dummies indicating the main policy area of the sub-CSR (public finances and taxation; financial sector; labour market, education &amp; social policies; structural policies; public administration and business environment). The </w:t>
      </w:r>
      <w:r>
        <w:rPr>
          <w:rFonts w:ascii="Times New Roman" w:hAnsi="Times New Roman" w:cs="Times New Roman"/>
        </w:rPr>
        <w:t xml:space="preserve">MIP imbalances category used in the MIP Compendium were more articulated than those used in the present exercise. </w:t>
      </w:r>
    </w:p>
  </w:footnote>
  <w:footnote w:id="121">
    <w:p w:rsidR="00630C0A" w:rsidRDefault="00961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Progress is assessed at sub-CSR level and on the year following the issuance of the CSR. The size of the sample is defined by the year of i</w:t>
      </w:r>
      <w:r>
        <w:rPr>
          <w:rFonts w:ascii="Times New Roman" w:hAnsi="Times New Roman" w:cs="Times New Roman"/>
        </w:rPr>
        <w:t>ssuance of CSRs, namely to all CSRs issues between 2013 and 2018, both dates included.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A" w:rsidRDefault="00630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356"/>
    <w:multiLevelType w:val="hybridMultilevel"/>
    <w:tmpl w:val="C4EAB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07F0B"/>
    <w:multiLevelType w:val="multilevel"/>
    <w:tmpl w:val="3586BA22"/>
    <w:lvl w:ilvl="0">
      <w:start w:val="2"/>
      <w:numFmt w:val="decimal"/>
      <w:lvlText w:val="%1"/>
      <w:lvlJc w:val="left"/>
      <w:pPr>
        <w:ind w:left="360" w:hanging="360"/>
      </w:pPr>
      <w:rPr>
        <w:rFonts w:hint="default"/>
      </w:rPr>
    </w:lvl>
    <w:lvl w:ilvl="1">
      <w:start w:val="2"/>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 w15:restartNumberingAfterBreak="0">
    <w:nsid w:val="057F7B7D"/>
    <w:multiLevelType w:val="hybridMultilevel"/>
    <w:tmpl w:val="5FB4FB0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7B136AD"/>
    <w:multiLevelType w:val="hybridMultilevel"/>
    <w:tmpl w:val="93A0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C747B"/>
    <w:multiLevelType w:val="hybridMultilevel"/>
    <w:tmpl w:val="D8D059CA"/>
    <w:lvl w:ilvl="0" w:tplc="1C3A4022">
      <w:start w:val="1"/>
      <w:numFmt w:val="bullet"/>
      <w:lvlText w:val=""/>
      <w:lvlJc w:val="left"/>
      <w:pPr>
        <w:tabs>
          <w:tab w:val="num" w:pos="720"/>
        </w:tabs>
        <w:ind w:left="720" w:hanging="360"/>
      </w:pPr>
      <w:rPr>
        <w:rFonts w:ascii="Wingdings" w:hAnsi="Wingdings" w:hint="default"/>
      </w:rPr>
    </w:lvl>
    <w:lvl w:ilvl="1" w:tplc="BAB2F288">
      <w:start w:val="1"/>
      <w:numFmt w:val="bullet"/>
      <w:lvlText w:val=""/>
      <w:lvlJc w:val="left"/>
      <w:pPr>
        <w:tabs>
          <w:tab w:val="num" w:pos="1440"/>
        </w:tabs>
        <w:ind w:left="1440" w:hanging="360"/>
      </w:pPr>
      <w:rPr>
        <w:rFonts w:ascii="Wingdings" w:hAnsi="Wingdings" w:hint="default"/>
      </w:rPr>
    </w:lvl>
    <w:lvl w:ilvl="2" w:tplc="05A0233A">
      <w:start w:val="1"/>
      <w:numFmt w:val="bullet"/>
      <w:lvlText w:val=""/>
      <w:lvlJc w:val="left"/>
      <w:pPr>
        <w:tabs>
          <w:tab w:val="num" w:pos="2160"/>
        </w:tabs>
        <w:ind w:left="2160" w:hanging="360"/>
      </w:pPr>
      <w:rPr>
        <w:rFonts w:ascii="Wingdings" w:hAnsi="Wingdings" w:hint="default"/>
      </w:rPr>
    </w:lvl>
    <w:lvl w:ilvl="3" w:tplc="C7B4F8D4">
      <w:start w:val="1"/>
      <w:numFmt w:val="bullet"/>
      <w:lvlText w:val=""/>
      <w:lvlJc w:val="left"/>
      <w:pPr>
        <w:tabs>
          <w:tab w:val="num" w:pos="2880"/>
        </w:tabs>
        <w:ind w:left="2880" w:hanging="360"/>
      </w:pPr>
      <w:rPr>
        <w:rFonts w:ascii="Wingdings" w:hAnsi="Wingdings" w:hint="default"/>
      </w:rPr>
    </w:lvl>
    <w:lvl w:ilvl="4" w:tplc="8D72B796">
      <w:start w:val="1"/>
      <w:numFmt w:val="bullet"/>
      <w:lvlText w:val=""/>
      <w:lvlJc w:val="left"/>
      <w:pPr>
        <w:tabs>
          <w:tab w:val="num" w:pos="3600"/>
        </w:tabs>
        <w:ind w:left="3600" w:hanging="360"/>
      </w:pPr>
      <w:rPr>
        <w:rFonts w:ascii="Wingdings" w:hAnsi="Wingdings" w:hint="default"/>
      </w:rPr>
    </w:lvl>
    <w:lvl w:ilvl="5" w:tplc="6B3C5416">
      <w:start w:val="1"/>
      <w:numFmt w:val="bullet"/>
      <w:lvlText w:val=""/>
      <w:lvlJc w:val="left"/>
      <w:pPr>
        <w:tabs>
          <w:tab w:val="num" w:pos="4320"/>
        </w:tabs>
        <w:ind w:left="4320" w:hanging="360"/>
      </w:pPr>
      <w:rPr>
        <w:rFonts w:ascii="Wingdings" w:hAnsi="Wingdings" w:hint="default"/>
      </w:rPr>
    </w:lvl>
    <w:lvl w:ilvl="6" w:tplc="6ADCF462">
      <w:start w:val="1"/>
      <w:numFmt w:val="bullet"/>
      <w:lvlText w:val=""/>
      <w:lvlJc w:val="left"/>
      <w:pPr>
        <w:tabs>
          <w:tab w:val="num" w:pos="5040"/>
        </w:tabs>
        <w:ind w:left="5040" w:hanging="360"/>
      </w:pPr>
      <w:rPr>
        <w:rFonts w:ascii="Wingdings" w:hAnsi="Wingdings" w:hint="default"/>
      </w:rPr>
    </w:lvl>
    <w:lvl w:ilvl="7" w:tplc="DB34F548">
      <w:start w:val="1"/>
      <w:numFmt w:val="bullet"/>
      <w:lvlText w:val=""/>
      <w:lvlJc w:val="left"/>
      <w:pPr>
        <w:tabs>
          <w:tab w:val="num" w:pos="5760"/>
        </w:tabs>
        <w:ind w:left="5760" w:hanging="360"/>
      </w:pPr>
      <w:rPr>
        <w:rFonts w:ascii="Wingdings" w:hAnsi="Wingdings" w:hint="default"/>
      </w:rPr>
    </w:lvl>
    <w:lvl w:ilvl="8" w:tplc="6ADE596E">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F23EA"/>
    <w:multiLevelType w:val="hybridMultilevel"/>
    <w:tmpl w:val="F06AD87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0DBB72B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27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AB14AE"/>
    <w:multiLevelType w:val="hybridMultilevel"/>
    <w:tmpl w:val="0602F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F76861"/>
    <w:multiLevelType w:val="hybridMultilevel"/>
    <w:tmpl w:val="01207488"/>
    <w:lvl w:ilvl="0" w:tplc="9C226206">
      <w:start w:val="7"/>
      <w:numFmt w:val="bullet"/>
      <w:lvlText w:val=""/>
      <w:lvlJc w:val="left"/>
      <w:pPr>
        <w:ind w:left="720" w:hanging="360"/>
      </w:pPr>
      <w:rPr>
        <w:rFonts w:ascii="Symbol" w:eastAsiaTheme="minorHAnsi" w:hAnsi="Symbol"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73905"/>
    <w:multiLevelType w:val="hybridMultilevel"/>
    <w:tmpl w:val="7980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A6E47"/>
    <w:multiLevelType w:val="hybridMultilevel"/>
    <w:tmpl w:val="5B9C0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0C62D4"/>
    <w:multiLevelType w:val="hybridMultilevel"/>
    <w:tmpl w:val="5EE8732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1E182921"/>
    <w:multiLevelType w:val="hybridMultilevel"/>
    <w:tmpl w:val="0ECA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91DA2"/>
    <w:multiLevelType w:val="hybridMultilevel"/>
    <w:tmpl w:val="079AFF0A"/>
    <w:lvl w:ilvl="0" w:tplc="473C38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7C1671"/>
    <w:multiLevelType w:val="hybridMultilevel"/>
    <w:tmpl w:val="3EFEFB9A"/>
    <w:lvl w:ilvl="0" w:tplc="080C0001">
      <w:start w:val="1"/>
      <w:numFmt w:val="bullet"/>
      <w:lvlText w:val=""/>
      <w:lvlJc w:val="left"/>
      <w:pPr>
        <w:ind w:left="720" w:hanging="360"/>
      </w:pPr>
      <w:rPr>
        <w:rFonts w:ascii="Symbol" w:hAnsi="Symbol" w:hint="default"/>
      </w:rPr>
    </w:lvl>
    <w:lvl w:ilvl="1" w:tplc="0DE0C376">
      <w:numFmt w:val="bullet"/>
      <w:lvlText w:val="•"/>
      <w:lvlJc w:val="left"/>
      <w:pPr>
        <w:ind w:left="1800" w:hanging="720"/>
      </w:pPr>
      <w:rPr>
        <w:rFonts w:ascii="Times New Roman" w:eastAsiaTheme="minorHAnsi"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2E1427A"/>
    <w:multiLevelType w:val="hybridMultilevel"/>
    <w:tmpl w:val="011AABF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23B355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CE1013"/>
    <w:multiLevelType w:val="hybridMultilevel"/>
    <w:tmpl w:val="B7362B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6215A0"/>
    <w:multiLevelType w:val="multilevel"/>
    <w:tmpl w:val="AFB41E0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0B70D91"/>
    <w:multiLevelType w:val="hybridMultilevel"/>
    <w:tmpl w:val="9A1E00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D901BF"/>
    <w:multiLevelType w:val="hybridMultilevel"/>
    <w:tmpl w:val="4AA06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3161283"/>
    <w:multiLevelType w:val="hybridMultilevel"/>
    <w:tmpl w:val="BCF8F110"/>
    <w:lvl w:ilvl="0" w:tplc="1918264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36A38DF"/>
    <w:multiLevelType w:val="hybridMultilevel"/>
    <w:tmpl w:val="DF241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4AD1504"/>
    <w:multiLevelType w:val="multilevel"/>
    <w:tmpl w:val="91FA8CEE"/>
    <w:lvl w:ilvl="0">
      <w:start w:val="1"/>
      <w:numFmt w:val="decimal"/>
      <w:lvlText w:val="%1."/>
      <w:lvlJc w:val="left"/>
      <w:pPr>
        <w:ind w:left="360" w:hanging="360"/>
      </w:pPr>
    </w:lvl>
    <w:lvl w:ilvl="1">
      <w:start w:val="1"/>
      <w:numFmt w:val="decimal"/>
      <w:lvlText w:val="%1.%2"/>
      <w:lvlJc w:val="left"/>
      <w:pPr>
        <w:ind w:left="2844" w:hanging="576"/>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04" w:hanging="720"/>
      </w:pPr>
      <w:rPr>
        <w:rFonts w:ascii="Times New Roman" w:hAnsi="Times New Roman" w:cs="Times New Roman" w:hint="default"/>
        <w:sz w:val="24"/>
        <w:szCs w:val="24"/>
      </w:rPr>
    </w:lvl>
    <w:lvl w:ilvl="3">
      <w:start w:val="1"/>
      <w:numFmt w:val="decimal"/>
      <w:pStyle w:val="Heading4"/>
      <w:lvlText w:val="%1.%2.%3.%4"/>
      <w:lvlJc w:val="left"/>
      <w:pPr>
        <w:ind w:left="3132" w:hanging="864"/>
      </w:pPr>
    </w:lvl>
    <w:lvl w:ilvl="4">
      <w:start w:val="1"/>
      <w:numFmt w:val="decimal"/>
      <w:pStyle w:val="Heading5"/>
      <w:lvlText w:val="%1.%2.%3.%4.%5"/>
      <w:lvlJc w:val="left"/>
      <w:pPr>
        <w:ind w:left="3276" w:hanging="1008"/>
      </w:pPr>
    </w:lvl>
    <w:lvl w:ilvl="5">
      <w:start w:val="1"/>
      <w:numFmt w:val="decimal"/>
      <w:pStyle w:val="Heading6"/>
      <w:lvlText w:val="%1.%2.%3.%4.%5.%6"/>
      <w:lvlJc w:val="left"/>
      <w:pPr>
        <w:ind w:left="3420" w:hanging="1152"/>
      </w:pPr>
    </w:lvl>
    <w:lvl w:ilvl="6">
      <w:start w:val="1"/>
      <w:numFmt w:val="decimal"/>
      <w:pStyle w:val="Heading7"/>
      <w:lvlText w:val="%1.%2.%3.%4.%5.%6.%7"/>
      <w:lvlJc w:val="left"/>
      <w:pPr>
        <w:ind w:left="3564" w:hanging="1296"/>
      </w:pPr>
    </w:lvl>
    <w:lvl w:ilvl="7">
      <w:start w:val="1"/>
      <w:numFmt w:val="decimal"/>
      <w:pStyle w:val="Heading8"/>
      <w:lvlText w:val="%1.%2.%3.%4.%5.%6.%7.%8"/>
      <w:lvlJc w:val="left"/>
      <w:pPr>
        <w:ind w:left="3708" w:hanging="1440"/>
      </w:pPr>
    </w:lvl>
    <w:lvl w:ilvl="8">
      <w:start w:val="1"/>
      <w:numFmt w:val="decimal"/>
      <w:pStyle w:val="Heading9"/>
      <w:lvlText w:val="%1.%2.%3.%4.%5.%6.%7.%8.%9"/>
      <w:lvlJc w:val="left"/>
      <w:pPr>
        <w:ind w:left="3852" w:hanging="1584"/>
      </w:pPr>
    </w:lvl>
  </w:abstractNum>
  <w:abstractNum w:abstractNumId="24" w15:restartNumberingAfterBreak="0">
    <w:nsid w:val="36383807"/>
    <w:multiLevelType w:val="hybridMultilevel"/>
    <w:tmpl w:val="510A4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78B05CB"/>
    <w:multiLevelType w:val="hybridMultilevel"/>
    <w:tmpl w:val="11E87184"/>
    <w:lvl w:ilvl="0" w:tplc="EF3A26C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7CF2D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B5285C"/>
    <w:multiLevelType w:val="hybridMultilevel"/>
    <w:tmpl w:val="2248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86103B"/>
    <w:multiLevelType w:val="hybridMultilevel"/>
    <w:tmpl w:val="D5E43328"/>
    <w:lvl w:ilvl="0" w:tplc="1918264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DD96A64"/>
    <w:multiLevelType w:val="hybridMultilevel"/>
    <w:tmpl w:val="73726496"/>
    <w:lvl w:ilvl="0" w:tplc="367CC21C">
      <w:start w:val="1"/>
      <w:numFmt w:val="bullet"/>
      <w:lvlText w:val=""/>
      <w:lvlJc w:val="left"/>
      <w:pPr>
        <w:tabs>
          <w:tab w:val="num" w:pos="720"/>
        </w:tabs>
        <w:ind w:left="720" w:hanging="360"/>
      </w:pPr>
      <w:rPr>
        <w:rFonts w:ascii="Wingdings" w:hAnsi="Wingdings" w:hint="default"/>
      </w:rPr>
    </w:lvl>
    <w:lvl w:ilvl="1" w:tplc="44828B40">
      <w:start w:val="1"/>
      <w:numFmt w:val="bullet"/>
      <w:lvlText w:val=""/>
      <w:lvlJc w:val="left"/>
      <w:pPr>
        <w:tabs>
          <w:tab w:val="num" w:pos="1440"/>
        </w:tabs>
        <w:ind w:left="1440" w:hanging="360"/>
      </w:pPr>
      <w:rPr>
        <w:rFonts w:ascii="Wingdings" w:hAnsi="Wingdings" w:hint="default"/>
      </w:rPr>
    </w:lvl>
    <w:lvl w:ilvl="2" w:tplc="838E6C1E">
      <w:start w:val="1"/>
      <w:numFmt w:val="bullet"/>
      <w:lvlText w:val=""/>
      <w:lvlJc w:val="left"/>
      <w:pPr>
        <w:tabs>
          <w:tab w:val="num" w:pos="2160"/>
        </w:tabs>
        <w:ind w:left="2160" w:hanging="360"/>
      </w:pPr>
      <w:rPr>
        <w:rFonts w:ascii="Wingdings" w:hAnsi="Wingdings" w:hint="default"/>
      </w:rPr>
    </w:lvl>
    <w:lvl w:ilvl="3" w:tplc="48508436">
      <w:start w:val="1"/>
      <w:numFmt w:val="bullet"/>
      <w:lvlText w:val=""/>
      <w:lvlJc w:val="left"/>
      <w:pPr>
        <w:tabs>
          <w:tab w:val="num" w:pos="2880"/>
        </w:tabs>
        <w:ind w:left="2880" w:hanging="360"/>
      </w:pPr>
      <w:rPr>
        <w:rFonts w:ascii="Wingdings" w:hAnsi="Wingdings" w:hint="default"/>
      </w:rPr>
    </w:lvl>
    <w:lvl w:ilvl="4" w:tplc="9566CE42">
      <w:start w:val="1"/>
      <w:numFmt w:val="bullet"/>
      <w:lvlText w:val=""/>
      <w:lvlJc w:val="left"/>
      <w:pPr>
        <w:tabs>
          <w:tab w:val="num" w:pos="3600"/>
        </w:tabs>
        <w:ind w:left="3600" w:hanging="360"/>
      </w:pPr>
      <w:rPr>
        <w:rFonts w:ascii="Wingdings" w:hAnsi="Wingdings" w:hint="default"/>
      </w:rPr>
    </w:lvl>
    <w:lvl w:ilvl="5" w:tplc="54F25D8E">
      <w:start w:val="1"/>
      <w:numFmt w:val="bullet"/>
      <w:lvlText w:val=""/>
      <w:lvlJc w:val="left"/>
      <w:pPr>
        <w:tabs>
          <w:tab w:val="num" w:pos="4320"/>
        </w:tabs>
        <w:ind w:left="4320" w:hanging="360"/>
      </w:pPr>
      <w:rPr>
        <w:rFonts w:ascii="Wingdings" w:hAnsi="Wingdings" w:hint="default"/>
      </w:rPr>
    </w:lvl>
    <w:lvl w:ilvl="6" w:tplc="813A0552">
      <w:start w:val="1"/>
      <w:numFmt w:val="bullet"/>
      <w:lvlText w:val=""/>
      <w:lvlJc w:val="left"/>
      <w:pPr>
        <w:tabs>
          <w:tab w:val="num" w:pos="5040"/>
        </w:tabs>
        <w:ind w:left="5040" w:hanging="360"/>
      </w:pPr>
      <w:rPr>
        <w:rFonts w:ascii="Wingdings" w:hAnsi="Wingdings" w:hint="default"/>
      </w:rPr>
    </w:lvl>
    <w:lvl w:ilvl="7" w:tplc="81F051FC">
      <w:start w:val="1"/>
      <w:numFmt w:val="bullet"/>
      <w:lvlText w:val=""/>
      <w:lvlJc w:val="left"/>
      <w:pPr>
        <w:tabs>
          <w:tab w:val="num" w:pos="5760"/>
        </w:tabs>
        <w:ind w:left="5760" w:hanging="360"/>
      </w:pPr>
      <w:rPr>
        <w:rFonts w:ascii="Wingdings" w:hAnsi="Wingdings" w:hint="default"/>
      </w:rPr>
    </w:lvl>
    <w:lvl w:ilvl="8" w:tplc="7FB0006A">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684358"/>
    <w:multiLevelType w:val="multilevel"/>
    <w:tmpl w:val="0232A12C"/>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037F40"/>
    <w:multiLevelType w:val="hybridMultilevel"/>
    <w:tmpl w:val="248A3432"/>
    <w:lvl w:ilvl="0" w:tplc="080C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2" w15:restartNumberingAfterBreak="0">
    <w:nsid w:val="40A71231"/>
    <w:multiLevelType w:val="multilevel"/>
    <w:tmpl w:val="40FA13F0"/>
    <w:lvl w:ilvl="0">
      <w:start w:val="3"/>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3" w15:restartNumberingAfterBreak="0">
    <w:nsid w:val="45BD1629"/>
    <w:multiLevelType w:val="hybridMultilevel"/>
    <w:tmpl w:val="AEEC1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6BB49C5"/>
    <w:multiLevelType w:val="hybridMultilevel"/>
    <w:tmpl w:val="8E26D29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5" w15:restartNumberingAfterBreak="0">
    <w:nsid w:val="47E90B1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731E23"/>
    <w:multiLevelType w:val="hybridMultilevel"/>
    <w:tmpl w:val="C4EAB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E33544"/>
    <w:multiLevelType w:val="hybridMultilevel"/>
    <w:tmpl w:val="E25EAC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DA61232"/>
    <w:multiLevelType w:val="hybridMultilevel"/>
    <w:tmpl w:val="98EADE58"/>
    <w:lvl w:ilvl="0" w:tplc="358CB91A">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F9095B"/>
    <w:multiLevelType w:val="hybridMultilevel"/>
    <w:tmpl w:val="B02E5044"/>
    <w:lvl w:ilvl="0" w:tplc="F4C6E55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E530510"/>
    <w:multiLevelType w:val="multilevel"/>
    <w:tmpl w:val="CF2207A8"/>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41" w15:restartNumberingAfterBreak="0">
    <w:nsid w:val="4E5E25B8"/>
    <w:multiLevelType w:val="hybridMultilevel"/>
    <w:tmpl w:val="0BFAC0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4E636F3F"/>
    <w:multiLevelType w:val="multilevel"/>
    <w:tmpl w:val="4804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D15A89"/>
    <w:multiLevelType w:val="hybridMultilevel"/>
    <w:tmpl w:val="ABCAD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ECD2670"/>
    <w:multiLevelType w:val="hybridMultilevel"/>
    <w:tmpl w:val="7B468F48"/>
    <w:lvl w:ilvl="0" w:tplc="346C67B2">
      <w:start w:val="1"/>
      <w:numFmt w:val="bullet"/>
      <w:lvlText w:val=""/>
      <w:lvlJc w:val="left"/>
      <w:pPr>
        <w:tabs>
          <w:tab w:val="num" w:pos="720"/>
        </w:tabs>
        <w:ind w:left="720" w:hanging="360"/>
      </w:pPr>
      <w:rPr>
        <w:rFonts w:ascii="Wingdings" w:hAnsi="Wingdings" w:hint="default"/>
      </w:rPr>
    </w:lvl>
    <w:lvl w:ilvl="1" w:tplc="89723AE6">
      <w:start w:val="1"/>
      <w:numFmt w:val="bullet"/>
      <w:lvlText w:val=""/>
      <w:lvlJc w:val="left"/>
      <w:pPr>
        <w:tabs>
          <w:tab w:val="num" w:pos="1440"/>
        </w:tabs>
        <w:ind w:left="1440" w:hanging="360"/>
      </w:pPr>
      <w:rPr>
        <w:rFonts w:ascii="Wingdings" w:hAnsi="Wingdings" w:hint="default"/>
      </w:rPr>
    </w:lvl>
    <w:lvl w:ilvl="2" w:tplc="052CDA7E">
      <w:start w:val="1"/>
      <w:numFmt w:val="bullet"/>
      <w:lvlText w:val=""/>
      <w:lvlJc w:val="left"/>
      <w:pPr>
        <w:tabs>
          <w:tab w:val="num" w:pos="2160"/>
        </w:tabs>
        <w:ind w:left="2160" w:hanging="360"/>
      </w:pPr>
      <w:rPr>
        <w:rFonts w:ascii="Wingdings" w:hAnsi="Wingdings" w:hint="default"/>
      </w:rPr>
    </w:lvl>
    <w:lvl w:ilvl="3" w:tplc="A964E3D0">
      <w:start w:val="1"/>
      <w:numFmt w:val="bullet"/>
      <w:lvlText w:val=""/>
      <w:lvlJc w:val="left"/>
      <w:pPr>
        <w:tabs>
          <w:tab w:val="num" w:pos="2880"/>
        </w:tabs>
        <w:ind w:left="2880" w:hanging="360"/>
      </w:pPr>
      <w:rPr>
        <w:rFonts w:ascii="Wingdings" w:hAnsi="Wingdings" w:hint="default"/>
      </w:rPr>
    </w:lvl>
    <w:lvl w:ilvl="4" w:tplc="52B6979E">
      <w:start w:val="1"/>
      <w:numFmt w:val="bullet"/>
      <w:lvlText w:val=""/>
      <w:lvlJc w:val="left"/>
      <w:pPr>
        <w:tabs>
          <w:tab w:val="num" w:pos="3600"/>
        </w:tabs>
        <w:ind w:left="3600" w:hanging="360"/>
      </w:pPr>
      <w:rPr>
        <w:rFonts w:ascii="Wingdings" w:hAnsi="Wingdings" w:hint="default"/>
      </w:rPr>
    </w:lvl>
    <w:lvl w:ilvl="5" w:tplc="17544BA0">
      <w:start w:val="1"/>
      <w:numFmt w:val="bullet"/>
      <w:lvlText w:val=""/>
      <w:lvlJc w:val="left"/>
      <w:pPr>
        <w:tabs>
          <w:tab w:val="num" w:pos="4320"/>
        </w:tabs>
        <w:ind w:left="4320" w:hanging="360"/>
      </w:pPr>
      <w:rPr>
        <w:rFonts w:ascii="Wingdings" w:hAnsi="Wingdings" w:hint="default"/>
      </w:rPr>
    </w:lvl>
    <w:lvl w:ilvl="6" w:tplc="B14887E6">
      <w:start w:val="1"/>
      <w:numFmt w:val="bullet"/>
      <w:lvlText w:val=""/>
      <w:lvlJc w:val="left"/>
      <w:pPr>
        <w:tabs>
          <w:tab w:val="num" w:pos="5040"/>
        </w:tabs>
        <w:ind w:left="5040" w:hanging="360"/>
      </w:pPr>
      <w:rPr>
        <w:rFonts w:ascii="Wingdings" w:hAnsi="Wingdings" w:hint="default"/>
      </w:rPr>
    </w:lvl>
    <w:lvl w:ilvl="7" w:tplc="2264AC24">
      <w:start w:val="1"/>
      <w:numFmt w:val="bullet"/>
      <w:lvlText w:val=""/>
      <w:lvlJc w:val="left"/>
      <w:pPr>
        <w:tabs>
          <w:tab w:val="num" w:pos="5760"/>
        </w:tabs>
        <w:ind w:left="5760" w:hanging="360"/>
      </w:pPr>
      <w:rPr>
        <w:rFonts w:ascii="Wingdings" w:hAnsi="Wingdings" w:hint="default"/>
      </w:rPr>
    </w:lvl>
    <w:lvl w:ilvl="8" w:tplc="82E03170">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E52A0E"/>
    <w:multiLevelType w:val="hybridMultilevel"/>
    <w:tmpl w:val="1FE61880"/>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6" w15:restartNumberingAfterBreak="0">
    <w:nsid w:val="63632383"/>
    <w:multiLevelType w:val="hybridMultilevel"/>
    <w:tmpl w:val="9AECC5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63D82EFE"/>
    <w:multiLevelType w:val="hybridMultilevel"/>
    <w:tmpl w:val="0C661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4294E18"/>
    <w:multiLevelType w:val="hybridMultilevel"/>
    <w:tmpl w:val="AE3A9B44"/>
    <w:lvl w:ilvl="0" w:tplc="6B40F73E">
      <w:start w:val="1"/>
      <w:numFmt w:val="lowerLetter"/>
      <w:lvlText w:val="(%1)"/>
      <w:lvlJc w:val="left"/>
      <w:pPr>
        <w:ind w:left="720" w:hanging="360"/>
      </w:pPr>
      <w:rPr>
        <w:rFonts w:ascii="Century Gothic" w:hAnsi="Century Gothic" w:hint="default"/>
        <w:i w:val="0"/>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90711D"/>
    <w:multiLevelType w:val="hybridMultilevel"/>
    <w:tmpl w:val="7E48189C"/>
    <w:lvl w:ilvl="0" w:tplc="4BC2B0C2">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0" w15:restartNumberingAfterBreak="0">
    <w:nsid w:val="6DFD5C57"/>
    <w:multiLevelType w:val="multilevel"/>
    <w:tmpl w:val="6FCED57E"/>
    <w:lvl w:ilvl="0">
      <w:start w:val="3"/>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1" w15:restartNumberingAfterBreak="0">
    <w:nsid w:val="6FF71EAA"/>
    <w:multiLevelType w:val="multilevel"/>
    <w:tmpl w:val="0D80451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704C58FB"/>
    <w:multiLevelType w:val="multilevel"/>
    <w:tmpl w:val="DA08ED2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0BE0AE8"/>
    <w:multiLevelType w:val="hybridMultilevel"/>
    <w:tmpl w:val="0FCA08F0"/>
    <w:lvl w:ilvl="0" w:tplc="2FCE4840">
      <w:start w:val="1"/>
      <w:numFmt w:val="bullet"/>
      <w:lvlText w:val=""/>
      <w:lvlJc w:val="left"/>
      <w:pPr>
        <w:tabs>
          <w:tab w:val="num" w:pos="720"/>
        </w:tabs>
        <w:ind w:left="720" w:hanging="360"/>
      </w:pPr>
      <w:rPr>
        <w:rFonts w:ascii="Wingdings" w:hAnsi="Wingdings" w:hint="default"/>
      </w:rPr>
    </w:lvl>
    <w:lvl w:ilvl="1" w:tplc="23FCC1B0">
      <w:start w:val="1"/>
      <w:numFmt w:val="bullet"/>
      <w:lvlText w:val=""/>
      <w:lvlJc w:val="left"/>
      <w:pPr>
        <w:tabs>
          <w:tab w:val="num" w:pos="1440"/>
        </w:tabs>
        <w:ind w:left="1440" w:hanging="360"/>
      </w:pPr>
      <w:rPr>
        <w:rFonts w:ascii="Wingdings" w:hAnsi="Wingdings" w:hint="default"/>
      </w:rPr>
    </w:lvl>
    <w:lvl w:ilvl="2" w:tplc="13F85396">
      <w:start w:val="1"/>
      <w:numFmt w:val="bullet"/>
      <w:lvlText w:val=""/>
      <w:lvlJc w:val="left"/>
      <w:pPr>
        <w:tabs>
          <w:tab w:val="num" w:pos="2160"/>
        </w:tabs>
        <w:ind w:left="2160" w:hanging="360"/>
      </w:pPr>
      <w:rPr>
        <w:rFonts w:ascii="Wingdings" w:hAnsi="Wingdings" w:hint="default"/>
      </w:rPr>
    </w:lvl>
    <w:lvl w:ilvl="3" w:tplc="3098BE6A">
      <w:start w:val="1"/>
      <w:numFmt w:val="bullet"/>
      <w:lvlText w:val=""/>
      <w:lvlJc w:val="left"/>
      <w:pPr>
        <w:tabs>
          <w:tab w:val="num" w:pos="2880"/>
        </w:tabs>
        <w:ind w:left="2880" w:hanging="360"/>
      </w:pPr>
      <w:rPr>
        <w:rFonts w:ascii="Wingdings" w:hAnsi="Wingdings" w:hint="default"/>
      </w:rPr>
    </w:lvl>
    <w:lvl w:ilvl="4" w:tplc="7E7E3DBA">
      <w:start w:val="1"/>
      <w:numFmt w:val="bullet"/>
      <w:lvlText w:val=""/>
      <w:lvlJc w:val="left"/>
      <w:pPr>
        <w:tabs>
          <w:tab w:val="num" w:pos="3600"/>
        </w:tabs>
        <w:ind w:left="3600" w:hanging="360"/>
      </w:pPr>
      <w:rPr>
        <w:rFonts w:ascii="Wingdings" w:hAnsi="Wingdings" w:hint="default"/>
      </w:rPr>
    </w:lvl>
    <w:lvl w:ilvl="5" w:tplc="90742E2C">
      <w:start w:val="1"/>
      <w:numFmt w:val="bullet"/>
      <w:lvlText w:val=""/>
      <w:lvlJc w:val="left"/>
      <w:pPr>
        <w:tabs>
          <w:tab w:val="num" w:pos="4320"/>
        </w:tabs>
        <w:ind w:left="4320" w:hanging="360"/>
      </w:pPr>
      <w:rPr>
        <w:rFonts w:ascii="Wingdings" w:hAnsi="Wingdings" w:hint="default"/>
      </w:rPr>
    </w:lvl>
    <w:lvl w:ilvl="6" w:tplc="C30C2160">
      <w:start w:val="1"/>
      <w:numFmt w:val="bullet"/>
      <w:lvlText w:val=""/>
      <w:lvlJc w:val="left"/>
      <w:pPr>
        <w:tabs>
          <w:tab w:val="num" w:pos="5040"/>
        </w:tabs>
        <w:ind w:left="5040" w:hanging="360"/>
      </w:pPr>
      <w:rPr>
        <w:rFonts w:ascii="Wingdings" w:hAnsi="Wingdings" w:hint="default"/>
      </w:rPr>
    </w:lvl>
    <w:lvl w:ilvl="7" w:tplc="B868EAF2">
      <w:start w:val="1"/>
      <w:numFmt w:val="bullet"/>
      <w:lvlText w:val=""/>
      <w:lvlJc w:val="left"/>
      <w:pPr>
        <w:tabs>
          <w:tab w:val="num" w:pos="5760"/>
        </w:tabs>
        <w:ind w:left="5760" w:hanging="360"/>
      </w:pPr>
      <w:rPr>
        <w:rFonts w:ascii="Wingdings" w:hAnsi="Wingdings" w:hint="default"/>
      </w:rPr>
    </w:lvl>
    <w:lvl w:ilvl="8" w:tplc="F3222794">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31E0F4F"/>
    <w:multiLevelType w:val="multilevel"/>
    <w:tmpl w:val="0EF4E19E"/>
    <w:lvl w:ilvl="0">
      <w:start w:val="3"/>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15:restartNumberingAfterBreak="0">
    <w:nsid w:val="762F4CD5"/>
    <w:multiLevelType w:val="multilevel"/>
    <w:tmpl w:val="AD5A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66D7945"/>
    <w:multiLevelType w:val="hybridMultilevel"/>
    <w:tmpl w:val="34B08B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7" w15:restartNumberingAfterBreak="0">
    <w:nsid w:val="783300E7"/>
    <w:multiLevelType w:val="hybridMultilevel"/>
    <w:tmpl w:val="8C4CBAFC"/>
    <w:lvl w:ilvl="0" w:tplc="DBE80256">
      <w:start w:val="1"/>
      <w:numFmt w:val="decimal"/>
      <w:lvlText w:val="%1."/>
      <w:lvlJc w:val="left"/>
      <w:pPr>
        <w:tabs>
          <w:tab w:val="num" w:pos="720"/>
        </w:tabs>
        <w:ind w:left="720" w:hanging="360"/>
      </w:pPr>
      <w:rPr>
        <w:rFonts w:cs="Times New Roman"/>
      </w:rPr>
    </w:lvl>
    <w:lvl w:ilvl="1" w:tplc="15DCF5F0">
      <w:start w:val="1"/>
      <w:numFmt w:val="decimal"/>
      <w:lvlText w:val="%2."/>
      <w:lvlJc w:val="left"/>
      <w:pPr>
        <w:tabs>
          <w:tab w:val="num" w:pos="1440"/>
        </w:tabs>
        <w:ind w:left="1440" w:hanging="360"/>
      </w:pPr>
      <w:rPr>
        <w:rFonts w:cs="Times New Roman"/>
      </w:rPr>
    </w:lvl>
    <w:lvl w:ilvl="2" w:tplc="96DE6BA2">
      <w:start w:val="1"/>
      <w:numFmt w:val="decimal"/>
      <w:lvlText w:val="%3."/>
      <w:lvlJc w:val="left"/>
      <w:pPr>
        <w:tabs>
          <w:tab w:val="num" w:pos="2160"/>
        </w:tabs>
        <w:ind w:left="2160" w:hanging="360"/>
      </w:pPr>
      <w:rPr>
        <w:rFonts w:cs="Times New Roman"/>
      </w:rPr>
    </w:lvl>
    <w:lvl w:ilvl="3" w:tplc="8F344FF4">
      <w:start w:val="1"/>
      <w:numFmt w:val="decimal"/>
      <w:lvlText w:val="%4."/>
      <w:lvlJc w:val="left"/>
      <w:pPr>
        <w:tabs>
          <w:tab w:val="num" w:pos="2880"/>
        </w:tabs>
        <w:ind w:left="2880" w:hanging="360"/>
      </w:pPr>
      <w:rPr>
        <w:rFonts w:cs="Times New Roman"/>
      </w:rPr>
    </w:lvl>
    <w:lvl w:ilvl="4" w:tplc="D12E6440">
      <w:start w:val="1"/>
      <w:numFmt w:val="decimal"/>
      <w:lvlText w:val="%5."/>
      <w:lvlJc w:val="left"/>
      <w:pPr>
        <w:tabs>
          <w:tab w:val="num" w:pos="3600"/>
        </w:tabs>
        <w:ind w:left="3600" w:hanging="360"/>
      </w:pPr>
      <w:rPr>
        <w:rFonts w:cs="Times New Roman"/>
      </w:rPr>
    </w:lvl>
    <w:lvl w:ilvl="5" w:tplc="735869D0">
      <w:start w:val="1"/>
      <w:numFmt w:val="decimal"/>
      <w:lvlText w:val="%6."/>
      <w:lvlJc w:val="left"/>
      <w:pPr>
        <w:tabs>
          <w:tab w:val="num" w:pos="4320"/>
        </w:tabs>
        <w:ind w:left="4320" w:hanging="360"/>
      </w:pPr>
      <w:rPr>
        <w:rFonts w:cs="Times New Roman"/>
      </w:rPr>
    </w:lvl>
    <w:lvl w:ilvl="6" w:tplc="B0E6DAF6">
      <w:start w:val="1"/>
      <w:numFmt w:val="decimal"/>
      <w:lvlText w:val="%7."/>
      <w:lvlJc w:val="left"/>
      <w:pPr>
        <w:tabs>
          <w:tab w:val="num" w:pos="5040"/>
        </w:tabs>
        <w:ind w:left="5040" w:hanging="360"/>
      </w:pPr>
      <w:rPr>
        <w:rFonts w:cs="Times New Roman"/>
      </w:rPr>
    </w:lvl>
    <w:lvl w:ilvl="7" w:tplc="88D499C2">
      <w:start w:val="1"/>
      <w:numFmt w:val="decimal"/>
      <w:lvlText w:val="%8."/>
      <w:lvlJc w:val="left"/>
      <w:pPr>
        <w:tabs>
          <w:tab w:val="num" w:pos="5760"/>
        </w:tabs>
        <w:ind w:left="5760" w:hanging="360"/>
      </w:pPr>
      <w:rPr>
        <w:rFonts w:cs="Times New Roman"/>
      </w:rPr>
    </w:lvl>
    <w:lvl w:ilvl="8" w:tplc="289403FE">
      <w:start w:val="1"/>
      <w:numFmt w:val="decimal"/>
      <w:lvlText w:val="%9."/>
      <w:lvlJc w:val="left"/>
      <w:pPr>
        <w:tabs>
          <w:tab w:val="num" w:pos="6480"/>
        </w:tabs>
        <w:ind w:left="6480" w:hanging="360"/>
      </w:pPr>
      <w:rPr>
        <w:rFonts w:cs="Times New Roman"/>
      </w:rPr>
    </w:lvl>
  </w:abstractNum>
  <w:abstractNum w:abstractNumId="58" w15:restartNumberingAfterBreak="0">
    <w:nsid w:val="784F4B9E"/>
    <w:multiLevelType w:val="hybridMultilevel"/>
    <w:tmpl w:val="C3F2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D2320D"/>
    <w:multiLevelType w:val="hybridMultilevel"/>
    <w:tmpl w:val="C734C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EF95D4A"/>
    <w:multiLevelType w:val="hybridMultilevel"/>
    <w:tmpl w:val="2EC8135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2"/>
  </w:num>
  <w:num w:numId="2">
    <w:abstractNumId w:val="35"/>
  </w:num>
  <w:num w:numId="3">
    <w:abstractNumId w:val="27"/>
  </w:num>
  <w:num w:numId="4">
    <w:abstractNumId w:val="31"/>
  </w:num>
  <w:num w:numId="5">
    <w:abstractNumId w:val="12"/>
  </w:num>
  <w:num w:numId="6">
    <w:abstractNumId w:val="3"/>
  </w:num>
  <w:num w:numId="7">
    <w:abstractNumId w:val="36"/>
  </w:num>
  <w:num w:numId="8">
    <w:abstractNumId w:val="58"/>
  </w:num>
  <w:num w:numId="9">
    <w:abstractNumId w:val="6"/>
  </w:num>
  <w:num w:numId="10">
    <w:abstractNumId w:val="1"/>
  </w:num>
  <w:num w:numId="11">
    <w:abstractNumId w:val="42"/>
  </w:num>
  <w:num w:numId="12">
    <w:abstractNumId w:val="55"/>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8"/>
  </w:num>
  <w:num w:numId="18">
    <w:abstractNumId w:val="0"/>
  </w:num>
  <w:num w:numId="19">
    <w:abstractNumId w:val="38"/>
  </w:num>
  <w:num w:numId="20">
    <w:abstractNumId w:val="46"/>
  </w:num>
  <w:num w:numId="21">
    <w:abstractNumId w:val="8"/>
  </w:num>
  <w:num w:numId="22">
    <w:abstractNumId w:val="25"/>
  </w:num>
  <w:num w:numId="23">
    <w:abstractNumId w:val="39"/>
  </w:num>
  <w:num w:numId="24">
    <w:abstractNumId w:val="59"/>
  </w:num>
  <w:num w:numId="25">
    <w:abstractNumId w:val="37"/>
  </w:num>
  <w:num w:numId="26">
    <w:abstractNumId w:val="10"/>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53"/>
  </w:num>
  <w:num w:numId="30">
    <w:abstractNumId w:val="44"/>
  </w:num>
  <w:num w:numId="31">
    <w:abstractNumId w:val="29"/>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5"/>
  </w:num>
  <w:num w:numId="36">
    <w:abstractNumId w:val="15"/>
  </w:num>
  <w:num w:numId="37">
    <w:abstractNumId w:val="34"/>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11"/>
  </w:num>
  <w:num w:numId="41">
    <w:abstractNumId w:val="45"/>
  </w:num>
  <w:num w:numId="42">
    <w:abstractNumId w:val="60"/>
  </w:num>
  <w:num w:numId="43">
    <w:abstractNumId w:val="24"/>
  </w:num>
  <w:num w:numId="44">
    <w:abstractNumId w:val="47"/>
  </w:num>
  <w:num w:numId="45">
    <w:abstractNumId w:val="20"/>
  </w:num>
  <w:num w:numId="46">
    <w:abstractNumId w:val="43"/>
  </w:num>
  <w:num w:numId="47">
    <w:abstractNumId w:val="19"/>
  </w:num>
  <w:num w:numId="48">
    <w:abstractNumId w:val="49"/>
  </w:num>
  <w:num w:numId="49">
    <w:abstractNumId w:val="14"/>
  </w:num>
  <w:num w:numId="50">
    <w:abstractNumId w:val="22"/>
  </w:num>
  <w:num w:numId="51">
    <w:abstractNumId w:val="16"/>
  </w:num>
  <w:num w:numId="52">
    <w:abstractNumId w:val="13"/>
  </w:num>
  <w:num w:numId="53">
    <w:abstractNumId w:val="16"/>
    <w:lvlOverride w:ilvl="0">
      <w:startOverride w:val="3"/>
    </w:lvlOverride>
    <w:lvlOverride w:ilvl="1">
      <w:startOverride w:val="2"/>
    </w:lvlOverride>
    <w:lvlOverride w:ilvl="2">
      <w:startOverride w:val="2"/>
    </w:lvlOverride>
  </w:num>
  <w:num w:numId="54">
    <w:abstractNumId w:val="16"/>
    <w:lvlOverride w:ilvl="0">
      <w:startOverride w:val="3"/>
    </w:lvlOverride>
    <w:lvlOverride w:ilvl="1">
      <w:startOverride w:val="3"/>
    </w:lvlOverride>
    <w:lvlOverride w:ilvl="2">
      <w:startOverride w:val="2"/>
    </w:lvlOverride>
  </w:num>
  <w:num w:numId="55">
    <w:abstractNumId w:val="17"/>
  </w:num>
  <w:num w:numId="56">
    <w:abstractNumId w:val="7"/>
  </w:num>
  <w:num w:numId="57">
    <w:abstractNumId w:val="48"/>
  </w:num>
  <w:num w:numId="58">
    <w:abstractNumId w:val="41"/>
  </w:num>
  <w:num w:numId="59">
    <w:abstractNumId w:val="26"/>
  </w:num>
  <w:num w:numId="60">
    <w:abstractNumId w:val="52"/>
  </w:num>
  <w:num w:numId="61">
    <w:abstractNumId w:val="18"/>
  </w:num>
  <w:num w:numId="62">
    <w:abstractNumId w:val="51"/>
  </w:num>
  <w:num w:numId="63">
    <w:abstractNumId w:val="30"/>
  </w:num>
  <w:num w:numId="64">
    <w:abstractNumId w:val="50"/>
  </w:num>
  <w:num w:numId="65">
    <w:abstractNumId w:val="54"/>
  </w:num>
  <w:num w:numId="66">
    <w:abstractNumId w:val="32"/>
  </w:num>
  <w:num w:numId="67">
    <w:abstractNumId w:val="23"/>
  </w:num>
  <w:num w:numId="68">
    <w:abstractNumId w:val="23"/>
  </w:num>
  <w:num w:numId="69">
    <w:abstractNumId w:val="23"/>
  </w:num>
  <w:num w:numId="70">
    <w:abstractNumId w:val="23"/>
  </w:num>
  <w:num w:numId="71">
    <w:abstractNumId w:val="23"/>
  </w:num>
  <w:num w:numId="72">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de-DE" w:vendorID="64" w:dllVersion="131078" w:nlCheck="1" w:checkStyle="0"/>
  <w:revisionView w:markup="0"/>
  <w:defaultTabStop w:val="0"/>
  <w:hyphenationZone w:val="425"/>
  <w:characterSpacingControl w:val="doNotCompress"/>
  <w:hdrShapeDefaults>
    <o:shapedefaults v:ext="edit" spidmax="83969"/>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9B83B29-092B-48CE-99CC-1F1352C0A983"/>
    <w:docVar w:name="LW_COVERPAGE_TYPE" w:val="1"/>
    <w:docVar w:name="LW_CROSSREFERENCE" w:val="{COM(2020) 55 final} - {SWD(2020) 211 final}"/>
    <w:docVar w:name="LW_DocType" w:val="NORMAL"/>
    <w:docVar w:name="LW_EMISSION" w:val="5.2.2020"/>
    <w:docVar w:name="LW_EMISSION_ISODATE" w:val="2020-02-05"/>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FMT:Bold&gt;Economic governance review&lt;/FMT&gt;_x000d__x000d__x000d__x000d__x000d__x000b__x000d__x000d__x000d__x000d__x000d__x000b_&lt;FMT:Bold&gt;Report on the application of Regulations (EU) No 1173/2011, 1174/2011, 1175/2011, 1176/2011, 1177/2011, 472/2013 and 473/2013 and Council Directive 2011/85/EU&lt;/FMT&gt;"/>
    <w:docVar w:name="LW_PART_NBR" w:val="1"/>
    <w:docVar w:name="LW_PART_NBR_TOTAL" w:val="1"/>
    <w:docVar w:name="LW_REF.INST.NEW" w:val="SWD"/>
    <w:docVar w:name="LW_REF.INST.NEW_ADOPTED" w:val="final"/>
    <w:docVar w:name="LW_REF.INST.NEW_TEXT" w:val="(2020) 2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port on the application of Regulations (EU) No 1173/2011, 1174/2011, 1175/2011, 1176/2011, 1177/2011, 472/2013 and 473/2013 and Council Directive 2011/85/EU&lt;/FMT&gt;"/>
    <w:docVar w:name="LW_TYPE.DOC.CP" w:val="COMMISSION STAFF WORKING DOCUMENT"/>
    <w:docVar w:name="LW_TYPEACTEPRINCIPAL.CP" w:val="COMMUNICATION FROM THE COMMISSION TO THE EUROPEAN PARLIAMENT, THE COUNCIL, THE EUROPEAN CENTRAL BANK, THE EUROPEAN ECONOMIC AND SOCIAL COMMITTEE AND THE COMMITTEE OF THE REGIONS"/>
  </w:docVars>
  <w:rsids>
    <w:rsidRoot w:val="00630C0A"/>
    <w:rsid w:val="00630C0A"/>
    <w:rsid w:val="00961E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docId w15:val="{D7938751-05D9-483E-8A71-A9338231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240" w:after="240"/>
      <w:ind w:left="357" w:hanging="357"/>
      <w:jc w:val="both"/>
      <w:outlineLvl w:val="0"/>
    </w:pPr>
    <w:rPr>
      <w:rFonts w:eastAsia="Times New Roman" w:cs="Calibri"/>
      <w:b/>
      <w:bCs/>
      <w:smallCaps/>
      <w:color w:val="000000"/>
      <w:sz w:val="28"/>
      <w:lang w:eastAsia="en-US"/>
    </w:rPr>
  </w:style>
  <w:style w:type="paragraph" w:styleId="Heading2">
    <w:name w:val="heading 2"/>
    <w:basedOn w:val="Normal"/>
    <w:next w:val="Normal"/>
    <w:link w:val="Heading2Char"/>
    <w:autoRedefine/>
    <w:uiPriority w:val="9"/>
    <w:unhideWhenUsed/>
    <w:qFormat/>
    <w:pPr>
      <w:keepNext/>
      <w:keepLines/>
      <w:tabs>
        <w:tab w:val="left" w:pos="0"/>
      </w:tabs>
      <w:spacing w:before="240" w:after="240"/>
      <w:jc w:val="both"/>
      <w:outlineLvl w:val="1"/>
    </w:pPr>
    <w:rPr>
      <w:rFonts w:eastAsia="Calibri"/>
      <w:b/>
      <w:bCs/>
      <w:color w:val="000000"/>
      <w:szCs w:val="22"/>
      <w:lang w:eastAsia="en-US"/>
    </w:rPr>
  </w:style>
  <w:style w:type="paragraph" w:styleId="Heading3">
    <w:name w:val="heading 3"/>
    <w:basedOn w:val="Normal"/>
    <w:next w:val="Normal"/>
    <w:link w:val="Heading3Char"/>
    <w:uiPriority w:val="9"/>
    <w:unhideWhenUsed/>
    <w:qFormat/>
    <w:pPr>
      <w:keepNext/>
      <w:keepLines/>
      <w:numPr>
        <w:ilvl w:val="2"/>
        <w:numId w:val="32"/>
      </w:numPr>
      <w:spacing w:before="240" w:after="240"/>
      <w:outlineLvl w:val="2"/>
    </w:pPr>
    <w:rPr>
      <w:rFonts w:eastAsia="Calibri" w:cs="Calibri"/>
      <w:b/>
      <w:bCs/>
      <w:color w:val="000000"/>
      <w:szCs w:val="22"/>
      <w:lang w:eastAsia="en-US"/>
    </w:rPr>
  </w:style>
  <w:style w:type="paragraph" w:styleId="Heading4">
    <w:name w:val="heading 4"/>
    <w:basedOn w:val="Normal"/>
    <w:next w:val="Normal"/>
    <w:link w:val="Heading4Char"/>
    <w:autoRedefine/>
    <w:uiPriority w:val="9"/>
    <w:unhideWhenUsed/>
    <w:qFormat/>
    <w:pPr>
      <w:keepNext/>
      <w:keepLines/>
      <w:numPr>
        <w:ilvl w:val="3"/>
        <w:numId w:val="32"/>
      </w:numPr>
      <w:spacing w:before="240" w:after="240"/>
      <w:outlineLvl w:val="3"/>
    </w:pPr>
    <w:rPr>
      <w:rFonts w:eastAsia="Times New Roman"/>
      <w:bCs/>
      <w:i/>
      <w:iCs/>
      <w:color w:val="000000"/>
      <w:szCs w:val="22"/>
      <w:lang w:eastAsia="en-US"/>
    </w:rPr>
  </w:style>
  <w:style w:type="paragraph" w:styleId="Heading5">
    <w:name w:val="heading 5"/>
    <w:basedOn w:val="Normal"/>
    <w:next w:val="Normal"/>
    <w:link w:val="Heading5Char"/>
    <w:uiPriority w:val="9"/>
    <w:semiHidden/>
    <w:unhideWhenUsed/>
    <w:qFormat/>
    <w:pPr>
      <w:keepNext/>
      <w:keepLines/>
      <w:numPr>
        <w:ilvl w:val="4"/>
        <w:numId w:val="32"/>
      </w:numPr>
      <w:spacing w:before="200" w:line="276" w:lineRule="auto"/>
      <w:outlineLvl w:val="4"/>
    </w:pPr>
    <w:rPr>
      <w:rFonts w:ascii="Cambria" w:eastAsia="Times New Roman" w:hAnsi="Cambria"/>
      <w:color w:val="243F60"/>
      <w:sz w:val="22"/>
      <w:szCs w:val="22"/>
      <w:lang w:eastAsia="en-US"/>
    </w:rPr>
  </w:style>
  <w:style w:type="paragraph" w:styleId="Heading6">
    <w:name w:val="heading 6"/>
    <w:basedOn w:val="Normal"/>
    <w:next w:val="Normal"/>
    <w:link w:val="Heading6Char"/>
    <w:uiPriority w:val="9"/>
    <w:semiHidden/>
    <w:unhideWhenUsed/>
    <w:qFormat/>
    <w:pPr>
      <w:keepNext/>
      <w:keepLines/>
      <w:numPr>
        <w:ilvl w:val="5"/>
        <w:numId w:val="32"/>
      </w:numPr>
      <w:spacing w:before="200" w:line="276" w:lineRule="auto"/>
      <w:outlineLvl w:val="5"/>
    </w:pPr>
    <w:rPr>
      <w:rFonts w:ascii="Cambria" w:eastAsia="Times New Roman" w:hAnsi="Cambria"/>
      <w:i/>
      <w:iCs/>
      <w:color w:val="243F60"/>
      <w:sz w:val="22"/>
      <w:szCs w:val="22"/>
      <w:lang w:eastAsia="en-US"/>
    </w:rPr>
  </w:style>
  <w:style w:type="paragraph" w:styleId="Heading7">
    <w:name w:val="heading 7"/>
    <w:basedOn w:val="Normal"/>
    <w:next w:val="Normal"/>
    <w:link w:val="Heading7Char"/>
    <w:uiPriority w:val="9"/>
    <w:semiHidden/>
    <w:unhideWhenUsed/>
    <w:qFormat/>
    <w:pPr>
      <w:keepNext/>
      <w:keepLines/>
      <w:numPr>
        <w:ilvl w:val="6"/>
        <w:numId w:val="32"/>
      </w:numPr>
      <w:spacing w:before="200" w:line="276" w:lineRule="auto"/>
      <w:outlineLvl w:val="6"/>
    </w:pPr>
    <w:rPr>
      <w:rFonts w:ascii="Cambria" w:eastAsia="Times New Roman" w:hAnsi="Cambria"/>
      <w:i/>
      <w:iCs/>
      <w:color w:val="404040"/>
      <w:sz w:val="22"/>
      <w:szCs w:val="22"/>
      <w:lang w:eastAsia="en-US"/>
    </w:rPr>
  </w:style>
  <w:style w:type="paragraph" w:styleId="Heading8">
    <w:name w:val="heading 8"/>
    <w:basedOn w:val="Normal"/>
    <w:next w:val="Normal"/>
    <w:link w:val="Heading8Char"/>
    <w:uiPriority w:val="9"/>
    <w:semiHidden/>
    <w:unhideWhenUsed/>
    <w:qFormat/>
    <w:pPr>
      <w:keepNext/>
      <w:keepLines/>
      <w:numPr>
        <w:ilvl w:val="7"/>
        <w:numId w:val="32"/>
      </w:numPr>
      <w:spacing w:before="200" w:line="276" w:lineRule="auto"/>
      <w:outlineLvl w:val="7"/>
    </w:pPr>
    <w:rPr>
      <w:rFonts w:ascii="Cambria" w:eastAsia="Times New Roman" w:hAnsi="Cambria"/>
      <w:color w:val="4F81BD"/>
      <w:sz w:val="20"/>
      <w:szCs w:val="20"/>
      <w:lang w:eastAsia="en-US"/>
    </w:rPr>
  </w:style>
  <w:style w:type="paragraph" w:styleId="Heading9">
    <w:name w:val="heading 9"/>
    <w:basedOn w:val="Normal"/>
    <w:next w:val="Normal"/>
    <w:link w:val="Heading9Char"/>
    <w:uiPriority w:val="9"/>
    <w:semiHidden/>
    <w:unhideWhenUsed/>
    <w:qFormat/>
    <w:pPr>
      <w:keepNext/>
      <w:keepLines/>
      <w:numPr>
        <w:ilvl w:val="8"/>
        <w:numId w:val="32"/>
      </w:numPr>
      <w:spacing w:before="200" w:line="276" w:lineRule="auto"/>
      <w:outlineLvl w:val="8"/>
    </w:pPr>
    <w:rPr>
      <w:rFonts w:ascii="Cambria" w:eastAsia="Times New Roman"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Dot pt,F5 List Paragraph,No Spacing1,List Paragraph Char Char Char,Indicator Text,Colorful List - Accent 11,Numbered Para 1"/>
    <w:basedOn w:val="Normal"/>
    <w:link w:val="ListParagraphChar"/>
    <w:uiPriority w:val="34"/>
    <w:qFormat/>
    <w:pPr>
      <w:ind w:left="720"/>
    </w:pPr>
    <w:rPr>
      <w:rFonts w:ascii="Calibri" w:hAnsi="Calibri" w:cs="Calibri"/>
      <w:sz w:val="22"/>
      <w:szCs w:val="22"/>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GB"/>
    </w:rPr>
  </w:style>
  <w:style w:type="paragraph" w:styleId="FootnoteText">
    <w:name w:val="footnote text"/>
    <w:aliases w:val="lábléc,Fußnote,C26 Footnote body,FSR footnote,Footnote Text Char Char,Voetnoottekst Char,fn,Fodnotetekst Tegn Tegn Tegn Tegn Tegn Tegn Tegn Char Char,Fodnotetekst Tegn Tegn Tegn Tegn Tegn Tegn Tegn,Footnote Text Char1,Plonk,Footnote text,f"/>
    <w:basedOn w:val="Normal"/>
    <w:link w:val="FootnoteTextChar"/>
    <w:uiPriority w:val="99"/>
    <w:unhideWhenUsed/>
    <w:qFormat/>
    <w:rPr>
      <w:rFonts w:asciiTheme="minorHAnsi" w:hAnsiTheme="minorHAnsi" w:cstheme="minorBidi"/>
      <w:sz w:val="20"/>
      <w:szCs w:val="20"/>
      <w:lang w:eastAsia="en-US"/>
    </w:rPr>
  </w:style>
  <w:style w:type="character" w:customStyle="1" w:styleId="FootnoteTextChar">
    <w:name w:val="Footnote Text Char"/>
    <w:aliases w:val="lábléc Char,Fußnote Char,C26 Footnote body Char,FSR footnote Char,Footnote Text Char Char Char,Voetnoottekst Char Char,fn Char,Fodnotetekst Tegn Tegn Tegn Tegn Tegn Tegn Tegn Char Char Char,Footnote Text Char1 Char,Plonk Char,f Char"/>
    <w:basedOn w:val="DefaultParagraphFont"/>
    <w:link w:val="FootnoteText"/>
    <w:uiPriority w:val="99"/>
    <w:qFormat/>
    <w:rPr>
      <w:sz w:val="20"/>
      <w:szCs w:val="20"/>
    </w:rPr>
  </w:style>
  <w:style w:type="character" w:styleId="FootnoteReference">
    <w:name w:val="footnote reference"/>
    <w:aliases w:val="Footnote symbol,Footnote,Footnote number,fr,o,Footnotemark,FR,Footnotemark1,Footnotemark2,FR1,Footnotemark3,FR2,Footnotemark4,FR3,Footnotemark5,FR4,Footnotemark6,Footnotemark7,Footnotemark8,FR5,Footnotemark11,Footnotemark21,FR11,Nota"/>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hAnsiTheme="minorHAnsi" w:cstheme="minorBidi"/>
      <w:sz w:val="22"/>
      <w:szCs w:val="22"/>
      <w:vertAlign w:val="superscript"/>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en-GB"/>
    </w:rPr>
  </w:style>
  <w:style w:type="paragraph" w:styleId="NormalWeb">
    <w:name w:val="Normal (Web)"/>
    <w:basedOn w:val="Normal"/>
    <w:uiPriority w:val="99"/>
    <w:semiHidden/>
    <w:unhideWhenUsed/>
    <w:pPr>
      <w:spacing w:before="100" w:beforeAutospacing="1" w:after="100" w:afterAutospacing="1"/>
    </w:pPr>
    <w:rPr>
      <w:rFonts w:eastAsia="Times New Roman"/>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customStyle="1" w:styleId="astandard3520normal">
    <w:name w:val="a_standard__35__20_normal"/>
    <w:basedOn w:val="Normal"/>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en-GB"/>
    </w:rPr>
  </w:style>
  <w:style w:type="character" w:customStyle="1" w:styleId="ListParagraphChar">
    <w:name w:val="List Paragraph Char"/>
    <w:aliases w:val="1st level - Bullet List Paragraph Char,List Paragraph1 Char,Lettre d'introduction Char,Paragrafo elenco Char,Medium Grid 1 - Accent 21 Char,Dot pt Char,F5 List Paragraph Char,No Spacing1 Char,List Paragraph Char Char Char Char"/>
    <w:basedOn w:val="DefaultParagraphFont"/>
    <w:link w:val="ListParagraph"/>
    <w:uiPriority w:val="34"/>
    <w:qFormat/>
    <w:locked/>
    <w:rPr>
      <w:rFonts w:ascii="Calibri" w:hAnsi="Calibri" w:cs="Calibri"/>
    </w:rPr>
  </w:style>
  <w:style w:type="paragraph" w:styleId="Revision">
    <w:name w:val="Revision"/>
    <w:hidden/>
    <w:uiPriority w:val="99"/>
    <w:semiHidden/>
    <w:pPr>
      <w:spacing w:after="0" w:line="240" w:lineRule="auto"/>
    </w:pPr>
    <w:rPr>
      <w:rFonts w:ascii="Times New Roman" w:hAnsi="Times New Roman" w:cs="Times New Roman"/>
      <w:sz w:val="24"/>
      <w:szCs w:val="24"/>
      <w:lang w:eastAsia="en-GB"/>
    </w:rPr>
  </w:style>
  <w:style w:type="character" w:customStyle="1" w:styleId="s2">
    <w:name w:val="s2"/>
    <w:basedOn w:val="DefaultParagraphFont"/>
  </w:style>
  <w:style w:type="character" w:customStyle="1" w:styleId="s4">
    <w:name w:val="s4"/>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Pr>
      <w:rFonts w:ascii="Calibri" w:eastAsia="Times New Roman" w:hAnsi="Calibri" w:cs="Calibri"/>
      <w:sz w:val="22"/>
      <w:szCs w:val="21"/>
      <w:lang w:eastAsia="en-US"/>
    </w:rPr>
  </w:style>
  <w:style w:type="character" w:customStyle="1" w:styleId="PlainTextChar">
    <w:name w:val="Plain Text Char"/>
    <w:basedOn w:val="DefaultParagraphFont"/>
    <w:link w:val="PlainText"/>
    <w:uiPriority w:val="99"/>
    <w:semiHidden/>
    <w:rPr>
      <w:rFonts w:ascii="Calibri" w:eastAsia="Times New Roman" w:hAnsi="Calibri" w:cs="Calibri"/>
      <w:szCs w:val="21"/>
    </w:rPr>
  </w:style>
  <w:style w:type="paragraph" w:styleId="Caption">
    <w:name w:val="caption"/>
    <w:basedOn w:val="Normal"/>
    <w:next w:val="Normal"/>
    <w:uiPriority w:val="35"/>
    <w:unhideWhenUsed/>
    <w:qFormat/>
    <w:pPr>
      <w:spacing w:after="200"/>
    </w:pPr>
    <w:rPr>
      <w:i/>
      <w:iCs/>
      <w:color w:val="1F497D" w:themeColor="text2"/>
      <w:sz w:val="18"/>
      <w:szCs w:val="18"/>
    </w:rPr>
  </w:style>
  <w:style w:type="character" w:customStyle="1" w:styleId="Heading1Char">
    <w:name w:val="Heading 1 Char"/>
    <w:basedOn w:val="DefaultParagraphFont"/>
    <w:link w:val="Heading1"/>
    <w:uiPriority w:val="9"/>
    <w:rPr>
      <w:rFonts w:ascii="Times New Roman" w:eastAsia="Times New Roman" w:hAnsi="Times New Roman" w:cs="Calibri"/>
      <w:b/>
      <w:bCs/>
      <w:smallCaps/>
      <w:color w:val="000000"/>
      <w:sz w:val="28"/>
      <w:szCs w:val="24"/>
    </w:rPr>
  </w:style>
  <w:style w:type="character" w:customStyle="1" w:styleId="Heading2Char">
    <w:name w:val="Heading 2 Char"/>
    <w:basedOn w:val="DefaultParagraphFont"/>
    <w:link w:val="Heading2"/>
    <w:uiPriority w:val="9"/>
    <w:rPr>
      <w:rFonts w:ascii="Times New Roman" w:eastAsia="Calibri" w:hAnsi="Times New Roman" w:cs="Times New Roman"/>
      <w:b/>
      <w:bCs/>
      <w:color w:val="000000"/>
      <w:sz w:val="24"/>
    </w:rPr>
  </w:style>
  <w:style w:type="character" w:customStyle="1" w:styleId="Heading3Char">
    <w:name w:val="Heading 3 Char"/>
    <w:basedOn w:val="DefaultParagraphFont"/>
    <w:link w:val="Heading3"/>
    <w:uiPriority w:val="9"/>
    <w:rPr>
      <w:rFonts w:ascii="Times New Roman" w:eastAsia="Calibri" w:hAnsi="Times New Roman" w:cs="Calibri"/>
      <w:b/>
      <w:bCs/>
      <w:color w:val="000000"/>
      <w:sz w:val="24"/>
    </w:rPr>
  </w:style>
  <w:style w:type="character" w:customStyle="1" w:styleId="Heading4Char">
    <w:name w:val="Heading 4 Char"/>
    <w:basedOn w:val="DefaultParagraphFont"/>
    <w:link w:val="Heading4"/>
    <w:uiPriority w:val="9"/>
    <w:rPr>
      <w:rFonts w:ascii="Times New Roman" w:eastAsia="Times New Roman" w:hAnsi="Times New Roman" w:cs="Times New Roman"/>
      <w:bCs/>
      <w:i/>
      <w:iCs/>
      <w:color w:val="000000"/>
      <w:sz w:val="24"/>
    </w:rPr>
  </w:style>
  <w:style w:type="character" w:customStyle="1" w:styleId="Heading5Char">
    <w:name w:val="Heading 5 Char"/>
    <w:basedOn w:val="DefaultParagraphFont"/>
    <w:link w:val="Heading5"/>
    <w:uiPriority w:val="9"/>
    <w:semiHidden/>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semiHidden/>
    <w:rPr>
      <w:rFonts w:ascii="Cambria" w:eastAsia="Times New Roman" w:hAnsi="Cambria" w:cs="Times New Roman"/>
      <w:i/>
      <w:iCs/>
      <w:color w:val="404040"/>
      <w:sz w:val="20"/>
      <w:szCs w:val="20"/>
    </w:rPr>
  </w:style>
  <w:style w:type="paragraph" w:styleId="TOCHeading">
    <w:name w:val="TOC Heading"/>
    <w:basedOn w:val="Heading1"/>
    <w:next w:val="Normal"/>
    <w:uiPriority w:val="39"/>
    <w:unhideWhenUsed/>
    <w:qFormat/>
    <w:pPr>
      <w:spacing w:after="0" w:line="259" w:lineRule="auto"/>
      <w:outlineLvl w:val="9"/>
    </w:pPr>
    <w:rPr>
      <w:rFonts w:asciiTheme="majorHAnsi" w:eastAsiaTheme="majorEastAsia" w:hAnsiTheme="majorHAnsi" w:cstheme="majorBidi"/>
      <w:b w:val="0"/>
      <w:bCs w:val="0"/>
      <w:smallCaps w:val="0"/>
      <w:color w:val="365F91" w:themeColor="accent1" w:themeShade="BF"/>
      <w:sz w:val="32"/>
      <w:szCs w:val="32"/>
      <w:lang w:val="en-US"/>
    </w:rPr>
  </w:style>
  <w:style w:type="paragraph" w:styleId="TOC1">
    <w:name w:val="toc 1"/>
    <w:basedOn w:val="Normal"/>
    <w:next w:val="Normal"/>
    <w:autoRedefine/>
    <w:uiPriority w:val="39"/>
    <w:unhideWhenUsed/>
    <w:pPr>
      <w:tabs>
        <w:tab w:val="left" w:pos="480"/>
        <w:tab w:val="right" w:leader="dot" w:pos="9062"/>
      </w:tabs>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pPr>
      <w:keepNext/>
      <w:pBdr>
        <w:top w:val="single" w:sz="6" w:space="2" w:color="auto"/>
        <w:bottom w:val="single" w:sz="6" w:space="2" w:color="auto"/>
      </w:pBdr>
      <w:jc w:val="both"/>
    </w:pPr>
    <w:rPr>
      <w:color w:val="000000"/>
      <w:sz w:val="14"/>
      <w:szCs w:val="22"/>
      <w:lang w:eastAsia="en-US"/>
    </w:rPr>
  </w:style>
  <w:style w:type="paragraph" w:customStyle="1" w:styleId="BoxText">
    <w:name w:val="Box Text"/>
    <w:basedOn w:val="Normal"/>
    <w:pPr>
      <w:spacing w:after="220" w:line="220" w:lineRule="atLeast"/>
      <w:ind w:right="85"/>
      <w:jc w:val="both"/>
    </w:pPr>
    <w:rPr>
      <w:color w:val="000000"/>
      <w:sz w:val="18"/>
      <w:szCs w:val="22"/>
      <w:lang w:eastAsia="en-US"/>
    </w:rPr>
  </w:style>
  <w:style w:type="paragraph" w:customStyle="1" w:styleId="BoxTitle">
    <w:name w:val="Box Title"/>
    <w:basedOn w:val="Normal"/>
    <w:pPr>
      <w:spacing w:after="220" w:line="240" w:lineRule="atLeast"/>
      <w:ind w:right="85"/>
      <w:jc w:val="center"/>
    </w:pPr>
    <w:rPr>
      <w:rFonts w:ascii="Century Gothic" w:hAnsi="Century Gothic"/>
      <w:color w:val="333399"/>
      <w:sz w:val="18"/>
      <w:szCs w:val="22"/>
      <w:lang w:eastAsia="en-US"/>
    </w:rPr>
  </w:style>
  <w:style w:type="character" w:customStyle="1" w:styleId="e24kjd">
    <w:name w:val="e24kjd"/>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lang w:eastAsia="en-US"/>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adjustRightInd w:val="0"/>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eastAsia="en-GB"/>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jc w:val="both"/>
    </w:pPr>
  </w:style>
  <w:style w:type="character" w:customStyle="1" w:styleId="HeaderCoverPageChar">
    <w:name w:val="Header Cover Page Char"/>
    <w:basedOn w:val="DefaultParagraphFont"/>
    <w:link w:val="HeaderCoverPage"/>
    <w:rPr>
      <w:rFonts w:ascii="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adjustRightInd w:val="0"/>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eastAsia="en-GB"/>
    </w:rPr>
  </w:style>
  <w:style w:type="paragraph" w:customStyle="1" w:styleId="HeaderSensitivityRight">
    <w:name w:val="Header Sensitivity Right"/>
    <w:basedOn w:val="Normal"/>
    <w:link w:val="HeaderSensitivityRightChar"/>
    <w:pPr>
      <w:autoSpaceDE w:val="0"/>
      <w:autoSpaceDN w:val="0"/>
      <w:adjustRightInd w:val="0"/>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491">
      <w:bodyDiv w:val="1"/>
      <w:marLeft w:val="0"/>
      <w:marRight w:val="0"/>
      <w:marTop w:val="0"/>
      <w:marBottom w:val="0"/>
      <w:divBdr>
        <w:top w:val="none" w:sz="0" w:space="0" w:color="auto"/>
        <w:left w:val="none" w:sz="0" w:space="0" w:color="auto"/>
        <w:bottom w:val="none" w:sz="0" w:space="0" w:color="auto"/>
        <w:right w:val="none" w:sz="0" w:space="0" w:color="auto"/>
      </w:divBdr>
    </w:div>
    <w:div w:id="106242641">
      <w:bodyDiv w:val="1"/>
      <w:marLeft w:val="0"/>
      <w:marRight w:val="0"/>
      <w:marTop w:val="0"/>
      <w:marBottom w:val="0"/>
      <w:divBdr>
        <w:top w:val="none" w:sz="0" w:space="0" w:color="auto"/>
        <w:left w:val="none" w:sz="0" w:space="0" w:color="auto"/>
        <w:bottom w:val="none" w:sz="0" w:space="0" w:color="auto"/>
        <w:right w:val="none" w:sz="0" w:space="0" w:color="auto"/>
      </w:divBdr>
    </w:div>
    <w:div w:id="140971941">
      <w:bodyDiv w:val="1"/>
      <w:marLeft w:val="0"/>
      <w:marRight w:val="0"/>
      <w:marTop w:val="0"/>
      <w:marBottom w:val="0"/>
      <w:divBdr>
        <w:top w:val="none" w:sz="0" w:space="0" w:color="auto"/>
        <w:left w:val="none" w:sz="0" w:space="0" w:color="auto"/>
        <w:bottom w:val="none" w:sz="0" w:space="0" w:color="auto"/>
        <w:right w:val="none" w:sz="0" w:space="0" w:color="auto"/>
      </w:divBdr>
    </w:div>
    <w:div w:id="159467558">
      <w:bodyDiv w:val="1"/>
      <w:marLeft w:val="0"/>
      <w:marRight w:val="0"/>
      <w:marTop w:val="0"/>
      <w:marBottom w:val="0"/>
      <w:divBdr>
        <w:top w:val="none" w:sz="0" w:space="0" w:color="auto"/>
        <w:left w:val="none" w:sz="0" w:space="0" w:color="auto"/>
        <w:bottom w:val="none" w:sz="0" w:space="0" w:color="auto"/>
        <w:right w:val="none" w:sz="0" w:space="0" w:color="auto"/>
      </w:divBdr>
    </w:div>
    <w:div w:id="188691624">
      <w:bodyDiv w:val="1"/>
      <w:marLeft w:val="0"/>
      <w:marRight w:val="0"/>
      <w:marTop w:val="0"/>
      <w:marBottom w:val="0"/>
      <w:divBdr>
        <w:top w:val="none" w:sz="0" w:space="0" w:color="auto"/>
        <w:left w:val="none" w:sz="0" w:space="0" w:color="auto"/>
        <w:bottom w:val="none" w:sz="0" w:space="0" w:color="auto"/>
        <w:right w:val="none" w:sz="0" w:space="0" w:color="auto"/>
      </w:divBdr>
    </w:div>
    <w:div w:id="189344555">
      <w:bodyDiv w:val="1"/>
      <w:marLeft w:val="0"/>
      <w:marRight w:val="0"/>
      <w:marTop w:val="0"/>
      <w:marBottom w:val="0"/>
      <w:divBdr>
        <w:top w:val="none" w:sz="0" w:space="0" w:color="auto"/>
        <w:left w:val="none" w:sz="0" w:space="0" w:color="auto"/>
        <w:bottom w:val="none" w:sz="0" w:space="0" w:color="auto"/>
        <w:right w:val="none" w:sz="0" w:space="0" w:color="auto"/>
      </w:divBdr>
    </w:div>
    <w:div w:id="194975603">
      <w:bodyDiv w:val="1"/>
      <w:marLeft w:val="0"/>
      <w:marRight w:val="0"/>
      <w:marTop w:val="0"/>
      <w:marBottom w:val="0"/>
      <w:divBdr>
        <w:top w:val="none" w:sz="0" w:space="0" w:color="auto"/>
        <w:left w:val="none" w:sz="0" w:space="0" w:color="auto"/>
        <w:bottom w:val="none" w:sz="0" w:space="0" w:color="auto"/>
        <w:right w:val="none" w:sz="0" w:space="0" w:color="auto"/>
      </w:divBdr>
    </w:div>
    <w:div w:id="214397764">
      <w:bodyDiv w:val="1"/>
      <w:marLeft w:val="0"/>
      <w:marRight w:val="0"/>
      <w:marTop w:val="0"/>
      <w:marBottom w:val="0"/>
      <w:divBdr>
        <w:top w:val="none" w:sz="0" w:space="0" w:color="auto"/>
        <w:left w:val="none" w:sz="0" w:space="0" w:color="auto"/>
        <w:bottom w:val="none" w:sz="0" w:space="0" w:color="auto"/>
        <w:right w:val="none" w:sz="0" w:space="0" w:color="auto"/>
      </w:divBdr>
    </w:div>
    <w:div w:id="291256933">
      <w:bodyDiv w:val="1"/>
      <w:marLeft w:val="0"/>
      <w:marRight w:val="0"/>
      <w:marTop w:val="0"/>
      <w:marBottom w:val="0"/>
      <w:divBdr>
        <w:top w:val="none" w:sz="0" w:space="0" w:color="auto"/>
        <w:left w:val="none" w:sz="0" w:space="0" w:color="auto"/>
        <w:bottom w:val="none" w:sz="0" w:space="0" w:color="auto"/>
        <w:right w:val="none" w:sz="0" w:space="0" w:color="auto"/>
      </w:divBdr>
    </w:div>
    <w:div w:id="320158662">
      <w:bodyDiv w:val="1"/>
      <w:marLeft w:val="0"/>
      <w:marRight w:val="0"/>
      <w:marTop w:val="0"/>
      <w:marBottom w:val="0"/>
      <w:divBdr>
        <w:top w:val="none" w:sz="0" w:space="0" w:color="auto"/>
        <w:left w:val="none" w:sz="0" w:space="0" w:color="auto"/>
        <w:bottom w:val="none" w:sz="0" w:space="0" w:color="auto"/>
        <w:right w:val="none" w:sz="0" w:space="0" w:color="auto"/>
      </w:divBdr>
    </w:div>
    <w:div w:id="326401280">
      <w:bodyDiv w:val="1"/>
      <w:marLeft w:val="0"/>
      <w:marRight w:val="0"/>
      <w:marTop w:val="0"/>
      <w:marBottom w:val="0"/>
      <w:divBdr>
        <w:top w:val="none" w:sz="0" w:space="0" w:color="auto"/>
        <w:left w:val="none" w:sz="0" w:space="0" w:color="auto"/>
        <w:bottom w:val="none" w:sz="0" w:space="0" w:color="auto"/>
        <w:right w:val="none" w:sz="0" w:space="0" w:color="auto"/>
      </w:divBdr>
    </w:div>
    <w:div w:id="347290697">
      <w:bodyDiv w:val="1"/>
      <w:marLeft w:val="0"/>
      <w:marRight w:val="0"/>
      <w:marTop w:val="0"/>
      <w:marBottom w:val="0"/>
      <w:divBdr>
        <w:top w:val="none" w:sz="0" w:space="0" w:color="auto"/>
        <w:left w:val="none" w:sz="0" w:space="0" w:color="auto"/>
        <w:bottom w:val="none" w:sz="0" w:space="0" w:color="auto"/>
        <w:right w:val="none" w:sz="0" w:space="0" w:color="auto"/>
      </w:divBdr>
    </w:div>
    <w:div w:id="397047870">
      <w:bodyDiv w:val="1"/>
      <w:marLeft w:val="0"/>
      <w:marRight w:val="0"/>
      <w:marTop w:val="0"/>
      <w:marBottom w:val="0"/>
      <w:divBdr>
        <w:top w:val="none" w:sz="0" w:space="0" w:color="auto"/>
        <w:left w:val="none" w:sz="0" w:space="0" w:color="auto"/>
        <w:bottom w:val="none" w:sz="0" w:space="0" w:color="auto"/>
        <w:right w:val="none" w:sz="0" w:space="0" w:color="auto"/>
      </w:divBdr>
    </w:div>
    <w:div w:id="446118867">
      <w:bodyDiv w:val="1"/>
      <w:marLeft w:val="0"/>
      <w:marRight w:val="0"/>
      <w:marTop w:val="0"/>
      <w:marBottom w:val="0"/>
      <w:divBdr>
        <w:top w:val="none" w:sz="0" w:space="0" w:color="auto"/>
        <w:left w:val="none" w:sz="0" w:space="0" w:color="auto"/>
        <w:bottom w:val="none" w:sz="0" w:space="0" w:color="auto"/>
        <w:right w:val="none" w:sz="0" w:space="0" w:color="auto"/>
      </w:divBdr>
    </w:div>
    <w:div w:id="532576264">
      <w:bodyDiv w:val="1"/>
      <w:marLeft w:val="0"/>
      <w:marRight w:val="0"/>
      <w:marTop w:val="0"/>
      <w:marBottom w:val="0"/>
      <w:divBdr>
        <w:top w:val="none" w:sz="0" w:space="0" w:color="auto"/>
        <w:left w:val="none" w:sz="0" w:space="0" w:color="auto"/>
        <w:bottom w:val="none" w:sz="0" w:space="0" w:color="auto"/>
        <w:right w:val="none" w:sz="0" w:space="0" w:color="auto"/>
      </w:divBdr>
    </w:div>
    <w:div w:id="536047881">
      <w:bodyDiv w:val="1"/>
      <w:marLeft w:val="0"/>
      <w:marRight w:val="0"/>
      <w:marTop w:val="0"/>
      <w:marBottom w:val="0"/>
      <w:divBdr>
        <w:top w:val="none" w:sz="0" w:space="0" w:color="auto"/>
        <w:left w:val="none" w:sz="0" w:space="0" w:color="auto"/>
        <w:bottom w:val="none" w:sz="0" w:space="0" w:color="auto"/>
        <w:right w:val="none" w:sz="0" w:space="0" w:color="auto"/>
      </w:divBdr>
    </w:div>
    <w:div w:id="642739767">
      <w:bodyDiv w:val="1"/>
      <w:marLeft w:val="0"/>
      <w:marRight w:val="0"/>
      <w:marTop w:val="0"/>
      <w:marBottom w:val="0"/>
      <w:divBdr>
        <w:top w:val="none" w:sz="0" w:space="0" w:color="auto"/>
        <w:left w:val="none" w:sz="0" w:space="0" w:color="auto"/>
        <w:bottom w:val="none" w:sz="0" w:space="0" w:color="auto"/>
        <w:right w:val="none" w:sz="0" w:space="0" w:color="auto"/>
      </w:divBdr>
    </w:div>
    <w:div w:id="751395144">
      <w:bodyDiv w:val="1"/>
      <w:marLeft w:val="0"/>
      <w:marRight w:val="0"/>
      <w:marTop w:val="0"/>
      <w:marBottom w:val="0"/>
      <w:divBdr>
        <w:top w:val="none" w:sz="0" w:space="0" w:color="auto"/>
        <w:left w:val="none" w:sz="0" w:space="0" w:color="auto"/>
        <w:bottom w:val="none" w:sz="0" w:space="0" w:color="auto"/>
        <w:right w:val="none" w:sz="0" w:space="0" w:color="auto"/>
      </w:divBdr>
    </w:div>
    <w:div w:id="833302853">
      <w:bodyDiv w:val="1"/>
      <w:marLeft w:val="0"/>
      <w:marRight w:val="0"/>
      <w:marTop w:val="0"/>
      <w:marBottom w:val="0"/>
      <w:divBdr>
        <w:top w:val="none" w:sz="0" w:space="0" w:color="auto"/>
        <w:left w:val="none" w:sz="0" w:space="0" w:color="auto"/>
        <w:bottom w:val="none" w:sz="0" w:space="0" w:color="auto"/>
        <w:right w:val="none" w:sz="0" w:space="0" w:color="auto"/>
      </w:divBdr>
    </w:div>
    <w:div w:id="853425340">
      <w:bodyDiv w:val="1"/>
      <w:marLeft w:val="0"/>
      <w:marRight w:val="0"/>
      <w:marTop w:val="0"/>
      <w:marBottom w:val="0"/>
      <w:divBdr>
        <w:top w:val="none" w:sz="0" w:space="0" w:color="auto"/>
        <w:left w:val="none" w:sz="0" w:space="0" w:color="auto"/>
        <w:bottom w:val="none" w:sz="0" w:space="0" w:color="auto"/>
        <w:right w:val="none" w:sz="0" w:space="0" w:color="auto"/>
      </w:divBdr>
    </w:div>
    <w:div w:id="860631949">
      <w:bodyDiv w:val="1"/>
      <w:marLeft w:val="0"/>
      <w:marRight w:val="0"/>
      <w:marTop w:val="0"/>
      <w:marBottom w:val="0"/>
      <w:divBdr>
        <w:top w:val="none" w:sz="0" w:space="0" w:color="auto"/>
        <w:left w:val="none" w:sz="0" w:space="0" w:color="auto"/>
        <w:bottom w:val="none" w:sz="0" w:space="0" w:color="auto"/>
        <w:right w:val="none" w:sz="0" w:space="0" w:color="auto"/>
      </w:divBdr>
    </w:div>
    <w:div w:id="880944895">
      <w:bodyDiv w:val="1"/>
      <w:marLeft w:val="0"/>
      <w:marRight w:val="0"/>
      <w:marTop w:val="0"/>
      <w:marBottom w:val="0"/>
      <w:divBdr>
        <w:top w:val="none" w:sz="0" w:space="0" w:color="auto"/>
        <w:left w:val="none" w:sz="0" w:space="0" w:color="auto"/>
        <w:bottom w:val="none" w:sz="0" w:space="0" w:color="auto"/>
        <w:right w:val="none" w:sz="0" w:space="0" w:color="auto"/>
      </w:divBdr>
    </w:div>
    <w:div w:id="910433573">
      <w:bodyDiv w:val="1"/>
      <w:marLeft w:val="0"/>
      <w:marRight w:val="0"/>
      <w:marTop w:val="0"/>
      <w:marBottom w:val="0"/>
      <w:divBdr>
        <w:top w:val="none" w:sz="0" w:space="0" w:color="auto"/>
        <w:left w:val="none" w:sz="0" w:space="0" w:color="auto"/>
        <w:bottom w:val="none" w:sz="0" w:space="0" w:color="auto"/>
        <w:right w:val="none" w:sz="0" w:space="0" w:color="auto"/>
      </w:divBdr>
    </w:div>
    <w:div w:id="1013069479">
      <w:bodyDiv w:val="1"/>
      <w:marLeft w:val="0"/>
      <w:marRight w:val="0"/>
      <w:marTop w:val="0"/>
      <w:marBottom w:val="0"/>
      <w:divBdr>
        <w:top w:val="none" w:sz="0" w:space="0" w:color="auto"/>
        <w:left w:val="none" w:sz="0" w:space="0" w:color="auto"/>
        <w:bottom w:val="none" w:sz="0" w:space="0" w:color="auto"/>
        <w:right w:val="none" w:sz="0" w:space="0" w:color="auto"/>
      </w:divBdr>
    </w:div>
    <w:div w:id="1113328123">
      <w:bodyDiv w:val="1"/>
      <w:marLeft w:val="0"/>
      <w:marRight w:val="0"/>
      <w:marTop w:val="0"/>
      <w:marBottom w:val="0"/>
      <w:divBdr>
        <w:top w:val="none" w:sz="0" w:space="0" w:color="auto"/>
        <w:left w:val="none" w:sz="0" w:space="0" w:color="auto"/>
        <w:bottom w:val="none" w:sz="0" w:space="0" w:color="auto"/>
        <w:right w:val="none" w:sz="0" w:space="0" w:color="auto"/>
      </w:divBdr>
    </w:div>
    <w:div w:id="1251282155">
      <w:bodyDiv w:val="1"/>
      <w:marLeft w:val="0"/>
      <w:marRight w:val="0"/>
      <w:marTop w:val="0"/>
      <w:marBottom w:val="0"/>
      <w:divBdr>
        <w:top w:val="none" w:sz="0" w:space="0" w:color="auto"/>
        <w:left w:val="none" w:sz="0" w:space="0" w:color="auto"/>
        <w:bottom w:val="none" w:sz="0" w:space="0" w:color="auto"/>
        <w:right w:val="none" w:sz="0" w:space="0" w:color="auto"/>
      </w:divBdr>
    </w:div>
    <w:div w:id="1354116227">
      <w:bodyDiv w:val="1"/>
      <w:marLeft w:val="0"/>
      <w:marRight w:val="0"/>
      <w:marTop w:val="0"/>
      <w:marBottom w:val="0"/>
      <w:divBdr>
        <w:top w:val="none" w:sz="0" w:space="0" w:color="auto"/>
        <w:left w:val="none" w:sz="0" w:space="0" w:color="auto"/>
        <w:bottom w:val="none" w:sz="0" w:space="0" w:color="auto"/>
        <w:right w:val="none" w:sz="0" w:space="0" w:color="auto"/>
      </w:divBdr>
    </w:div>
    <w:div w:id="1445147042">
      <w:bodyDiv w:val="1"/>
      <w:marLeft w:val="0"/>
      <w:marRight w:val="0"/>
      <w:marTop w:val="0"/>
      <w:marBottom w:val="0"/>
      <w:divBdr>
        <w:top w:val="none" w:sz="0" w:space="0" w:color="auto"/>
        <w:left w:val="none" w:sz="0" w:space="0" w:color="auto"/>
        <w:bottom w:val="none" w:sz="0" w:space="0" w:color="auto"/>
        <w:right w:val="none" w:sz="0" w:space="0" w:color="auto"/>
      </w:divBdr>
    </w:div>
    <w:div w:id="1446190832">
      <w:bodyDiv w:val="1"/>
      <w:marLeft w:val="0"/>
      <w:marRight w:val="0"/>
      <w:marTop w:val="0"/>
      <w:marBottom w:val="0"/>
      <w:divBdr>
        <w:top w:val="none" w:sz="0" w:space="0" w:color="auto"/>
        <w:left w:val="none" w:sz="0" w:space="0" w:color="auto"/>
        <w:bottom w:val="none" w:sz="0" w:space="0" w:color="auto"/>
        <w:right w:val="none" w:sz="0" w:space="0" w:color="auto"/>
      </w:divBdr>
    </w:div>
    <w:div w:id="1628046503">
      <w:bodyDiv w:val="1"/>
      <w:marLeft w:val="0"/>
      <w:marRight w:val="0"/>
      <w:marTop w:val="0"/>
      <w:marBottom w:val="0"/>
      <w:divBdr>
        <w:top w:val="none" w:sz="0" w:space="0" w:color="auto"/>
        <w:left w:val="none" w:sz="0" w:space="0" w:color="auto"/>
        <w:bottom w:val="none" w:sz="0" w:space="0" w:color="auto"/>
        <w:right w:val="none" w:sz="0" w:space="0" w:color="auto"/>
      </w:divBdr>
    </w:div>
    <w:div w:id="1679192866">
      <w:bodyDiv w:val="1"/>
      <w:marLeft w:val="0"/>
      <w:marRight w:val="0"/>
      <w:marTop w:val="0"/>
      <w:marBottom w:val="0"/>
      <w:divBdr>
        <w:top w:val="none" w:sz="0" w:space="0" w:color="auto"/>
        <w:left w:val="none" w:sz="0" w:space="0" w:color="auto"/>
        <w:bottom w:val="none" w:sz="0" w:space="0" w:color="auto"/>
        <w:right w:val="none" w:sz="0" w:space="0" w:color="auto"/>
      </w:divBdr>
    </w:div>
    <w:div w:id="1736198183">
      <w:bodyDiv w:val="1"/>
      <w:marLeft w:val="0"/>
      <w:marRight w:val="0"/>
      <w:marTop w:val="0"/>
      <w:marBottom w:val="0"/>
      <w:divBdr>
        <w:top w:val="none" w:sz="0" w:space="0" w:color="auto"/>
        <w:left w:val="none" w:sz="0" w:space="0" w:color="auto"/>
        <w:bottom w:val="none" w:sz="0" w:space="0" w:color="auto"/>
        <w:right w:val="none" w:sz="0" w:space="0" w:color="auto"/>
      </w:divBdr>
    </w:div>
    <w:div w:id="1737044784">
      <w:bodyDiv w:val="1"/>
      <w:marLeft w:val="0"/>
      <w:marRight w:val="0"/>
      <w:marTop w:val="0"/>
      <w:marBottom w:val="0"/>
      <w:divBdr>
        <w:top w:val="none" w:sz="0" w:space="0" w:color="auto"/>
        <w:left w:val="none" w:sz="0" w:space="0" w:color="auto"/>
        <w:bottom w:val="none" w:sz="0" w:space="0" w:color="auto"/>
        <w:right w:val="none" w:sz="0" w:space="0" w:color="auto"/>
      </w:divBdr>
    </w:div>
    <w:div w:id="1760325027">
      <w:bodyDiv w:val="1"/>
      <w:marLeft w:val="0"/>
      <w:marRight w:val="0"/>
      <w:marTop w:val="0"/>
      <w:marBottom w:val="0"/>
      <w:divBdr>
        <w:top w:val="none" w:sz="0" w:space="0" w:color="auto"/>
        <w:left w:val="none" w:sz="0" w:space="0" w:color="auto"/>
        <w:bottom w:val="none" w:sz="0" w:space="0" w:color="auto"/>
        <w:right w:val="none" w:sz="0" w:space="0" w:color="auto"/>
      </w:divBdr>
    </w:div>
    <w:div w:id="1771312499">
      <w:bodyDiv w:val="1"/>
      <w:marLeft w:val="0"/>
      <w:marRight w:val="0"/>
      <w:marTop w:val="0"/>
      <w:marBottom w:val="0"/>
      <w:divBdr>
        <w:top w:val="none" w:sz="0" w:space="0" w:color="auto"/>
        <w:left w:val="none" w:sz="0" w:space="0" w:color="auto"/>
        <w:bottom w:val="none" w:sz="0" w:space="0" w:color="auto"/>
        <w:right w:val="none" w:sz="0" w:space="0" w:color="auto"/>
      </w:divBdr>
    </w:div>
    <w:div w:id="1920944184">
      <w:bodyDiv w:val="1"/>
      <w:marLeft w:val="0"/>
      <w:marRight w:val="0"/>
      <w:marTop w:val="0"/>
      <w:marBottom w:val="0"/>
      <w:divBdr>
        <w:top w:val="none" w:sz="0" w:space="0" w:color="auto"/>
        <w:left w:val="none" w:sz="0" w:space="0" w:color="auto"/>
        <w:bottom w:val="none" w:sz="0" w:space="0" w:color="auto"/>
        <w:right w:val="none" w:sz="0" w:space="0" w:color="auto"/>
      </w:divBdr>
    </w:div>
    <w:div w:id="1994790780">
      <w:bodyDiv w:val="1"/>
      <w:marLeft w:val="0"/>
      <w:marRight w:val="0"/>
      <w:marTop w:val="0"/>
      <w:marBottom w:val="0"/>
      <w:divBdr>
        <w:top w:val="none" w:sz="0" w:space="0" w:color="auto"/>
        <w:left w:val="none" w:sz="0" w:space="0" w:color="auto"/>
        <w:bottom w:val="none" w:sz="0" w:space="0" w:color="auto"/>
        <w:right w:val="none" w:sz="0" w:space="0" w:color="auto"/>
      </w:divBdr>
    </w:div>
    <w:div w:id="2002654967">
      <w:bodyDiv w:val="1"/>
      <w:marLeft w:val="0"/>
      <w:marRight w:val="0"/>
      <w:marTop w:val="0"/>
      <w:marBottom w:val="0"/>
      <w:divBdr>
        <w:top w:val="none" w:sz="0" w:space="0" w:color="auto"/>
        <w:left w:val="none" w:sz="0" w:space="0" w:color="auto"/>
        <w:bottom w:val="none" w:sz="0" w:space="0" w:color="auto"/>
        <w:right w:val="none" w:sz="0" w:space="0" w:color="auto"/>
      </w:divBdr>
    </w:div>
    <w:div w:id="2055035182">
      <w:bodyDiv w:val="1"/>
      <w:marLeft w:val="0"/>
      <w:marRight w:val="0"/>
      <w:marTop w:val="0"/>
      <w:marBottom w:val="0"/>
      <w:divBdr>
        <w:top w:val="none" w:sz="0" w:space="0" w:color="auto"/>
        <w:left w:val="none" w:sz="0" w:space="0" w:color="auto"/>
        <w:bottom w:val="none" w:sz="0" w:space="0" w:color="auto"/>
        <w:right w:val="none" w:sz="0" w:space="0" w:color="auto"/>
      </w:divBdr>
    </w:div>
    <w:div w:id="2068257732">
      <w:bodyDiv w:val="1"/>
      <w:marLeft w:val="0"/>
      <w:marRight w:val="0"/>
      <w:marTop w:val="0"/>
      <w:marBottom w:val="0"/>
      <w:divBdr>
        <w:top w:val="none" w:sz="0" w:space="0" w:color="auto"/>
        <w:left w:val="none" w:sz="0" w:space="0" w:color="auto"/>
        <w:bottom w:val="none" w:sz="0" w:space="0" w:color="auto"/>
        <w:right w:val="none" w:sz="0" w:space="0" w:color="auto"/>
      </w:divBdr>
    </w:div>
    <w:div w:id="213551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emf"/><Relationship Id="rId39" Type="http://schemas.openxmlformats.org/officeDocument/2006/relationships/image" Target="media/image17.emf"/><Relationship Id="rId21" Type="http://schemas.openxmlformats.org/officeDocument/2006/relationships/image" Target="media/image5.png"/><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footer" Target="footer8.xml"/><Relationship Id="rId50" Type="http://schemas.openxmlformats.org/officeDocument/2006/relationships/header" Target="header10.xml"/><Relationship Id="rId55" Type="http://schemas.openxmlformats.org/officeDocument/2006/relationships/footer" Target="footer12.xml"/><Relationship Id="rId63" Type="http://schemas.openxmlformats.org/officeDocument/2006/relationships/image" Target="media/image28.emf"/><Relationship Id="rId68" Type="http://schemas.openxmlformats.org/officeDocument/2006/relationships/header" Target="header15.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header" Target="header6.xml"/><Relationship Id="rId37" Type="http://schemas.openxmlformats.org/officeDocument/2006/relationships/image" Target="media/image15.emf"/><Relationship Id="rId40" Type="http://schemas.openxmlformats.org/officeDocument/2006/relationships/image" Target="media/image18.emf"/><Relationship Id="rId45" Type="http://schemas.openxmlformats.org/officeDocument/2006/relationships/header" Target="header8.xml"/><Relationship Id="rId53" Type="http://schemas.openxmlformats.org/officeDocument/2006/relationships/footer" Target="footer11.xml"/><Relationship Id="rId58" Type="http://schemas.openxmlformats.org/officeDocument/2006/relationships/image" Target="media/image24.png"/><Relationship Id="rId66"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eader" Target="header4.xml"/><Relationship Id="rId36" Type="http://schemas.openxmlformats.org/officeDocument/2006/relationships/image" Target="media/image14.emf"/><Relationship Id="rId49" Type="http://schemas.openxmlformats.org/officeDocument/2006/relationships/footer" Target="footer9.xml"/><Relationship Id="rId57" Type="http://schemas.openxmlformats.org/officeDocument/2006/relationships/image" Target="media/image23.emf"/><Relationship Id="rId61" Type="http://schemas.openxmlformats.org/officeDocument/2006/relationships/image" Target="media/image26.emf"/><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5.xml"/><Relationship Id="rId44" Type="http://schemas.openxmlformats.org/officeDocument/2006/relationships/header" Target="header7.xml"/><Relationship Id="rId52" Type="http://schemas.openxmlformats.org/officeDocument/2006/relationships/footer" Target="footer10.xml"/><Relationship Id="rId60" Type="http://schemas.openxmlformats.org/officeDocument/2006/relationships/image" Target="media/image25.png"/><Relationship Id="rId65"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footer" Target="footer4.xml"/><Relationship Id="rId35" Type="http://schemas.openxmlformats.org/officeDocument/2006/relationships/image" Target="media/image13.emf"/><Relationship Id="rId43" Type="http://schemas.openxmlformats.org/officeDocument/2006/relationships/image" Target="media/image21.emf"/><Relationship Id="rId48" Type="http://schemas.openxmlformats.org/officeDocument/2006/relationships/header" Target="header9.xml"/><Relationship Id="rId56" Type="http://schemas.openxmlformats.org/officeDocument/2006/relationships/image" Target="media/image22.png"/><Relationship Id="rId64" Type="http://schemas.openxmlformats.org/officeDocument/2006/relationships/header" Target="header13.xml"/><Relationship Id="rId69" Type="http://schemas.openxmlformats.org/officeDocument/2006/relationships/footer" Target="footer15.xml"/><Relationship Id="rId8" Type="http://schemas.openxmlformats.org/officeDocument/2006/relationships/webSettings" Target="webSettings.xml"/><Relationship Id="rId51" Type="http://schemas.openxmlformats.org/officeDocument/2006/relationships/header" Target="header1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footer" Target="footer6.xml"/><Relationship Id="rId38" Type="http://schemas.openxmlformats.org/officeDocument/2006/relationships/image" Target="media/image16.emf"/><Relationship Id="rId46" Type="http://schemas.openxmlformats.org/officeDocument/2006/relationships/footer" Target="footer7.xml"/><Relationship Id="rId59" Type="http://schemas.openxmlformats.org/officeDocument/2006/relationships/oleObject" Target="embeddings/oleObject1.bin"/><Relationship Id="rId67" Type="http://schemas.openxmlformats.org/officeDocument/2006/relationships/footer" Target="footer14.xml"/><Relationship Id="rId20" Type="http://schemas.openxmlformats.org/officeDocument/2006/relationships/image" Target="media/image4.emf"/><Relationship Id="rId41" Type="http://schemas.openxmlformats.org/officeDocument/2006/relationships/image" Target="media/image19.emf"/><Relationship Id="rId54" Type="http://schemas.openxmlformats.org/officeDocument/2006/relationships/header" Target="header12.xml"/><Relationship Id="rId62" Type="http://schemas.openxmlformats.org/officeDocument/2006/relationships/image" Target="media/image27.emf"/><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pe2020/pdf/csr2016/cr2016_comm_en.pdf" TargetMode="External"/><Relationship Id="rId3" Type="http://schemas.openxmlformats.org/officeDocument/2006/relationships/hyperlink" Target="https://www.ecb.europa.eu/press/pressconf/2019/html/ecb.is190912~658eb51d68.en.html" TargetMode="External"/><Relationship Id="rId7" Type="http://schemas.openxmlformats.org/officeDocument/2006/relationships/hyperlink" Target="https://register.consilium.europa.eu/doc/srv?l=EN&amp;f=ST%2015781%202011%20REV%202" TargetMode="External"/><Relationship Id="rId2" Type="http://schemas.openxmlformats.org/officeDocument/2006/relationships/hyperlink" Target="https://ec.europa.eu/info/publications/quarterly-report-euro-area-volume-18-no-2-2019_en" TargetMode="External"/><Relationship Id="rId1" Type="http://schemas.openxmlformats.org/officeDocument/2006/relationships/hyperlink" Target="https://ec.europa.eu/info/publications/vade-mecum-stability-and-growth-pact-2019-edition_en" TargetMode="External"/><Relationship Id="rId6" Type="http://schemas.openxmlformats.org/officeDocument/2006/relationships/hyperlink" Target="https://ec.europa.eu/transparency/regdoc/rep/1/2015/EN/1-2015-600-EN-F1-1.PDF" TargetMode="External"/><Relationship Id="rId11" Type="http://schemas.openxmlformats.org/officeDocument/2006/relationships/hyperlink" Target="https://ec.europa.eu/info/business-economy-euro/economic-and-fiscal-policy-coordination/eu-financial-assistance/loan-programmes/european-stability-mechanism-esm_en" TargetMode="External"/><Relationship Id="rId5" Type="http://schemas.openxmlformats.org/officeDocument/2006/relationships/hyperlink" Target="https://www.consilium.europa.eu/en/press/press-releases/2016/05/25/conclusions-in-depth-review-2015-csr/" TargetMode="External"/><Relationship Id="rId10" Type="http://schemas.openxmlformats.org/officeDocument/2006/relationships/hyperlink" Target="https://data.consilium.europa.eu/doc/document/ST-9473-2019-INIT/en/pdf" TargetMode="External"/><Relationship Id="rId4" Type="http://schemas.openxmlformats.org/officeDocument/2006/relationships/hyperlink" Target="https://data.consilium.europa.eu/doc/document/ST-5603-2019-INIT/en/pdf" TargetMode="External"/><Relationship Id="rId9" Type="http://schemas.openxmlformats.org/officeDocument/2006/relationships/hyperlink" Target="https://data.consilium.europa.eu/doc/document/ST-5603-2019-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ARES_DATE_TRANSFERRED xmlns="885fe684-8a5a-4f85-8e08-920f2107c303" xsi:nil="true"/>
    <EC_ARES_TRANSFERRED_BY xmlns="885fe684-8a5a-4f85-8e08-920f2107c303" xsi:nil="true"/>
    <EC_Collab_Reference xmlns="885fe684-8a5a-4f85-8e08-920f2107c303" xsi:nil="true"/>
    <EC_Collab_DocumentLanguage xmlns="885fe684-8a5a-4f85-8e08-920f2107c303">EN</EC_Collab_DocumentLanguage>
    <EC_Collab_Status xmlns="885fe684-8a5a-4f85-8e08-920f2107c303">Not Started</EC_Collab_Status>
    <EC_ARES_NUMBER xmlns="885fe684-8a5a-4f85-8e08-920f2107c303">
      <Url xsi:nil="true"/>
      <Description xsi:nil="true"/>
    </EC_ARES_NUMBE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1568429CDA64845B19C539983999EEC" ma:contentTypeVersion="5" ma:contentTypeDescription="Create a new document in this library." ma:contentTypeScope="" ma:versionID="12c731bbaf9c77089c3f3015cb6ebc32">
  <xsd:schema xmlns:xsd="http://www.w3.org/2001/XMLSchema" xmlns:xs="http://www.w3.org/2001/XMLSchema" xmlns:p="http://schemas.microsoft.com/office/2006/metadata/properties" xmlns:ns3="885fe684-8a5a-4f85-8e08-920f2107c303" targetNamespace="http://schemas.microsoft.com/office/2006/metadata/properties" ma:root="true" ma:fieldsID="9f16dd96c9f3d309cac1645e736ff96f" ns3:_="">
    <xsd:import namespace="885fe684-8a5a-4f85-8e08-920f2107c303"/>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fe684-8a5a-4f85-8e08-920f2107c30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25DAC-4765-4893-8EC4-C71A2ECE2603}">
  <ds:schemaRefs>
    <ds:schemaRef ds:uri="http://purl.org/dc/elements/1.1/"/>
    <ds:schemaRef ds:uri="http://schemas.microsoft.com/office/2006/metadata/properties"/>
    <ds:schemaRef ds:uri="885fe684-8a5a-4f85-8e08-920f2107c30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6CD9B29-CB47-417C-8D54-870B1FDD4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fe684-8a5a-4f85-8e08-920f2107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E8B5C-D48E-4D00-8285-A5C404B1230C}">
  <ds:schemaRefs>
    <ds:schemaRef ds:uri="http://schemas.microsoft.com/sharepoint/v3/contenttype/forms"/>
  </ds:schemaRefs>
</ds:datastoreItem>
</file>

<file path=customXml/itemProps4.xml><?xml version="1.0" encoding="utf-8"?>
<ds:datastoreItem xmlns:ds="http://schemas.openxmlformats.org/officeDocument/2006/customXml" ds:itemID="{DAFDDCD6-F8DD-4F7F-9458-69E6B1A5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29812</Words>
  <Characters>168438</Characters>
  <Application>Microsoft Office Word</Application>
  <DocSecurity>0</DocSecurity>
  <Lines>2807</Lines>
  <Paragraphs>726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(SG)</cp:lastModifiedBy>
  <cp:revision>19</cp:revision>
  <cp:lastPrinted>2020-01-31T16:24:00Z</cp:lastPrinted>
  <dcterms:created xsi:type="dcterms:W3CDTF">2020-01-31T16:24:00Z</dcterms:created>
  <dcterms:modified xsi:type="dcterms:W3CDTF">2020-02-04T13:38:00Z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ContentTypeId">
    <vt:lpwstr>0x010100258AA79CEB83498886A3A086811232500041568429CDA64845B19C539983999EEC</vt:lpwstr>
  </property>
</Properties>
</file>