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691A270-E126-4FFA-83C3-261F62DB813B" style="width:450.35pt;height:320.6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rPr>
      </w:pPr>
      <w:bookmarkStart w:id="1" w:name="_GoBack"/>
      <w:bookmarkEnd w:id="1"/>
      <w:r>
        <w:rPr>
          <w:rFonts w:ascii="Times New Roman" w:hAnsi="Times New Roman"/>
          <w:b/>
          <w:noProof/>
        </w:rPr>
        <w:lastRenderedPageBreak/>
        <w:t>ДОКЛАД НА КОМИСИЯТА ДО ЕВРОПЕЙСКИЯ ПАРЛАМЕНТ И СЪВЕТА</w:t>
      </w:r>
    </w:p>
    <w:p>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rPr>
        <w:t xml:space="preserve">относно изпълнението на Европейската енергийна програма за възстановяване </w:t>
      </w:r>
      <w:r>
        <w:rPr>
          <w:rFonts w:ascii="Times New Roman" w:hAnsi="Times New Roman"/>
          <w:b/>
          <w:noProof/>
        </w:rPr>
        <w:br/>
        <w:t>и дейността на Европейския фонд за енергийна ефективност</w:t>
      </w:r>
    </w:p>
    <w:p>
      <w:pPr>
        <w:jc w:val="both"/>
        <w:rPr>
          <w:rFonts w:ascii="Times New Roman" w:eastAsia="Times New Roman" w:hAnsi="Times New Roman" w:cs="Times New Roman"/>
          <w:smallCaps/>
          <w:noProof/>
          <w:sz w:val="24"/>
          <w:szCs w:val="24"/>
        </w:rPr>
      </w:pPr>
    </w:p>
    <w:p>
      <w:pPr>
        <w:jc w:val="both"/>
        <w:rPr>
          <w:rFonts w:ascii="Times New Roman" w:eastAsia="Times New Roman" w:hAnsi="Times New Roman" w:cs="Times New Roman"/>
          <w:b/>
          <w:smallCaps/>
          <w:noProof/>
          <w:sz w:val="24"/>
          <w:szCs w:val="24"/>
        </w:rPr>
      </w:pPr>
      <w:r>
        <w:rPr>
          <w:rFonts w:ascii="Times New Roman" w:hAnsi="Times New Roman"/>
          <w:noProof/>
        </w:rPr>
        <w:t>Гъвкавата инфраструктура е гръбнакът на енергийния съюз. През изминалата 2018 г. бяха въведени в експлоатация важни проекти за междусистемни връзки и беше значително укрепено регионалното сътрудничество</w:t>
      </w:r>
      <w:r>
        <w:rPr>
          <w:rFonts w:ascii="Times New Roman" w:hAnsi="Times New Roman"/>
          <w:b/>
          <w:smallCaps/>
          <w:noProof/>
        </w:rPr>
        <w:t>.</w:t>
      </w:r>
    </w:p>
    <w:p>
      <w:pPr>
        <w:jc w:val="both"/>
        <w:rPr>
          <w:rFonts w:ascii="Times New Roman" w:eastAsia="Times New Roman" w:hAnsi="Times New Roman" w:cs="Times New Roman"/>
          <w:smallCaps/>
          <w:noProof/>
          <w:sz w:val="24"/>
          <w:szCs w:val="24"/>
        </w:rPr>
      </w:pPr>
      <w:r>
        <w:rPr>
          <w:rFonts w:ascii="Times New Roman" w:hAnsi="Times New Roman"/>
          <w:noProof/>
        </w:rPr>
        <w:t>В този контекст Европейската енергийна програма за възстановяване изигра ключова роля при осигуряването на финансовата подкрепа за основни инфраструктурни обекти от общ интерес за интеграцията на електроенергийните и газовите пазари и укрепването на сигурността на доставките</w:t>
      </w:r>
      <w:r>
        <w:rPr>
          <w:rFonts w:ascii="Times New Roman" w:hAnsi="Times New Roman"/>
          <w:smallCaps/>
          <w:noProof/>
        </w:rPr>
        <w:t>.</w:t>
      </w:r>
    </w:p>
    <w:p>
      <w:pPr>
        <w:jc w:val="both"/>
        <w:rPr>
          <w:rFonts w:ascii="Times New Roman" w:eastAsia="Times New Roman" w:hAnsi="Times New Roman" w:cs="Times New Roman"/>
          <w:smallCaps/>
          <w:noProof/>
          <w:sz w:val="24"/>
          <w:szCs w:val="24"/>
        </w:rPr>
      </w:pPr>
    </w:p>
    <w:p>
      <w:pPr>
        <w:keepNext/>
        <w:spacing w:before="120" w:after="120" w:line="240" w:lineRule="auto"/>
        <w:outlineLvl w:val="0"/>
        <w:rPr>
          <w:rFonts w:ascii="Times New Roman" w:eastAsia="Times New Roman" w:hAnsi="Times New Roman" w:cs="Times New Roman"/>
          <w:b/>
          <w:noProof/>
          <w:sz w:val="24"/>
          <w:szCs w:val="24"/>
        </w:rPr>
      </w:pPr>
      <w:r>
        <w:rPr>
          <w:rFonts w:ascii="Times New Roman" w:hAnsi="Times New Roman"/>
          <w:b/>
          <w:smallCaps/>
          <w:noProof/>
        </w:rPr>
        <w:t>I.</w:t>
      </w:r>
      <w:r>
        <w:rPr>
          <w:rFonts w:ascii="Times New Roman" w:hAnsi="Times New Roman"/>
          <w:b/>
          <w:noProof/>
        </w:rPr>
        <w:t xml:space="preserve"> НАПРЕДЪК ПРИ ИЗПЪЛНЕНИЕТО НА ПРОГРАМАТА</w:t>
      </w:r>
    </w:p>
    <w:p>
      <w:pPr>
        <w:keepNext/>
        <w:spacing w:before="120" w:after="120" w:line="240" w:lineRule="auto"/>
        <w:jc w:val="both"/>
        <w:outlineLvl w:val="0"/>
        <w:rPr>
          <w:rFonts w:ascii="Times New Roman" w:eastAsia="Times New Roman" w:hAnsi="Times New Roman" w:cs="Times New Roman"/>
          <w:noProof/>
          <w:sz w:val="24"/>
          <w:szCs w:val="24"/>
        </w:rPr>
      </w:pPr>
      <w:r>
        <w:rPr>
          <w:rFonts w:ascii="Times New Roman" w:hAnsi="Times New Roman"/>
          <w:noProof/>
        </w:rPr>
        <w:t xml:space="preserve">Енергийната инфраструктура и иновациите, които са движещите сили в Европейската енергийна програма за възстановяване (ЕЕПВ), продължават и сега да имат същото важно значение както при въвеждането на програмата през 2009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В настоящия доклад е разгледан постигнатият напредък при изпълнението на проектите съответно по всяка от частите на ЕЕПВ, както и при дейностите на Европейския фонд за енергийна ефективност (ЕЕЕF). Този доклад следва доклада, приет през 2018 г.</w:t>
      </w:r>
      <w:r>
        <w:rPr>
          <w:rFonts w:ascii="Times New Roman" w:eastAsia="Times New Roman" w:hAnsi="Times New Roman" w:cs="Times New Roman"/>
          <w:noProof/>
          <w:vertAlign w:val="superscript"/>
        </w:rPr>
        <w:footnoteReference w:id="1"/>
      </w:r>
      <w:r>
        <w:rPr>
          <w:rFonts w:ascii="Times New Roman" w:hAnsi="Times New Roman"/>
          <w:noProof/>
        </w:rPr>
        <w:t xml:space="preserve"> В него се разглежда изпълнението на проектите в периода от 31 август 2016 г. до 31 декември 2018 г., както и направените през този период плащания.</w:t>
      </w:r>
    </w:p>
    <w:p>
      <w:pPr>
        <w:spacing w:before="120" w:after="120" w:line="240" w:lineRule="auto"/>
        <w:jc w:val="both"/>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rPr>
        <w:t xml:space="preserve">ІІ. ОБЩО ИЗПЪЛНЕНИЕ НА ПРОЕКТИТЕ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rPr>
        <w:t>Към края на декември 2018 г. са били завършени 43 (с 6 повече в сравнение с 2017 г.) от общо 59 проекта, като на бенефициерите са били предоставени средства на обща стойност 2 514 424 758 EUR след приспадане на сумите по нарежданията за възстановяване, възлизащи на 196 099 270,83 EUR (вж. приложението).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rPr>
        <w:t>Ситуацията по отношение на газовите и електроенергийните инфраструктури е следната: по-голямата част от проектите са завършени, а два проекта продължават да се изпълняват.</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rPr>
        <w:t>Значителен напредък е постигнат от организаторите на проекти за присъединяването към електроенергийната мрежа на вятърни инсталации, разположени в морето (OWE), докато организаторите на последния оставащ проект за улавяне и съхранение на въглероден диоксид (CCS) решиха да прекратят финансовата си подкрепа за него.</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noProof/>
        </w:rPr>
        <w:t>Комисията реши да продължи своята финансова подкрепа за инвеститорите, докато продължава да съществува възможност за постигане на окончателно инвестиционно решение (FID) и проектът продължава да носи съществени ползи за обществото.</w:t>
      </w:r>
    </w:p>
    <w:p>
      <w:pPr>
        <w:keepNext/>
        <w:spacing w:before="12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1.</w:t>
      </w:r>
      <w:r>
        <w:rPr>
          <w:rFonts w:ascii="Times New Roman" w:hAnsi="Times New Roman"/>
          <w:b/>
          <w:smallCaps/>
          <w:noProof/>
        </w:rPr>
        <w:tab/>
        <w:t xml:space="preserve">Инфраструктура за природен газ и електроенергия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По подпрограмата за инфраструктурата по ЕЕПВ бе оказана подкрепа на 44 проекта в три основни области на</w:t>
      </w:r>
      <w:r>
        <w:rPr>
          <w:rFonts w:ascii="Times New Roman" w:hAnsi="Times New Roman"/>
          <w:b/>
          <w:noProof/>
        </w:rPr>
        <w:t xml:space="preserve"> </w:t>
      </w:r>
      <w:r>
        <w:rPr>
          <w:rFonts w:ascii="Times New Roman" w:hAnsi="Times New Roman"/>
          <w:noProof/>
        </w:rPr>
        <w:t xml:space="preserve">дейност (междусистемни газопроводи, обратно подаване на газ и електроенергия). </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rPr>
        <w:t>От планираната сума в размер на 2 267 574 462 EUR към 31 декември 2018 г. на бенефициерите са били изплатени 1 669 370 233 EUR</w:t>
      </w:r>
      <w:r>
        <w:rPr>
          <w:rFonts w:ascii="Times New Roman" w:hAnsi="Times New Roman"/>
          <w:noProof/>
          <w:color w:val="0070C0"/>
        </w:rPr>
        <w:t xml:space="preserve">. </w:t>
      </w:r>
      <w:r>
        <w:rPr>
          <w:rFonts w:ascii="Times New Roman" w:hAnsi="Times New Roman"/>
          <w:noProof/>
        </w:rPr>
        <w:t xml:space="preserve">Условие за извършване на плащанията е бенефициерът да поеме твърд ангажимент за изпълнение на проекта чрез окончателно инвестиционно решение. </w:t>
      </w:r>
    </w:p>
    <w:p>
      <w:pPr>
        <w:spacing w:before="120" w:after="120" w:line="240" w:lineRule="auto"/>
        <w:jc w:val="both"/>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rPr>
        <w:t xml:space="preserve">1.1. </w:t>
      </w:r>
      <w:r>
        <w:rPr>
          <w:rFonts w:ascii="Times New Roman" w:hAnsi="Times New Roman"/>
          <w:b/>
          <w:smallCaps/>
          <w:noProof/>
        </w:rPr>
        <w:t>Досегашен напредък</w:t>
      </w:r>
      <w:r>
        <w:rPr>
          <w:rFonts w:ascii="Times New Roman" w:hAnsi="Times New Roman"/>
          <w:b/>
          <w:noProof/>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Към днешна дата са завършени 38 (с 3 повече в сравнение с 2017 г.) от 44-те инфраструктурни проекта, четири са прекратени, а два продължават да се изпълняват.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В електроенергийния сектор са завършени всичките 12 проекта (с 2 повече в сравнение с 2017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В сектора на газовите междусистемни връзки са завършени 13 (с 1 повече в сравнение с 2017 г.) от общо 18 проекта; два продължават да се изпълняват по нов график, а три са прекратени.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В областта на обратното подаване на газ и междусистемните връзки в Централна и Източна Европа са завършени 13 проекта, а един проект в Румъния беше прекратен от Комисията през септември 2014 г.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След изготвянето на последния доклад за изпълнението на ЕЕПВ може да се посочи по-специално следният напредък:</w:t>
      </w:r>
    </w:p>
    <w:p>
      <w:pPr>
        <w:pStyle w:val="ListParagraph"/>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Междусистемната връзка Гърция — България (IGB) е основен маршрут за пренос на газ от Трансадриатическия газопровод и гръцки втечнен природен газ на север и представлява важен проект за диверсификация на доставките на газ в региона на Югоизточна Европа. Това е проект от общ интерес (ПОИ 6.8.1) и приоритетен проект за енергийна свързаност в Централна и Югоизточна Европа (CESEC). Комисията предоставя политическа и финансова подкрепа за проекта от самото начало. Проектът е получил 45 милиона евро по Европейската енергийна програма за възстановяване и 39 милиона евро от Европейския фонд за регионално развитие. През 2018 г. проектът отбеляза допълнителен напредък. По време на министерската среща на CESEC в София през юни беше подписан меморандум за разбирателство между „Български енергиен холдинг“ и Европейската инвестиционна банка за предоставяне на заем за проекта. През юли 2018 г. Комисията предостави на проекта дерогация от законодателството на ЕС в областта на енергетиката, включително частична дерогация от правилата за достъп на трети страни. Комисията одобри също така държавната помощ за публичната подкрепа и достъпа до българските структурни фондове. Изпълнението на проекта напредва добре, всички процедури за възлагане на обществени поръчки бяха финализирани и строителството започна в края на май 2019 г.</w:t>
      </w:r>
    </w:p>
    <w:p>
      <w:pPr>
        <w:pStyle w:val="ListParagraph"/>
        <w:spacing w:before="120" w:after="120" w:line="240" w:lineRule="auto"/>
        <w:jc w:val="both"/>
        <w:rPr>
          <w:rFonts w:ascii="Times New Roman" w:eastAsia="Times New Roman" w:hAnsi="Times New Roman" w:cs="Times New Roman"/>
          <w:noProof/>
          <w:sz w:val="24"/>
          <w:szCs w:val="24"/>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В Република Кипър Министерството на енергетиката, търговията, промишлеността и туризма понастоящем подготвя изграждането на терминал за приемане на природен газ, който ще допринесе за диверсификацията на кипърския енергиен микс, за прекратяване на енергийната изолация на острова, както и за насърчаване на конкуренцията в областта на производството на електроенергия от газ от независими производители. Очаква се природният газ да навлезе на пазара на Кипър до 2021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Понастоящем се предвижда тези два текущи проекта да бъдат завършени съответно до края на 2021 г. и до края на 2022 г. </w:t>
      </w:r>
    </w:p>
    <w:p>
      <w:pPr>
        <w:spacing w:before="120" w:after="120" w:line="240" w:lineRule="auto"/>
        <w:jc w:val="both"/>
        <w:rPr>
          <w:rFonts w:ascii="Times New Roman" w:eastAsia="Times New Roman" w:hAnsi="Times New Roman" w:cs="Times New Roman"/>
          <w:b/>
          <w:smallCaps/>
          <w:noProof/>
          <w:sz w:val="24"/>
          <w:szCs w:val="24"/>
        </w:rPr>
      </w:pP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rPr>
        <w:t>2. Проекти за вятърна енергия от разположени в морето инсталации (OWE)</w:t>
      </w:r>
    </w:p>
    <w:p>
      <w:pPr>
        <w:keepNext/>
        <w:tabs>
          <w:tab w:val="num" w:pos="480"/>
          <w:tab w:val="num" w:pos="1911"/>
        </w:tabs>
        <w:spacing w:before="12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 xml:space="preserve">2.1. Досегашен напредък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Подпрограмата за вятърна енергия от разположени в морето инсталации включва 9 проекта, които получават общо 565 милиона евро, разпределени за два основни вида дейности:</w:t>
      </w:r>
    </w:p>
    <w:p>
      <w:pPr>
        <w:pStyle w:val="ListBullet"/>
        <w:numPr>
          <w:ilvl w:val="0"/>
          <w:numId w:val="0"/>
        </w:numPr>
        <w:ind w:left="567" w:hanging="207"/>
        <w:rPr>
          <w:noProof/>
          <w:szCs w:val="24"/>
        </w:rPr>
      </w:pPr>
      <w:r>
        <w:rPr>
          <w:noProof/>
        </w:rPr>
        <w:t>— широкомащабно изпитване, производство и внедряване на иновативни турбини и конструкции на фундаменти за разположени в морето инсталации (6 проекта); както и</w:t>
      </w:r>
    </w:p>
    <w:p>
      <w:pPr>
        <w:pStyle w:val="ListBullet"/>
        <w:numPr>
          <w:ilvl w:val="0"/>
          <w:numId w:val="0"/>
        </w:numPr>
        <w:ind w:left="567" w:hanging="207"/>
        <w:rPr>
          <w:noProof/>
          <w:szCs w:val="24"/>
        </w:rPr>
      </w:pPr>
      <w:r>
        <w:rPr>
          <w:noProof/>
        </w:rPr>
        <w:t>— разработване на модулни решения за присъединяване към електроенергийната мрежа на големи количества електроенергия от вятърни централи (3 проекта).</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Четири от тези девет проекта са завършени, а два бяха прекратени преждевременно.</w:t>
      </w:r>
      <w:r>
        <w:rPr>
          <w:rFonts w:ascii="Times New Roman" w:hAnsi="Times New Roman"/>
          <w:i/>
          <w:noProof/>
        </w:rPr>
        <w:t xml:space="preserve"> </w:t>
      </w:r>
      <w:r>
        <w:rPr>
          <w:rFonts w:ascii="Times New Roman" w:hAnsi="Times New Roman"/>
          <w:noProof/>
        </w:rPr>
        <w:t>По проектите са изплатени 341 639 214 EUR (след приспадане на сумите по нареждания за възстановяване). Останалите три проекта продължават да се изпълняват.</w:t>
      </w:r>
    </w:p>
    <w:p>
      <w:pPr>
        <w:spacing w:before="120" w:after="0" w:line="240" w:lineRule="auto"/>
        <w:jc w:val="both"/>
        <w:rPr>
          <w:rFonts w:ascii="Times New Roman" w:eastAsia="Times New Roman" w:hAnsi="Times New Roman" w:cs="Times New Roman"/>
          <w:noProof/>
          <w:sz w:val="24"/>
          <w:szCs w:val="24"/>
        </w:rPr>
      </w:pP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rPr>
        <w:t xml:space="preserve">2.2. Досегашен напредък по сектори </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noProof/>
        </w:rPr>
        <w:t>2.2.1. Напредък по отношение на новаторски турбини и разположени в морето инсталации</w:t>
      </w:r>
    </w:p>
    <w:p>
      <w:p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По проекта Aberdeen Offshore Wind Farm </w:t>
      </w:r>
      <w:r>
        <w:rPr>
          <w:rFonts w:ascii="Times New Roman" w:hAnsi="Times New Roman"/>
          <w:bCs/>
          <w:noProof/>
        </w:rPr>
        <w:t xml:space="preserve">на 1 юли 2018 г. във ветроенергийния парк „Aberdeen Bay“ на Vattenfall започна експлоатацията на единадесетте вятърни турбини с най-голям капацитет в света. </w:t>
      </w:r>
      <w:r>
        <w:rPr>
          <w:rFonts w:ascii="Times New Roman" w:hAnsi="Times New Roman"/>
          <w:noProof/>
        </w:rPr>
        <w:t xml:space="preserve">През септември 2018 г. </w:t>
      </w:r>
      <w:r>
        <w:rPr>
          <w:rFonts w:ascii="Times New Roman" w:hAnsi="Times New Roman"/>
          <w:bCs/>
          <w:noProof/>
        </w:rPr>
        <w:t xml:space="preserve">се проведе официалното откриване </w:t>
      </w:r>
      <w:r>
        <w:rPr>
          <w:rFonts w:ascii="Times New Roman" w:hAnsi="Times New Roman"/>
          <w:noProof/>
        </w:rPr>
        <w:t>на Европейския център за внедряване на вятърни паркове в морето (European Offshore Wind Deployment Centre — Aberdeen Offshore Wind Farm) . Последното докладване по проекта и окончателното плащане се очакват през третото тримесечие на 2019 г.</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rPr>
        <w:t>2.2.2. Напредък по отношение на присъединяването към електроенергийната мрежа на вятърни електроенергийни инсталации</w:t>
      </w:r>
    </w:p>
    <w:p>
      <w:p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Като цяло изпълнението на останалите два проекта, Kriegers Flak и COBRACable, напредва според очакванията. Що се отнася до Kriegers Flak, окончателното започване на търговска експлоатация беше планирано за края на септември 2019 г. Въпреки закъсненията и другите предизвикателства, възникнали по време на проекта, бенефициерите започнаха планирането за пускането в експлоатация през втората половина на юли 2019 г. </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noProof/>
        </w:rPr>
        <w:t>Що се отнася до COBRAcable, инсталирането на преобразувателните станции в Нидерландия и Дания е завършено, но има закъснение при инсталирането на маловажни сегменти на кабела.  Завършването на инсталирането на кабела и провеждането на системни изпитвания се очакваха за второто полугодие на 2019 г., а търговската експлоатация би следвало да започне веднага след това, в края на 2019 г.</w:t>
      </w:r>
      <w:r>
        <w:rPr>
          <w:noProof/>
        </w:rPr>
        <w:t xml:space="preserve"> </w:t>
      </w:r>
      <w:r>
        <w:rPr>
          <w:rFonts w:ascii="Times New Roman" w:hAnsi="Times New Roman"/>
          <w:noProof/>
        </w:rPr>
        <w:t xml:space="preserve">В проекта COBRACable е включено проучване, целящо да се идентифицират и опишат въпросите на проектирането, които трябва да се вземат предвид, за да се подготви връзката чрез HVDC Cobracable за бъдеща експлоатация като част от многоизводна мрежа. За тази цел са представени нови документи. </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rPr>
        <w:t>3. Улавяне и съхранение на въглероден диоксид</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Тази подпрограма на ЕЕПВ включва 6 проекта, подпомагани с 1 милиард евро, като целта е да се демонстрира целият процес по улавянето, преноса и съхранението на въглероден диоксид.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Завършен е един проект (Compostilla в Испания), осигуряващ работещи пилотни инсталации за улавяне, транспортиране и съхранение. Четири проекта бяха прекратени преждевременно поради решение на техните организатори да не инвестират, а един проект завърши без да бъде изпълнен. По тези проекти бяха изплатени 387 211 547 EUR (след приспадане на сумите по нарежданията за възстановяване на обща стойност 48 660 666,85 EUR). </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rPr>
        <w:t xml:space="preserve">III. ЕВРОПЕЙСКИ ФОНД ЗА ЕНЕРГИЙНА ЕФЕКТИВНОСТ (EEEF)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През декември 2010 г. Европейската енергийна програма за възстановяване (ЕЕПВ) предостави 146,3 милиона евро на механизъм за финансиране на проекти за устойчиво енергийно развитие</w:t>
      </w:r>
      <w:r>
        <w:rPr>
          <w:rStyle w:val="FootnoteReference"/>
          <w:rFonts w:ascii="Times New Roman" w:eastAsia="Times New Roman" w:hAnsi="Times New Roman" w:cs="Times New Roman"/>
          <w:noProof/>
        </w:rPr>
        <w:footnoteReference w:id="2"/>
      </w:r>
      <w:r>
        <w:rPr>
          <w:rFonts w:ascii="Times New Roman" w:hAnsi="Times New Roman"/>
          <w:noProof/>
        </w:rPr>
        <w:t>. Като принос на ЕС в Европейския фонд за енергийна ефективност (EEEF) бяха внесени 125 млн. евро. EEEF беше създаден през юли 2011 г. и достигна общ обем от 265 милиона евро</w:t>
      </w:r>
      <w:r>
        <w:rPr>
          <w:rFonts w:ascii="Times New Roman" w:eastAsia="Times New Roman" w:hAnsi="Times New Roman" w:cs="Times New Roman"/>
          <w:noProof/>
          <w:vertAlign w:val="superscript"/>
        </w:rPr>
        <w:footnoteReference w:id="3"/>
      </w:r>
      <w:r>
        <w:rPr>
          <w:rFonts w:ascii="Times New Roman" w:hAnsi="Times New Roman"/>
          <w:noProof/>
        </w:rPr>
        <w:t>, като неговата работа се подкрепя от механизъм за отпускане на безвъзмездни средства за техническа помощ, който разполага с бюджет в размер на 20 милиона евро, и 1,3 милиона евро за дейности за повишаване на осведомеността.</w:t>
      </w:r>
    </w:p>
    <w:p>
      <w:pPr>
        <w:spacing w:before="240" w:after="0" w:line="240" w:lineRule="auto"/>
        <w:jc w:val="both"/>
        <w:rPr>
          <w:rFonts w:ascii="Times New Roman" w:eastAsia="Times New Roman" w:hAnsi="Times New Roman" w:cs="Times New Roman"/>
          <w:noProof/>
          <w:sz w:val="24"/>
          <w:szCs w:val="24"/>
        </w:rPr>
      </w:pPr>
      <w:r>
        <w:rPr>
          <w:rFonts w:ascii="Times New Roman" w:hAnsi="Times New Roman"/>
          <w:noProof/>
        </w:rPr>
        <w:t>EEEF осигурява специфично за конкретните случаи финансиране (включващо както дългови, така и капиталови инструменти) за проекти за енергийна ефективност, енергия от възобновяеми източници и чист градски транспорт. Бенефициери са местни или областни публични органи или действащи от тяхно име частни дружества.</w:t>
      </w:r>
    </w:p>
    <w:p>
      <w:pPr>
        <w:pStyle w:val="ListParagraph"/>
        <w:numPr>
          <w:ilvl w:val="0"/>
          <w:numId w:val="3"/>
        </w:numPr>
        <w:spacing w:before="120" w:after="100" w:afterAutospacing="1" w:line="240" w:lineRule="auto"/>
        <w:jc w:val="both"/>
        <w:rPr>
          <w:rFonts w:ascii="Times New Roman" w:eastAsia="Times New Roman" w:hAnsi="Times New Roman" w:cs="Times New Roman"/>
          <w:b/>
          <w:smallCaps/>
          <w:noProof/>
          <w:sz w:val="24"/>
          <w:szCs w:val="24"/>
        </w:rPr>
      </w:pPr>
      <w:r>
        <w:rPr>
          <w:rFonts w:ascii="Times New Roman" w:hAnsi="Times New Roman"/>
          <w:b/>
          <w:smallCaps/>
          <w:noProof/>
        </w:rPr>
        <w:t>Досегашен напредък</w:t>
      </w:r>
    </w:p>
    <w:p>
      <w:pPr>
        <w:autoSpaceDE w:val="0"/>
        <w:autoSpaceDN w:val="0"/>
        <w:adjustRightInd w:val="0"/>
        <w:spacing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rPr>
        <w:t>През 2018 г. към портфейла на фонда бяха добавени три нови трансакции:</w:t>
      </w:r>
    </w:p>
    <w:p>
      <w:pPr>
        <w:autoSpaceDE w:val="0"/>
        <w:autoSpaceDN w:val="0"/>
        <w:adjustRightInd w:val="0"/>
        <w:spacing w:after="0" w:line="240" w:lineRule="auto"/>
        <w:ind w:left="142"/>
        <w:jc w:val="both"/>
        <w:rPr>
          <w:rFonts w:ascii="Times New Roman" w:eastAsia="Times New Roman" w:hAnsi="Times New Roman" w:cs="Times New Roman"/>
          <w:noProof/>
          <w:sz w:val="24"/>
          <w:szCs w:val="24"/>
        </w:rPr>
      </w:pPr>
      <w:r>
        <w:rPr>
          <w:rFonts w:ascii="Times New Roman" w:hAnsi="Times New Roman"/>
          <w:noProof/>
        </w:rPr>
        <w:t xml:space="preserve">— Проектът CIMAC в Португалия обхваща модернизирането на съществуващите осветители за улично осветление чрез заместване на преобладаващите лампи с натриеви пари с високо налягане със светодиодни лампи от последно поколение (инвестиции на EEEF в размер на 12,1 млн. евро при общ обем на проекта 16,6 млн. евро). Проектът е създаден по механизма за техническа помощ на EEEF и представлява една от най-големите модернизации на улично осветление в Португалия, където EEEF играе важна роля за развитието и финансирането. </w:t>
      </w:r>
    </w:p>
    <w:p>
      <w:pPr>
        <w:autoSpaceDE w:val="0"/>
        <w:autoSpaceDN w:val="0"/>
        <w:adjustRightInd w:val="0"/>
        <w:spacing w:after="0" w:line="240" w:lineRule="auto"/>
        <w:ind w:left="142" w:hanging="142"/>
        <w:jc w:val="both"/>
        <w:rPr>
          <w:rFonts w:ascii="Times New Roman" w:eastAsia="Times New Roman" w:hAnsi="Times New Roman" w:cs="Times New Roman"/>
          <w:noProof/>
          <w:sz w:val="24"/>
          <w:szCs w:val="24"/>
        </w:rPr>
      </w:pPr>
      <w:r>
        <w:rPr>
          <w:rFonts w:ascii="Times New Roman" w:hAnsi="Times New Roman"/>
          <w:noProof/>
        </w:rPr>
        <w:t xml:space="preserve">— Проектът „Осветени градове“ в Италия обхваща множество проекти за улично осветление в полза главно на малки и средни общини (инвестиции на EEEF в размер на 16 млн. евро при общ обем на проектите 20 млн. евро). </w:t>
      </w:r>
    </w:p>
    <w:p>
      <w:pPr>
        <w:autoSpaceDE w:val="0"/>
        <w:autoSpaceDN w:val="0"/>
        <w:adjustRightInd w:val="0"/>
        <w:spacing w:after="0" w:line="240" w:lineRule="auto"/>
        <w:ind w:left="142" w:hanging="142"/>
        <w:jc w:val="both"/>
        <w:rPr>
          <w:rFonts w:ascii="Times New Roman" w:eastAsia="Times New Roman" w:hAnsi="Times New Roman" w:cs="Times New Roman"/>
          <w:noProof/>
          <w:sz w:val="24"/>
          <w:szCs w:val="24"/>
        </w:rPr>
      </w:pPr>
      <w:r>
        <w:rPr>
          <w:rFonts w:ascii="Times New Roman" w:hAnsi="Times New Roman"/>
          <w:noProof/>
        </w:rPr>
        <w:t>— „Интелигентни болници и университети“ е друг проект в Италия, обхващащ набор от проекти в областта на енергийната ефективност в секторите на здравеопазването и образованието (инвестиции на EEEF в размер на 7 млн. EUR при общ обем на проектите 22 млн. EUR).</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 xml:space="preserve">От създаването си до 31 декември 2018 г. EEEF е подписал договори с 16 проекта на стойност 170 млн. евро и въпреки че това не представлява максималното налично количество за усвояване, EEEF е генерирал около 301,5 млн. евро окончателни инвестиции.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На базата на данни от рамковата структура на EEEF за оценяване и отчитане на проекти по отношение на намалението на емисиите на CO</w:t>
      </w:r>
      <w:r>
        <w:rPr>
          <w:rFonts w:ascii="Times New Roman" w:hAnsi="Times New Roman"/>
          <w:noProof/>
          <w:vertAlign w:val="subscript"/>
        </w:rPr>
        <w:t>2</w:t>
      </w:r>
      <w:r>
        <w:rPr>
          <w:rFonts w:ascii="Times New Roman" w:hAnsi="Times New Roman"/>
          <w:noProof/>
        </w:rPr>
        <w:t xml:space="preserve"> еквивалент и икономиите на първична енергия, до края на 2016 г. чрез инвестициите на EEEF е постигнато намаление на емисиите в размер на 388 478 тона CO</w:t>
      </w:r>
      <w:r>
        <w:rPr>
          <w:rFonts w:ascii="Times New Roman" w:hAnsi="Times New Roman"/>
          <w:noProof/>
          <w:vertAlign w:val="subscript"/>
        </w:rPr>
        <w:t>2</w:t>
      </w:r>
      <w:r>
        <w:rPr>
          <w:rFonts w:ascii="Times New Roman" w:hAnsi="Times New Roman"/>
          <w:noProof/>
        </w:rPr>
        <w:t xml:space="preserve"> и икономии на първична енергия</w:t>
      </w:r>
      <w:r>
        <w:rPr>
          <w:rStyle w:val="FootnoteReference"/>
          <w:rFonts w:ascii="Times New Roman" w:eastAsia="Times New Roman" w:hAnsi="Times New Roman" w:cs="Times New Roman"/>
          <w:noProof/>
        </w:rPr>
        <w:footnoteReference w:id="4"/>
      </w:r>
      <w:r>
        <w:rPr>
          <w:rFonts w:ascii="Times New Roman" w:hAnsi="Times New Roman"/>
          <w:noProof/>
        </w:rPr>
        <w:t xml:space="preserve"> в размер на 794 124 MWh.</w:t>
      </w:r>
      <w:r>
        <w:rPr>
          <w:noProof/>
        </w:rPr>
        <w:br w:type="page"/>
      </w:r>
    </w:p>
    <w:p>
      <w:pPr>
        <w:spacing w:before="120" w:after="120" w:line="240" w:lineRule="auto"/>
        <w:jc w:val="both"/>
        <w:rPr>
          <w:rFonts w:ascii="Times New Roman" w:eastAsia="Times New Roman" w:hAnsi="Times New Roman" w:cs="Times New Roman"/>
          <w:b/>
          <w:noProof/>
          <w:sz w:val="24"/>
          <w:szCs w:val="24"/>
        </w:rPr>
      </w:pPr>
    </w:p>
    <w:p>
      <w:pPr>
        <w:pStyle w:val="ListParagraph"/>
        <w:numPr>
          <w:ilvl w:val="0"/>
          <w:numId w:val="3"/>
        </w:num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rPr>
        <w:t xml:space="preserve">Механизъм за техническа помощ на EEEF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През ноември 2016 г. Европейският фонд за енергийна ефективност стартира нов механизъм за техническа помощ. Като продължение на механизма за техническа помощ на Европейската комисия, управляван от EEEF, фондът създаде нов инструмент в подкрепа на амбициозни публичноправни субекти с подходящи за финансиране инвестиционни проекти за устойчива енергия. Тези проекти трябва да са свързани със сектора на енергийната ефективност, дребномащабното производство на енергия от възобновяеми източници и/или инициативите в областта на обществения транспорт. EEEF подпомага бенефициерите — области, общински съвети, университети, държавни болници и други публични субекти, намиращи се в държавите — членки на ЕС, чрез предоставяне на консултантски услуги за планираните инвестиции, например извършване на проучвания за осъществимост, енергийни одити, правни услуги и анализи на икономическата жизнеспособност. Механизмът за техническа помощ на EEEF получи финансиране по механизма ELENA (Европейска програма за подпомагане в областта на енергетиката на местно равнище) в рамките на програмата „Хоризонт 2020“ на Европейския съюз. Към декември 2018 г. той вече подпомагаше 4 бенефициера в Италия, Испания и Литва.</w:t>
      </w:r>
    </w:p>
    <w:p>
      <w:pPr>
        <w:pStyle w:val="ListParagraph"/>
        <w:numPr>
          <w:ilvl w:val="0"/>
          <w:numId w:val="3"/>
        </w:num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rPr>
        <w:t>Основни заключения и перспективи</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 xml:space="preserve">Постепенно EEEF е постигнал солидни резултати, изразяващи се в рентабилни инвестиции, и след 7 години работа вече е подпомогнал 18 силно различаващи се проекта (2 от които вече са се изплатили, като постъпленията са били реинвестирани във фонда) в различни технологични области в 8 различни държави членки.  </w:t>
      </w:r>
    </w:p>
    <w:p>
      <w:pPr>
        <w:spacing w:before="120" w:after="0" w:line="240" w:lineRule="auto"/>
        <w:jc w:val="both"/>
        <w:rPr>
          <w:rFonts w:ascii="Times New Roman" w:eastAsia="Times New Roman" w:hAnsi="Times New Roman" w:cs="Times New Roman"/>
          <w:b/>
          <w:smallCaps/>
          <w:noProof/>
          <w:sz w:val="28"/>
          <w:szCs w:val="28"/>
        </w:rPr>
      </w:pPr>
    </w:p>
    <w:p>
      <w:pPr>
        <w:spacing w:before="120" w:after="0" w:line="240" w:lineRule="auto"/>
        <w:jc w:val="both"/>
        <w:rPr>
          <w:rFonts w:ascii="Times New Roman" w:eastAsia="Times New Roman" w:hAnsi="Times New Roman" w:cs="Times New Roman"/>
          <w:b/>
          <w:smallCaps/>
          <w:noProof/>
          <w:sz w:val="28"/>
          <w:szCs w:val="28"/>
        </w:rPr>
      </w:pPr>
      <w:r>
        <w:rPr>
          <w:rFonts w:ascii="Times New Roman" w:hAnsi="Times New Roman"/>
          <w:b/>
          <w:smallCaps/>
          <w:noProof/>
          <w:sz w:val="28"/>
          <w:szCs w:val="28"/>
        </w:rPr>
        <w:t>IV. Общи заключения</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По програмата ЕЕПВ са постигнати добри резултати. Всичките 12 електроенергийни проекта и по-голямата част от инфраструктурата за газовите проекти са завършени, като два газови проекта продължават да се изпълняват и тяхното завършване се очаква през 2021 и 2022 г. Строгият контрол, упражняван от Европейската комисия в областта на изпълнението и мониторинга на проектите допринесе за подобряване на ефективността на този инструмент.</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 xml:space="preserve">Проектите за вятърна енергия от разположени в морето инсталации се оказаха по-сложни от очакваното, но организаторите и строителите успяха да намерят решения и да ги доведат до успешен край, като в някои случаи срокът на договорите трябваше да бъде удължен. За 10-годишното си съществуване програмата ЕЕПВ спомогна за придобиването на технологични знания и допринесе за развитието на технологиите за междусистемно свързване на разположени в морето инсталации за вятърна енергия.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 xml:space="preserve">Въпреки че финансовата подкрепа на ЕЕПВ не беше достатъчна, за да подтикне дружествата да осъществят демонстрационни проекти с търговски мащаб за улавянето и съхранението на въглероден диоксид (CCS), Комисията все пак счита, че CCS е важно за декарбонизацията (единствената надеждна технология за дългосрочно съхранение на въглероден диоксид), за ЕС като цяло, и по-специално за отраслите с висока енергийна и въглеродна интензивност. </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EEEF инвестира в няколко проекта за енергийна ефективност и ще продължи да разширява портфейла си, като предоставя възможности за финансиране и генерира печалби за своите акционери. Също така EEEF служи като образец за други новаторски финансови инструменти за инвестиции в икономически ефективни и зрели проекти за устойчива енергетика, които могат да привлекат частни капитали и едновременно с това да демонстрират състоятелността на тези инвестиции от предприемаческа гледна точка и да осигурят осезаеми резултати.</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758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pPr>
      <w:r>
        <w:rPr>
          <w:rStyle w:val="FootnoteReference"/>
        </w:rPr>
        <w:footnoteRef/>
      </w:r>
      <w:r>
        <w:tab/>
        <w:t xml:space="preserve">Доклад 2017, приет на </w:t>
      </w:r>
      <w:r>
        <w:rPr>
          <w:sz w:val="23"/>
          <w:szCs w:val="23"/>
        </w:rPr>
        <w:t>5.3.2018 г., COM(2018) 86 final</w:t>
      </w:r>
      <w:r>
        <w:t>.</w:t>
      </w:r>
    </w:p>
  </w:footnote>
  <w:footnote w:id="2">
    <w:p>
      <w:pPr>
        <w:pStyle w:val="FootnoteText"/>
        <w:jc w:val="both"/>
      </w:pPr>
      <w:r>
        <w:footnoteRef/>
      </w:r>
      <w:r>
        <w:tab/>
        <w:t>Регламент (ЕС) № 1233/2010 на Европейския парламент и на Съвета от 15 декември 2010 година за изменение на Регламент (ЕО) № 663/2009 за създаване на програма за подпомагане на икономическото възстановяване чрез предоставяне на финансова помощ от Общността на проекти в областта на енергетиката.</w:t>
      </w:r>
    </w:p>
  </w:footnote>
  <w:footnote w:id="3">
    <w:p>
      <w:pPr>
        <w:pStyle w:val="FootnoteText"/>
        <w:jc w:val="both"/>
      </w:pPr>
      <w:r>
        <w:footnoteRef/>
      </w:r>
      <w:r>
        <w:tab/>
        <w:t>В допълнение към инвестициите на Европейската комисия, инвестиции бяха направени също от: Европейската инвестиционна банка в размер на 75 милиона евро, от Cassa Depositi e Prestiti SpA (CDP) в размер на 60 милиона евро и от Investment Manager Deutsche Bank (DB) в размер на 5 милиона евро.</w:t>
      </w:r>
    </w:p>
  </w:footnote>
  <w:footnote w:id="4">
    <w:p>
      <w:pPr>
        <w:pStyle w:val="FootnoteText"/>
        <w:jc w:val="both"/>
      </w:pPr>
      <w:r>
        <w:footnoteRef/>
      </w:r>
      <w:r>
        <w:tab/>
        <w:t>Кумулативните икономии на първична енергия са представени само за технологиите за енергийна ефективност и чист градски транспорт; те включват изчисления от финансовото приключване до падежа на заема въз основа на прогнози за проекти, които са в процес на изграждане и се изпълняват от по-малко от една година, и действителни данни за проекти, които се изпълняват от повече от една година. Икономиите са за общия инвестиционен обем за проекти (т.е. инвестиции от EEEF и от други участници).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ED4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C2AE7"/>
    <w:multiLevelType w:val="hybridMultilevel"/>
    <w:tmpl w:val="AC84B2F2"/>
    <w:lvl w:ilvl="0" w:tplc="D67260D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F24B32"/>
    <w:multiLevelType w:val="hybridMultilevel"/>
    <w:tmpl w:val="E398E0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691A270-E126-4FFA-83C3-261F62DB813B"/>
    <w:docVar w:name="LW_COVERPAGE_TYPE" w:val="1"/>
    <w:docVar w:name="LW_CROSSREFERENCE" w:val="{SWD(2020) 12 final}"/>
    <w:docVar w:name="LW_DocType" w:val="NORMAL"/>
    <w:docVar w:name="LW_EMISSION" w:val="10.2.2020"/>
    <w:docVar w:name="LW_EMISSION_ISODATE" w:val="2020-02-1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u1086?\u1090?\u1085?\u1086?\u1089?\u1085?\u1086? \u1080?\u1079?\u1087?\u1098?\u1083?\u1085?\u1077?\u1085?\u1080?\u1077?\u1090?\u1086? \u1085?\u1072? \u1045?\u1074?\u1088?\u1086?\u1087?\u1077?\u1081?\u1089?\u1082?\u1072?\u1090?\u1072? \u1077?\u1085?\u1077?\u1088?\u1075?\u1080?\u1081?\u1085?\u1072? \u1087?\u1088?\u1086?\u1075?\u1088?\u1072?\u1084?\u1072? \u1079?\u1072? \u1074?\u1098?\u1079?\u1089?\u1090?\u1072?\u1085?\u1086?\u1074?\u1103?\u1074?\u1072?\u1085?\u1077? &lt;/FMT&gt;_x000d__x000b_&lt;FMT:Bold&gt;\u1080? \u1076?\u1077?\u1081?\u1085?\u1086?\u1089?\u1090?\u1090?\u1072? \u1085?\u1072? \u1045?\u1074?\u1088?\u1086?\u1087?\u1077?\u1081?\u1089?\u1082?\u1080?\u1103? \u1092?\u1086?\u1085?\u1076? \u1079?\u1072? \u1077?\u1085?\u1077?\u1088?\u1075?\u1080?\u1081?\u1085?\u1072? \u1077?\u1092?\u1077?\u1082?\u1090?\u1080?\u1074?\u1085?\u1086?\u1089?\u109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apple-converted-space">
    <w:name w:val="apple-converted-space"/>
    <w:basedOn w:val="DefaultParagraphFont"/>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apple-converted-space">
    <w:name w:val="apple-converted-space"/>
    <w:basedOn w:val="DefaultParagraphFont"/>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2237">
      <w:bodyDiv w:val="1"/>
      <w:marLeft w:val="0"/>
      <w:marRight w:val="0"/>
      <w:marTop w:val="0"/>
      <w:marBottom w:val="0"/>
      <w:divBdr>
        <w:top w:val="none" w:sz="0" w:space="0" w:color="auto"/>
        <w:left w:val="none" w:sz="0" w:space="0" w:color="auto"/>
        <w:bottom w:val="none" w:sz="0" w:space="0" w:color="auto"/>
        <w:right w:val="none" w:sz="0" w:space="0" w:color="auto"/>
      </w:divBdr>
    </w:div>
    <w:div w:id="122846458">
      <w:bodyDiv w:val="1"/>
      <w:marLeft w:val="0"/>
      <w:marRight w:val="0"/>
      <w:marTop w:val="0"/>
      <w:marBottom w:val="0"/>
      <w:divBdr>
        <w:top w:val="none" w:sz="0" w:space="0" w:color="auto"/>
        <w:left w:val="none" w:sz="0" w:space="0" w:color="auto"/>
        <w:bottom w:val="none" w:sz="0" w:space="0" w:color="auto"/>
        <w:right w:val="none" w:sz="0" w:space="0" w:color="auto"/>
      </w:divBdr>
    </w:div>
    <w:div w:id="246884462">
      <w:bodyDiv w:val="1"/>
      <w:marLeft w:val="0"/>
      <w:marRight w:val="0"/>
      <w:marTop w:val="0"/>
      <w:marBottom w:val="0"/>
      <w:divBdr>
        <w:top w:val="none" w:sz="0" w:space="0" w:color="auto"/>
        <w:left w:val="none" w:sz="0" w:space="0" w:color="auto"/>
        <w:bottom w:val="none" w:sz="0" w:space="0" w:color="auto"/>
        <w:right w:val="none" w:sz="0" w:space="0" w:color="auto"/>
      </w:divBdr>
    </w:div>
    <w:div w:id="9788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CF93127461F3428591634C4A487028" ma:contentTypeVersion="0" ma:contentTypeDescription="Create a new document." ma:contentTypeScope="" ma:versionID="87e938d6ce2f097e4ce61d5d436b652f">
  <xsd:schema xmlns:xsd="http://www.w3.org/2001/XMLSchema" xmlns:xs="http://www.w3.org/2001/XMLSchema" xmlns:p="http://schemas.microsoft.com/office/2006/metadata/properties" targetNamespace="http://schemas.microsoft.com/office/2006/metadata/properties" ma:root="true" ma:fieldsID="2b7f35f90631876df2a543031ec17f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5610-9BDB-44AE-8994-8D40F3E9A5F6}">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4683C3A-8C7C-4DE0-9AE4-6AD075B81380}">
  <ds:schemaRefs>
    <ds:schemaRef ds:uri="http://schemas.microsoft.com/sharepoint/v3/contenttype/forms"/>
  </ds:schemaRefs>
</ds:datastoreItem>
</file>

<file path=customXml/itemProps3.xml><?xml version="1.0" encoding="utf-8"?>
<ds:datastoreItem xmlns:ds="http://schemas.openxmlformats.org/officeDocument/2006/customXml" ds:itemID="{7D74AE83-7409-40F1-AA5A-F6E74A370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852D95-77D7-450B-82A9-B39F535B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2197</Words>
  <Characters>12768</Characters>
  <Application>Microsoft Office Word</Application>
  <DocSecurity>0</DocSecurity>
  <Lines>212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2019-12-09T16:00:00Z</dcterms:created>
  <dcterms:modified xsi:type="dcterms:W3CDTF">2020-02-03T12:32:00Z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y fmtid="{D5CDD505-2E9C-101B-9397-08002B2CF9AE}" pid="6" name="IsMyDocuments">
    <vt:bool>true</vt:bool>
  </property>
  <property fmtid="{D5CDD505-2E9C-101B-9397-08002B2CF9AE}" pid="7" name="Last edited using">
    <vt:lpwstr>LW 7.0, Build 20190717</vt:lpwstr>
  </property>
  <property fmtid="{D5CDD505-2E9C-101B-9397-08002B2CF9AE}" pid="8" name="Created using">
    <vt:lpwstr>LW 6.0.1, Build 20180503</vt:lpwstr>
  </property>
  <property fmtid="{D5CDD505-2E9C-101B-9397-08002B2CF9AE}" pid="9" name="CPTemplateID">
    <vt:lpwstr>CP-006</vt:lpwstr>
  </property>
  <property fmtid="{D5CDD505-2E9C-101B-9397-08002B2CF9AE}" pid="10" name="_LW_INVALIDATED__LW_INVALIDATED__LW_INVALIDATED_ContentTypeId">
    <vt:lpwstr>0x010100F4CF93127461F3428591634C4A487028</vt:lpwstr>
  </property>
</Properties>
</file>