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441168B-CD86-4E80-B446-9D5693288C9C" style="width:451.25pt;height:437.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lang w:val="bg-BG"/>
        </w:rPr>
      </w:pPr>
      <w:bookmarkStart w:id="0" w:name="_GoBack"/>
      <w:bookmarkEnd w:id="0"/>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6 и Приложение (адаптиран)</w:t>
      </w:r>
    </w:p>
    <w:p>
      <w:pPr>
        <w:pStyle w:val="Annexetitre"/>
        <w:rPr>
          <w:noProof/>
        </w:rPr>
      </w:pPr>
      <w:r>
        <w:rPr>
          <w:noProof/>
        </w:rPr>
        <w:t>ПРИЛОЖЕНИЕ I</w:t>
      </w:r>
    </w:p>
    <w:p>
      <w:pPr>
        <w:pStyle w:val="NormalCentered"/>
        <w:rPr>
          <w:b/>
          <w:bCs/>
          <w:noProof/>
        </w:rPr>
      </w:pPr>
      <w:r>
        <w:rPr>
          <w:b/>
          <w:bCs/>
          <w:noProof/>
        </w:rPr>
        <w:t>ПРАВИЛА ЗА ПРЕДОСТАВЯНЕ НА ИНФОРМАЦИЯ И КОМПЛЕКСНА ПРОВЕРКА НА ИНФОРМАЦИЯ ЗА ФИНАНСОВИ СМЕТКИ</w:t>
      </w:r>
    </w:p>
    <w:p>
      <w:pPr>
        <w:rPr>
          <w:noProof/>
        </w:rPr>
      </w:pPr>
      <w:r>
        <w:rPr>
          <w:noProof/>
        </w:rPr>
        <w:t>В настоящото приложение се определят правилата за предоставяне на информация и комплексна проверка, които трябва да се прилагат от предоставящите информация финансови институции, за да се даде възможност на държавите членки да предоставят чрез автоматичен обмен информацията, посочена в член 8, параграф 4 от настоящата директива. В настоящото приложение се описват също така правилата и административните процедури, които държавите членки трябва да въведат, за да гарантират ефективното прилагане и спазване на изложените по-долу процедури за предоставяне на информация и комплексна проверка.</w:t>
      </w:r>
    </w:p>
    <w:p>
      <w:pPr>
        <w:pStyle w:val="SectionTitle"/>
        <w:rPr>
          <w:noProof/>
        </w:rPr>
      </w:pPr>
      <w:r>
        <w:rPr>
          <w:noProof/>
        </w:rPr>
        <w:t>РАЗДЕЛ I</w:t>
      </w:r>
    </w:p>
    <w:p>
      <w:pPr>
        <w:pStyle w:val="SectionTitle"/>
        <w:rPr>
          <w:noProof/>
        </w:rPr>
      </w:pPr>
      <w:r>
        <w:rPr>
          <w:noProof/>
        </w:rPr>
        <w:t>ОБЩИ ИЗИСКВАНИЯ ЗА ПРЕДОСТАВЯНЕ НА ИНФОРМАЦИЯ</w:t>
      </w:r>
    </w:p>
    <w:p>
      <w:pPr>
        <w:pStyle w:val="Point0"/>
        <w:rPr>
          <w:noProof/>
        </w:rPr>
      </w:pPr>
      <w:r>
        <w:rPr>
          <w:noProof/>
        </w:rPr>
        <w:t>А.</w:t>
      </w:r>
      <w:r>
        <w:rPr>
          <w:noProof/>
        </w:rPr>
        <w:tab/>
        <w:t>При спазване на точки В, Г и Д, всяка предоставящата информация финансова институция трябва да предостави на компетентния орган на своята държава членка следната информация по отношение на всяка сметка, за която се предоставя информация, в предоставящата информация финансова институция:</w:t>
      </w:r>
    </w:p>
    <w:p>
      <w:pPr>
        <w:pStyle w:val="Point1"/>
        <w:rPr>
          <w:noProof/>
        </w:rPr>
      </w:pPr>
      <w:r>
        <w:rPr>
          <w:noProof/>
        </w:rPr>
        <w:t>1.</w:t>
      </w:r>
      <w:r>
        <w:rPr>
          <w:noProof/>
        </w:rPr>
        <w:tab/>
        <w:t>името, адреса, държавата членка (държавите членки), на която е местно лице, данъчния(данъчните) номер(а), датата и мястото на раждане (в случай на физическо лице) на всяко лице, за което се предоставя информация, което е титуляр на сметка, и, в случай на образувание, което е титуляр на сметка и което след прилагане на процедурите за комплексна проверка в съответствие с раздели V, VI и VII е идентифицирано като имащо едно или повече контролиращи лица, които са лица, за които се предоставя информация — името, адреса, държавата членка (държавите членки) или (ако има такива) друга(и) юрисдикция (юрисдикции), на която е местно лице, и данъчния(данъчните) номер(а) на образуванието и името, адреса, държавата членка (държавите членки), на която е местно лице, данъчния(данъчните) номер(а), датата и мястото на раждане на всяко лице, за което се предоставя информация;</w:t>
      </w:r>
    </w:p>
    <w:p>
      <w:pPr>
        <w:pStyle w:val="Point1"/>
        <w:rPr>
          <w:noProof/>
        </w:rPr>
      </w:pPr>
      <w:r>
        <w:rPr>
          <w:noProof/>
        </w:rPr>
        <w:t>2.</w:t>
      </w:r>
      <w:r>
        <w:rPr>
          <w:noProof/>
        </w:rPr>
        <w:tab/>
        <w:t>номера на сметката (или функционалния еквивалент при липса на номер на сметка);</w:t>
      </w:r>
    </w:p>
    <w:p>
      <w:pPr>
        <w:pStyle w:val="Point1"/>
        <w:rPr>
          <w:noProof/>
        </w:rPr>
      </w:pPr>
      <w:r>
        <w:rPr>
          <w:noProof/>
        </w:rPr>
        <w:t>3.</w:t>
      </w:r>
      <w:r>
        <w:rPr>
          <w:noProof/>
        </w:rPr>
        <w:tab/>
        <w:t>наименованието и идентификационния номер (ако има такъв) на предоставящата информация финансова институция;</w:t>
      </w:r>
    </w:p>
    <w:p>
      <w:pPr>
        <w:pStyle w:val="Point1"/>
        <w:rPr>
          <w:noProof/>
        </w:rPr>
      </w:pPr>
      <w:r>
        <w:rPr>
          <w:noProof/>
        </w:rPr>
        <w:t>4.</w:t>
      </w:r>
      <w:r>
        <w:rPr>
          <w:noProof/>
        </w:rPr>
        <w:tab/>
        <w:t>наличността или стойността по сметката (включително, в случай на застрахователен договор с откупна стойност или анюитетен договор — откупната стойност или стойност при отказ) към края на съответната календарна година или друг подходящ отчетен период, или ако тази сметка е била закрита през съответната година или период — закриването на сметката;</w:t>
      </w:r>
    </w:p>
    <w:p>
      <w:pPr>
        <w:pStyle w:val="Point1"/>
        <w:keepNext/>
        <w:rPr>
          <w:noProof/>
        </w:rPr>
      </w:pPr>
      <w:r>
        <w:rPr>
          <w:noProof/>
        </w:rPr>
        <w:lastRenderedPageBreak/>
        <w:t>5.</w:t>
      </w:r>
      <w:r>
        <w:rPr>
          <w:noProof/>
        </w:rPr>
        <w:tab/>
        <w:t>в случай на попечителска сметка:</w:t>
      </w:r>
    </w:p>
    <w:p>
      <w:pPr>
        <w:pStyle w:val="Point2"/>
        <w:rPr>
          <w:noProof/>
        </w:rPr>
      </w:pPr>
      <w:r>
        <w:rPr>
          <w:noProof/>
        </w:rPr>
        <w:t>а)</w:t>
      </w:r>
      <w:r>
        <w:rPr>
          <w:noProof/>
        </w:rPr>
        <w:tab/>
        <w:t>общия брутен размер на лихвите, общия брутен размер на дивидентите и общия брутен размер на други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w:t>
      </w:r>
    </w:p>
    <w:p>
      <w:pPr>
        <w:pStyle w:val="Point2"/>
        <w:rPr>
          <w:noProof/>
        </w:rPr>
      </w:pPr>
      <w:r>
        <w:rPr>
          <w:noProof/>
        </w:rPr>
        <w:t>б)</w:t>
      </w:r>
      <w:r>
        <w:rPr>
          <w:noProof/>
        </w:rPr>
        <w:tab/>
        <w:t>общия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w:t>
      </w:r>
    </w:p>
    <w:p>
      <w:pPr>
        <w:pStyle w:val="Point1"/>
        <w:rPr>
          <w:noProof/>
        </w:rPr>
      </w:pPr>
      <w:r>
        <w:rPr>
          <w:noProof/>
        </w:rPr>
        <w:t>6.</w:t>
      </w:r>
      <w:r>
        <w:rPr>
          <w:noProof/>
        </w:rPr>
        <w:tab/>
        <w:t>в случай на депозитна сметка, общия брутен размер на лихвите, платени или кредитирани по сметката през календарната година или друг подходящ отчетен период; както и</w:t>
      </w:r>
    </w:p>
    <w:p>
      <w:pPr>
        <w:pStyle w:val="Point1"/>
        <w:rPr>
          <w:noProof/>
        </w:rPr>
      </w:pPr>
      <w:r>
        <w:rPr>
          <w:noProof/>
        </w:rPr>
        <w:t>7.</w:t>
      </w:r>
      <w:r>
        <w:rPr>
          <w:noProof/>
        </w:rPr>
        <w:tab/>
        <w:t>в случай на сметка, която не е описана в точки А.5 или А.6, общата брутна сума, платена или кредитирана по сметката в полза на титуляря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 размер на погасителните плащания в полза на титуляря на сметката през календарната година или друг подходящ отчетен период.</w:t>
      </w:r>
    </w:p>
    <w:p>
      <w:pPr>
        <w:pStyle w:val="Point0"/>
        <w:rPr>
          <w:noProof/>
        </w:rPr>
      </w:pPr>
      <w:r>
        <w:rPr>
          <w:noProof/>
        </w:rPr>
        <w:t>Б.</w:t>
      </w:r>
      <w:r>
        <w:rPr>
          <w:noProof/>
        </w:rPr>
        <w:tab/>
        <w:t>В предоставяната информация трябва да се посочва валутата, в която е деноминирана всяка сума.</w:t>
      </w:r>
    </w:p>
    <w:p>
      <w:pPr>
        <w:pStyle w:val="Point0"/>
        <w:rPr>
          <w:noProof/>
        </w:rPr>
      </w:pPr>
      <w:r>
        <w:rPr>
          <w:noProof/>
        </w:rPr>
        <w:t>В.</w:t>
      </w:r>
      <w:r>
        <w:rPr>
          <w:noProof/>
        </w:rPr>
        <w:tab/>
        <w:t>Независимо от точка А.1, по отношение на всяка сметка, за която се предоставя информация, която е съществуваща сметка, не се изисква да се предоставя информация за данъчния(данъчните) номер(а) или датата на раждане, ако такъв(такива) данъчен(данъчни) номер(а) или дата на раждане не са регистрирани от предоставящата информация финансова институция и не се изисква да бъдат събирани по друг начин от предоставящата информация финансова институция съгласно националното право или на правен инструмент на Съюза. Въпреки това от предоставящата информация финансова институция се изисква да положи разумни усилия, за да получи данъчния(данъчните) номер(а) и датата на раждане по отношение на съществуващи сметки до края на втората календарна година след годината, през която съществуващите сметки са били идентифицирани като сметки, за които се предоставя информация.</w:t>
      </w:r>
    </w:p>
    <w:p>
      <w:pPr>
        <w:pStyle w:val="Point0"/>
        <w:rPr>
          <w:noProof/>
        </w:rPr>
      </w:pPr>
      <w:r>
        <w:rPr>
          <w:noProof/>
        </w:rPr>
        <w:t>Г.</w:t>
      </w:r>
      <w:r>
        <w:rPr>
          <w:noProof/>
        </w:rPr>
        <w:tab/>
        <w:t>Независимо от точка А.1, не се изисква да се предоставя информация за данъчния номер, ако такъв данъчен номер не се издава от съответната държава членка или друга юрисдикция, на която лицето е местно.</w:t>
      </w:r>
    </w:p>
    <w:p>
      <w:pPr>
        <w:pStyle w:val="Point0"/>
        <w:keepNext/>
        <w:rPr>
          <w:noProof/>
        </w:rPr>
      </w:pPr>
      <w:r>
        <w:rPr>
          <w:noProof/>
        </w:rPr>
        <w:t>Д.</w:t>
      </w:r>
      <w:r>
        <w:rPr>
          <w:noProof/>
        </w:rPr>
        <w:tab/>
        <w:t>Независимо от точка А.1, мястото на раждане не се изисква да бъде съобщавано, освен ако:</w:t>
      </w:r>
    </w:p>
    <w:p>
      <w:pPr>
        <w:pStyle w:val="Point1"/>
        <w:keepNext/>
        <w:rPr>
          <w:noProof/>
        </w:rPr>
      </w:pPr>
      <w:r>
        <w:rPr>
          <w:noProof/>
        </w:rPr>
        <w:t>1)</w:t>
      </w:r>
      <w:r>
        <w:rPr>
          <w:noProof/>
        </w:rPr>
        <w:tab/>
        <w:t xml:space="preserve">от предоставящата информация финансова институция се изисква да получи и да предостави информация за това съгласно националното право или предоставящата информация финансова институция е или е била длъжна да получи и да предостави информация за това съгласно </w:t>
      </w:r>
      <w:r>
        <w:rPr>
          <w:noProof/>
        </w:rPr>
        <w:lastRenderedPageBreak/>
        <w:t>друг правен инструмент на Съюза, който е бил действащ към</w:t>
      </w:r>
      <w:r>
        <w:rPr>
          <w:noProof/>
          <w:lang w:val="en-IE"/>
        </w:rPr>
        <w:t> </w:t>
      </w:r>
      <w:r>
        <w:rPr>
          <w:noProof/>
        </w:rPr>
        <w:t>5</w:t>
      </w:r>
      <w:r>
        <w:rPr>
          <w:noProof/>
          <w:lang w:val="en-IE"/>
        </w:rPr>
        <w:t> </w:t>
      </w:r>
      <w:r>
        <w:rPr>
          <w:noProof/>
        </w:rPr>
        <w:t>януари 2015 г.; както и</w:t>
      </w:r>
    </w:p>
    <w:p>
      <w:pPr>
        <w:pStyle w:val="Point1"/>
        <w:rPr>
          <w:noProof/>
        </w:rPr>
      </w:pPr>
      <w:r>
        <w:rPr>
          <w:noProof/>
        </w:rPr>
        <w:t>2)</w:t>
      </w:r>
      <w:r>
        <w:rPr>
          <w:noProof/>
        </w:rPr>
        <w:tab/>
        <w:t>е налично в електронните записи, в които е възможно търсене и които се поддържат от предоставящата информация финансова институция.</w:t>
      </w:r>
    </w:p>
    <w:p>
      <w:pPr>
        <w:pStyle w:val="SectionTitle"/>
        <w:rPr>
          <w:noProof/>
        </w:rPr>
      </w:pPr>
      <w:r>
        <w:rPr>
          <w:noProof/>
        </w:rPr>
        <w:t>РАЗДЕЛ II</w:t>
      </w:r>
    </w:p>
    <w:p>
      <w:pPr>
        <w:pStyle w:val="SectionTitle"/>
        <w:rPr>
          <w:noProof/>
        </w:rPr>
      </w:pPr>
      <w:r>
        <w:rPr>
          <w:noProof/>
        </w:rPr>
        <w:t>ОБЩИ ИЗИСКВАНИЯ ЗА КОМПЛЕКСНА ПРОВЕРКА</w:t>
      </w:r>
    </w:p>
    <w:p>
      <w:pPr>
        <w:pStyle w:val="Point0"/>
        <w:rPr>
          <w:noProof/>
        </w:rPr>
      </w:pPr>
      <w:r>
        <w:rPr>
          <w:noProof/>
        </w:rPr>
        <w:t>А.</w:t>
      </w:r>
      <w:r>
        <w:rPr>
          <w:noProof/>
        </w:rPr>
        <w:tab/>
        <w:t>Дадена сметка се третира като сметка, за която се предоставя информация, считано от датата на идентифицирането ѝ като такава съгласно процедурите за комплексна проверка по раздели II — VII и, освен ако е предвидено друго, информацията по отношение на сметката, за която се предоставя информация, трябва да се предоставя ежегодно през календарната година, следваща годината, за която се отнася информацията.</w:t>
      </w:r>
    </w:p>
    <w:p>
      <w:pPr>
        <w:pStyle w:val="Point0"/>
        <w:rPr>
          <w:noProof/>
        </w:rPr>
      </w:pPr>
      <w:r>
        <w:rPr>
          <w:noProof/>
        </w:rPr>
        <w:t>Б.</w:t>
      </w:r>
      <w:r>
        <w:rPr>
          <w:noProof/>
        </w:rPr>
        <w:tab/>
        <w:t>Наличността или стойността на сметката се определят към последния ден на календарната година или друг подходящ отчетен период.</w:t>
      </w:r>
    </w:p>
    <w:p>
      <w:pPr>
        <w:pStyle w:val="Point0"/>
        <w:rPr>
          <w:noProof/>
        </w:rPr>
      </w:pPr>
      <w:r>
        <w:rPr>
          <w:noProof/>
        </w:rPr>
        <w:t>В.</w:t>
      </w:r>
      <w:r>
        <w:rPr>
          <w:noProof/>
        </w:rPr>
        <w:tab/>
        <w:t>Когато прагът на наличността или на стойността се определя към последния ден на дадена календарна година, съответните наличност или стойност трябва да се определят към последния ден на отчетния период, който завършва с календарната година или в нейните рамки.</w:t>
      </w:r>
    </w:p>
    <w:p>
      <w:pPr>
        <w:pStyle w:val="Point0"/>
        <w:rPr>
          <w:noProof/>
        </w:rPr>
      </w:pPr>
      <w:r>
        <w:rPr>
          <w:noProof/>
        </w:rPr>
        <w:t>Г.</w:t>
      </w:r>
      <w:r>
        <w:rPr>
          <w:noProof/>
        </w:rPr>
        <w:tab/>
        <w:t>Всяка държава членка може да позволи на предоставящите информация финансови институции да използват доставчици на услуги за изпълнение на възложените им задължения за предоставяне на информация и комплексна проверка, предвидени в националното право, но за изпълнението на тези задължения продължават да отговарят предоставящите информация финансови институции.</w:t>
      </w:r>
    </w:p>
    <w:p>
      <w:pPr>
        <w:pStyle w:val="Point0"/>
        <w:rPr>
          <w:noProof/>
        </w:rPr>
      </w:pPr>
      <w:r>
        <w:rPr>
          <w:noProof/>
        </w:rPr>
        <w:t>Д.</w:t>
      </w:r>
      <w:r>
        <w:rPr>
          <w:noProof/>
        </w:rPr>
        <w:tab/>
        <w:t>Всяка държава членка може да позволи на предоставящите информация финансови институции да прилагат процедурите за комплексна проверка на нови сметки по отношение на съществуващи сметки, както и процедурите за комплексна проверка на сметки на голяма стойност по отношение на сметки на малка стойност. Когато държава членка позволява процедурите за комплексна проверка на нови сметки да бъдат използвани по отношение на съществуващи сметки, продължават да се прилагат правилата, приложими за съществуващи сметки.</w:t>
      </w:r>
    </w:p>
    <w:p>
      <w:pPr>
        <w:pStyle w:val="SectionTitle"/>
        <w:rPr>
          <w:noProof/>
        </w:rPr>
      </w:pPr>
      <w:r>
        <w:rPr>
          <w:noProof/>
        </w:rPr>
        <w:t>РАЗДЕЛ III</w:t>
      </w:r>
    </w:p>
    <w:p>
      <w:pPr>
        <w:pStyle w:val="SectionTitle"/>
        <w:rPr>
          <w:noProof/>
        </w:rPr>
      </w:pPr>
      <w:r>
        <w:rPr>
          <w:noProof/>
        </w:rPr>
        <w:t>КОМПЛЕКСНА ПРОВЕРКА НА СЪЩЕСТВУВАЩИ СМЕТКИ НА ФИЗИЧЕСКИ ЛИЦА</w:t>
      </w:r>
    </w:p>
    <w:p>
      <w:pPr>
        <w:pStyle w:val="Point0"/>
        <w:rPr>
          <w:noProof/>
        </w:rPr>
      </w:pPr>
      <w:r>
        <w:rPr>
          <w:noProof/>
        </w:rPr>
        <w:t>А.</w:t>
      </w:r>
      <w:r>
        <w:rPr>
          <w:noProof/>
        </w:rPr>
        <w:tab/>
        <w:t>Въведение. За целите на идентифицирането на сметките, за които се предоставя информация, измежду съществуващи сметки на физически лица се прилагат следните процедури.</w:t>
      </w:r>
    </w:p>
    <w:p>
      <w:pPr>
        <w:pStyle w:val="Point0"/>
        <w:keepNext/>
        <w:rPr>
          <w:noProof/>
        </w:rPr>
      </w:pPr>
      <w:r>
        <w:rPr>
          <w:noProof/>
        </w:rPr>
        <w:lastRenderedPageBreak/>
        <w:t>Б.</w:t>
      </w:r>
      <w:r>
        <w:rPr>
          <w:noProof/>
        </w:rPr>
        <w:tab/>
        <w:t>Сметки на ниска стойност. По отношение на сметките на ниска стойност се прилагат следните процедури.</w:t>
      </w:r>
    </w:p>
    <w:p>
      <w:pPr>
        <w:pStyle w:val="Point1"/>
        <w:rPr>
          <w:noProof/>
        </w:rPr>
      </w:pPr>
      <w:r>
        <w:rPr>
          <w:noProof/>
        </w:rPr>
        <w:t>1.</w:t>
      </w:r>
      <w:r>
        <w:rPr>
          <w:noProof/>
        </w:rPr>
        <w:tab/>
        <w:t>Адрес на пребиваване. Ако въз основата на документални доказателства предоставящата информация финансова институция съхранява в своите регистри настоящия адрес на пребиваване на титуляря на сметка на физическо лице, тя може да го третира като местно лице за данъчни цели на държавата членка или друга юрисдикция, в която се намира адресът, за да се определи дали този титуляр на сметка на физическо лице е лице, за което се предоставя информация.</w:t>
      </w:r>
    </w:p>
    <w:p>
      <w:pPr>
        <w:pStyle w:val="Point1"/>
        <w:rPr>
          <w:noProof/>
        </w:rPr>
      </w:pPr>
      <w:r>
        <w:rPr>
          <w:noProof/>
        </w:rPr>
        <w:t>2.</w:t>
      </w:r>
      <w:r>
        <w:rPr>
          <w:noProof/>
        </w:rPr>
        <w:tab/>
        <w:t>Търсене в електронните записи. Ако въз основа на документалните доказателства, посочени в точка Б.1, предоставящата информация финансова институция не използва адреса на пребиваване на титуляря на сметка на физическо лице, тя трябва да прегледа поддържаните от нея електронни записи, в които е възможно търсене, за която и да е от следните индикации, като се прилагат точки Б.3 — Б.6:</w:t>
      </w:r>
    </w:p>
    <w:p>
      <w:pPr>
        <w:pStyle w:val="Point2"/>
        <w:rPr>
          <w:noProof/>
        </w:rPr>
      </w:pPr>
      <w:r>
        <w:rPr>
          <w:noProof/>
        </w:rPr>
        <w:t>а)</w:t>
      </w:r>
      <w:r>
        <w:rPr>
          <w:noProof/>
        </w:rPr>
        <w:tab/>
        <w:t>идентификация на титуляря на сметката като местно лице на държава членка;</w:t>
      </w:r>
    </w:p>
    <w:p>
      <w:pPr>
        <w:pStyle w:val="Point2"/>
        <w:rPr>
          <w:noProof/>
        </w:rPr>
      </w:pPr>
      <w:r>
        <w:rPr>
          <w:noProof/>
        </w:rPr>
        <w:t>б)</w:t>
      </w:r>
      <w:r>
        <w:rPr>
          <w:noProof/>
        </w:rPr>
        <w:tab/>
        <w:t>настоящ пощенски адрес или адрес на пребиваване (включително пощенска кутия) в държава членка;</w:t>
      </w:r>
    </w:p>
    <w:p>
      <w:pPr>
        <w:pStyle w:val="Point2"/>
        <w:rPr>
          <w:noProof/>
        </w:rPr>
      </w:pPr>
      <w:r>
        <w:rPr>
          <w:noProof/>
        </w:rPr>
        <w:t>в)</w:t>
      </w:r>
      <w:r>
        <w:rPr>
          <w:noProof/>
        </w:rPr>
        <w:tab/>
        <w:t>наличие на един или повече телефонни номера в държава членка и липса на телефонен номер в държавата членка на предоставящата информация финансова институция;</w:t>
      </w:r>
    </w:p>
    <w:p>
      <w:pPr>
        <w:pStyle w:val="Point2"/>
        <w:rPr>
          <w:noProof/>
        </w:rPr>
      </w:pPr>
      <w:r>
        <w:rPr>
          <w:noProof/>
        </w:rPr>
        <w:t>г)</w:t>
      </w:r>
      <w:r>
        <w:rPr>
          <w:noProof/>
        </w:rPr>
        <w:tab/>
        <w:t>постоянни инструкции (освен по отношение на депозитна сметка) за прехвърляне на средства по сметка, поддържана в държава членка;</w:t>
      </w:r>
    </w:p>
    <w:p>
      <w:pPr>
        <w:pStyle w:val="Point2"/>
        <w:rPr>
          <w:noProof/>
        </w:rPr>
      </w:pPr>
      <w:r>
        <w:rPr>
          <w:noProof/>
        </w:rPr>
        <w:t>д)</w:t>
      </w:r>
      <w:r>
        <w:rPr>
          <w:noProof/>
        </w:rPr>
        <w:tab/>
        <w:t>действащо в момента пълномощно или пълномощно за подписване, предоставено на лице с адрес в държава членка; или</w:t>
      </w:r>
    </w:p>
    <w:p>
      <w:pPr>
        <w:pStyle w:val="Point2"/>
        <w:rPr>
          <w:noProof/>
        </w:rPr>
      </w:pPr>
      <w:r>
        <w:rPr>
          <w:noProof/>
        </w:rPr>
        <w:t>е)</w:t>
      </w:r>
      <w:r>
        <w:rPr>
          <w:noProof/>
        </w:rPr>
        <w:tab/>
        <w:t>пощенски адрес с указание „на вниманието на“ или „при поискване“ в държава членка, ако предоставящата информация финансова институция не разполага в досието си с никакъв друг адрес на титуляря на сметката.</w:t>
      </w:r>
    </w:p>
    <w:p>
      <w:pPr>
        <w:pStyle w:val="Point1"/>
        <w:rPr>
          <w:noProof/>
        </w:rPr>
      </w:pPr>
      <w:r>
        <w:rPr>
          <w:noProof/>
        </w:rPr>
        <w:t>3.</w:t>
      </w:r>
      <w:r>
        <w:rPr>
          <w:noProof/>
        </w:rPr>
        <w:tab/>
        <w:t>Ако нито една от индикациите, изброени в точка Б.2, не е открита при електронното търсене, не е необходимо да се предприемат по-нататъшни действия, докато не настъпи промяна в обстоятелствата, която да доведе до появата на една или повече индикации, свързани със сметката, или сметката стане сметка на голяма стойност.</w:t>
      </w:r>
    </w:p>
    <w:p>
      <w:pPr>
        <w:pStyle w:val="Point1"/>
        <w:rPr>
          <w:noProof/>
        </w:rPr>
      </w:pPr>
      <w:r>
        <w:rPr>
          <w:noProof/>
        </w:rPr>
        <w:t>4.</w:t>
      </w:r>
      <w:r>
        <w:rPr>
          <w:noProof/>
        </w:rPr>
        <w:tab/>
        <w:t>Ако някоя от индикациите, изброени в, точка Б.2, букви а)</w:t>
      </w:r>
      <w:r>
        <w:rPr>
          <w:noProof/>
          <w:lang w:val="en-IE"/>
        </w:rPr>
        <w:t> </w:t>
      </w:r>
      <w:r>
        <w:rPr>
          <w:noProof/>
        </w:rPr>
        <w:t>—</w:t>
      </w:r>
      <w:r>
        <w:rPr>
          <w:noProof/>
          <w:lang w:val="en-IE"/>
        </w:rPr>
        <w:t> </w:t>
      </w:r>
      <w:r>
        <w:rPr>
          <w:noProof/>
        </w:rPr>
        <w:t>д), бъде открита при електронното търсене или ако има промяна в обстоятелствата, която води до появата на една или повече индикации, свързани със сметката, предоставящата информация финансова институция трябва да третира титуляря на сметката като местно лице за данъчни цели на всяка държава членка, за която е установена някаква индикация, освен ако тя избере да прилага точка Б.6 и едно от изключенията в тази точка се прилага по отношение на сметката.</w:t>
      </w:r>
    </w:p>
    <w:p>
      <w:pPr>
        <w:pStyle w:val="Point1"/>
        <w:rPr>
          <w:noProof/>
        </w:rPr>
      </w:pPr>
      <w:r>
        <w:rPr>
          <w:noProof/>
        </w:rPr>
        <w:t>5.</w:t>
      </w:r>
      <w:r>
        <w:rPr>
          <w:noProof/>
        </w:rPr>
        <w:tab/>
        <w:t>Когато при електронното търсене се открие пощенски адрес с указание „на вниманието на“ или „при поискване“ и няма друг адрес и нито една от другите индикации, изброени в точка Б.2, букви а)</w:t>
      </w:r>
      <w:r>
        <w:rPr>
          <w:noProof/>
          <w:lang w:val="en-GB"/>
        </w:rPr>
        <w:t> </w:t>
      </w:r>
      <w:r>
        <w:rPr>
          <w:noProof/>
        </w:rPr>
        <w:t>—</w:t>
      </w:r>
      <w:r>
        <w:rPr>
          <w:noProof/>
          <w:lang w:val="en-IE"/>
        </w:rPr>
        <w:t> </w:t>
      </w:r>
      <w:r>
        <w:rPr>
          <w:noProof/>
        </w:rPr>
        <w:t>д), не се установи за титуляря на сметката, предоставящата информация финансова институция трябва по най-подходящия според обстоятелствата начин да осъществи търсене в досието на хартиен носител, както е предвидено в точка В.2, или да се опита да получи от титуляря на сметката декларация или документални доказателства, за да се установи къде е местно лице за данъчни цели. Ако търсенето в досието не позволи да се установи някаква индикация и опитът да се получи декларация или документални доказателства е неуспешен, предоставящата информация финансова институция трябва да представи информация за сметката на компетентния орган на своята държава членка като при недокументирана сметка.</w:t>
      </w:r>
    </w:p>
    <w:p>
      <w:pPr>
        <w:pStyle w:val="Point1"/>
        <w:rPr>
          <w:noProof/>
        </w:rPr>
      </w:pPr>
      <w:r>
        <w:rPr>
          <w:noProof/>
        </w:rPr>
        <w:t>6.</w:t>
      </w:r>
      <w:r>
        <w:rPr>
          <w:noProof/>
        </w:rPr>
        <w:tab/>
        <w:t>Независимо от откриването на индикации съгласно точка Б.2, предоставящата информация финансова институция не е длъжна да третира титуляря на сметка като местно лице на държава членка:</w:t>
      </w:r>
    </w:p>
    <w:p>
      <w:pPr>
        <w:pStyle w:val="Point2"/>
        <w:rPr>
          <w:noProof/>
        </w:rPr>
      </w:pPr>
      <w:r>
        <w:rPr>
          <w:noProof/>
        </w:rPr>
        <w:t>а)</w:t>
      </w:r>
      <w:r>
        <w:rPr>
          <w:noProof/>
        </w:rPr>
        <w:tab/>
        <w:t>когато информацията за титуляря на сметката съдържа настоящ пощенски адрес или настоящ адрес на пребиваване в тази държава членка, един или повече телефонни номера в тази държава членка (и липса на телефонен номер в държавата членка на предоставящата информация финансова институция) или постоянни инструкции (по отношение на финансовите сметки, различни от депозитни сметки) за прехвърляне на средства по сметка, поддържана в държава членка, предоставящата информация финансова институция получи или е прегледала по-рано и поддържа запис за:</w:t>
      </w:r>
    </w:p>
    <w:p>
      <w:pPr>
        <w:pStyle w:val="Point3"/>
        <w:rPr>
          <w:noProof/>
        </w:rPr>
      </w:pPr>
      <w:r>
        <w:rPr>
          <w:noProof/>
        </w:rPr>
        <w:t>i)</w:t>
      </w:r>
      <w:r>
        <w:rPr>
          <w:noProof/>
        </w:rPr>
        <w:tab/>
        <w:t>декларация от титуляря на сметката в държавата членка (държавите членки) или друга(и) юрисдикция (юрисдикции), на която титулярят на сметката е местно лице и която не включва тази държава членка; както и</w:t>
      </w:r>
    </w:p>
    <w:p>
      <w:pPr>
        <w:pStyle w:val="Point3"/>
        <w:rPr>
          <w:noProof/>
        </w:rPr>
      </w:pPr>
      <w:r>
        <w:rPr>
          <w:noProof/>
        </w:rPr>
        <w:t>ii)</w:t>
      </w:r>
      <w:r>
        <w:rPr>
          <w:noProof/>
        </w:rPr>
        <w:tab/>
        <w:t>документални доказателства, че титулярят на сметката е лице, за което не се предоставя информация;</w:t>
      </w:r>
    </w:p>
    <w:p>
      <w:pPr>
        <w:pStyle w:val="Point2"/>
        <w:rPr>
          <w:noProof/>
        </w:rPr>
      </w:pPr>
      <w:r>
        <w:rPr>
          <w:noProof/>
        </w:rPr>
        <w:t>б)</w:t>
      </w:r>
      <w:r>
        <w:rPr>
          <w:noProof/>
        </w:rPr>
        <w:tab/>
        <w:t>когато информацията за титуляря на сметката съдържа действащо пълномощно или пълномощно за подписване, предоставено на лице с адрес в тази държава членка, предоставящата информация финансова институция получи или е прегледала по-рано и поддържа запис за:</w:t>
      </w:r>
    </w:p>
    <w:p>
      <w:pPr>
        <w:pStyle w:val="Point3"/>
        <w:rPr>
          <w:noProof/>
        </w:rPr>
      </w:pPr>
      <w:r>
        <w:rPr>
          <w:noProof/>
        </w:rPr>
        <w:t>i)</w:t>
      </w:r>
      <w:r>
        <w:rPr>
          <w:noProof/>
        </w:rPr>
        <w:tab/>
        <w:t>декларация от титуляря на сметката в държавата членка (държавите членки) или друга(и) юрисдикция (юрисдикции), на която титулярят на сметката е местно лице и която не включва тази държава членка; както и</w:t>
      </w:r>
    </w:p>
    <w:p>
      <w:pPr>
        <w:pStyle w:val="Point3"/>
        <w:rPr>
          <w:noProof/>
        </w:rPr>
      </w:pPr>
      <w:r>
        <w:rPr>
          <w:noProof/>
        </w:rPr>
        <w:t>ii)</w:t>
      </w:r>
      <w:r>
        <w:rPr>
          <w:noProof/>
        </w:rPr>
        <w:tab/>
        <w:t>документални доказателства че титулярят на сметката е лице, за което не се предоставя информация.</w:t>
      </w:r>
    </w:p>
    <w:p>
      <w:pPr>
        <w:pStyle w:val="Point0"/>
        <w:rPr>
          <w:noProof/>
        </w:rPr>
      </w:pPr>
      <w:r>
        <w:rPr>
          <w:noProof/>
        </w:rPr>
        <w:t>В.</w:t>
      </w:r>
      <w:r>
        <w:rPr>
          <w:noProof/>
        </w:rPr>
        <w:tab/>
        <w:t>Засилени процедури за преглед на сметки на голяма стойност. По отношение на сметките на висока стойност се прилагат следните засилени процедури за преглед.</w:t>
      </w:r>
    </w:p>
    <w:p>
      <w:pPr>
        <w:pStyle w:val="Point1"/>
        <w:rPr>
          <w:noProof/>
        </w:rPr>
      </w:pPr>
      <w:r>
        <w:rPr>
          <w:noProof/>
        </w:rPr>
        <w:t>1.</w:t>
      </w:r>
      <w:r>
        <w:rPr>
          <w:noProof/>
        </w:rPr>
        <w:tab/>
        <w:t>Търсене в електронните записи. По отношение на сметките на голяма стойност предоставящата информация финансова институция трябва да прегледа поддържаните от нея електронни записи, в които е възможно търсене, за всяка от индикациите, описани в точка Б.2.</w:t>
      </w:r>
    </w:p>
    <w:p>
      <w:pPr>
        <w:pStyle w:val="Point1"/>
        <w:rPr>
          <w:noProof/>
        </w:rPr>
      </w:pPr>
      <w:r>
        <w:rPr>
          <w:noProof/>
        </w:rPr>
        <w:t>2.</w:t>
      </w:r>
      <w:r>
        <w:rPr>
          <w:noProof/>
        </w:rPr>
        <w:tab/>
        <w:t>Търсене в досието на хартиен носител. Ако електронните бази данни на предоставящата информация финансова институция, в които е възможно търсене, съдържат полета и обхващат цялата информация, описана в точка В.3, тогава не е необходимо последващо търсене в досието на хартиен носител. Ако електронните бази данни не обхващат цялата информация, тогава по отношение на сметката на голяма стойност предоставящата информация финансова институция трябва също да прегледа съществуващото главно досие на клиента и, доколкото не са включени в него, следните документи, свързани със сметката и събрани от предоставящата информация финансова институция през последните пет години, за някоя от индикациите, описани в точка Б.2:</w:t>
      </w:r>
    </w:p>
    <w:p>
      <w:pPr>
        <w:pStyle w:val="Point2"/>
        <w:rPr>
          <w:noProof/>
        </w:rPr>
      </w:pPr>
      <w:r>
        <w:rPr>
          <w:noProof/>
        </w:rPr>
        <w:t>а)</w:t>
      </w:r>
      <w:r>
        <w:rPr>
          <w:noProof/>
        </w:rPr>
        <w:tab/>
        <w:t>последното документално доказателство, събрано във връзка със сметката;</w:t>
      </w:r>
    </w:p>
    <w:p>
      <w:pPr>
        <w:pStyle w:val="Point2"/>
        <w:rPr>
          <w:noProof/>
        </w:rPr>
      </w:pPr>
      <w:r>
        <w:rPr>
          <w:noProof/>
        </w:rPr>
        <w:t>б)</w:t>
      </w:r>
      <w:r>
        <w:rPr>
          <w:noProof/>
        </w:rPr>
        <w:tab/>
        <w:t>последния договор за откриване на сметка или документация;</w:t>
      </w:r>
    </w:p>
    <w:p>
      <w:pPr>
        <w:pStyle w:val="Point2"/>
        <w:rPr>
          <w:noProof/>
        </w:rPr>
      </w:pPr>
      <w:r>
        <w:rPr>
          <w:noProof/>
        </w:rPr>
        <w:t>в)</w:t>
      </w:r>
      <w:r>
        <w:rPr>
          <w:noProof/>
        </w:rPr>
        <w:tab/>
        <w:t>последната документация, събрана от предоставящата информация финансова институция съгласно процедурите AML/KYC („Anti-money laundering/Know your customer“ — „Борба с изпирането на пари/Познаване на клиента“) или за други регулаторни цели;</w:t>
      </w:r>
    </w:p>
    <w:p>
      <w:pPr>
        <w:pStyle w:val="Point2"/>
        <w:rPr>
          <w:noProof/>
        </w:rPr>
      </w:pPr>
      <w:r>
        <w:rPr>
          <w:noProof/>
        </w:rPr>
        <w:t>г)</w:t>
      </w:r>
      <w:r>
        <w:rPr>
          <w:noProof/>
        </w:rPr>
        <w:tab/>
        <w:t>всякакви форми за пълномощно или пълномощно за подписване, действащи към момента; и</w:t>
      </w:r>
    </w:p>
    <w:p>
      <w:pPr>
        <w:pStyle w:val="Point2"/>
        <w:rPr>
          <w:noProof/>
        </w:rPr>
      </w:pPr>
      <w:r>
        <w:rPr>
          <w:noProof/>
        </w:rPr>
        <w:t>д)</w:t>
      </w:r>
      <w:r>
        <w:rPr>
          <w:noProof/>
        </w:rPr>
        <w:tab/>
        <w:t>всяка постоянна инструкция (освен за депозитна сметка) за превод на средства, действаща към момента.</w:t>
      </w:r>
    </w:p>
    <w:p>
      <w:pPr>
        <w:pStyle w:val="Point1"/>
        <w:rPr>
          <w:noProof/>
        </w:rPr>
      </w:pPr>
      <w:r>
        <w:rPr>
          <w:noProof/>
        </w:rPr>
        <w:t>3.</w:t>
      </w:r>
      <w:r>
        <w:rPr>
          <w:noProof/>
        </w:rPr>
        <w:tab/>
        <w:t>Изключение, когато базите данни съдържат достатъчно информация. Предоставящата информация финансова институция не е длъжна да извършва търсене в досието на хартиен носител, описано в точка В.2, ако нейната електронна информация включва следното:</w:t>
      </w:r>
    </w:p>
    <w:p>
      <w:pPr>
        <w:pStyle w:val="Point2"/>
        <w:rPr>
          <w:noProof/>
        </w:rPr>
      </w:pPr>
      <w:r>
        <w:rPr>
          <w:noProof/>
        </w:rPr>
        <w:t>а)</w:t>
      </w:r>
      <w:r>
        <w:rPr>
          <w:noProof/>
        </w:rPr>
        <w:tab/>
        <w:t>статуса на титуляря на сметката по отношение на това къде е местно лице;</w:t>
      </w:r>
    </w:p>
    <w:p>
      <w:pPr>
        <w:pStyle w:val="Point2"/>
        <w:rPr>
          <w:noProof/>
        </w:rPr>
      </w:pPr>
      <w:r>
        <w:rPr>
          <w:noProof/>
        </w:rPr>
        <w:t>б)</w:t>
      </w:r>
      <w:r>
        <w:rPr>
          <w:noProof/>
        </w:rPr>
        <w:tab/>
        <w:t>адреса на пребиваване и пощенския адрес на титуляря на сметката, които понастоящем са в досието на предоставящата информация финансова институция;</w:t>
      </w:r>
    </w:p>
    <w:p>
      <w:pPr>
        <w:pStyle w:val="Point2"/>
        <w:rPr>
          <w:noProof/>
        </w:rPr>
      </w:pPr>
      <w:r>
        <w:rPr>
          <w:noProof/>
        </w:rPr>
        <w:t>в)</w:t>
      </w:r>
      <w:r>
        <w:rPr>
          <w:noProof/>
        </w:rPr>
        <w:tab/>
        <w:t>телефонния (телефонните) номер(а) на титуляря на сметката, които понастоящем са в досието на предоставящата информация финансова институция, ако има такива;</w:t>
      </w:r>
    </w:p>
    <w:p>
      <w:pPr>
        <w:pStyle w:val="Point2"/>
        <w:rPr>
          <w:noProof/>
        </w:rPr>
      </w:pPr>
      <w:r>
        <w:rPr>
          <w:noProof/>
        </w:rPr>
        <w:t>г)</w:t>
      </w:r>
      <w:r>
        <w:rPr>
          <w:noProof/>
        </w:rPr>
        <w:tab/>
        <w:t>в случай на финансови сметки, различни от депозитни сметки, дали има постоянни инструкции за прехвърляне на средства от сметката към друга сметка (включително сметка в друг клон на предоставящата информация финансова институция или друга финансова институция);</w:t>
      </w:r>
    </w:p>
    <w:p>
      <w:pPr>
        <w:pStyle w:val="Point2"/>
        <w:rPr>
          <w:noProof/>
        </w:rPr>
      </w:pPr>
      <w:r>
        <w:rPr>
          <w:noProof/>
        </w:rPr>
        <w:t>д)</w:t>
      </w:r>
      <w:r>
        <w:rPr>
          <w:noProof/>
        </w:rPr>
        <w:tab/>
        <w:t>дали има настоящи пощенски адреси с указание „на вниманието на“ или „при поискване“ за титуляря на сметката; както и</w:t>
      </w:r>
    </w:p>
    <w:p>
      <w:pPr>
        <w:pStyle w:val="Point2"/>
        <w:rPr>
          <w:noProof/>
        </w:rPr>
      </w:pPr>
      <w:r>
        <w:rPr>
          <w:noProof/>
        </w:rPr>
        <w:t>е)</w:t>
      </w:r>
      <w:r>
        <w:rPr>
          <w:noProof/>
        </w:rPr>
        <w:tab/>
        <w:t>дали има пълномощно или пълномощно за подписване за сметката.</w:t>
      </w:r>
    </w:p>
    <w:p>
      <w:pPr>
        <w:pStyle w:val="Point1"/>
        <w:rPr>
          <w:noProof/>
        </w:rPr>
      </w:pPr>
      <w:r>
        <w:rPr>
          <w:noProof/>
        </w:rPr>
        <w:t>4.</w:t>
      </w:r>
      <w:r>
        <w:rPr>
          <w:noProof/>
        </w:rPr>
        <w:tab/>
        <w:t>Проверка от отговорния служител за връзка с клиента на действителното положение. В допълнение към електронното търсене и търсенето в досието на хартиен носител, описани в точки В.1 и В.2, предоставящата информация финансова институция трябва да третира като сметка, за която се предоставя информация, всяка сметка на голяма стойност, която е възложена на отговорния служител за връзка с клиента (включително всички финансови сметки, които се събират с тази сметка на голяма стойност), ако отговорният служител за връзка с клиента знае, че титулярят на сметката е лице, за което се предоставя информация.</w:t>
      </w:r>
    </w:p>
    <w:p>
      <w:pPr>
        <w:pStyle w:val="Point1"/>
        <w:rPr>
          <w:noProof/>
        </w:rPr>
      </w:pPr>
      <w:r>
        <w:rPr>
          <w:noProof/>
        </w:rPr>
        <w:t>5.</w:t>
      </w:r>
      <w:r>
        <w:rPr>
          <w:noProof/>
        </w:rPr>
        <w:tab/>
        <w:t>Последици от откриването на индикации.</w:t>
      </w:r>
    </w:p>
    <w:p>
      <w:pPr>
        <w:pStyle w:val="Point2"/>
        <w:rPr>
          <w:noProof/>
        </w:rPr>
      </w:pPr>
      <w:r>
        <w:rPr>
          <w:noProof/>
        </w:rPr>
        <w:t>а)</w:t>
      </w:r>
      <w:r>
        <w:rPr>
          <w:noProof/>
        </w:rPr>
        <w:tab/>
        <w:t>Ако никоя от индикациите, изброени в точка Б.2, не бъде открита при засилените процедури за преглед на сметки на голяма стойност, описани в точка В, и не е установено, че сметката е държана от лице, за което се предоставя информация съгласно точка В.4, тогава не се налагат последващи действия, докато не настъпи промяна в обстоятелствата, в резултат на която една или повече индикации се свързват със сметката.</w:t>
      </w:r>
    </w:p>
    <w:p>
      <w:pPr>
        <w:pStyle w:val="Point2"/>
        <w:rPr>
          <w:noProof/>
        </w:rPr>
      </w:pPr>
      <w:r>
        <w:rPr>
          <w:noProof/>
        </w:rPr>
        <w:t>б)</w:t>
      </w:r>
      <w:r>
        <w:rPr>
          <w:noProof/>
        </w:rPr>
        <w:tab/>
        <w:t>Ако някоя от индикациите, изброени в точка Б.2, букви а)</w:t>
      </w:r>
      <w:r>
        <w:rPr>
          <w:noProof/>
          <w:lang w:val="en-IE"/>
        </w:rPr>
        <w:t> </w:t>
      </w:r>
      <w:r>
        <w:rPr>
          <w:noProof/>
        </w:rPr>
        <w:t>—</w:t>
      </w:r>
      <w:r>
        <w:rPr>
          <w:noProof/>
          <w:lang w:val="en-IE"/>
        </w:rPr>
        <w:t> </w:t>
      </w:r>
      <w:r>
        <w:rPr>
          <w:noProof/>
        </w:rPr>
        <w:t>д), бъде открита при засилените процедури за преглед на сметки на голяма стойност, описани в точка В, или има последваща промяна в обстоятелствата, в резултат на която една или повече индикации се свързват със сметката, предоставящата информация финансова институция трябва да третира сметката като сметка, за която се предоставя информация, по отношение на всяка държава членка, за която е установена някаква индикация, освен ако избере да приложи точка Б.6 и едно от изключенията по тази буква се прилага по отношение за тази сметка.</w:t>
      </w:r>
    </w:p>
    <w:p>
      <w:pPr>
        <w:pStyle w:val="Point2"/>
        <w:rPr>
          <w:noProof/>
        </w:rPr>
      </w:pPr>
      <w:r>
        <w:rPr>
          <w:noProof/>
        </w:rPr>
        <w:t>в)</w:t>
      </w:r>
      <w:r>
        <w:rPr>
          <w:noProof/>
        </w:rPr>
        <w:tab/>
        <w:t>Ако пощенски адрес с указание „при поискване“ или „на вниманието на“ бъде открит при засилените процедури за преглед на сметки на голяма стойност, описани в точка В, и няма друг адрес и нито една от другите индикации, изброени в точка Б.2, букви</w:t>
      </w:r>
      <w:r>
        <w:rPr>
          <w:noProof/>
          <w:lang w:val="en-IE"/>
        </w:rPr>
        <w:t> </w:t>
      </w:r>
      <w:r>
        <w:rPr>
          <w:noProof/>
        </w:rPr>
        <w:t>а) </w:t>
      </w:r>
      <w:r>
        <w:rPr>
          <w:noProof/>
        </w:rPr>
        <w:noBreakHyphen/>
      </w:r>
      <w:r>
        <w:rPr>
          <w:noProof/>
          <w:lang w:val="en-IE"/>
        </w:rPr>
        <w:t> </w:t>
      </w:r>
      <w:r>
        <w:rPr>
          <w:noProof/>
        </w:rPr>
        <w:t>д),</w:t>
      </w:r>
      <w:r>
        <w:rPr>
          <w:noProof/>
          <w:lang w:val="en-IE"/>
        </w:rPr>
        <w:t> </w:t>
      </w:r>
      <w:r>
        <w:rPr>
          <w:noProof/>
        </w:rPr>
        <w:t>не бъде установена за титуляря на сметката, предоставящата информация финансова институция трябва да получи от него декларация или документални доказателства, за да се установи къде е местно лице за данъчни цели. Ако предоставящата информация финансова институция не може да получи декларация или документални доказателства, тя трябва да представи информация за сметката на компетентния орган на своята държава членка като при недокументирана сметка.</w:t>
      </w:r>
    </w:p>
    <w:p>
      <w:pPr>
        <w:pStyle w:val="Point1"/>
        <w:rPr>
          <w:noProof/>
        </w:rPr>
      </w:pPr>
      <w:r>
        <w:rPr>
          <w:noProof/>
        </w:rPr>
        <w:t>6.</w:t>
      </w:r>
      <w:r>
        <w:rPr>
          <w:noProof/>
        </w:rPr>
        <w:tab/>
        <w:t>Ако съществуваща сметка на физическо лице не е сметка на голяма стойност към 31 декември 2015 г., но стане сметка на голяма стойност към последния ден на следваща календарна година, предоставящата информация финансова институция трябва да приложи засилените процедури за преглед, описани в точка В, по отношение на сметката в рамките на календарната година след годината, през която сметката е станала сметка на голяма стойност. Ако въз основа на прегледа сметката бъде идентифицирана като сметка, за която се предоставя информация, предоставящата информация финансова институция трябва да предоставя на годишна база изискваната информация за такава сметка по отношение на годината, в която тя е била идентифицирана като сметка, за която се предоставя информация, и по отношение на следващите години, освен ако титулярят на сметката престане да бъде лице, за което се предоставя информация.</w:t>
      </w:r>
    </w:p>
    <w:p>
      <w:pPr>
        <w:pStyle w:val="Point1"/>
        <w:rPr>
          <w:noProof/>
        </w:rPr>
      </w:pPr>
      <w:r>
        <w:rPr>
          <w:noProof/>
        </w:rPr>
        <w:t>7.</w:t>
      </w:r>
      <w:r>
        <w:rPr>
          <w:noProof/>
        </w:rPr>
        <w:tab/>
        <w:t>Когато предоставящата информация финансова институция приложи засилените процедури за преглед, описани в точка В, към сметка на голяма стойност, през следващите години предоставящата информация финансова институция не е задължена да прилага към същата сметка на голяма стойност отново тези процедури, с изключение проверката от отговорния служител за връзка с клиента, описана в точка В.4, освен ако сметката е недокументирана, като в този случай предоставящата информация финансова институция следва да ги прилага отново всяка година, докато сметката престане да бъде недокументирана.</w:t>
      </w:r>
    </w:p>
    <w:p>
      <w:pPr>
        <w:pStyle w:val="Point1"/>
        <w:rPr>
          <w:noProof/>
        </w:rPr>
      </w:pPr>
      <w:r>
        <w:rPr>
          <w:noProof/>
        </w:rPr>
        <w:t>8.</w:t>
      </w:r>
      <w:r>
        <w:rPr>
          <w:noProof/>
        </w:rPr>
        <w:tab/>
        <w:t>Ако има промяна в обстоятелствата по отношение на сметка на голяма стойност, която води до свързването ѝ с една или повече индикации, описани в точка Б.2, предоставящата информация финансова институция трябва да третира сметката като сметка, за която се предоставя информация, по отношение на всяка държава членка, за която е установена някаква индикация, освен ако избере да прилага точка Б.6 и едно от изключенията по тази точка се прилага по отношение на сметката.</w:t>
      </w:r>
    </w:p>
    <w:p>
      <w:pPr>
        <w:pStyle w:val="Point1"/>
        <w:rPr>
          <w:noProof/>
        </w:rPr>
      </w:pPr>
      <w:r>
        <w:rPr>
          <w:noProof/>
        </w:rPr>
        <w:t>9.</w:t>
      </w:r>
      <w:r>
        <w:rPr>
          <w:noProof/>
        </w:rPr>
        <w:tab/>
        <w:t>Предоставящата информация финансова институция трябва да прилага процедури, които да гарантират, че служител за връзка с клиента установява всяка промяна в обстоятелствата на дадена сметка. Например, ако служителят за връзка с клиента е уведомен, че титулярят на сметката има нов пощенски адрес в държава членка, предоставящата информация финансова институция е длъжна да третира новия адрес като промяна в обстоятелствата и ако избере да прилага точка Б.6, да събере съответната документация от титуляря на сметката.</w:t>
      </w:r>
    </w:p>
    <w:p>
      <w:pPr>
        <w:pStyle w:val="Point0"/>
        <w:rPr>
          <w:noProof/>
        </w:rPr>
      </w:pPr>
      <w:r>
        <w:rPr>
          <w:noProof/>
        </w:rPr>
        <w:t>Г.</w:t>
      </w:r>
      <w:r>
        <w:rPr>
          <w:noProof/>
        </w:rPr>
        <w:tab/>
        <w:t>Всяка съществуваща сметка на физическо лице, която е идентифицирана като сметка, за която се предоставя информация по настоящия раздел, трябва да се третира като сметка, за която се предоставя информация, през всички следващи години, освен ако титулярят на сметката престане да бъде лице, за което се предоставя информация.</w:t>
      </w:r>
    </w:p>
    <w:p>
      <w:pPr>
        <w:pStyle w:val="SectionTitle"/>
        <w:rPr>
          <w:noProof/>
        </w:rPr>
      </w:pPr>
      <w:r>
        <w:rPr>
          <w:noProof/>
        </w:rPr>
        <w:t>РАЗДЕЛ IV</w:t>
      </w:r>
    </w:p>
    <w:p>
      <w:pPr>
        <w:pStyle w:val="SectionTitle"/>
        <w:rPr>
          <w:noProof/>
        </w:rPr>
      </w:pPr>
      <w:r>
        <w:rPr>
          <w:noProof/>
        </w:rPr>
        <w:t>КОМПЛЕКСНА ПРОВЕРКА ЗА НОВИ СМЕТКИ НА ФИЗИЧЕСКИ ЛИЦА</w:t>
      </w:r>
    </w:p>
    <w:p>
      <w:pPr>
        <w:rPr>
          <w:noProof/>
        </w:rPr>
      </w:pPr>
      <w:r>
        <w:rPr>
          <w:noProof/>
        </w:rPr>
        <w:t>За целите на идентифицирането на сметки, за които се предоставя информация, измежду нови сметки на физически лица се прилагат следните процедури:</w:t>
      </w:r>
    </w:p>
    <w:p>
      <w:pPr>
        <w:pStyle w:val="Point0"/>
        <w:rPr>
          <w:noProof/>
        </w:rPr>
      </w:pPr>
      <w:r>
        <w:rPr>
          <w:noProof/>
        </w:rPr>
        <w:t>А.</w:t>
      </w:r>
      <w:r>
        <w:rPr>
          <w:noProof/>
        </w:rPr>
        <w:tab/>
        <w:t>По отношение на нови сметки на физически лица, след откриването на сметката предоставящата информация финансова институция трябва да получи декларация, която може да бъде част от документацията за откриването на сметката и която позволява на предоставящата информация финансова институция да определи къде титулярят на сметката е местно лице за данъчни цели, и да потвърди достоверността на декларацията въз основа на информацията, получена от предоставящата информация финансова институция във връзка с откриването на сметката, включително всякаква документация, събрана в съответствие с AML/KYC процедурите.</w:t>
      </w:r>
    </w:p>
    <w:p>
      <w:pPr>
        <w:pStyle w:val="Point0"/>
        <w:rPr>
          <w:noProof/>
        </w:rPr>
      </w:pPr>
      <w:r>
        <w:rPr>
          <w:noProof/>
        </w:rPr>
        <w:t>Б.</w:t>
      </w:r>
      <w:r>
        <w:rPr>
          <w:noProof/>
        </w:rPr>
        <w:tab/>
        <w:t>Ако от декларацията се установи, че титулярят на сметката е местно лице за данъчни цели в дадена държава членка, предоставящата информация финансова институция трябва да третира сметката като сметка, за която се предоставя информация, а декларацията трябва да включва още данъчния номер на титуляря на сметката по отношение на държавата членка (съгласно раздел I, точка Г и датата на раждане.</w:t>
      </w:r>
    </w:p>
    <w:p>
      <w:pPr>
        <w:pStyle w:val="Point0"/>
        <w:rPr>
          <w:noProof/>
        </w:rPr>
      </w:pPr>
      <w:r>
        <w:rPr>
          <w:noProof/>
        </w:rPr>
        <w:t>В.</w:t>
      </w:r>
      <w:r>
        <w:rPr>
          <w:noProof/>
        </w:rPr>
        <w:tab/>
        <w:t>Ако има промяна в обстоятелствата по отношение на нова сметка на физическо лице, заради която предоставящата информация финансова институция знае или има причина да знае, че първоначалната декларация е невярна или ненадеждна, предоставящата информация финансова институция не може да използва първоначалната декларация и трябва да получи валидна декларация, която установява къде титулярят на сметката е местно лице за данъчни цели.</w:t>
      </w:r>
    </w:p>
    <w:p>
      <w:pPr>
        <w:pStyle w:val="SectionTitle"/>
        <w:rPr>
          <w:noProof/>
        </w:rPr>
      </w:pPr>
      <w:r>
        <w:rPr>
          <w:noProof/>
        </w:rPr>
        <w:t>РАЗДЕЛ V</w:t>
      </w:r>
    </w:p>
    <w:p>
      <w:pPr>
        <w:pStyle w:val="SectionTitle"/>
        <w:rPr>
          <w:noProof/>
        </w:rPr>
      </w:pPr>
      <w:r>
        <w:rPr>
          <w:noProof/>
        </w:rPr>
        <w:t>КОМПЛЕКСНА ПРОВЕРКА НА СЪЩЕСТВУВАЩИ СМЕТКИ НА ОБРАЗУВАНИЯ</w:t>
      </w:r>
    </w:p>
    <w:p>
      <w:pPr>
        <w:rPr>
          <w:noProof/>
        </w:rPr>
      </w:pPr>
      <w:r>
        <w:rPr>
          <w:noProof/>
        </w:rPr>
        <w:t>За целите на идентифицирането на сметки, за които се предоставя информация, измежду съществуващи сметки на образувания се прилагат следните процедури.</w:t>
      </w:r>
    </w:p>
    <w:p>
      <w:pPr>
        <w:pStyle w:val="Point0"/>
        <w:rPr>
          <w:noProof/>
        </w:rPr>
      </w:pPr>
      <w:r>
        <w:rPr>
          <w:noProof/>
        </w:rPr>
        <w:t>А.</w:t>
      </w:r>
      <w:r>
        <w:rPr>
          <w:noProof/>
        </w:rPr>
        <w:tab/>
        <w:t>Сметки на образувания, за които не се изисква да бъдат преглеждани, идентифицирани или да се предоставя информация. Освен ако предоставящата информация финансова институция избере друго, по отношение на всички съществуващи сметки на образувание или поотделно за всяка ясно определена група от такива сметки, съществуваща сметка на образувание със сумирана наличност или стойност, които към 31 декември 2015 г. не надвишават сума, деноминирана в националната валута на всяка държава членка, която съответства на 250</w:t>
      </w:r>
      <w:r>
        <w:rPr>
          <w:noProof/>
          <w:lang w:val="en-IE"/>
        </w:rPr>
        <w:t> </w:t>
      </w:r>
      <w:r>
        <w:rPr>
          <w:noProof/>
        </w:rPr>
        <w:t>000 USD не следва да бъде преглеждана, идентифицирана или съобщавана като сметка, за която се предоставя информация, докато нейната сумирана наличност или стойност не надвишат тази сума към последния ден на която и да е следваща календарна година.</w:t>
      </w:r>
    </w:p>
    <w:p>
      <w:pPr>
        <w:pStyle w:val="Point0"/>
        <w:rPr>
          <w:noProof/>
        </w:rPr>
      </w:pPr>
      <w:r>
        <w:rPr>
          <w:noProof/>
        </w:rPr>
        <w:t>Б.</w:t>
      </w:r>
      <w:r>
        <w:rPr>
          <w:noProof/>
        </w:rPr>
        <w:tab/>
        <w:t>Сметки на образувания, които следва да бъдат преглеждани. Съществуваща сметка на образувание със сумирана наличност или стойност, които към 31 декември 2015 г. надвишават сума, деноминирана в националната валута на всяка държава членка, която съответства на 250</w:t>
      </w:r>
      <w:r>
        <w:rPr>
          <w:noProof/>
          <w:lang w:val="en-IE"/>
        </w:rPr>
        <w:t> </w:t>
      </w:r>
      <w:r>
        <w:rPr>
          <w:noProof/>
        </w:rPr>
        <w:t>000 USD и съществуваща сметка на образувание, която не надхвърля тази сума към 31 декември 2015 г., но чиято сумирана наличност или стойност надвишават тази сума към последния ден на която и да е следваща календарна година, трябва да бъдат преглеждани в съответствие с процедурите, установени в точка Г.</w:t>
      </w:r>
    </w:p>
    <w:p>
      <w:pPr>
        <w:pStyle w:val="Point0"/>
        <w:rPr>
          <w:noProof/>
        </w:rPr>
      </w:pPr>
      <w:r>
        <w:rPr>
          <w:noProof/>
        </w:rPr>
        <w:t>В.</w:t>
      </w:r>
      <w:r>
        <w:rPr>
          <w:noProof/>
        </w:rPr>
        <w:tab/>
        <w:t>Сметки на образувания, за които се изисква предоставяне на информация. По отношение на съществуващи сметки на образувания, описани в точка Б, само сметки, които са държани от едно или повече образувания, които са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се третират като сметки, за които се предоставя информация.</w:t>
      </w:r>
    </w:p>
    <w:p>
      <w:pPr>
        <w:pStyle w:val="Point0"/>
        <w:rPr>
          <w:noProof/>
        </w:rPr>
      </w:pPr>
      <w:r>
        <w:rPr>
          <w:noProof/>
        </w:rPr>
        <w:t>Г.</w:t>
      </w:r>
      <w:r>
        <w:rPr>
          <w:noProof/>
        </w:rPr>
        <w:tab/>
        <w:t>Процедури за преглед с цел идентифициране на сметки на образувания, за които се изисква предоставяне на информация. За съществуващи сметки на образувания, описани в точка Б, предоставящата информация финансова институция трябва да приложи следните процедури за преглед, за да определи дали сметката е държана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w:t>
      </w:r>
    </w:p>
    <w:p>
      <w:pPr>
        <w:pStyle w:val="Point1"/>
        <w:rPr>
          <w:noProof/>
        </w:rPr>
      </w:pPr>
      <w:r>
        <w:rPr>
          <w:noProof/>
        </w:rPr>
        <w:t>1.</w:t>
      </w:r>
      <w:r>
        <w:rPr>
          <w:noProof/>
        </w:rPr>
        <w:tab/>
        <w:t>Определяне дали образуванието е лице, за което се предоставя информация.</w:t>
      </w:r>
    </w:p>
    <w:p>
      <w:pPr>
        <w:pStyle w:val="Point2"/>
        <w:rPr>
          <w:noProof/>
        </w:rPr>
      </w:pPr>
      <w:r>
        <w:rPr>
          <w:noProof/>
        </w:rPr>
        <w:t>а)</w:t>
      </w:r>
      <w:r>
        <w:rPr>
          <w:noProof/>
        </w:rPr>
        <w:tab/>
        <w:t>Преглед на информацията, поддържана за регулаторни цели или за връзка с клиента (включително информация, събрана съгласно AML/KYC процедурите), за да се определи дали информацията показва, че титулярят на сметката е местно лице на държава членка. За тази цел информацията, указваща, че титулярят на сметката е местно лице на държава членка, включва място на учредяване или създаване или адрес в държава членка.</w:t>
      </w:r>
    </w:p>
    <w:p>
      <w:pPr>
        <w:pStyle w:val="Point2"/>
        <w:rPr>
          <w:noProof/>
        </w:rPr>
      </w:pPr>
      <w:r>
        <w:rPr>
          <w:noProof/>
        </w:rPr>
        <w:t>б)</w:t>
      </w:r>
      <w:r>
        <w:rPr>
          <w:noProof/>
        </w:rPr>
        <w:tab/>
        <w:t>Ако информацията указва, че титулярят на сметката е местно лице на държава членка, предоставящата информация финансова институция трябва да третира сметката като сметка, за която се предоставя информация, освен ако получи декларация от титуляря на сметката или въз основа на информацията, с която разполага или е обществено достъпна, основателно определи, че титулярят на сметката не е лице, за което се предоставя информация.</w:t>
      </w:r>
    </w:p>
    <w:p>
      <w:pPr>
        <w:pStyle w:val="Point1"/>
        <w:rPr>
          <w:noProof/>
        </w:rPr>
      </w:pPr>
      <w:r>
        <w:rPr>
          <w:noProof/>
        </w:rPr>
        <w:t>2.</w:t>
      </w:r>
      <w:r>
        <w:rPr>
          <w:noProof/>
        </w:rPr>
        <w:tab/>
        <w:t>Определяне дали образуванието е пасивно нефинансово образувание с едно или повече контролиращи лица, които са лица, за които се предоставя информация. По отношение на титуляря на съществуваща сметка на образувание (включително образувание, което е лице, за което се предоставя информация) предоставящата информация финансова институция трябва да определи дали титулярят на сметката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точка, букви а)</w:t>
      </w:r>
      <w:r>
        <w:rPr>
          <w:noProof/>
          <w:lang w:val="en-IE"/>
        </w:rPr>
        <w:t> </w:t>
      </w:r>
      <w:r>
        <w:rPr>
          <w:noProof/>
        </w:rPr>
        <w:t>—</w:t>
      </w:r>
      <w:r>
        <w:rPr>
          <w:noProof/>
          <w:lang w:val="en-IE"/>
        </w:rPr>
        <w:t> </w:t>
      </w:r>
      <w:r>
        <w:rPr>
          <w:noProof/>
        </w:rPr>
        <w:t>в) по ред, който е най-подходящ съгласно обстоятелствата.</w:t>
      </w:r>
    </w:p>
    <w:p>
      <w:pPr>
        <w:pStyle w:val="Point2"/>
        <w:rPr>
          <w:noProof/>
        </w:rPr>
      </w:pPr>
      <w:r>
        <w:rPr>
          <w:noProof/>
        </w:rPr>
        <w:t>а)</w:t>
      </w:r>
      <w:r>
        <w:rPr>
          <w:noProof/>
        </w:rPr>
        <w:tab/>
        <w:t>Определяне дали титулярят на сметката е пасивно нефинансово образувание. За целите на определянето дали титулярят на сметката е пасивно нефинансово образувание предоставящата информация финансова институция трябва да получи декларация от титуляря на сметката, за да установи неговия статус, освен ако въз основа на информацията, с която разполага или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 образувание, описано в раздел VIII, точка А.6, буква б), което не е финансова институция на участваща юрисдикция.</w:t>
      </w:r>
    </w:p>
    <w:p>
      <w:pPr>
        <w:pStyle w:val="Point2"/>
        <w:rPr>
          <w:noProof/>
        </w:rPr>
      </w:pPr>
      <w:r>
        <w:rPr>
          <w:noProof/>
        </w:rPr>
        <w:t>б)</w:t>
      </w:r>
      <w:r>
        <w:rPr>
          <w:noProof/>
        </w:rPr>
        <w:tab/>
        <w:t>Определяне на контролиращите лица на титуляря на сметката. За целите на определянето на контролиращите лица на титуляря на сметката предоставящата информация финансова институция може да използва информацията, събрана и поддържана в съответствие с AML/KYC процедурите.</w:t>
      </w:r>
    </w:p>
    <w:p>
      <w:pPr>
        <w:pStyle w:val="Point2"/>
        <w:rPr>
          <w:noProof/>
        </w:rPr>
      </w:pPr>
      <w:r>
        <w:rPr>
          <w:noProof/>
        </w:rPr>
        <w:t>в)</w:t>
      </w:r>
      <w:r>
        <w:rPr>
          <w:noProof/>
        </w:rPr>
        <w:tab/>
        <w:t>Определяне дали контролиращо лице на пасивно нефинансово образувание е лице, за което се предоставя информация. За целите на определянето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w:t>
      </w:r>
    </w:p>
    <w:p>
      <w:pPr>
        <w:pStyle w:val="Point3"/>
        <w:rPr>
          <w:noProof/>
        </w:rPr>
      </w:pPr>
      <w:r>
        <w:rPr>
          <w:noProof/>
        </w:rPr>
        <w:t>i)</w:t>
      </w:r>
      <w:r>
        <w:rPr>
          <w:noProof/>
        </w:rPr>
        <w:tab/>
        <w:t>информацията, събрана и поддържана в съответствие с AML/KYC процедурите, в случаите на съществуваща сметка на образувание, държана от едно или повече нефинансови образувания, със сумирана наличност или стойност, които не надвишават сума, деноминирана в националната валута на всяка държава членка, която съответства на 1</w:t>
      </w:r>
      <w:r>
        <w:rPr>
          <w:noProof/>
          <w:lang w:val="en-IE"/>
        </w:rPr>
        <w:t> </w:t>
      </w:r>
      <w:r>
        <w:rPr>
          <w:noProof/>
        </w:rPr>
        <w:t>000</w:t>
      </w:r>
      <w:r>
        <w:rPr>
          <w:noProof/>
          <w:lang w:val="en-IE"/>
        </w:rPr>
        <w:t> </w:t>
      </w:r>
      <w:r>
        <w:rPr>
          <w:noProof/>
        </w:rPr>
        <w:t>000 USD; или</w:t>
      </w:r>
    </w:p>
    <w:p>
      <w:pPr>
        <w:pStyle w:val="Point3"/>
        <w:rPr>
          <w:noProof/>
        </w:rPr>
      </w:pPr>
      <w:r>
        <w:rPr>
          <w:noProof/>
        </w:rPr>
        <w:t>ii)</w:t>
      </w:r>
      <w:r>
        <w:rPr>
          <w:noProof/>
        </w:rPr>
        <w:tab/>
        <w:t>декларацията от титуляря на сметката или контролиращото лице в държавата членка (държавите членки) или друга юрисдикция (юрисдикции), на която контролиращото лице е местно лице за данъчни цели.</w:t>
      </w:r>
    </w:p>
    <w:p>
      <w:pPr>
        <w:pStyle w:val="Point0"/>
        <w:rPr>
          <w:noProof/>
        </w:rPr>
      </w:pPr>
      <w:r>
        <w:rPr>
          <w:noProof/>
        </w:rPr>
        <w:t>Д.</w:t>
      </w:r>
      <w:r>
        <w:rPr>
          <w:noProof/>
        </w:rPr>
        <w:tab/>
        <w:t>Срок на прегледа и допълнителни процедури, приложими към съществуващи сметки на образувания.</w:t>
      </w:r>
    </w:p>
    <w:p>
      <w:pPr>
        <w:pStyle w:val="Point1"/>
        <w:rPr>
          <w:noProof/>
        </w:rPr>
      </w:pPr>
      <w:r>
        <w:rPr>
          <w:noProof/>
        </w:rPr>
        <w:t>1.</w:t>
      </w:r>
      <w:r>
        <w:rPr>
          <w:noProof/>
        </w:rPr>
        <w:tab/>
        <w:t>Прегледът на съществуващи сметки на образувания със сумирана наличност или стойност на сметката, които към 31 декември 2015 г. не надвишават сума, деноминирана в националната валута на всяка държава членка, която съответства на 250</w:t>
      </w:r>
      <w:r>
        <w:rPr>
          <w:noProof/>
          <w:lang w:val="en-IE"/>
        </w:rPr>
        <w:t> </w:t>
      </w:r>
      <w:r>
        <w:rPr>
          <w:noProof/>
        </w:rPr>
        <w:t>000 USD но надвишават тази сума към 31 декември на следваща година, трябва да бъде приключен в рамките на календарната година, следваща годината, в която сумираната наличност или стойност на сметката надвишат тази сума.</w:t>
      </w:r>
    </w:p>
    <w:p>
      <w:pPr>
        <w:pStyle w:val="Point1"/>
        <w:rPr>
          <w:noProof/>
        </w:rPr>
      </w:pPr>
      <w:r>
        <w:rPr>
          <w:noProof/>
        </w:rPr>
        <w:t>2.</w:t>
      </w:r>
      <w:r>
        <w:rPr>
          <w:noProof/>
        </w:rPr>
        <w:tab/>
        <w:t>Ако има промяна в обстоятелствата по отношение на съществуваща сметка на образувание, вследствие на която предоставящата информация финансова институция знае или има причина да знае, че декларацията или друга документация, свързана със сметката, е неточна или ненадеждна, предоставящата информация финансова институция трябва да определи отново статуса на сметката в съответствие с процедурите, установени в точка Г.</w:t>
      </w:r>
    </w:p>
    <w:p>
      <w:pPr>
        <w:pStyle w:val="SectionTitle"/>
        <w:rPr>
          <w:noProof/>
        </w:rPr>
      </w:pPr>
      <w:r>
        <w:rPr>
          <w:noProof/>
        </w:rPr>
        <w:t>РАЗДЕЛ VI</w:t>
      </w:r>
    </w:p>
    <w:p>
      <w:pPr>
        <w:pStyle w:val="SectionTitle"/>
        <w:rPr>
          <w:noProof/>
        </w:rPr>
      </w:pPr>
      <w:r>
        <w:rPr>
          <w:noProof/>
        </w:rPr>
        <w:t>КОМПЛЕКСНА ПРОВЕРКА ЗА НОВИ СМЕТКИ НА ОБРАЗУВАНИЯ</w:t>
      </w:r>
    </w:p>
    <w:p>
      <w:pPr>
        <w:rPr>
          <w:noProof/>
        </w:rPr>
      </w:pPr>
      <w:r>
        <w:rPr>
          <w:noProof/>
        </w:rPr>
        <w:t>За целите на идентифицирането на сметките, за които се предоставя информация, измежду нови сметки на образувания се прилагат следните процедури.</w:t>
      </w:r>
    </w:p>
    <w:p>
      <w:pPr>
        <w:rPr>
          <w:noProof/>
        </w:rPr>
      </w:pPr>
      <w:r>
        <w:rPr>
          <w:noProof/>
        </w:rPr>
        <w:t>Процедури за преглед с цел идентифициране на сметки на образувания, за които се изисква предоставяне на информация. За нови сметки на образувания предоставящата информация финансова институция трябва да прилага следните процедури за преглед, за да се определи дали сметката се държи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w:t>
      </w:r>
    </w:p>
    <w:p>
      <w:pPr>
        <w:pStyle w:val="Point0"/>
        <w:rPr>
          <w:noProof/>
        </w:rPr>
      </w:pPr>
      <w:r>
        <w:rPr>
          <w:noProof/>
        </w:rPr>
        <w:t>1.</w:t>
      </w:r>
      <w:r>
        <w:rPr>
          <w:noProof/>
        </w:rPr>
        <w:tab/>
        <w:t>Определяне дали образуванието е лице, за което се предоставя информация.</w:t>
      </w:r>
    </w:p>
    <w:p>
      <w:pPr>
        <w:pStyle w:val="Point1"/>
        <w:rPr>
          <w:noProof/>
        </w:rPr>
      </w:pPr>
      <w:r>
        <w:rPr>
          <w:noProof/>
        </w:rPr>
        <w:t>а)</w:t>
      </w:r>
      <w:r>
        <w:rPr>
          <w:noProof/>
        </w:rPr>
        <w:tab/>
        <w:t>Получаване на декларация, която може да бъде част от документацията за откриване на сметката и която позволява на предоставящата информация финансова институция да определи къде титулярят на сметката е местно лице за данъчни цели, и потвърждаване на достоверността на тази декларация въз основа на информацията, получена от предоставящата информация финансова институция във връзка с откриването на сметката, включително всякаква документация, събрана в съответствие с AML/KYC процедурите. Ако образуванието удостовери, че не е местно лице за данъчни цели, предоставящата информация финансова институция може да използва адреса на централното управление на образуванието за определяне на това къде титулярят на сметката е местно лице.</w:t>
      </w:r>
    </w:p>
    <w:p>
      <w:pPr>
        <w:pStyle w:val="Point1"/>
        <w:rPr>
          <w:noProof/>
        </w:rPr>
      </w:pPr>
      <w:r>
        <w:rPr>
          <w:noProof/>
        </w:rPr>
        <w:t>б)</w:t>
      </w:r>
      <w:r>
        <w:rPr>
          <w:noProof/>
        </w:rPr>
        <w:tab/>
        <w:t>Ако декларацията указва, че титулярят на сметката е местно лице на държава членка, предоставящата информация финансова институция трябва да третира сметката като сметка, за която се предоставя информация, освен ако въз основа на информацията, с която разполага или е обществено достъпна, основателно определи, че титулярят на сметката не е лице, за което се предоставя информация, по отношение на тази държава членка.</w:t>
      </w:r>
    </w:p>
    <w:p>
      <w:pPr>
        <w:pStyle w:val="Point0"/>
        <w:rPr>
          <w:noProof/>
        </w:rPr>
      </w:pPr>
      <w:r>
        <w:rPr>
          <w:noProof/>
        </w:rPr>
        <w:t>2.</w:t>
      </w:r>
      <w:r>
        <w:rPr>
          <w:noProof/>
        </w:rPr>
        <w:tab/>
        <w:t>Определяне дали образуванието е пасивно нефинансово образувание с едно или повече контролиращи лица, които са лица, за които се предоставя информация. По отношение на титуляря на нова сметка на образувание (включително образувание, което е лице, за което се предоставя информация) предоставящата информация финансова институция трябва да определи дали титулярят на сметката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точка, букви а)</w:t>
      </w:r>
      <w:r>
        <w:rPr>
          <w:noProof/>
          <w:lang w:val="en-IE"/>
        </w:rPr>
        <w:t> </w:t>
      </w:r>
      <w:r>
        <w:rPr>
          <w:noProof/>
        </w:rPr>
        <w:t>—</w:t>
      </w:r>
      <w:r>
        <w:rPr>
          <w:noProof/>
          <w:lang w:val="en-IE"/>
        </w:rPr>
        <w:t> </w:t>
      </w:r>
      <w:r>
        <w:rPr>
          <w:noProof/>
        </w:rPr>
        <w:t>в) по ред, който е най-подходящ при дадените обстоятелства.</w:t>
      </w:r>
    </w:p>
    <w:p>
      <w:pPr>
        <w:pStyle w:val="Point1"/>
        <w:rPr>
          <w:noProof/>
        </w:rPr>
      </w:pPr>
      <w:r>
        <w:rPr>
          <w:noProof/>
        </w:rPr>
        <w:t>а)</w:t>
      </w:r>
      <w:r>
        <w:rPr>
          <w:noProof/>
        </w:rPr>
        <w:tab/>
        <w:t>Определяне дали титулярят на сметката е пасивно нефинансово образувание. За целите на определянето дали титулярят на сметката е пасивно нефинансово образувание предоставящата информация финансова институция трябва да използва декларация от титуляря на сметката, за да установи неговият статус, освен ако въз основа на информация, с която разполага или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 образувание, описано в раздел VIII, точка А.6, буква б), което не е финансова институция на участваща юрисдикция.</w:t>
      </w:r>
    </w:p>
    <w:p>
      <w:pPr>
        <w:pStyle w:val="Point1"/>
        <w:rPr>
          <w:noProof/>
        </w:rPr>
      </w:pPr>
      <w:r>
        <w:rPr>
          <w:noProof/>
        </w:rPr>
        <w:t>б)</w:t>
      </w:r>
      <w:r>
        <w:rPr>
          <w:noProof/>
        </w:rPr>
        <w:tab/>
        <w:t>Определяне на контролиращите лица на титуляря на сметката. За целите на определянето на контролиращите лица на титуляря на сметката предоставящата информация финансова институция може да използва информацията, събрана и поддържана в съответствие с AML/KYC процедурите.</w:t>
      </w:r>
    </w:p>
    <w:p>
      <w:pPr>
        <w:pStyle w:val="Point1"/>
        <w:rPr>
          <w:noProof/>
        </w:rPr>
      </w:pPr>
      <w:r>
        <w:rPr>
          <w:noProof/>
        </w:rPr>
        <w:t>в)</w:t>
      </w:r>
      <w:r>
        <w:rPr>
          <w:noProof/>
        </w:rPr>
        <w:tab/>
        <w:t>Определяне дали контролиращо лице на пасивно нефинансово образувание е лице, за което се предоставя информация. За целите на определянето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декларацията от страна на титуляря на сметката или на това контролиращо лице.</w:t>
      </w:r>
    </w:p>
    <w:p>
      <w:pPr>
        <w:pStyle w:val="SectionTitle"/>
        <w:rPr>
          <w:noProof/>
        </w:rPr>
      </w:pPr>
      <w:r>
        <w:rPr>
          <w:noProof/>
        </w:rPr>
        <w:t>РАЗДЕЛ VII</w:t>
      </w:r>
    </w:p>
    <w:p>
      <w:pPr>
        <w:pStyle w:val="SectionTitle"/>
        <w:rPr>
          <w:noProof/>
        </w:rPr>
      </w:pPr>
      <w:r>
        <w:rPr>
          <w:noProof/>
        </w:rPr>
        <w:t>СПЕЦИАЛНИ ПРАВИЛА ЗА КОМПЛЕКСНА ПРОВЕРКА</w:t>
      </w:r>
    </w:p>
    <w:p>
      <w:pPr>
        <w:rPr>
          <w:noProof/>
        </w:rPr>
      </w:pPr>
      <w:r>
        <w:rPr>
          <w:noProof/>
        </w:rPr>
        <w:t>При прилагане на процедурите за комплексна проверка, описани по-горе, се прилагат следните допълнителни правила:</w:t>
      </w:r>
    </w:p>
    <w:p>
      <w:pPr>
        <w:pStyle w:val="Point0"/>
        <w:rPr>
          <w:noProof/>
        </w:rPr>
      </w:pPr>
      <w:r>
        <w:rPr>
          <w:noProof/>
        </w:rPr>
        <w:t>А.</w:t>
      </w:r>
      <w:r>
        <w:rPr>
          <w:noProof/>
        </w:rPr>
        <w:tab/>
        <w:t>Основаване на лични декларации и документални доказателства. Предоставящата информация финансова институция не може да използва декларация или документални доказателства, ако знае или има причина да знае, че декларацията или документалните доказателства са неверни или ненадеждни.</w:t>
      </w:r>
    </w:p>
    <w:p>
      <w:pPr>
        <w:pStyle w:val="Point0"/>
        <w:rPr>
          <w:noProof/>
        </w:rPr>
      </w:pPr>
      <w:r>
        <w:rPr>
          <w:noProof/>
        </w:rPr>
        <w:t>Б.</w:t>
      </w:r>
      <w:r>
        <w:rPr>
          <w:noProof/>
        </w:rPr>
        <w:tab/>
        <w:t>Други процедури за финансови сметки, държани от физически лица бенефициери по застрахователен договор с откупна стойност или анюитетен договор и на групови застрахователни договори с откупна стойност или групови анюитетни договори. Предоставящата информация финансова институция може да предположи, че физическо лице бенефициер (различен от титуляря) по застрахователен договор с откупна стойност или анюитетен договор, който получава обезщетение при смърт, не е лице, за което се предоставя информация, и такава финансова сметка може да се третира като сметка, за която не се дължи предоставяне на информация, освен ако на предоставящата информация финансова институция в момента знае или има причина да знае, че бенефициерът е лице, за което се предоставя информация. Предоставящата информация финансова институция има причина да знае, че бенефициерът на застрахователен договор с откупна стойност или анюитетен договор е лице, за което се предоставя информация, ако събраната от нея информация, свързана с бенефициера, съдържа индикации, описани в раздел III, точка Б. Ако предоставящата информация финансова институция в момента знае или има причина да знае, че бенефициерът е лице, за което се предоставя информация, тя трябва да следва процедурите по раздел III, точка Б.</w:t>
      </w:r>
    </w:p>
    <w:p>
      <w:pPr>
        <w:pStyle w:val="Text1"/>
        <w:keepNext/>
        <w:rPr>
          <w:noProof/>
        </w:rPr>
      </w:pPr>
      <w:r>
        <w:rPr>
          <w:noProof/>
        </w:rPr>
        <w:t>Предоставящата информация финансова институция може да третира финансова сметка, която представлява участие на член в групов застрахователен договор с откупна стойност или в групов анюитетен договор, като финансова сметка, за която не се дължи предоставяне на информация, до датата, на която сумата е платима на служителя/притежателя на сертификата или бенефициера, ако финансовата сметка, която представлява участие на даден член в груповия застрахователен договор с откупна стойност или в груповия анюитетен договор, отговаря на следните изисквания:</w:t>
      </w:r>
    </w:p>
    <w:p>
      <w:pPr>
        <w:pStyle w:val="Point1"/>
        <w:rPr>
          <w:noProof/>
        </w:rPr>
      </w:pPr>
      <w:r>
        <w:rPr>
          <w:noProof/>
        </w:rPr>
        <w:t>i)</w:t>
      </w:r>
      <w:r>
        <w:rPr>
          <w:noProof/>
        </w:rPr>
        <w:tab/>
        <w:t>груповият застрахователен договор с откупна стойност или груповият анюитетен договор са издадени на работодателя и включват 25 или повече служители/притежатели на сертификати;</w:t>
      </w:r>
    </w:p>
    <w:p>
      <w:pPr>
        <w:pStyle w:val="Point1"/>
        <w:rPr>
          <w:noProof/>
        </w:rPr>
      </w:pPr>
      <w:r>
        <w:rPr>
          <w:noProof/>
        </w:rPr>
        <w:t>ii)</w:t>
      </w:r>
      <w:r>
        <w:rPr>
          <w:noProof/>
        </w:rPr>
        <w:tab/>
        <w:t>служителят/притежателят на сертификата има право да получи каквато и да е стойност от договора, свързана с неговото участие, и да посочи бенефициерите за изплащане на обезщетението при смърт на служителя; както и</w:t>
      </w:r>
    </w:p>
    <w:p>
      <w:pPr>
        <w:pStyle w:val="Point1"/>
        <w:rPr>
          <w:noProof/>
        </w:rPr>
      </w:pPr>
      <w:r>
        <w:rPr>
          <w:noProof/>
        </w:rPr>
        <w:t>iii)</w:t>
      </w:r>
      <w:r>
        <w:rPr>
          <w:noProof/>
        </w:rPr>
        <w:tab/>
        <w:t>сумата, платима на служителя/притежателя на сертификата или бенефициера, не надвишава сума, деноминирана в националната валута на всяка държава членка, която съответства на 1</w:t>
      </w:r>
      <w:r>
        <w:rPr>
          <w:noProof/>
          <w:lang w:val="en-IE"/>
        </w:rPr>
        <w:t> </w:t>
      </w:r>
      <w:r>
        <w:rPr>
          <w:noProof/>
        </w:rPr>
        <w:t>000</w:t>
      </w:r>
      <w:r>
        <w:rPr>
          <w:noProof/>
          <w:lang w:val="en-IE"/>
        </w:rPr>
        <w:t> </w:t>
      </w:r>
      <w:r>
        <w:rPr>
          <w:noProof/>
        </w:rPr>
        <w:t>000 USD.</w:t>
      </w:r>
    </w:p>
    <w:p>
      <w:pPr>
        <w:pStyle w:val="Text1"/>
        <w:rPr>
          <w:noProof/>
        </w:rPr>
      </w:pPr>
      <w:r>
        <w:rPr>
          <w:noProof/>
        </w:rPr>
        <w:t>Понятието „групов застрахователен договор с откупна стойност“ означава групов застрахователен договор с откупна стойност, който: i) осигурява покритие на физически лица, които са свързани чрез работодател, търговско сдружение, синдикална организация или друго сдружение или група; ii)</w:t>
      </w:r>
      <w:r>
        <w:rPr>
          <w:noProof/>
          <w:lang w:val="en-IE"/>
        </w:rPr>
        <w:t> </w:t>
      </w:r>
      <w:r>
        <w:rPr>
          <w:noProof/>
        </w:rPr>
        <w:t>изисква заплащане на премия за всеки член на групата (или член на клас в рамките на групата), която е определена, без да се вземат предвид индивидуални здравни характеристики, различни от възраст, пол и навици по отношение на тютюнопушенето на члена (или на класа от членове) на групата.</w:t>
      </w:r>
    </w:p>
    <w:p>
      <w:pPr>
        <w:pStyle w:val="Text1"/>
        <w:rPr>
          <w:noProof/>
        </w:rPr>
      </w:pPr>
      <w:r>
        <w:rPr>
          <w:noProof/>
        </w:rPr>
        <w:t>Понятието „групов анюитетен договор“ означава договор, по който правоимащите лица са физически лица, които са свързани чрез работодател, търговско сдружение, синдикална организация или друго сдружение или група.</w:t>
      </w:r>
    </w:p>
    <w:p>
      <w:pPr>
        <w:pStyle w:val="Point0"/>
        <w:rPr>
          <w:noProof/>
        </w:rPr>
      </w:pPr>
      <w:r>
        <w:rPr>
          <w:noProof/>
        </w:rPr>
        <w:t>В.</w:t>
      </w:r>
      <w:r>
        <w:rPr>
          <w:noProof/>
        </w:rPr>
        <w:tab/>
        <w:t>Правила за сумиране на наличност по сметки и на валута.</w:t>
      </w:r>
    </w:p>
    <w:p>
      <w:pPr>
        <w:pStyle w:val="Point1"/>
        <w:rPr>
          <w:noProof/>
        </w:rPr>
      </w:pPr>
      <w:r>
        <w:rPr>
          <w:noProof/>
        </w:rPr>
        <w:t>1.</w:t>
      </w:r>
      <w:r>
        <w:rPr>
          <w:noProof/>
        </w:rPr>
        <w:tab/>
        <w:t>Сумиране на сметки на физически лица. За целите на определянето на сумираната наличност или стойност на финансови сметки с титуляр физическо лице, предоставящата информация финансова институция е длъжна да сумира всички финансови сметки, поддържани от нея или от свързано с нея образувание, но само доколкото информационните системи на предоставящата информация финансова институция свързват финансовите сметки чрез препратка към елемент от данните като номер на клиент или данъчен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споделена финансова сметка се отнася цялата наличност или стойност по споделена финансова сметка.</w:t>
      </w:r>
    </w:p>
    <w:p>
      <w:pPr>
        <w:pStyle w:val="Point1"/>
        <w:rPr>
          <w:noProof/>
        </w:rPr>
      </w:pPr>
      <w:r>
        <w:rPr>
          <w:noProof/>
        </w:rPr>
        <w:t>2.</w:t>
      </w:r>
      <w:r>
        <w:rPr>
          <w:noProof/>
        </w:rPr>
        <w:tab/>
        <w:t>Сумиране на сметки на образувания. За целите на определянето на сумираната наличност или стойност на финансови сметки с титуляр образувание, предоставящата информация финансова институция е длъжна да вземе предвид всички финансови сметки, поддържани от нея или от свързано с нея образувание, но само доколкото информационните системи на предоставящата информация финансова институция свързват финансовите сметки чрез препратка към елемент от данните като номер на клиент или данъчен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споделена финансова сметка се отнася цялата наличност или стойност по споделена финансова сметка.</w:t>
      </w:r>
    </w:p>
    <w:p>
      <w:pPr>
        <w:pStyle w:val="Point1"/>
        <w:rPr>
          <w:noProof/>
        </w:rPr>
      </w:pPr>
      <w:r>
        <w:rPr>
          <w:noProof/>
        </w:rPr>
        <w:t>3.</w:t>
      </w:r>
      <w:r>
        <w:rPr>
          <w:noProof/>
        </w:rPr>
        <w:tab/>
        <w:t>Специални правила за сумиране, приложими за отговорния служител за връзка с клиента. За целите на определяне на сумираната наличност или стойност на финансови сметки с титуляр лице, за да се определи дали дадена финансова сметка е на голяма стойност, предоставящата информация финансова институция е длъжна също така, в случай на финансови сметки, за които на отговорния служител за връзка с клиента е известно или има причина да му бъде известно, че са пряко или непряко притежавани, контролирани или създадени (в качество, различно от фидуциар) от същото лице, да сумира всички такива сметки.</w:t>
      </w:r>
    </w:p>
    <w:p>
      <w:pPr>
        <w:pStyle w:val="Point1"/>
        <w:rPr>
          <w:noProof/>
        </w:rPr>
      </w:pPr>
      <w:r>
        <w:rPr>
          <w:noProof/>
        </w:rPr>
        <w:t>4.</w:t>
      </w:r>
      <w:r>
        <w:rPr>
          <w:noProof/>
        </w:rPr>
        <w:tab/>
        <w:t>Суми, за които се счита, че включват равностойността в друга валута. Счита се, че всички суми, деноминирани в националната валута на всяка държава членка, включват равностойността в други валути, както е предвидено в националното право.</w:t>
      </w:r>
    </w:p>
    <w:p>
      <w:pPr>
        <w:pStyle w:val="SectionTitle"/>
        <w:rPr>
          <w:noProof/>
        </w:rPr>
      </w:pPr>
      <w:r>
        <w:rPr>
          <w:noProof/>
        </w:rPr>
        <w:t>РАЗДЕЛ VIII</w:t>
      </w:r>
    </w:p>
    <w:p>
      <w:pPr>
        <w:pStyle w:val="SectionTitle"/>
        <w:rPr>
          <w:noProof/>
        </w:rPr>
      </w:pPr>
      <w:r>
        <w:rPr>
          <w:noProof/>
        </w:rPr>
        <w:t>ОПРЕДЕЛЕНИЯ</w:t>
      </w:r>
    </w:p>
    <w:p>
      <w:pPr>
        <w:rPr>
          <w:noProof/>
        </w:rPr>
      </w:pPr>
      <w:r>
        <w:rPr>
          <w:noProof/>
        </w:rPr>
        <w:t>Прилагат се следните определения:</w:t>
      </w:r>
    </w:p>
    <w:p>
      <w:pPr>
        <w:pStyle w:val="ManualHeading2"/>
        <w:ind w:left="851" w:hanging="851"/>
        <w:rPr>
          <w:noProof/>
        </w:rPr>
      </w:pPr>
      <w:r>
        <w:rPr>
          <w:noProof/>
        </w:rPr>
        <w:t>А.</w:t>
      </w:r>
      <w:r>
        <w:rPr>
          <w:noProof/>
        </w:rPr>
        <w:tab/>
        <w:t>Предоставяща информация финансова институция</w:t>
      </w:r>
    </w:p>
    <w:p>
      <w:pPr>
        <w:pStyle w:val="Point1"/>
        <w:rPr>
          <w:noProof/>
        </w:rPr>
      </w:pPr>
      <w:r>
        <w:rPr>
          <w:noProof/>
        </w:rPr>
        <w:t>1.</w:t>
      </w:r>
      <w:r>
        <w:rPr>
          <w:noProof/>
        </w:rPr>
        <w:tab/>
        <w:t>Понятието „предоставяща информация финансова институция“ означава всяка финансова институция на държава членка, която не е непредоставяща информация финансова институция. Понятието „финансова институция на държава членка“ означава i) всяка финансова институция, която е местно лице на държава членка, с изключение на всеки клон на такава финансова институция, който се намира извън тази държава членка, и ii) всеки клон на финансова институция, която не е местно лице на държава членка, ако този клон се намира в тази държава членка.</w:t>
      </w:r>
    </w:p>
    <w:p>
      <w:pPr>
        <w:pStyle w:val="Point1"/>
        <w:rPr>
          <w:noProof/>
        </w:rPr>
      </w:pPr>
      <w:r>
        <w:rPr>
          <w:noProof/>
        </w:rPr>
        <w:t>2.</w:t>
      </w:r>
      <w:r>
        <w:rPr>
          <w:noProof/>
        </w:rPr>
        <w:tab/>
        <w:t>Понятието „финансова институция на участваща юрисдикция“ означава i)</w:t>
      </w:r>
      <w:r>
        <w:rPr>
          <w:noProof/>
          <w:lang w:val="en-IE"/>
        </w:rPr>
        <w:t> </w:t>
      </w:r>
      <w:r>
        <w:rPr>
          <w:noProof/>
        </w:rPr>
        <w:t>всяка финансова институция, която е местно лице на участваща юрисдикция, с изключение на всеки клон на такава финансова институция, който се намира извън тази участваща юрисдикция, и ii)</w:t>
      </w:r>
      <w:r>
        <w:rPr>
          <w:noProof/>
          <w:lang w:val="en-IE"/>
        </w:rPr>
        <w:t> </w:t>
      </w:r>
      <w:r>
        <w:rPr>
          <w:noProof/>
        </w:rPr>
        <w:t>всеки клон на финансова институция, която не е местно лице на участваща юрисдикция, ако този клон се намира в тази участваща юрисдикция.</w:t>
      </w:r>
    </w:p>
    <w:p>
      <w:pPr>
        <w:pStyle w:val="Point1"/>
        <w:rPr>
          <w:noProof/>
        </w:rPr>
      </w:pPr>
      <w:r>
        <w:rPr>
          <w:noProof/>
        </w:rPr>
        <w:t>3.</w:t>
      </w:r>
      <w:r>
        <w:rPr>
          <w:noProof/>
        </w:rPr>
        <w:tab/>
        <w:t>Понятието „финансова институция“ означава попечителска институция, депозитарна институция, инвестиционно образувание или определено застрахователно дружество.</w:t>
      </w:r>
    </w:p>
    <w:p>
      <w:pPr>
        <w:pStyle w:val="Point1"/>
        <w:rPr>
          <w:noProof/>
        </w:rPr>
      </w:pPr>
      <w:r>
        <w:rPr>
          <w:noProof/>
        </w:rPr>
        <w:t>4.</w:t>
      </w:r>
      <w:r>
        <w:rPr>
          <w:noProof/>
        </w:rPr>
        <w:tab/>
        <w:t>Понятието „попечителска институция“ означава всяко образувание, което държи, като значителна част от стопанската си дейност, финансови активи за чужда сметка. Приема се, че дадено образувание държи финансови активи за чужда сметка като съществена част от стопанската си дейност, ако брутният доход на образуванието от държаните финансови активи и свързани финансови услуги е равен или надвишава 20 % от брутния доход на образуванието през по-краткия от следните два периода: i) тригодишния период, който приключва на 31 декември (или на последния ден от счетоводния период за некалендарна година) преди годината, в която се прави определянето; или ii) периода, през който образуванието е съществувало.</w:t>
      </w:r>
    </w:p>
    <w:p>
      <w:pPr>
        <w:pStyle w:val="Point1"/>
        <w:rPr>
          <w:noProof/>
        </w:rPr>
      </w:pPr>
      <w:r>
        <w:rPr>
          <w:noProof/>
        </w:rPr>
        <w:t>5.</w:t>
      </w:r>
      <w:r>
        <w:rPr>
          <w:noProof/>
        </w:rPr>
        <w:tab/>
        <w:t>Понятието „депозитарна институция“ означава всяко образувание, което приема депозити в рамките на обичайното извършване на банкова или подобна стопанска дейност.</w:t>
      </w:r>
    </w:p>
    <w:p>
      <w:pPr>
        <w:pStyle w:val="Point1"/>
        <w:rPr>
          <w:noProof/>
        </w:rPr>
      </w:pPr>
      <w:r>
        <w:rPr>
          <w:noProof/>
        </w:rPr>
        <w:t>6.</w:t>
      </w:r>
      <w:r>
        <w:rPr>
          <w:noProof/>
        </w:rPr>
        <w:tab/>
        <w:t>Понятието „инвестиционно образувание“ означава всяко образувание:</w:t>
      </w:r>
    </w:p>
    <w:p>
      <w:pPr>
        <w:pStyle w:val="Point2"/>
        <w:rPr>
          <w:noProof/>
        </w:rPr>
      </w:pPr>
      <w:r>
        <w:rPr>
          <w:noProof/>
        </w:rPr>
        <w:t>а)</w:t>
      </w:r>
      <w:r>
        <w:rPr>
          <w:noProof/>
        </w:rPr>
        <w:tab/>
        <w:t>което извършва преимуществено като стопанска дейност една или повече от следните дейности или операции за или от името на клиент:</w:t>
      </w:r>
    </w:p>
    <w:p>
      <w:pPr>
        <w:pStyle w:val="Point3"/>
        <w:rPr>
          <w:noProof/>
        </w:rPr>
      </w:pPr>
      <w:r>
        <w:rPr>
          <w:noProof/>
        </w:rPr>
        <w:t>i)</w:t>
      </w:r>
      <w:r>
        <w:rPr>
          <w:noProof/>
        </w:rPr>
        <w:tab/>
        <w:t>търговия с парични пазарни инструменти (чекове, менителници, сертификати за депозит, деривати и др.); обмен на валута; инструменти, представляващи обменни операции, и инструменти, свързани с лихвени проценти и индекси; прехвърлими ценни книжа; или търговия със стокови фючърси;</w:t>
      </w:r>
    </w:p>
    <w:p>
      <w:pPr>
        <w:pStyle w:val="Point3"/>
        <w:rPr>
          <w:noProof/>
        </w:rPr>
      </w:pPr>
      <w:r>
        <w:rPr>
          <w:noProof/>
        </w:rPr>
        <w:t>ii)</w:t>
      </w:r>
      <w:r>
        <w:rPr>
          <w:noProof/>
        </w:rPr>
        <w:tab/>
        <w:t>индивидуално или колективно управление на портфейли; или</w:t>
      </w:r>
    </w:p>
    <w:p>
      <w:pPr>
        <w:pStyle w:val="Point3"/>
        <w:rPr>
          <w:noProof/>
        </w:rPr>
      </w:pPr>
      <w:r>
        <w:rPr>
          <w:noProof/>
        </w:rPr>
        <w:t>iii)</w:t>
      </w:r>
      <w:r>
        <w:rPr>
          <w:noProof/>
        </w:rPr>
        <w:tab/>
        <w:t>друга форма на инвестиране, администриране или управление на финансови активи или пари от името на други лица;</w:t>
      </w:r>
    </w:p>
    <w:p>
      <w:pPr>
        <w:pStyle w:val="Text3"/>
        <w:rPr>
          <w:noProof/>
        </w:rPr>
      </w:pPr>
      <w:r>
        <w:rPr>
          <w:noProof/>
        </w:rPr>
        <w:t>или</w:t>
      </w:r>
    </w:p>
    <w:p>
      <w:pPr>
        <w:pStyle w:val="Point2"/>
        <w:rPr>
          <w:noProof/>
        </w:rPr>
      </w:pPr>
      <w:r>
        <w:rPr>
          <w:noProof/>
        </w:rPr>
        <w:t>б)</w:t>
      </w:r>
      <w:r>
        <w:rPr>
          <w:noProof/>
        </w:rPr>
        <w:tab/>
        <w:t>брутният доход на което се дължи преимуществено на инвестиране, реинвестиране или търговия с финансови активи, ако образуванието се управлява от друго образувание, което е депозитарна институция, попечителска институция, определено застрахователно дружество или инвестиционно образувание, описано в точка А.6, буква а).</w:t>
      </w:r>
    </w:p>
    <w:p>
      <w:pPr>
        <w:pStyle w:val="Text2"/>
        <w:rPr>
          <w:noProof/>
        </w:rPr>
      </w:pPr>
      <w:r>
        <w:rPr>
          <w:noProof/>
        </w:rPr>
        <w:t>Дадено образувание се третира като преимуществено извършващо като стопанска дейност една или повече от дейностите, описани в точка А.6, буква а), или брутният доход на образуванието се дължи преимуществено на инвестиране, реинвестиране или търговия с финансови активи за целите на точка А.6, буква б), ако брутният доход на образуванието, произтичащ от съответните дейности, е равен или надвишава 50 % от брутния доход на образуванието през по-краткия от следните два периода: i) тригодишния период, който приключва на 31 декември от годината, предшестваща годината, в която се прави определянето; или ii)</w:t>
      </w:r>
      <w:r>
        <w:rPr>
          <w:noProof/>
          <w:lang w:val="en-IE"/>
        </w:rPr>
        <w:t> </w:t>
      </w:r>
      <w:r>
        <w:rPr>
          <w:noProof/>
        </w:rPr>
        <w:t>периода, през който образуванието е съществувало. Понятието „инвестиционно образувание“ не включва образувания, които са активни нефинансови образувания, тъй като образуванията отговарят на всеки от критериите в точка Г.8, букви г) ж).</w:t>
      </w:r>
    </w:p>
    <w:p>
      <w:pPr>
        <w:pStyle w:val="Text2"/>
        <w:rPr>
          <w:noProof/>
        </w:rPr>
      </w:pPr>
      <w:r>
        <w:rPr>
          <w:noProof/>
        </w:rPr>
        <w:t>Настоящата алинея се тълкува по съгласуван начин със сходната редакция на определението за „финансова институция“ в препоръките на Финансовата група за действие срещу изпирането на пари (Financial</w:t>
      </w:r>
      <w:r>
        <w:rPr>
          <w:noProof/>
          <w:lang w:val="en-IE"/>
        </w:rPr>
        <w:t> </w:t>
      </w:r>
      <w:r>
        <w:rPr>
          <w:noProof/>
        </w:rPr>
        <w:t>Action Task Force — FATF).</w:t>
      </w:r>
    </w:p>
    <w:p>
      <w:pPr>
        <w:pStyle w:val="Point1"/>
        <w:rPr>
          <w:noProof/>
        </w:rPr>
      </w:pPr>
      <w:r>
        <w:rPr>
          <w:noProof/>
        </w:rPr>
        <w:t>7.</w:t>
      </w:r>
      <w:r>
        <w:rPr>
          <w:noProof/>
        </w:rPr>
        <w:tab/>
        <w:t>Понятието „финансов актив“ включва ценни книжа (напр. акционерен дял в дружество; съдружие или опосредено действително участие в широко притежавани или публично търгувани съдружия или тръстове; запис на заповед, облигация, дългова облигация или друго доказателство за наличие на дълг), дял в съдружие, стоки, суап (напр. лихвен суап, валутен суап, базов суап, лихвен таван, лихвен под, суап върху стоки, суап върху капиталови инструменти, суап върху капиталови индекси и подобни споразумения), застрахователен договор или анюитетен договор, или всякакви лихви (включително фючърсна сделка или форуърден договор или опция) по ценна книга, дял в съдружие, стока, суап, застрахователен договор или анюитетен договор. Понятието „финансов актив“ не включва недългов, пряк дял в недвижимо имущество.</w:t>
      </w:r>
    </w:p>
    <w:p>
      <w:pPr>
        <w:pStyle w:val="Point1"/>
        <w:rPr>
          <w:noProof/>
        </w:rPr>
      </w:pPr>
      <w:r>
        <w:rPr>
          <w:noProof/>
        </w:rPr>
        <w:t>8.</w:t>
      </w:r>
      <w:r>
        <w:rPr>
          <w:noProof/>
        </w:rPr>
        <w:tab/>
        <w:t>Понятието „определено застрахователно дружество“ означава всяко дружество, което е застрахователно дружество (или холдинг на застрахователно дружество), което емитира или е длъжно да извършва плащания по застрахователен договор с откупна стойност или анюитетен договор.</w:t>
      </w:r>
    </w:p>
    <w:p>
      <w:pPr>
        <w:pStyle w:val="ManualHeading2"/>
        <w:ind w:left="851" w:hanging="851"/>
        <w:rPr>
          <w:noProof/>
        </w:rPr>
      </w:pPr>
      <w:r>
        <w:rPr>
          <w:noProof/>
        </w:rPr>
        <w:t>Б.</w:t>
      </w:r>
      <w:r>
        <w:rPr>
          <w:noProof/>
        </w:rPr>
        <w:tab/>
        <w:t>Непредоставяща информация финансова институция</w:t>
      </w:r>
    </w:p>
    <w:p>
      <w:pPr>
        <w:pStyle w:val="Point1"/>
        <w:rPr>
          <w:noProof/>
        </w:rPr>
      </w:pPr>
      <w:r>
        <w:rPr>
          <w:noProof/>
        </w:rPr>
        <w:t>1.</w:t>
      </w:r>
      <w:r>
        <w:rPr>
          <w:noProof/>
        </w:rPr>
        <w:tab/>
        <w:t>Понятието „непредоставяща информация финансова институция“ означава всяка финансова институция, която е:</w:t>
      </w:r>
    </w:p>
    <w:p>
      <w:pPr>
        <w:pStyle w:val="Point2"/>
        <w:rPr>
          <w:noProof/>
        </w:rPr>
      </w:pPr>
      <w:r>
        <w:rPr>
          <w:noProof/>
        </w:rPr>
        <w:t>а)</w:t>
      </w:r>
      <w:r>
        <w:rPr>
          <w:noProof/>
        </w:rPr>
        <w:tab/>
        <w:t>държавно образувание, международна организация или централна банка, освен в случаите, когато става дума за плащане, произтичащо от задължение във връзка с търговска финансова дейност от вида, извършван от определено застрахователно дружество, попечителска институция или депозитарна институция;</w:t>
      </w:r>
    </w:p>
    <w:p>
      <w:pPr>
        <w:pStyle w:val="Point2"/>
        <w:rPr>
          <w:noProof/>
        </w:rPr>
      </w:pPr>
      <w:r>
        <w:rPr>
          <w:noProof/>
        </w:rPr>
        <w:t>б)</w:t>
      </w:r>
      <w:r>
        <w:rPr>
          <w:noProof/>
        </w:rPr>
        <w:tab/>
        <w:t>пенсионен фонд с широко участие, пенсионен фонд с тясно участие; пенсионен фонд на държавно образувание, международна организация или централна банка; или определен издател на кредитни карти;</w:t>
      </w:r>
    </w:p>
    <w:p>
      <w:pPr>
        <w:pStyle w:val="Point2"/>
        <w:rPr>
          <w:noProof/>
        </w:rPr>
      </w:pPr>
      <w:r>
        <w:rPr>
          <w:noProof/>
        </w:rPr>
        <w:t>в)</w:t>
      </w:r>
      <w:r>
        <w:rPr>
          <w:noProof/>
        </w:rPr>
        <w:tab/>
        <w:t>всяко друго образувание, което е свързано с нисък риск да бъде използвано за отклоняване от данъчно облагане, има до голяма степен характеристики, подобни на някое от образуванията, описани в точка Б.1, букви а) и б), и е включено в списъка на непредоставящите информация финансови институции, посочен в член 8, параграф 7 от настоящата директива, при условие че статусът на такова образувание като непредоставяща информация финансова институция не възпрепятства постигането на целите на настоящата директива;</w:t>
      </w:r>
    </w:p>
    <w:p>
      <w:pPr>
        <w:pStyle w:val="Point2"/>
        <w:rPr>
          <w:noProof/>
        </w:rPr>
      </w:pPr>
      <w:r>
        <w:rPr>
          <w:noProof/>
        </w:rPr>
        <w:t>г)</w:t>
      </w:r>
      <w:r>
        <w:rPr>
          <w:noProof/>
        </w:rPr>
        <w:tab/>
        <w:t>освободена колективна инвестиционна схема; или</w:t>
      </w:r>
    </w:p>
    <w:p>
      <w:pPr>
        <w:pStyle w:val="Point2"/>
        <w:rPr>
          <w:noProof/>
        </w:rPr>
      </w:pPr>
      <w:r>
        <w:rPr>
          <w:noProof/>
        </w:rPr>
        <w:t>д)</w:t>
      </w:r>
      <w:r>
        <w:rPr>
          <w:noProof/>
        </w:rPr>
        <w:tab/>
        <w:t>тръст, доколкото попечителят е предоставяща информация финансова институция, която предоставя цялата информация, чието предоставяне се дължи съгласно раздел I, по отношение на всички сметки на тръста, за които се предоставя информация.</w:t>
      </w:r>
    </w:p>
    <w:p>
      <w:pPr>
        <w:pStyle w:val="Point1"/>
        <w:rPr>
          <w:noProof/>
        </w:rPr>
      </w:pPr>
      <w:r>
        <w:rPr>
          <w:noProof/>
        </w:rPr>
        <w:t>2.</w:t>
      </w:r>
      <w:r>
        <w:rPr>
          <w:noProof/>
        </w:rPr>
        <w:tab/>
        <w:t>Понятието „държавно образувание“ означава правителство на държава членка или друга юрисдикция, всякакви политически подразделения на държава членка или друга юрисдикция (която, за да се избегне съмнение, включва щат, област, окръг или община) или всяка изцяло притежавана агенция или учреждение на държава членка или друга юрисдикция или едно или повече от горното (всяко от които е „държавно образувание“). Тази категория обхваща съставните части, контролираните образувания и политическите подразделения на държава членка или друга юрисдикция.</w:t>
      </w:r>
    </w:p>
    <w:p>
      <w:pPr>
        <w:pStyle w:val="Point2"/>
        <w:rPr>
          <w:noProof/>
        </w:rPr>
      </w:pPr>
      <w:r>
        <w:rPr>
          <w:noProof/>
        </w:rPr>
        <w:t>а)</w:t>
      </w:r>
      <w:r>
        <w:rPr>
          <w:noProof/>
        </w:rPr>
        <w:tab/>
        <w:t>„Съставна част“ от държава членка или друга юрисдикция означава всяко лице, организация, агенция, бюро, фонд, учреждение или друг орган, независимо от начина, по който са били определени, което представлява орган на публична власт на държава членка или друга юрисдикция. Нетните приходи на органа на публична власт трябва да бъдат кредитирани на собствената му сметка или на други сметки на държавата членка или друга юрисдикция, без никаква част от тях да се употребява в полза на частни лица. Съставната част не включва лице, което е суверен, длъжностно лице или ръководител и което действа в частно или лично качество.</w:t>
      </w:r>
    </w:p>
    <w:p>
      <w:pPr>
        <w:pStyle w:val="Point2"/>
        <w:rPr>
          <w:noProof/>
        </w:rPr>
      </w:pPr>
      <w:r>
        <w:rPr>
          <w:noProof/>
        </w:rPr>
        <w:t>б)</w:t>
      </w:r>
      <w:r>
        <w:rPr>
          <w:noProof/>
        </w:rPr>
        <w:tab/>
        <w:t>„Контролирано образувание“ означава образувание, което е отделено като форма от държавата членка или друга юрисдикция или което по друг начин съставлява самостоятелен правен субект, при условие че:</w:t>
      </w:r>
    </w:p>
    <w:p>
      <w:pPr>
        <w:pStyle w:val="Point3"/>
        <w:rPr>
          <w:noProof/>
        </w:rPr>
      </w:pPr>
      <w:r>
        <w:rPr>
          <w:noProof/>
        </w:rPr>
        <w:t>i)</w:t>
      </w:r>
      <w:r>
        <w:rPr>
          <w:noProof/>
        </w:rPr>
        <w:tab/>
        <w:t>образуванието се притежава и контролира изцяло от едно или повече държавни образувания, пряко или чрез едно или повече контролирани образувания;</w:t>
      </w:r>
    </w:p>
    <w:p>
      <w:pPr>
        <w:pStyle w:val="Point3"/>
        <w:rPr>
          <w:noProof/>
        </w:rPr>
      </w:pPr>
      <w:r>
        <w:rPr>
          <w:noProof/>
        </w:rPr>
        <w:t>ii)</w:t>
      </w:r>
      <w:r>
        <w:rPr>
          <w:noProof/>
        </w:rPr>
        <w:tab/>
        <w:t>нетните приходи на образуванието се кредитират на собствената му сметка или на сметките на едно или повече държавни образувания, без никаква част от тях да се употребява в полза на частни лица; и</w:t>
      </w:r>
    </w:p>
    <w:p>
      <w:pPr>
        <w:pStyle w:val="Point3"/>
        <w:rPr>
          <w:noProof/>
        </w:rPr>
      </w:pPr>
      <w:r>
        <w:rPr>
          <w:noProof/>
        </w:rPr>
        <w:t>iii)</w:t>
      </w:r>
      <w:r>
        <w:rPr>
          <w:noProof/>
        </w:rPr>
        <w:tab/>
        <w:t>в случай на прекратяване, активите на образуванието се прехвърлят на едно или повече държавни образувания.</w:t>
      </w:r>
    </w:p>
    <w:p>
      <w:pPr>
        <w:pStyle w:val="Point2"/>
        <w:rPr>
          <w:noProof/>
        </w:rPr>
      </w:pPr>
      <w:r>
        <w:rPr>
          <w:noProof/>
        </w:rPr>
        <w:t>в)</w:t>
      </w:r>
      <w:r>
        <w:rPr>
          <w:noProof/>
        </w:rPr>
        <w:tab/>
        <w:t>Не се счита, че доходът се употребява в полза на частни лица, ако тези лица са бенефициери на държавна програма и дейностите по програмата се изпълняват в полза на широката общественост с цел създаване на общи блага или са свързани с администрирането на фаза от управлението. Независимо от горното обаче, се приема, че доходът се употребява в полза на частни лица, ако той произтича от използването на държавно образувание за извършване на търговска дейност, като търговска банкова дейност, при която се предоставят финансови услуги на частни лица.</w:t>
      </w:r>
    </w:p>
    <w:p>
      <w:pPr>
        <w:pStyle w:val="Point1"/>
        <w:rPr>
          <w:noProof/>
        </w:rPr>
      </w:pPr>
      <w:r>
        <w:rPr>
          <w:noProof/>
        </w:rPr>
        <w:t>3.</w:t>
      </w:r>
      <w:r>
        <w:rPr>
          <w:noProof/>
        </w:rPr>
        <w:tab/>
        <w:t>Понятието „международна организация“ означава всяка международна организация или изцяло притежавана нейна агенция или учреждение. Тази категория включва всяка междуправителствена организация (включително наднационална организация), i) която се състои преимуществено от правителства; ii) която има с държавата членка действащо споразумение за седалище или споразумение, което до голяма степен е от подобен характер; и iii) чийто доход не се употребява в полза на частни лица.</w:t>
      </w:r>
    </w:p>
    <w:p>
      <w:pPr>
        <w:pStyle w:val="Point1"/>
        <w:rPr>
          <w:noProof/>
        </w:rPr>
      </w:pPr>
      <w:r>
        <w:rPr>
          <w:noProof/>
        </w:rPr>
        <w:t>4.</w:t>
      </w:r>
      <w:r>
        <w:rPr>
          <w:noProof/>
        </w:rPr>
        <w:tab/>
        <w:t>Понятието „централна банка“ означава институция, която съгласно правна норма или с одобрение на правителството е основният орган, освен самото правителство на държавата членка, който емитира инструменти, предназначени да бъдат в обращение под формата на парична единица. Такава институция може да включва учреждение, което е самостоятелно от правителството на държавата членка, независимо дали е притежавано изцяло или частично от държавата членка.</w:t>
      </w:r>
    </w:p>
    <w:p>
      <w:pPr>
        <w:pStyle w:val="Point1"/>
        <w:rPr>
          <w:noProof/>
        </w:rPr>
      </w:pPr>
      <w:r>
        <w:rPr>
          <w:noProof/>
        </w:rPr>
        <w:t>5.</w:t>
      </w:r>
      <w:r>
        <w:rPr>
          <w:noProof/>
        </w:rPr>
        <w:tab/>
        <w:t>Понятието „пенсионен фонд с широко участие“ означава фонд, създаден с цел изплащане на обезщетения при пенсиониране, инвалидност или смърт, или всяка комбинация от тези събития,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фондът:</w:t>
      </w:r>
    </w:p>
    <w:p>
      <w:pPr>
        <w:pStyle w:val="Point2"/>
        <w:rPr>
          <w:noProof/>
        </w:rPr>
      </w:pPr>
      <w:r>
        <w:rPr>
          <w:noProof/>
        </w:rPr>
        <w:t>а)</w:t>
      </w:r>
      <w:r>
        <w:rPr>
          <w:noProof/>
        </w:rPr>
        <w:tab/>
        <w:t>няма нито един бенефициер с право на повече от 5 % от активите на фонда;</w:t>
      </w:r>
    </w:p>
    <w:p>
      <w:pPr>
        <w:pStyle w:val="Point2"/>
        <w:rPr>
          <w:noProof/>
        </w:rPr>
      </w:pPr>
      <w:r>
        <w:rPr>
          <w:noProof/>
        </w:rPr>
        <w:t>б)</w:t>
      </w:r>
      <w:r>
        <w:rPr>
          <w:noProof/>
        </w:rPr>
        <w:tab/>
        <w:t>подлежи на държавно регулиране и предоставя информация на данъчните органи; и</w:t>
      </w:r>
    </w:p>
    <w:p>
      <w:pPr>
        <w:pStyle w:val="Point2"/>
        <w:rPr>
          <w:noProof/>
        </w:rPr>
      </w:pPr>
      <w:r>
        <w:rPr>
          <w:noProof/>
        </w:rPr>
        <w:t>в)</w:t>
      </w:r>
      <w:r>
        <w:rPr>
          <w:noProof/>
        </w:rPr>
        <w:tab/>
        <w:t>отговаря на поне едно от следните изисквания:</w:t>
      </w:r>
    </w:p>
    <w:p>
      <w:pPr>
        <w:pStyle w:val="Point3"/>
        <w:rPr>
          <w:noProof/>
        </w:rPr>
      </w:pPr>
      <w:r>
        <w:rPr>
          <w:noProof/>
        </w:rPr>
        <w:t>i)</w:t>
      </w:r>
      <w:r>
        <w:rPr>
          <w:noProof/>
        </w:rPr>
        <w:tab/>
        <w:t>фондът е като цяло освободен от данъчно облагане върху инвестиционен доход или облагането на такъв доход е отсрочено или се извършва по намалена ставка заради статуса на фонда като пенсионна схема;</w:t>
      </w:r>
    </w:p>
    <w:p>
      <w:pPr>
        <w:pStyle w:val="Point3"/>
        <w:rPr>
          <w:noProof/>
        </w:rPr>
      </w:pPr>
      <w:r>
        <w:rPr>
          <w:noProof/>
        </w:rPr>
        <w:t>ii)</w:t>
      </w:r>
      <w:r>
        <w:rPr>
          <w:noProof/>
        </w:rPr>
        <w:tab/>
        <w:t>фондът получава най-малко 50 % от общите вноски в него (с изключение на трансфери на активи от други схеми, описани в точки Б.5</w:t>
      </w:r>
      <w:r>
        <w:rPr>
          <w:noProof/>
          <w:lang w:val="en-IE"/>
        </w:rPr>
        <w:t> </w:t>
      </w:r>
      <w:r>
        <w:rPr>
          <w:noProof/>
        </w:rPr>
        <w:t>—</w:t>
      </w:r>
      <w:r>
        <w:rPr>
          <w:noProof/>
          <w:lang w:val="en-IE"/>
        </w:rPr>
        <w:t> </w:t>
      </w:r>
      <w:r>
        <w:rPr>
          <w:noProof/>
        </w:rPr>
        <w:t>Б.7, или от пенсионни сметки, описани в точка В.17, буква а) от участващите работодатели;</w:t>
      </w:r>
    </w:p>
    <w:p>
      <w:pPr>
        <w:pStyle w:val="Point3"/>
        <w:rPr>
          <w:noProof/>
        </w:rPr>
      </w:pPr>
      <w:r>
        <w:rPr>
          <w:noProof/>
        </w:rPr>
        <w:t>iii)</w:t>
      </w:r>
      <w:r>
        <w:rPr>
          <w:noProof/>
        </w:rPr>
        <w:tab/>
        <w:t>разпределения или тегления на суми от фонда се разрешават само при настъпване на определени събития, свързани с пенсиониране, инвалидност или смърт (с изключение на разпределения с прехвърляне към други пенсионни фондове, описани в точки Б.5</w:t>
      </w:r>
      <w:r>
        <w:rPr>
          <w:noProof/>
          <w:lang w:val="en-IE"/>
        </w:rPr>
        <w:t> </w:t>
      </w:r>
      <w:r>
        <w:rPr>
          <w:noProof/>
        </w:rPr>
        <w:t>—</w:t>
      </w:r>
      <w:r>
        <w:rPr>
          <w:noProof/>
          <w:lang w:val="en-IE"/>
        </w:rPr>
        <w:t> </w:t>
      </w:r>
      <w:r>
        <w:rPr>
          <w:noProof/>
        </w:rPr>
        <w:t>Б.7, или пенсионни сметки, описани в точка В.17, буква а), като в случай на разпределения или тегления на суми преди настъпването на такива определени събития се налагат санкции; или</w:t>
      </w:r>
    </w:p>
    <w:p>
      <w:pPr>
        <w:pStyle w:val="Point3"/>
        <w:rPr>
          <w:noProof/>
        </w:rPr>
      </w:pPr>
      <w:r>
        <w:rPr>
          <w:noProof/>
        </w:rPr>
        <w:t>iv)</w:t>
      </w:r>
      <w:r>
        <w:rPr>
          <w:noProof/>
        </w:rPr>
        <w:tab/>
        <w:t>вноските (освен някои разрешени наваксващи вноски) на служители във фонда са ограничени до получения от служителя доход и не могат да надвишават годишно сума, деноминирана в националната валута на всяка държава членка, която съответства на 50</w:t>
      </w:r>
      <w:r>
        <w:rPr>
          <w:noProof/>
          <w:lang w:val="en-IE"/>
        </w:rPr>
        <w:t> </w:t>
      </w:r>
      <w:r>
        <w:rPr>
          <w:noProof/>
        </w:rPr>
        <w:t>000 USD, като се прилагат правилата, установени в раздел VII, точка В за сумиране на сметки и конвертиране на валута.</w:t>
      </w:r>
    </w:p>
    <w:p>
      <w:pPr>
        <w:pStyle w:val="Point1"/>
        <w:rPr>
          <w:noProof/>
        </w:rPr>
      </w:pPr>
      <w:r>
        <w:rPr>
          <w:noProof/>
        </w:rPr>
        <w:t>6.</w:t>
      </w:r>
      <w:r>
        <w:rPr>
          <w:noProof/>
        </w:rPr>
        <w:tab/>
        <w:t>Понятието „пенсионен фонд с тясно участие“ означава фонд, създаден с цел изплащане на обезщетения при пенсиониране, инвалидност или смърт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w:t>
      </w:r>
    </w:p>
    <w:p>
      <w:pPr>
        <w:pStyle w:val="Point2"/>
        <w:rPr>
          <w:noProof/>
        </w:rPr>
      </w:pPr>
      <w:r>
        <w:rPr>
          <w:noProof/>
        </w:rPr>
        <w:t>а)</w:t>
      </w:r>
      <w:r>
        <w:rPr>
          <w:noProof/>
        </w:rPr>
        <w:tab/>
        <w:t>във фонда участват по-малко от 50 души;</w:t>
      </w:r>
    </w:p>
    <w:p>
      <w:pPr>
        <w:pStyle w:val="Point2"/>
        <w:rPr>
          <w:noProof/>
        </w:rPr>
      </w:pPr>
      <w:r>
        <w:rPr>
          <w:noProof/>
        </w:rPr>
        <w:t>б)</w:t>
      </w:r>
      <w:r>
        <w:rPr>
          <w:noProof/>
        </w:rPr>
        <w:tab/>
        <w:t>във фонда участва един или повече работодатели, които не са инвестиционни образувания или пасивни нефинансови образувания;</w:t>
      </w:r>
    </w:p>
    <w:p>
      <w:pPr>
        <w:pStyle w:val="Point2"/>
        <w:rPr>
          <w:noProof/>
        </w:rPr>
      </w:pPr>
      <w:r>
        <w:rPr>
          <w:noProof/>
        </w:rPr>
        <w:t>в)</w:t>
      </w:r>
      <w:r>
        <w:rPr>
          <w:noProof/>
        </w:rPr>
        <w:tab/>
        <w:t>вноските на служителя и на работодателя във фонда (освен трансферите на активи от пенсионни сметки, описани в точка В.17, буква а) са ограничени съответно до получения от служителя доход и обезщетението на служителя;</w:t>
      </w:r>
    </w:p>
    <w:p>
      <w:pPr>
        <w:pStyle w:val="Point2"/>
        <w:rPr>
          <w:noProof/>
        </w:rPr>
      </w:pPr>
      <w:r>
        <w:rPr>
          <w:noProof/>
        </w:rPr>
        <w:t>г)</w:t>
      </w:r>
      <w:r>
        <w:rPr>
          <w:noProof/>
        </w:rPr>
        <w:tab/>
        <w:t>участници, които не са местни лица на държавата членка, в която е установен фондът, нямат право на повече от 20 % от активите на фонда; и</w:t>
      </w:r>
    </w:p>
    <w:p>
      <w:pPr>
        <w:pStyle w:val="Point2"/>
        <w:rPr>
          <w:noProof/>
        </w:rPr>
      </w:pPr>
      <w:r>
        <w:rPr>
          <w:noProof/>
        </w:rPr>
        <w:t>д)</w:t>
      </w:r>
      <w:r>
        <w:rPr>
          <w:noProof/>
        </w:rPr>
        <w:tab/>
        <w:t>фондът подлежи на държавно регулиране и предоставя информация на данъчните органи.</w:t>
      </w:r>
    </w:p>
    <w:p>
      <w:pPr>
        <w:pStyle w:val="Point1"/>
        <w:rPr>
          <w:noProof/>
        </w:rPr>
      </w:pPr>
      <w:r>
        <w:rPr>
          <w:noProof/>
        </w:rPr>
        <w:t>7.</w:t>
      </w:r>
      <w:r>
        <w:rPr>
          <w:noProof/>
        </w:rPr>
        <w:tab/>
        <w:t>Понятието „пенсионен фонд на държавно образувание, международна организация или централна банка“ означава фонд, създаден от държавно образувание, международна организация или централна банка за изплащане на обезщетения при пенсиониране, инвалидност или смърт на бенефициери или участници, които са настоящи или бивши служители (или на посочени от тях лица), или които не са настоящи или бивши служители, ако обезщетенията на такива бенефициери или участници се предоставят за извършени лични услуги в полза на държавно образувание, международна организация или централна банка.</w:t>
      </w:r>
    </w:p>
    <w:p>
      <w:pPr>
        <w:pStyle w:val="Point1"/>
        <w:rPr>
          <w:noProof/>
        </w:rPr>
      </w:pPr>
      <w:r>
        <w:rPr>
          <w:noProof/>
        </w:rPr>
        <w:t>8.</w:t>
      </w:r>
      <w:r>
        <w:rPr>
          <w:noProof/>
        </w:rPr>
        <w:tab/>
        <w:t>Понятието „определен издател на кредитни карти“ означава финансова институция, която отговаря на следните изисквания:</w:t>
      </w:r>
    </w:p>
    <w:p>
      <w:pPr>
        <w:pStyle w:val="Point2"/>
        <w:rPr>
          <w:noProof/>
        </w:rPr>
      </w:pPr>
      <w:r>
        <w:rPr>
          <w:noProof/>
        </w:rPr>
        <w:t>а)</w:t>
      </w:r>
      <w:r>
        <w:rPr>
          <w:noProof/>
        </w:rPr>
        <w:tab/>
        <w:t>финансовата институция се определя като финансова институция единствено поради това, че е издател на кредитни карти, който приема вложения само когато клиент извършва плащане над дължимата наличност по картата и това надплащане не се възстановява незабавно на клиента; и</w:t>
      </w:r>
    </w:p>
    <w:p>
      <w:pPr>
        <w:pStyle w:val="Point2"/>
        <w:rPr>
          <w:noProof/>
        </w:rPr>
      </w:pPr>
      <w:r>
        <w:rPr>
          <w:noProof/>
        </w:rPr>
        <w:t>б)</w:t>
      </w:r>
      <w:r>
        <w:rPr>
          <w:noProof/>
        </w:rPr>
        <w:tab/>
        <w:t>считано от или преди 1 януари 2016 г., финансовата институция прилага политики и процедури, които не позволяват на клиента да извърши надплащане над сума, деноминирана в националната валута на всяка държава членка, която съответства на 50</w:t>
      </w:r>
      <w:r>
        <w:rPr>
          <w:noProof/>
          <w:lang w:val="en-IE"/>
        </w:rPr>
        <w:t> </w:t>
      </w:r>
      <w:r>
        <w:rPr>
          <w:noProof/>
        </w:rPr>
        <w:t>000 USD, или гарантират, че всяко надплащане от клиент, което надвишава тази сума, се възстановява на клиента в рамките на 60 дни, като при всеки случай се прилагат правилата, установени в раздел VII, точка В за сумиране на сметки и конвертиране на валута. За тази цел извършеното от клиента надплащане не се отнася до кредитните наличности за оспорени такси, но включва кредитни наличности от връщане на стоки.</w:t>
      </w:r>
    </w:p>
    <w:p>
      <w:pPr>
        <w:pStyle w:val="Point1"/>
        <w:rPr>
          <w:noProof/>
        </w:rPr>
      </w:pPr>
      <w:r>
        <w:rPr>
          <w:noProof/>
        </w:rPr>
        <w:t>9.</w:t>
      </w:r>
      <w:r>
        <w:rPr>
          <w:noProof/>
        </w:rPr>
        <w:tab/>
        <w:t>Понятието „освободена колективна инвестиционна схема“ означава инвестиционно образувание, което се регулира като колективна инвестиционна схема, при условие че цялото участие в него се държи от или чрез физически лица или образувания, които не са лица, за които се предоставя информация, с изключение на пасивни нефинансови образувания с контролиращи лица, които са лица, за които се предоставя информация.</w:t>
      </w:r>
    </w:p>
    <w:p>
      <w:pPr>
        <w:pStyle w:val="ManualHeading2"/>
        <w:ind w:left="851" w:hanging="851"/>
        <w:rPr>
          <w:noProof/>
        </w:rPr>
      </w:pPr>
      <w:r>
        <w:rPr>
          <w:noProof/>
        </w:rPr>
        <w:t>В.</w:t>
      </w:r>
      <w:r>
        <w:rPr>
          <w:noProof/>
        </w:rPr>
        <w:tab/>
        <w:t>Финансова сметка</w:t>
      </w:r>
    </w:p>
    <w:p>
      <w:pPr>
        <w:pStyle w:val="Point1"/>
        <w:rPr>
          <w:noProof/>
        </w:rPr>
      </w:pPr>
      <w:r>
        <w:rPr>
          <w:noProof/>
        </w:rPr>
        <w:t>1.</w:t>
      </w:r>
      <w:r>
        <w:rPr>
          <w:noProof/>
        </w:rPr>
        <w:tab/>
        <w:t>Понятието „финансова сметка“ означава сметка, поддържана от финансова институция, и включва депозитна сметка, попечителска сметка и:</w:t>
      </w:r>
    </w:p>
    <w:p>
      <w:pPr>
        <w:pStyle w:val="Point2"/>
        <w:rPr>
          <w:noProof/>
        </w:rPr>
      </w:pPr>
      <w:r>
        <w:rPr>
          <w:noProof/>
        </w:rPr>
        <w:t>а)</w:t>
      </w:r>
      <w:r>
        <w:rPr>
          <w:noProof/>
        </w:rPr>
        <w:tab/>
        <w:t>в случай на инвестиционно образувание — всякакво капиталово или дългово участие във финансовата институция. Независимо от горното, понятието „финансова сметка“ не включва капиталово или дългово участие в образувание, което е инвестиционно образувание единствено поради факта, че i) предоставя инвестиционни консултации на или действа от името на, или ii) управлява портфолио за или действа от името на клиент за целите на инвестирането, управлението или администрирането на финансови активи, вложени на името на клиента във финансова институция, различна от такова образувание;</w:t>
      </w:r>
    </w:p>
    <w:p>
      <w:pPr>
        <w:pStyle w:val="Point2"/>
        <w:rPr>
          <w:noProof/>
        </w:rPr>
      </w:pPr>
      <w:r>
        <w:rPr>
          <w:noProof/>
        </w:rPr>
        <w:t>б)</w:t>
      </w:r>
      <w:r>
        <w:rPr>
          <w:noProof/>
        </w:rPr>
        <w:tab/>
        <w:t>в случай на финансова институция, която не е посочена в точка В.1, буква а) — всякакво капиталово или дългово участие във финансовата институция, ако класът на участието е установен с цел да се избегне предоставяне на информация в съответствие с раздел I; и</w:t>
      </w:r>
    </w:p>
    <w:p>
      <w:pPr>
        <w:pStyle w:val="Point2"/>
        <w:rPr>
          <w:noProof/>
        </w:rPr>
      </w:pPr>
      <w:r>
        <w:rPr>
          <w:noProof/>
        </w:rPr>
        <w:t>в)</w:t>
      </w:r>
      <w:r>
        <w:rPr>
          <w:noProof/>
        </w:rPr>
        <w:tab/>
        <w:t>всеки застрахователен договор с откупна стойност и всеки анюитетен договор, сключен или поддържан от финансова институция, освен несвързани с инвестиции, непрехвърлими, незабавно платими пожизнени анюитети, сключени с дадено лице за изплащане на обезщетения при пенсиониране или инвалидност, свързани със сметка, която е изключена сметка.</w:t>
      </w:r>
    </w:p>
    <w:p>
      <w:pPr>
        <w:pStyle w:val="Text2"/>
        <w:rPr>
          <w:noProof/>
        </w:rPr>
      </w:pPr>
      <w:r>
        <w:rPr>
          <w:noProof/>
        </w:rPr>
        <w:t>Понятието „финансова сметка“ не включва сметки, които са изключени сметки.</w:t>
      </w:r>
    </w:p>
    <w:p>
      <w:pPr>
        <w:pStyle w:val="Point1"/>
        <w:rPr>
          <w:noProof/>
        </w:rPr>
      </w:pPr>
      <w:r>
        <w:rPr>
          <w:noProof/>
        </w:rPr>
        <w:t>2.</w:t>
      </w:r>
      <w:r>
        <w:rPr>
          <w:noProof/>
        </w:rPr>
        <w:tab/>
        <w:t>Понятието „депозитна сметка“ включва всякакви търговски, разплащателни, спестовни, срочни или влогови сметки в търговски банки или сметки, които се удостоверяват с депозитен сертификат, сертификат за спестовна сметка, инвестиционен сертификат, дългов сертификат или друг подобен инструмент, поддържан от финансова институция при обичайното извършване на банкова дейност или подобна стопанска дейност. Депозитната сметка включва също сума, държана от застрахователно дружество по инвестиционен договор с гарантирана доходност или подобно споразумение за изплащане или начисляване на съответна лихва.</w:t>
      </w:r>
    </w:p>
    <w:p>
      <w:pPr>
        <w:pStyle w:val="Point1"/>
        <w:rPr>
          <w:noProof/>
        </w:rPr>
      </w:pPr>
      <w:r>
        <w:rPr>
          <w:noProof/>
        </w:rPr>
        <w:t>3.</w:t>
      </w:r>
      <w:r>
        <w:rPr>
          <w:noProof/>
        </w:rPr>
        <w:tab/>
        <w:t>Понятието „попечителска сметка“ означава сметка (освен застрахователен договор или анюитетен договор), по която се държат един или повече финансови активи в полза на друго лице.</w:t>
      </w:r>
    </w:p>
    <w:p>
      <w:pPr>
        <w:pStyle w:val="Point1"/>
        <w:rPr>
          <w:noProof/>
        </w:rPr>
      </w:pPr>
      <w:r>
        <w:rPr>
          <w:noProof/>
        </w:rPr>
        <w:t>4.</w:t>
      </w:r>
      <w:r>
        <w:rPr>
          <w:noProof/>
        </w:rPr>
        <w:tab/>
        <w:t>Понятието „капиталово участие“ означава, в случай на съдружие, което е финансова институция, участие в капитала или печалбите в дружеството. В случай на тръст, който е финансова институция, капиталовото участие се счита, че се държи от всяко лице, което е третирано като учредител или бенефициер на целия или на част от тръста, или на всяко друго физическо лице, което упражнява крайния действителен контрол върху тръста. Лице, за което се предоставя информация, се третира като бенефициер по тръста, ако такова лице има право да получава пряко или косвено (например чрез пълномощник) задължително разпределение или може да получава пряко или косвено разпределение от тръста по преценка на попечителя.</w:t>
      </w:r>
    </w:p>
    <w:p>
      <w:pPr>
        <w:pStyle w:val="Point1"/>
        <w:rPr>
          <w:noProof/>
        </w:rPr>
      </w:pPr>
      <w:r>
        <w:rPr>
          <w:noProof/>
        </w:rPr>
        <w:t>5.</w:t>
      </w:r>
      <w:r>
        <w:rPr>
          <w:noProof/>
        </w:rPr>
        <w:tab/>
        <w:t>Понятието „застрахователен договор“ означава договор (с изключение на анюитетен договор), по силата на който издателят на застрахователната полица се съгласява да изплати определена сума при настъпване на определено случайно събитие, включващо смърт, заболяване, злополука, отговорност или имуществен риск.</w:t>
      </w:r>
    </w:p>
    <w:p>
      <w:pPr>
        <w:pStyle w:val="Point1"/>
        <w:rPr>
          <w:noProof/>
        </w:rPr>
      </w:pPr>
      <w:r>
        <w:rPr>
          <w:noProof/>
        </w:rPr>
        <w:t>6.</w:t>
      </w:r>
      <w:r>
        <w:rPr>
          <w:noProof/>
        </w:rPr>
        <w:tab/>
        <w:t>Понятието „анюитетен договор“ означава договор, по който издателят се съгласява да извършва плащания за срок, определен изцяло или отчасти от продължителността на живота на едно или повече лица. Това понятие включва и договор, който се счита за анюитетен договор съгласно законите и подзаконовата нормативната уредба или практиката на държавата членка или друга юрисдикция, в която е сключен договорът, и по който издателят се съгласява да извършва плащания за определен брой години.</w:t>
      </w:r>
    </w:p>
    <w:p>
      <w:pPr>
        <w:pStyle w:val="Point1"/>
        <w:rPr>
          <w:noProof/>
        </w:rPr>
      </w:pPr>
      <w:r>
        <w:rPr>
          <w:noProof/>
        </w:rPr>
        <w:t>7.</w:t>
      </w:r>
      <w:r>
        <w:rPr>
          <w:noProof/>
        </w:rPr>
        <w:tab/>
        <w:t>Понятието „застрахователен договор с откупна стойност“ означава застрахователен договор (с изключение на презастрахователен договор за обезщетение, сключен между две застрахователни дружества), който има откупна стойност.</w:t>
      </w:r>
    </w:p>
    <w:p>
      <w:pPr>
        <w:pStyle w:val="Point1"/>
        <w:rPr>
          <w:noProof/>
        </w:rPr>
      </w:pPr>
      <w:r>
        <w:rPr>
          <w:noProof/>
        </w:rPr>
        <w:t>8.</w:t>
      </w:r>
      <w:r>
        <w:rPr>
          <w:noProof/>
        </w:rPr>
        <w:tab/>
        <w:t>Понятието „откупна стойност“ означава по-голямата стойност измежду i) сумата, която притежателят на полицата има право да получи при разваляне или прекратяване на договора (определена без намаление за евентуална такса при разваляне или заем по полицата), и ii) сумата, която притежателят на полицата може да заема съгласно или във връзка с договора. Независимо от горното, понятието „откупна стойност“ не включва сума, платима по застрахователен договор:</w:t>
      </w:r>
    </w:p>
    <w:p>
      <w:pPr>
        <w:pStyle w:val="Point2"/>
        <w:rPr>
          <w:noProof/>
        </w:rPr>
      </w:pPr>
      <w:r>
        <w:rPr>
          <w:noProof/>
        </w:rPr>
        <w:t>а)</w:t>
      </w:r>
      <w:r>
        <w:rPr>
          <w:noProof/>
        </w:rPr>
        <w:tab/>
        <w:t>единствено на основание смъртта на лице, застраховано по договор за животозастраховане;</w:t>
      </w:r>
    </w:p>
    <w:p>
      <w:pPr>
        <w:pStyle w:val="Point2"/>
        <w:rPr>
          <w:noProof/>
        </w:rPr>
      </w:pPr>
      <w:r>
        <w:rPr>
          <w:noProof/>
        </w:rPr>
        <w:t>б)</w:t>
      </w:r>
      <w:r>
        <w:rPr>
          <w:noProof/>
        </w:rPr>
        <w:tab/>
        <w:t>като обезщетение за претърпяна телесна повреда или заболяване или друго плащане, предоставящо обезщетение за претърпяна икономическа загуба вследствие на настъпването на застрахователното събитие;</w:t>
      </w:r>
    </w:p>
    <w:p>
      <w:pPr>
        <w:pStyle w:val="Point2"/>
        <w:rPr>
          <w:noProof/>
        </w:rPr>
      </w:pPr>
      <w:r>
        <w:rPr>
          <w:noProof/>
        </w:rPr>
        <w:t>в)</w:t>
      </w:r>
      <w:r>
        <w:rPr>
          <w:noProof/>
        </w:rPr>
        <w:tab/>
        <w:t>като възстановяване на изплатена преди това премия (по-нисък размер на застрахователните разходи, независимо дали са наложени в действителност) по застрахователен договор (с изключение на договор за животозастраховане, свързан с инвестиции, или анюитетен договор) поради разваляне или прекратяване на договора, намаляване на излагането на риск през действителния срок на договора или произтичащо от коригиране на съобщение или подобна грешка по отношение на премията за договора;</w:t>
      </w:r>
    </w:p>
    <w:p>
      <w:pPr>
        <w:pStyle w:val="Point2"/>
        <w:rPr>
          <w:noProof/>
        </w:rPr>
      </w:pPr>
      <w:r>
        <w:rPr>
          <w:noProof/>
        </w:rPr>
        <w:t>г)</w:t>
      </w:r>
      <w:r>
        <w:rPr>
          <w:noProof/>
        </w:rPr>
        <w:tab/>
        <w:t>като дивидент за притежателя на полицата (с изключение на дивидент при прекратяване), при условие че дивидентът е свързан със застрахователен договор, съгласно който единствените платими обезщетения са посочените в точка В.8, буква б); или</w:t>
      </w:r>
    </w:p>
    <w:p>
      <w:pPr>
        <w:pStyle w:val="Point2"/>
        <w:rPr>
          <w:noProof/>
        </w:rPr>
      </w:pPr>
      <w:r>
        <w:rPr>
          <w:noProof/>
        </w:rPr>
        <w:t>д)</w:t>
      </w:r>
      <w:r>
        <w:rPr>
          <w:noProof/>
        </w:rPr>
        <w:tab/>
        <w:t>като възстановяване на предварителна премия или премиен депозит за застрахователен договор, за който премията е платима най-малко ежегодно, ако размерът на авансовата премия или на премийния депозит не надвишава следващата годишна премия, която ще бъде платима по договора.</w:t>
      </w:r>
    </w:p>
    <w:p>
      <w:pPr>
        <w:pStyle w:val="Point1"/>
        <w:rPr>
          <w:noProof/>
        </w:rPr>
      </w:pPr>
      <w:r>
        <w:rPr>
          <w:noProof/>
        </w:rPr>
        <w:t>9.</w:t>
      </w:r>
      <w:r>
        <w:rPr>
          <w:noProof/>
        </w:rPr>
        <w:tab/>
        <w:t>Понятието „съществуваща сметка“ означава:</w:t>
      </w:r>
    </w:p>
    <w:p>
      <w:pPr>
        <w:pStyle w:val="Point2"/>
        <w:rPr>
          <w:noProof/>
        </w:rPr>
      </w:pPr>
      <w:r>
        <w:rPr>
          <w:noProof/>
        </w:rPr>
        <w:t>а)</w:t>
      </w:r>
      <w:r>
        <w:rPr>
          <w:noProof/>
        </w:rPr>
        <w:tab/>
        <w:t>финансова сметка, поддържана от предоставяща информация финансова институция, считано от 31 декември 2015 г.;</w:t>
      </w:r>
    </w:p>
    <w:p>
      <w:pPr>
        <w:pStyle w:val="Point2"/>
        <w:rPr>
          <w:noProof/>
        </w:rPr>
      </w:pPr>
      <w:r>
        <w:rPr>
          <w:noProof/>
        </w:rPr>
        <w:t>б)</w:t>
      </w:r>
      <w:r>
        <w:rPr>
          <w:noProof/>
        </w:rPr>
        <w:tab/>
        <w:t>всяка финансова сметка на титуляр на сметка, независимо от датата, на която тази финансова сметка е била открита, ако:</w:t>
      </w:r>
    </w:p>
    <w:p>
      <w:pPr>
        <w:pStyle w:val="Point3"/>
        <w:rPr>
          <w:noProof/>
        </w:rPr>
      </w:pPr>
      <w:r>
        <w:rPr>
          <w:noProof/>
        </w:rPr>
        <w:t>i)</w:t>
      </w:r>
      <w:r>
        <w:rPr>
          <w:noProof/>
        </w:rPr>
        <w:tab/>
        <w:t>титулярят на сметката притежава в предоставящата информация финансова институция (или в свързано образувание в същата държава членка, в която се намира предоставящата информация финансова институция) и финансова сметка, която е съществуваща сметка по смисъла на точка В.9, буква а);</w:t>
      </w:r>
    </w:p>
    <w:p>
      <w:pPr>
        <w:pStyle w:val="Point3"/>
        <w:rPr>
          <w:noProof/>
        </w:rPr>
      </w:pPr>
      <w:r>
        <w:rPr>
          <w:noProof/>
        </w:rPr>
        <w:t>ii)</w:t>
      </w:r>
      <w:r>
        <w:rPr>
          <w:noProof/>
        </w:rPr>
        <w:tab/>
        <w:t>предоставящата информация финансова институция (и когато е приложимо, свързаното образувание в същата държава членка, в която се намира предоставящата информация финансова институция) третира и двете посочени по-горе финансови сметки и всяка друга финансова сметка на титуляря на сметки, които се третират като съществуващи сметки по смисъла на буква б), като единна финансова сметка за целите на изпълнението на изискванията за стандартите за познаване на клиента, установени в раздел VII, точка A, и за целите на определянето на наличността или стойността на всяка от финансовите сметки, когато се прилагат прагове за наличност по сметки;</w:t>
      </w:r>
    </w:p>
    <w:p>
      <w:pPr>
        <w:pStyle w:val="Point3"/>
        <w:rPr>
          <w:noProof/>
        </w:rPr>
      </w:pPr>
      <w:r>
        <w:rPr>
          <w:noProof/>
        </w:rPr>
        <w:t>iii)</w:t>
      </w:r>
      <w:r>
        <w:rPr>
          <w:noProof/>
        </w:rPr>
        <w:tab/>
        <w:t>при финансова сметка, за която се прилагат AML/KYC процедури, се приема,че предоставящата информация финансова институция е приложила тези AML/KYC процедури за финансовата сметка чрез прилагането на</w:t>
      </w:r>
      <w:r>
        <w:rPr>
          <w:noProof/>
          <w:lang w:val="en-IE"/>
        </w:rPr>
        <w:t> </w:t>
      </w:r>
      <w:r>
        <w:rPr>
          <w:noProof/>
        </w:rPr>
        <w:t>AML/KYC процедурите, приложени за съществуващата сметка по точка В.9, буква а); и</w:t>
      </w:r>
    </w:p>
    <w:p>
      <w:pPr>
        <w:pStyle w:val="Point3"/>
        <w:rPr>
          <w:noProof/>
        </w:rPr>
      </w:pPr>
      <w:r>
        <w:rPr>
          <w:noProof/>
        </w:rPr>
        <w:t>iv)</w:t>
      </w:r>
      <w:r>
        <w:rPr>
          <w:noProof/>
        </w:rPr>
        <w:tab/>
        <w:t>откриването на финансовата сметка не изисква предоставяне на нова, допълнителна или изменена информация за клиента от титуляря на сметката, освен за целите на настоящата директива.</w:t>
      </w:r>
    </w:p>
    <w:p>
      <w:pPr>
        <w:pStyle w:val="Point1"/>
        <w:rPr>
          <w:noProof/>
        </w:rPr>
      </w:pPr>
      <w:r>
        <w:rPr>
          <w:noProof/>
        </w:rPr>
        <w:t>10.</w:t>
      </w:r>
      <w:r>
        <w:rPr>
          <w:noProof/>
        </w:rPr>
        <w:tab/>
        <w:t>Понятието „нова сметка“ означава финансова сметка, поддържана от предоставяща информация финансова институция, открита на или след 1 януари 2016 г., освен когато тя се третира като съществуваща сметка по точка В.9, буква б).</w:t>
      </w:r>
    </w:p>
    <w:p>
      <w:pPr>
        <w:pStyle w:val="Point1"/>
        <w:rPr>
          <w:noProof/>
        </w:rPr>
      </w:pPr>
      <w:r>
        <w:rPr>
          <w:noProof/>
        </w:rPr>
        <w:t>11.</w:t>
      </w:r>
      <w:r>
        <w:rPr>
          <w:noProof/>
        </w:rPr>
        <w:tab/>
        <w:t>Понятието „съществуваща сметка на физическо лице“ означава съществуваща сметка с титуляр едно или повече физически лица.</w:t>
      </w:r>
    </w:p>
    <w:p>
      <w:pPr>
        <w:pStyle w:val="Point1"/>
        <w:rPr>
          <w:noProof/>
        </w:rPr>
      </w:pPr>
      <w:r>
        <w:rPr>
          <w:noProof/>
        </w:rPr>
        <w:t>12.</w:t>
      </w:r>
      <w:r>
        <w:rPr>
          <w:noProof/>
        </w:rPr>
        <w:tab/>
        <w:t>Понятието „нова сметка на физическо лице“ означава нова сметка с титуляр едно или повече физически лица.</w:t>
      </w:r>
    </w:p>
    <w:p>
      <w:pPr>
        <w:pStyle w:val="Point1"/>
        <w:rPr>
          <w:noProof/>
        </w:rPr>
      </w:pPr>
      <w:r>
        <w:rPr>
          <w:noProof/>
        </w:rPr>
        <w:t>13.</w:t>
      </w:r>
      <w:r>
        <w:rPr>
          <w:noProof/>
        </w:rPr>
        <w:tab/>
        <w:t>Понятието „съществуваща сметка на образувание“ означава съществуваща сметка с титуляр едно или повече образувания.</w:t>
      </w:r>
    </w:p>
    <w:p>
      <w:pPr>
        <w:pStyle w:val="Point1"/>
        <w:rPr>
          <w:noProof/>
        </w:rPr>
      </w:pPr>
      <w:r>
        <w:rPr>
          <w:noProof/>
        </w:rPr>
        <w:t>14.</w:t>
      </w:r>
      <w:r>
        <w:rPr>
          <w:noProof/>
        </w:rPr>
        <w:tab/>
        <w:t>Понятието „сметка на малка стойност“ означава съществуваща сметка на физическо лице със сумирана наличност или стойност към</w:t>
      </w:r>
      <w:r>
        <w:rPr>
          <w:noProof/>
          <w:lang w:val="en-IE"/>
        </w:rPr>
        <w:t> </w:t>
      </w:r>
      <w:r>
        <w:rPr>
          <w:noProof/>
        </w:rPr>
        <w:t>31</w:t>
      </w:r>
      <w:r>
        <w:rPr>
          <w:noProof/>
          <w:lang w:val="en-IE"/>
        </w:rPr>
        <w:t> </w:t>
      </w:r>
      <w:r>
        <w:rPr>
          <w:noProof/>
        </w:rPr>
        <w:t>декември</w:t>
      </w:r>
      <w:r>
        <w:rPr>
          <w:noProof/>
          <w:lang w:val="en-IE"/>
        </w:rPr>
        <w:t> </w:t>
      </w:r>
      <w:r>
        <w:rPr>
          <w:noProof/>
        </w:rPr>
        <w:t>2015 г., които не надвишават сума, деноминирана в националната валута на всяка държава членка, която съответства на 1</w:t>
      </w:r>
      <w:r>
        <w:rPr>
          <w:noProof/>
          <w:lang w:val="en-IE"/>
        </w:rPr>
        <w:t> </w:t>
      </w:r>
      <w:r>
        <w:rPr>
          <w:noProof/>
        </w:rPr>
        <w:t>000</w:t>
      </w:r>
      <w:r>
        <w:rPr>
          <w:noProof/>
          <w:lang w:val="en-IE"/>
        </w:rPr>
        <w:t> </w:t>
      </w:r>
      <w:r>
        <w:rPr>
          <w:noProof/>
        </w:rPr>
        <w:t>000 USD.</w:t>
      </w:r>
    </w:p>
    <w:p>
      <w:pPr>
        <w:pStyle w:val="Point1"/>
        <w:rPr>
          <w:noProof/>
        </w:rPr>
      </w:pPr>
      <w:r>
        <w:rPr>
          <w:noProof/>
        </w:rPr>
        <w:t>15.</w:t>
      </w:r>
      <w:r>
        <w:rPr>
          <w:noProof/>
        </w:rPr>
        <w:tab/>
        <w:t>Понятието „сметка на голяма стойност“ означава съществуваща сметка на физическо лице със сумирана наличност или стойност към 31 декември 2015 г. или 31 декември на всяка следваща година, които надвишават сума, деноминирана в националната валута на всяка държава членка, която съответства на 1</w:t>
      </w:r>
      <w:r>
        <w:rPr>
          <w:noProof/>
          <w:lang w:val="en-IE"/>
        </w:rPr>
        <w:t> </w:t>
      </w:r>
      <w:r>
        <w:rPr>
          <w:noProof/>
        </w:rPr>
        <w:t>000</w:t>
      </w:r>
      <w:r>
        <w:rPr>
          <w:noProof/>
          <w:lang w:val="en-IE"/>
        </w:rPr>
        <w:t> </w:t>
      </w:r>
      <w:r>
        <w:rPr>
          <w:noProof/>
        </w:rPr>
        <w:t>000 USD.</w:t>
      </w:r>
    </w:p>
    <w:p>
      <w:pPr>
        <w:pStyle w:val="Point1"/>
        <w:rPr>
          <w:noProof/>
        </w:rPr>
      </w:pPr>
      <w:r>
        <w:rPr>
          <w:noProof/>
        </w:rPr>
        <w:t>16.</w:t>
      </w:r>
      <w:r>
        <w:rPr>
          <w:noProof/>
        </w:rPr>
        <w:tab/>
        <w:t>Понятието „нова сметка на образувание“ означава нова сметка с титуляр едно или повече образувания.</w:t>
      </w:r>
    </w:p>
    <w:p>
      <w:pPr>
        <w:pStyle w:val="Point1"/>
        <w:rPr>
          <w:noProof/>
        </w:rPr>
      </w:pPr>
      <w:r>
        <w:rPr>
          <w:noProof/>
        </w:rPr>
        <w:t>17.</w:t>
      </w:r>
      <w:r>
        <w:rPr>
          <w:noProof/>
        </w:rPr>
        <w:tab/>
        <w:t>Понятието „изключена сметка“ означава една от следните сметки:</w:t>
      </w:r>
    </w:p>
    <w:p>
      <w:pPr>
        <w:pStyle w:val="Point2"/>
        <w:rPr>
          <w:noProof/>
        </w:rPr>
      </w:pPr>
      <w:r>
        <w:rPr>
          <w:noProof/>
        </w:rPr>
        <w:t>а)</w:t>
      </w:r>
      <w:r>
        <w:rPr>
          <w:noProof/>
        </w:rPr>
        <w:tab/>
        <w:t>Пенсионна сметка, която отговаря на следните изисквания:</w:t>
      </w:r>
    </w:p>
    <w:p>
      <w:pPr>
        <w:pStyle w:val="Point3"/>
        <w:rPr>
          <w:noProof/>
        </w:rPr>
      </w:pPr>
      <w:r>
        <w:rPr>
          <w:noProof/>
        </w:rPr>
        <w:t>i)</w:t>
      </w:r>
      <w:r>
        <w:rPr>
          <w:noProof/>
        </w:rPr>
        <w:tab/>
        <w:t>сметката подлежи на регулиране като лична пенсионна сметка или е част от регистрирана или регулирана пенсионна схема за изплащане на обезщетения при пенсиониране (включително на обезщетения при инвалидност или смърт);</w:t>
      </w:r>
    </w:p>
    <w:p>
      <w:pPr>
        <w:pStyle w:val="Point3"/>
        <w:rPr>
          <w:noProof/>
        </w:rPr>
      </w:pPr>
      <w:r>
        <w:rPr>
          <w:noProof/>
        </w:rPr>
        <w:t>ii)</w:t>
      </w:r>
      <w:r>
        <w:rPr>
          <w:noProof/>
        </w:rPr>
        <w:tab/>
        <w:t>сметката се облага при по-благоприятни условия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с намалена ставка, или облагането на доход от инвестиции по сметката се отсрочва или се извършва по намалена ставка);</w:t>
      </w:r>
    </w:p>
    <w:p>
      <w:pPr>
        <w:pStyle w:val="Point3"/>
        <w:rPr>
          <w:noProof/>
        </w:rPr>
      </w:pPr>
      <w:r>
        <w:rPr>
          <w:noProof/>
        </w:rPr>
        <w:t>iii)</w:t>
      </w:r>
      <w:r>
        <w:rPr>
          <w:noProof/>
        </w:rPr>
        <w:tab/>
        <w:t>изисква се предоставяне на информация относно сметката на данъчните органи;</w:t>
      </w:r>
    </w:p>
    <w:p>
      <w:pPr>
        <w:pStyle w:val="Point3"/>
        <w:rPr>
          <w:noProof/>
        </w:rPr>
      </w:pPr>
      <w:r>
        <w:rPr>
          <w:noProof/>
        </w:rPr>
        <w:t>iv)</w:t>
      </w:r>
      <w:r>
        <w:rPr>
          <w:noProof/>
        </w:rPr>
        <w:tab/>
        <w:t>тегленията се извършват, при условие че е достигната определена възраст за пенсиониране или са настъпили инвалидност или смърт, а за тегления преди настъпването на такива определени събития се налагат санкции; и</w:t>
      </w:r>
    </w:p>
    <w:p>
      <w:pPr>
        <w:pStyle w:val="Point3"/>
        <w:rPr>
          <w:noProof/>
        </w:rPr>
      </w:pPr>
      <w:r>
        <w:rPr>
          <w:noProof/>
        </w:rPr>
        <w:t>v)</w:t>
      </w:r>
      <w:r>
        <w:rPr>
          <w:noProof/>
        </w:rPr>
        <w:tab/>
        <w:t>или i) годишните вноски са ограничени до сума, деноминирана в националната валута на всяка държава членка, която съответства на 50</w:t>
      </w:r>
      <w:r>
        <w:rPr>
          <w:noProof/>
          <w:lang w:val="en-IE"/>
        </w:rPr>
        <w:t> </w:t>
      </w:r>
      <w:r>
        <w:rPr>
          <w:noProof/>
        </w:rPr>
        <w:t>000 USD или по-малко, или ii) е определена максимална граница на вноските по сметката за цялата продължителност на живота до сума, деноминирана в националната валута на всяка държава членка, която съответства на 1</w:t>
      </w:r>
      <w:r>
        <w:rPr>
          <w:noProof/>
          <w:lang w:val="en-IE"/>
        </w:rPr>
        <w:t> </w:t>
      </w:r>
      <w:r>
        <w:rPr>
          <w:noProof/>
        </w:rPr>
        <w:t>000</w:t>
      </w:r>
      <w:r>
        <w:rPr>
          <w:noProof/>
          <w:lang w:val="en-IE"/>
        </w:rPr>
        <w:t> </w:t>
      </w:r>
      <w:r>
        <w:rPr>
          <w:noProof/>
        </w:rPr>
        <w:t>000 USD или по-малко, като във всеки случай се прилагат правилата, установени в раздел VII, точка В, за сумиране на сметки и конвертиране на валута.</w:t>
      </w:r>
    </w:p>
    <w:p>
      <w:pPr>
        <w:pStyle w:val="Text3"/>
        <w:rPr>
          <w:noProof/>
        </w:rPr>
      </w:pPr>
      <w:r>
        <w:rPr>
          <w:noProof/>
        </w:rPr>
        <w:t>За финансова сметка, която иначе отговаря на изискването по точка В.17, буква а), подточка 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точка В.17, буква а) или б), или от един или повече пенсионни фондове, които отговарят на изискванията на точки Б.5</w:t>
      </w:r>
      <w:r>
        <w:rPr>
          <w:noProof/>
          <w:lang w:val="en-IE"/>
        </w:rPr>
        <w:t> </w:t>
      </w:r>
      <w:r>
        <w:rPr>
          <w:noProof/>
        </w:rPr>
        <w:t>—</w:t>
      </w:r>
      <w:r>
        <w:rPr>
          <w:noProof/>
          <w:lang w:val="en-IE"/>
        </w:rPr>
        <w:t> </w:t>
      </w:r>
      <w:r>
        <w:rPr>
          <w:noProof/>
        </w:rPr>
        <w:t>Б.7.</w:t>
      </w:r>
    </w:p>
    <w:p>
      <w:pPr>
        <w:pStyle w:val="Point2"/>
        <w:rPr>
          <w:noProof/>
        </w:rPr>
      </w:pPr>
      <w:r>
        <w:rPr>
          <w:noProof/>
        </w:rPr>
        <w:t>б)</w:t>
      </w:r>
      <w:r>
        <w:rPr>
          <w:noProof/>
        </w:rPr>
        <w:tab/>
        <w:t>Сметка, която отговаря на следните изисквания:</w:t>
      </w:r>
    </w:p>
    <w:p>
      <w:pPr>
        <w:pStyle w:val="Point3"/>
        <w:rPr>
          <w:noProof/>
        </w:rPr>
      </w:pPr>
      <w:r>
        <w:rPr>
          <w:noProof/>
        </w:rPr>
        <w:t>i)</w:t>
      </w:r>
      <w:r>
        <w:rPr>
          <w:noProof/>
        </w:rPr>
        <w:tab/>
        <w:t>сметката подлежи на регулиране като инвестиционна схема за цели, различни от пенсиониране, и се търгува редовно на установен пазар на ценни книжа или подлежи на регулиране като спестовна схема за цели, различни от пенсиониране;</w:t>
      </w:r>
    </w:p>
    <w:p>
      <w:pPr>
        <w:pStyle w:val="Point3"/>
        <w:rPr>
          <w:noProof/>
        </w:rPr>
      </w:pPr>
      <w:r>
        <w:rPr>
          <w:noProof/>
        </w:rPr>
        <w:t>ii)</w:t>
      </w:r>
      <w:r>
        <w:rPr>
          <w:noProof/>
        </w:rPr>
        <w:tab/>
        <w:t>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 от инвестиции по сметката се отсрочва или се извършва по намалена ставка);</w:t>
      </w:r>
    </w:p>
    <w:p>
      <w:pPr>
        <w:pStyle w:val="Point3"/>
        <w:rPr>
          <w:noProof/>
        </w:rPr>
      </w:pPr>
      <w:r>
        <w:rPr>
          <w:noProof/>
        </w:rPr>
        <w:t>iii)</w:t>
      </w:r>
      <w:r>
        <w:rPr>
          <w:noProof/>
        </w:rPr>
        <w:tab/>
        <w:t>тегленията се извършват, при условие че отговарят на специфични критерии, свързани с целта на инвестиционната или спестовната сметка (например предоставяне на образователни или медицински придобивки), а за тегления, извършени преди такива критерии да са изпълнени, се налагат санкции; и</w:t>
      </w:r>
    </w:p>
    <w:p>
      <w:pPr>
        <w:pStyle w:val="Point3"/>
        <w:rPr>
          <w:noProof/>
        </w:rPr>
      </w:pPr>
      <w:r>
        <w:rPr>
          <w:noProof/>
        </w:rPr>
        <w:t>iv)</w:t>
      </w:r>
      <w:r>
        <w:rPr>
          <w:noProof/>
        </w:rPr>
        <w:tab/>
        <w:t>годишните вноски са ограничени до сума, деноминирана в националната валута на всяка държава членка, която съответства на 50</w:t>
      </w:r>
      <w:r>
        <w:rPr>
          <w:noProof/>
          <w:lang w:val="en-IE"/>
        </w:rPr>
        <w:t> </w:t>
      </w:r>
      <w:r>
        <w:rPr>
          <w:noProof/>
        </w:rPr>
        <w:t>000 USD или по-малко, като се прилагат правилата, установени в раздел VII, точка В, за сумиране на сметки и конвертиране на валута.</w:t>
      </w:r>
    </w:p>
    <w:p>
      <w:pPr>
        <w:pStyle w:val="Text3"/>
        <w:rPr>
          <w:noProof/>
        </w:rPr>
      </w:pPr>
      <w:r>
        <w:rPr>
          <w:noProof/>
        </w:rPr>
        <w:t>За финансова сметка, която иначе отговаря на изискването по точка</w:t>
      </w:r>
      <w:r>
        <w:rPr>
          <w:noProof/>
          <w:lang w:val="en-IE"/>
        </w:rPr>
        <w:t> </w:t>
      </w:r>
      <w:r>
        <w:rPr>
          <w:noProof/>
        </w:rPr>
        <w:t>В.17, буква б), подточка iv),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точка В.17, буква а) или б), или от един или повече пенсионни фондове, които отговарят на изискванията на точки Б.5</w:t>
      </w:r>
      <w:r>
        <w:rPr>
          <w:noProof/>
          <w:lang w:val="en-IE"/>
        </w:rPr>
        <w:t> </w:t>
      </w:r>
      <w:r>
        <w:rPr>
          <w:noProof/>
        </w:rPr>
        <w:t>—</w:t>
      </w:r>
      <w:r>
        <w:rPr>
          <w:noProof/>
          <w:lang w:val="en-IE"/>
        </w:rPr>
        <w:t> </w:t>
      </w:r>
      <w:r>
        <w:rPr>
          <w:noProof/>
        </w:rPr>
        <w:t>Б.7.</w:t>
      </w:r>
    </w:p>
    <w:p>
      <w:pPr>
        <w:pStyle w:val="Point2"/>
        <w:rPr>
          <w:noProof/>
        </w:rPr>
      </w:pPr>
      <w:r>
        <w:rPr>
          <w:noProof/>
        </w:rPr>
        <w:t>в)</w:t>
      </w:r>
      <w:r>
        <w:rPr>
          <w:noProof/>
        </w:rPr>
        <w:tab/>
        <w:t>Договор за животозастраховане със застрахователен период, който ще изтече преди застрахованото лице да навърши 90-годишна възраст, при условие че договорът отговаря на следните изисквания:</w:t>
      </w:r>
    </w:p>
    <w:p>
      <w:pPr>
        <w:pStyle w:val="Point3"/>
        <w:rPr>
          <w:noProof/>
        </w:rPr>
      </w:pPr>
      <w:r>
        <w:rPr>
          <w:noProof/>
        </w:rPr>
        <w:t>i)</w:t>
      </w:r>
      <w:r>
        <w:rPr>
          <w:noProof/>
        </w:rPr>
        <w:tab/>
        <w:t>периодичните застрахователни премии, които не намаляват с времето, се изплащат най-малко веднъж годишно през по-краткия от следните два периода: периода на действие на договора или докато застрахованото лице навърши 90-годишна възраст;</w:t>
      </w:r>
    </w:p>
    <w:p>
      <w:pPr>
        <w:pStyle w:val="Point3"/>
        <w:rPr>
          <w:noProof/>
        </w:rPr>
      </w:pPr>
      <w:r>
        <w:rPr>
          <w:noProof/>
        </w:rPr>
        <w:t>ii)</w:t>
      </w:r>
      <w:r>
        <w:rPr>
          <w:noProof/>
        </w:rPr>
        <w:tab/>
        <w:t>договорът няма договорна стойност, до която някое лице да може да има достъп (чрез теглене, заем или по друг начин), без това да изисква прекратяване на договора;</w:t>
      </w:r>
    </w:p>
    <w:p>
      <w:pPr>
        <w:pStyle w:val="Point3"/>
        <w:rPr>
          <w:noProof/>
        </w:rPr>
      </w:pPr>
      <w:r>
        <w:rPr>
          <w:noProof/>
        </w:rPr>
        <w:t>iii)</w:t>
      </w:r>
      <w:r>
        <w:rPr>
          <w:noProof/>
        </w:rPr>
        <w:tab/>
        <w:t>сумата (освен в случай на обезщетение при смърт), платима при разваляне или прекратяване на договора, не може да надвишава съвкупните премии, изплатени по договора, минус сбора от таксите при смърт, заболяване и разходи (независимо дали са наложени в действителност) за периода или периодите на действие на договора и всяка сума, платена преди развалянето или прекратяването на договора; и</w:t>
      </w:r>
    </w:p>
    <w:p>
      <w:pPr>
        <w:pStyle w:val="Point3"/>
        <w:rPr>
          <w:noProof/>
        </w:rPr>
      </w:pPr>
      <w:r>
        <w:rPr>
          <w:noProof/>
        </w:rPr>
        <w:t>iv)</w:t>
      </w:r>
      <w:r>
        <w:rPr>
          <w:noProof/>
        </w:rPr>
        <w:tab/>
        <w:t>страна по договора не е приобретател срещу възнаграждение.</w:t>
      </w:r>
    </w:p>
    <w:p>
      <w:pPr>
        <w:pStyle w:val="Point2"/>
        <w:rPr>
          <w:noProof/>
        </w:rPr>
      </w:pPr>
      <w:r>
        <w:rPr>
          <w:noProof/>
        </w:rPr>
        <w:t>г)</w:t>
      </w:r>
      <w:r>
        <w:rPr>
          <w:noProof/>
        </w:rPr>
        <w:tab/>
        <w:t>Сметка с титуляр наследствена маса, ако документацията за такава сметка съдържа препис от завещанието на починалия или от акта за смърт.</w:t>
      </w:r>
    </w:p>
    <w:p>
      <w:pPr>
        <w:pStyle w:val="Point2"/>
        <w:rPr>
          <w:noProof/>
        </w:rPr>
      </w:pPr>
      <w:r>
        <w:rPr>
          <w:noProof/>
        </w:rPr>
        <w:t>д)</w:t>
      </w:r>
      <w:r>
        <w:rPr>
          <w:noProof/>
        </w:rPr>
        <w:tab/>
        <w:t>Сметка, открита във връзка с едно от следните:</w:t>
      </w:r>
    </w:p>
    <w:p>
      <w:pPr>
        <w:pStyle w:val="Point3"/>
        <w:rPr>
          <w:noProof/>
        </w:rPr>
      </w:pPr>
      <w:r>
        <w:rPr>
          <w:noProof/>
        </w:rPr>
        <w:t>i)</w:t>
      </w:r>
      <w:r>
        <w:rPr>
          <w:noProof/>
        </w:rPr>
        <w:tab/>
        <w:t>съдебно разпореждане или решение;</w:t>
      </w:r>
    </w:p>
    <w:p>
      <w:pPr>
        <w:pStyle w:val="Point3"/>
        <w:rPr>
          <w:noProof/>
        </w:rPr>
      </w:pPr>
      <w:r>
        <w:rPr>
          <w:noProof/>
        </w:rPr>
        <w:t>ii)</w:t>
      </w:r>
      <w:r>
        <w:rPr>
          <w:noProof/>
        </w:rPr>
        <w:tab/>
        <w:t>продажба, замяна или наем на недвижимо имущество или на лични вещи, при условие че сметката отговаря на следните изисквания:</w:t>
      </w:r>
    </w:p>
    <w:p>
      <w:pPr>
        <w:pStyle w:val="Tiret4"/>
        <w:numPr>
          <w:ilvl w:val="0"/>
          <w:numId w:val="6"/>
        </w:numPr>
        <w:rPr>
          <w:noProof/>
        </w:rPr>
      </w:pPr>
      <w:r>
        <w:rPr>
          <w:noProof/>
        </w:rPr>
        <w:t>сметката се финансира единствено с авансово плащане, задатък, депозит на подходяща сума за обезпечаване на задължение, което произтича пряко от сделката, или подобно плащане или се финансира с финансов актив, който е вложен по сметката във връзка с продажба, замяна или наем на имущество,</w:t>
      </w:r>
    </w:p>
    <w:p>
      <w:pPr>
        <w:pStyle w:val="Tiret4"/>
        <w:rPr>
          <w:noProof/>
        </w:rPr>
      </w:pPr>
      <w:r>
        <w:rPr>
          <w:noProof/>
        </w:rPr>
        <w:t>сметката е открита и се използва единствено, за да обезпечи задължението на купувача да заплати покупната цена за имуществото, на продавача да заплати условно задължение или на наемодателя или наемателя да заплати обезщетение за вреди, свързани с отдаденото под наем имущество, както е предвидено в договора за наем,</w:t>
      </w:r>
    </w:p>
    <w:p>
      <w:pPr>
        <w:pStyle w:val="Tiret4"/>
        <w:rPr>
          <w:noProof/>
        </w:rPr>
      </w:pPr>
      <w:r>
        <w:rPr>
          <w:noProof/>
        </w:rPr>
        <w:t>активите по сметката, включително получения от нея доход, се изплащат или се разпределят по друг начин в полза на купувача, продавача, наемодателя или наемателя (включително за изпълнение на задължение на такова лице) при продажба, замяна или отказ от собственост или при прекратяване на договора за наем,</w:t>
      </w:r>
    </w:p>
    <w:p>
      <w:pPr>
        <w:pStyle w:val="Tiret4"/>
        <w:rPr>
          <w:noProof/>
        </w:rPr>
      </w:pPr>
      <w:r>
        <w:rPr>
          <w:noProof/>
        </w:rPr>
        <w:t>сметката не е гаранционна сметка по марждин сделки или подобен вид сметка, открита във връзка с продажба или замяна на финансов актив, и</w:t>
      </w:r>
    </w:p>
    <w:p>
      <w:pPr>
        <w:pStyle w:val="Tiret4"/>
        <w:rPr>
          <w:noProof/>
        </w:rPr>
      </w:pPr>
      <w:r>
        <w:rPr>
          <w:noProof/>
        </w:rPr>
        <w:t>сметката не се свързва със сметка, посочена в точка</w:t>
      </w:r>
      <w:r>
        <w:rPr>
          <w:noProof/>
          <w:lang w:val="en-IE"/>
        </w:rPr>
        <w:t> </w:t>
      </w:r>
      <w:r>
        <w:rPr>
          <w:noProof/>
        </w:rPr>
        <w:t>В.17, буква е);</w:t>
      </w:r>
    </w:p>
    <w:p>
      <w:pPr>
        <w:pStyle w:val="Point3"/>
        <w:rPr>
          <w:noProof/>
        </w:rPr>
      </w:pPr>
      <w:r>
        <w:rPr>
          <w:noProof/>
        </w:rPr>
        <w:t>iii)</w:t>
      </w:r>
      <w:r>
        <w:rPr>
          <w:noProof/>
        </w:rPr>
        <w:tab/>
        <w:t>задължение на финансова институция, обслужваща обезпечен с недвижимо имущество заем, да задържи част от плащането единствено с цел улесняване на плащането на по-късен етап на данъци или застраховки, свързани с недвижимото имущество;</w:t>
      </w:r>
    </w:p>
    <w:p>
      <w:pPr>
        <w:pStyle w:val="Point3"/>
        <w:rPr>
          <w:noProof/>
        </w:rPr>
      </w:pPr>
      <w:r>
        <w:rPr>
          <w:noProof/>
        </w:rPr>
        <w:t>iv)</w:t>
      </w:r>
      <w:r>
        <w:rPr>
          <w:noProof/>
        </w:rPr>
        <w:tab/>
        <w:t>задължение на финансова институция единствено да улесни плащането на данъци на по-късен етап.</w:t>
      </w:r>
    </w:p>
    <w:p>
      <w:pPr>
        <w:pStyle w:val="Point2"/>
        <w:rPr>
          <w:noProof/>
        </w:rPr>
      </w:pPr>
      <w:r>
        <w:rPr>
          <w:noProof/>
        </w:rPr>
        <w:t>е)</w:t>
      </w:r>
      <w:r>
        <w:rPr>
          <w:noProof/>
        </w:rPr>
        <w:tab/>
        <w:t>Депозитна сметка, която отговаря на следните изисквания:</w:t>
      </w:r>
    </w:p>
    <w:p>
      <w:pPr>
        <w:pStyle w:val="Point3"/>
        <w:rPr>
          <w:noProof/>
        </w:rPr>
      </w:pPr>
      <w:r>
        <w:rPr>
          <w:noProof/>
        </w:rPr>
        <w:t>i)</w:t>
      </w:r>
      <w:r>
        <w:rPr>
          <w:noProof/>
        </w:rPr>
        <w:tab/>
        <w:t>сметката съществува единствено поради това, че клиент извършва плащане над дължимата наличност по кредитна карта или друг механизъм за револвиращ кредит, и надплатената сума не се възстановява незабавно на клиента; и</w:t>
      </w:r>
    </w:p>
    <w:p>
      <w:pPr>
        <w:pStyle w:val="Point3"/>
        <w:rPr>
          <w:noProof/>
        </w:rPr>
      </w:pPr>
      <w:r>
        <w:rPr>
          <w:noProof/>
        </w:rPr>
        <w:t>ii)</w:t>
      </w:r>
      <w:r>
        <w:rPr>
          <w:noProof/>
        </w:rPr>
        <w:tab/>
        <w:t>финансовата институция прилага политики и процедури, които не позволяват на клиента да извърши надплащане над сума, деноминирана в националната валута на всяка държава членка, която съответства на 50</w:t>
      </w:r>
      <w:r>
        <w:rPr>
          <w:noProof/>
          <w:lang w:val="en-IE"/>
        </w:rPr>
        <w:t> </w:t>
      </w:r>
      <w:r>
        <w:rPr>
          <w:noProof/>
        </w:rPr>
        <w:t>000 USD, или гарантират, че всяко надплащане от клиент, което надвишава тази сума, се възстановява на клиента в рамките на 60 дни, като при всеки случай се прилагат правилата, установени в раздел VII, точка</w:t>
      </w:r>
      <w:r>
        <w:rPr>
          <w:noProof/>
          <w:lang w:val="en-IE"/>
        </w:rPr>
        <w:t> </w:t>
      </w:r>
      <w:r>
        <w:rPr>
          <w:noProof/>
        </w:rPr>
        <w:t>В за конвертиране на валута. За тази цел извършеното от клиента надплащане не се отнася до кредитните наличности за оспорени такси, но включва кредитни наличности от връщане на стоки.</w:t>
      </w:r>
    </w:p>
    <w:p>
      <w:pPr>
        <w:pStyle w:val="Point2"/>
        <w:rPr>
          <w:noProof/>
        </w:rPr>
      </w:pPr>
      <w:r>
        <w:rPr>
          <w:noProof/>
        </w:rPr>
        <w:t>ж)</w:t>
      </w:r>
      <w:r>
        <w:rPr>
          <w:noProof/>
        </w:rPr>
        <w:tab/>
        <w:t>Всяка друга сметка, характеризираща се с малък риск да бъде използвана за избягване на данъци, с характеристики, които са до голяма степен подобни на някоя от сметките, описани в точка В.17, букви а)</w:t>
      </w:r>
      <w:r>
        <w:rPr>
          <w:noProof/>
          <w:lang w:val="en-IE"/>
        </w:rPr>
        <w:t> </w:t>
      </w:r>
      <w:r>
        <w:rPr>
          <w:noProof/>
        </w:rPr>
        <w:t>—</w:t>
      </w:r>
      <w:r>
        <w:rPr>
          <w:noProof/>
          <w:lang w:val="en-IE"/>
        </w:rPr>
        <w:t> </w:t>
      </w:r>
      <w:r>
        <w:rPr>
          <w:noProof/>
        </w:rPr>
        <w:t>е), която е включена в списъка на изключените сметки по член 8, параграф 7, при условие че статусът на такава сметка като изключена сметка не възпрепятства постигането на целите на настоящата директива.</w:t>
      </w:r>
    </w:p>
    <w:p>
      <w:pPr>
        <w:pStyle w:val="ManualHeading2"/>
        <w:ind w:left="851" w:hanging="851"/>
        <w:rPr>
          <w:noProof/>
        </w:rPr>
      </w:pPr>
      <w:r>
        <w:rPr>
          <w:noProof/>
        </w:rPr>
        <w:t>Г.</w:t>
      </w:r>
      <w:r>
        <w:rPr>
          <w:noProof/>
        </w:rPr>
        <w:tab/>
        <w:t>Сметка, за която се предоставя информация</w:t>
      </w:r>
    </w:p>
    <w:p>
      <w:pPr>
        <w:pStyle w:val="Point1"/>
        <w:rPr>
          <w:noProof/>
        </w:rPr>
      </w:pPr>
      <w:r>
        <w:rPr>
          <w:noProof/>
        </w:rPr>
        <w:t>1.</w:t>
      </w:r>
      <w:r>
        <w:rPr>
          <w:noProof/>
        </w:rPr>
        <w:tab/>
        <w:t>Понятието „сметка, за което се предоставя информация“ означава финансова сметка, която се поддържа от предоставяща информация финансова институция на държава членка и чийто титуляр са едно или повече лица, за които се предоставя информация, или пасивно нефинансово образувание с едно или повече контролиращи лица, които са лица, за които се предоставя информация, при условие че е идентифицирана като такава съгласно процедурата за комплексна проверка, описана в раздели II—VII.</w:t>
      </w:r>
    </w:p>
    <w:p>
      <w:pPr>
        <w:pStyle w:val="Point1"/>
        <w:rPr>
          <w:noProof/>
        </w:rPr>
      </w:pPr>
      <w:r>
        <w:rPr>
          <w:noProof/>
        </w:rPr>
        <w:t>2.</w:t>
      </w:r>
      <w:r>
        <w:rPr>
          <w:noProof/>
        </w:rPr>
        <w:tab/>
        <w:t>Понятието „лице, за което се предоставя информация“ означава лице от държава членка, с изключение на: i) дружество, чиито акции се търгуват редовно на един или повече установени пазари на ценни книжа; ii) всяко дружество, което е свързано образувание с дружество, описано в подточка i);</w:t>
      </w:r>
      <w:r>
        <w:rPr>
          <w:noProof/>
          <w:lang w:val="fi-FI"/>
        </w:rPr>
        <w:t xml:space="preserve"> </w:t>
      </w:r>
      <w:r>
        <w:rPr>
          <w:noProof/>
        </w:rPr>
        <w:t>iii) държавно образувание; iv) международна организация;</w:t>
      </w:r>
      <w:r>
        <w:rPr>
          <w:noProof/>
          <w:lang w:val="fi-FI"/>
        </w:rPr>
        <w:t xml:space="preserve"> </w:t>
      </w:r>
      <w:r>
        <w:rPr>
          <w:noProof/>
        </w:rPr>
        <w:t>v) централна банка; или vi) финансова институция.</w:t>
      </w:r>
    </w:p>
    <w:p>
      <w:pPr>
        <w:pStyle w:val="Point1"/>
        <w:rPr>
          <w:noProof/>
        </w:rPr>
      </w:pPr>
      <w:r>
        <w:rPr>
          <w:noProof/>
        </w:rPr>
        <w:t>3.</w:t>
      </w:r>
      <w:r>
        <w:rPr>
          <w:noProof/>
        </w:rPr>
        <w:tab/>
        <w:t>Понятието „лице от държава членка“ по отношение на всяка държава членка означава физическо лице или образувание, което е местно лице на друга държава членка съгласно данъчното законодателство на тази държава членка, или наследството на починало лице, което е било местно лице на друга държава членка. За тази цел съдружие, неперсонифицирано дружество с ограничена отговорност или подобна правна договореност, която не е местно лице за данъчни цели, се третира като установена в рамките на юрисдикцията, на чиято територия се намира нейното място на действително управление.</w:t>
      </w:r>
    </w:p>
    <w:p>
      <w:pPr>
        <w:pStyle w:val="Point1"/>
        <w:rPr>
          <w:noProof/>
        </w:rPr>
      </w:pPr>
      <w:r>
        <w:rPr>
          <w:noProof/>
        </w:rPr>
        <w:t>4.</w:t>
      </w:r>
      <w:r>
        <w:rPr>
          <w:noProof/>
        </w:rPr>
        <w:tab/>
        <w:t>Понятието„участваща юрисдикция“ по отношение на всяка държава членка означава:</w:t>
      </w:r>
    </w:p>
    <w:p>
      <w:pPr>
        <w:pStyle w:val="Point2"/>
        <w:rPr>
          <w:noProof/>
        </w:rPr>
      </w:pPr>
      <w:r>
        <w:rPr>
          <w:noProof/>
        </w:rPr>
        <w:t>а)</w:t>
      </w:r>
      <w:r>
        <w:rPr>
          <w:noProof/>
        </w:rPr>
        <w:tab/>
        <w:t>всяка друга държава членка;</w:t>
      </w:r>
    </w:p>
    <w:p>
      <w:pPr>
        <w:pStyle w:val="Point2"/>
        <w:rPr>
          <w:noProof/>
        </w:rPr>
      </w:pPr>
      <w:r>
        <w:rPr>
          <w:noProof/>
        </w:rPr>
        <w:t>б)</w:t>
      </w:r>
      <w:r>
        <w:rPr>
          <w:noProof/>
        </w:rPr>
        <w:tab/>
        <w:t>всяка друга юрисдикция, i) с която въпросната държава членка има действащо споразумение, което предвижда, че юрисдикцията ще предоставя информацията, посочена в раздел I, и ii) която е определена в списък, публикуван от тази държава членка и предоставен на Европейската комисия;</w:t>
      </w:r>
    </w:p>
    <w:p>
      <w:pPr>
        <w:pStyle w:val="Point2"/>
        <w:rPr>
          <w:noProof/>
        </w:rPr>
      </w:pPr>
      <w:r>
        <w:rPr>
          <w:noProof/>
        </w:rPr>
        <w:t>в)</w:t>
      </w:r>
      <w:r>
        <w:rPr>
          <w:noProof/>
        </w:rPr>
        <w:tab/>
        <w:t>всяка друга юрисдикция, i) с която Съюзът има действащо споразумение, което предвижда, че юрисдикцията ще предоставя информацията, посочена в раздел I, и ii) която е определена в списък, публикуван от Европейската комисия.</w:t>
      </w:r>
    </w:p>
    <w:p>
      <w:pPr>
        <w:pStyle w:val="Point1"/>
        <w:rPr>
          <w:noProof/>
        </w:rPr>
      </w:pPr>
      <w:r>
        <w:rPr>
          <w:noProof/>
        </w:rPr>
        <w:t>5.</w:t>
      </w:r>
      <w:r>
        <w:rPr>
          <w:noProof/>
        </w:rPr>
        <w:tab/>
        <w:t>Понятието „контролиращи лица“ означава физически лица, които упражняват контрол над образувание. В случай на тръст това понятие означава учредителя(ите), попечителя(ите), пазителя(ите) (ако има такива), бенефициера(ите) или класа(класовете) бенефициери, и всяко друго физическо лице (лица), което упражнява окончателен действителен контрол над тръста, а в случая на правна договореност, различна от тръст, това понятие означава лица, заемащи равностойни или подобни позиции. Понятието „контролиращи лица“ трябва да се тълкува по начин, съответстващ на препоръките на Финансовата група за действие срещу изпирането на пари.</w:t>
      </w:r>
    </w:p>
    <w:p>
      <w:pPr>
        <w:pStyle w:val="Point1"/>
        <w:rPr>
          <w:noProof/>
        </w:rPr>
      </w:pPr>
      <w:r>
        <w:rPr>
          <w:noProof/>
        </w:rPr>
        <w:t>6.</w:t>
      </w:r>
      <w:r>
        <w:rPr>
          <w:noProof/>
        </w:rPr>
        <w:tab/>
        <w:t>Понятието „нефинансово образувание“ означава всяко образувание, което не е финансова институция.</w:t>
      </w:r>
    </w:p>
    <w:p>
      <w:pPr>
        <w:pStyle w:val="Point1"/>
        <w:rPr>
          <w:noProof/>
        </w:rPr>
      </w:pPr>
      <w:r>
        <w:rPr>
          <w:noProof/>
        </w:rPr>
        <w:t>7.</w:t>
      </w:r>
      <w:r>
        <w:rPr>
          <w:noProof/>
        </w:rPr>
        <w:tab/>
        <w:t>Понятието „пасивно нефинансово образувание“ означава всяко:</w:t>
      </w:r>
      <w:r>
        <w:rPr>
          <w:noProof/>
          <w:lang w:val="fi-FI"/>
        </w:rPr>
        <w:t xml:space="preserve"> </w:t>
      </w:r>
      <w:r>
        <w:rPr>
          <w:noProof/>
        </w:rPr>
        <w:t>i) нефинансово образувание, което не е активно нефинансово образувание; или ii) инвестиционно образувание, описано в точка А.6, буква б), което не е финансова институция на участваща юрисдикция.</w:t>
      </w:r>
    </w:p>
    <w:p>
      <w:pPr>
        <w:pStyle w:val="Point1"/>
        <w:rPr>
          <w:noProof/>
        </w:rPr>
      </w:pPr>
      <w:r>
        <w:rPr>
          <w:noProof/>
        </w:rPr>
        <w:t>8.</w:t>
      </w:r>
      <w:r>
        <w:rPr>
          <w:noProof/>
        </w:rPr>
        <w:tab/>
        <w:t>Понятието „активно нефинансово образувание“ означава всяко нефинансово образувание, което отговаря на някой от следните критерии:</w:t>
      </w:r>
    </w:p>
    <w:p>
      <w:pPr>
        <w:pStyle w:val="Point2"/>
        <w:rPr>
          <w:noProof/>
        </w:rPr>
      </w:pPr>
      <w:r>
        <w:rPr>
          <w:noProof/>
        </w:rPr>
        <w:t>а)</w:t>
      </w:r>
      <w:r>
        <w:rPr>
          <w:noProof/>
        </w:rPr>
        <w:tab/>
        <w:t>по-малко от 50 % от брутния доход на нефинансовото образувание за предходната календарна година или друг подходящ отчетен период е пасивен доход и по-малко от 50 % от активите, държани от нефинансовото образувание през предходната календарна година или друг подходящ отчетен период, са активи, които генерират или се държат с цел генериране на пасивен доход;</w:t>
      </w:r>
    </w:p>
    <w:p>
      <w:pPr>
        <w:pStyle w:val="Point2"/>
        <w:rPr>
          <w:noProof/>
        </w:rPr>
      </w:pPr>
      <w:r>
        <w:rPr>
          <w:noProof/>
        </w:rPr>
        <w:t>б)</w:t>
      </w:r>
      <w:r>
        <w:rPr>
          <w:noProof/>
        </w:rPr>
        <w:tab/>
        <w:t>акциите на нефинансовото образувание се търгуват редовно на установен пазар на ценни книжа или нефинансовото образувание е свързано с образувание, чиито акции се търгуват редовно на установен пазар на ценни книжа;</w:t>
      </w:r>
    </w:p>
    <w:p>
      <w:pPr>
        <w:pStyle w:val="Point2"/>
        <w:rPr>
          <w:noProof/>
        </w:rPr>
      </w:pPr>
      <w:r>
        <w:rPr>
          <w:noProof/>
        </w:rPr>
        <w:t>в)</w:t>
      </w:r>
      <w:r>
        <w:rPr>
          <w:noProof/>
        </w:rPr>
        <w:tab/>
        <w:t>нефинансовото образувание е държавно образувание, международна организация, централна банка или образувание, което се притежава изцяло от едно или повече от тях;</w:t>
      </w:r>
    </w:p>
    <w:p>
      <w:pPr>
        <w:pStyle w:val="Point2"/>
        <w:rPr>
          <w:noProof/>
        </w:rPr>
      </w:pPr>
      <w:r>
        <w:rPr>
          <w:noProof/>
        </w:rPr>
        <w:t>г)</w:t>
      </w:r>
      <w:r>
        <w:rPr>
          <w:noProof/>
        </w:rPr>
        <w:tab/>
        <w:t>по същество всички дейности на нефинансовото образувание се състоят от държането (изцяло или частично) на търгуеми акции във, или предоставянето на финансиране и услуги на, едно или повече дъщерни дружества, които се занимават със сделки или стопанска дейност, различни от тези на финансова институция, с изключение на случаите, когато образуванието няма да се квалифицира за този статус, тъй като функционира (или се представя) като инвестиционен фонд, като например частен инвестиционен фонд, фонд за рисково инвестиране, фонд за изкупуване на задлъжнели предприятия или всяка инвестиционна схема, чиято цел е да придобие или финансира дружества и след това да държи участие в тези дружества като капиталов актив за инвестиционни цели;</w:t>
      </w:r>
    </w:p>
    <w:p>
      <w:pPr>
        <w:pStyle w:val="Point2"/>
        <w:rPr>
          <w:noProof/>
        </w:rPr>
      </w:pPr>
      <w:r>
        <w:rPr>
          <w:noProof/>
        </w:rPr>
        <w:t>д)</w:t>
      </w:r>
      <w:r>
        <w:rPr>
          <w:noProof/>
        </w:rPr>
        <w:tab/>
        <w:t>нефинансовото образувание все още не извършва стопанска дейност и не е развивало стопанска дейност в миналото, но инвестира в активи с намерението да извършва стопанска дейност, различна от тази на финансова институция, при условие че нефинансовото образувание не отговаря на това изключение след дата, която е</w:t>
      </w:r>
      <w:r>
        <w:rPr>
          <w:noProof/>
          <w:lang w:val="en-IE"/>
        </w:rPr>
        <w:t> </w:t>
      </w:r>
      <w:r>
        <w:rPr>
          <w:noProof/>
        </w:rPr>
        <w:t>24 месеца по-късно от датата на първоначалното създаване на нефинансовото образувание;</w:t>
      </w:r>
    </w:p>
    <w:p>
      <w:pPr>
        <w:pStyle w:val="Point2"/>
        <w:rPr>
          <w:noProof/>
        </w:rPr>
      </w:pPr>
      <w:r>
        <w:rPr>
          <w:noProof/>
        </w:rPr>
        <w:t>е)</w:t>
      </w:r>
      <w:r>
        <w:rPr>
          <w:noProof/>
        </w:rPr>
        <w:tab/>
        <w:t>нефинансовото образувание не е било финансова институция през последните пет години и е в процес на ликвидация на своите активи или се реорганизира с намерението да продължи или започне отново да извършва стопанска дейност в област, различна от тази на финансова институция;</w:t>
      </w:r>
    </w:p>
    <w:p>
      <w:pPr>
        <w:pStyle w:val="Point2"/>
        <w:rPr>
          <w:noProof/>
        </w:rPr>
      </w:pPr>
      <w:r>
        <w:rPr>
          <w:noProof/>
        </w:rPr>
        <w:t>ж)</w:t>
      </w:r>
      <w:r>
        <w:rPr>
          <w:noProof/>
        </w:rPr>
        <w:tab/>
        <w:t>нефинансовото образувание се занимава преимуществено с финансиране и хеджиране на транзакции на или за свързани образувания, които не са финансови институции, и не предоставя услуги по финансиране или хеджиране на други образувания, с които не е свързано образувание, при условие че групата от свързани образувания се занимава преимуществено със стопанска дейност, различна от тази на финансова институция; или</w:t>
      </w:r>
    </w:p>
    <w:p>
      <w:pPr>
        <w:pStyle w:val="Point2"/>
        <w:rPr>
          <w:noProof/>
        </w:rPr>
      </w:pPr>
      <w:r>
        <w:rPr>
          <w:noProof/>
        </w:rPr>
        <w:t>з)</w:t>
      </w:r>
      <w:r>
        <w:rPr>
          <w:noProof/>
        </w:rPr>
        <w:tab/>
        <w:t>нефинансовото образувание отговаря на всички посочени по-долу изисквания:</w:t>
      </w:r>
    </w:p>
    <w:p>
      <w:pPr>
        <w:pStyle w:val="Point3"/>
        <w:rPr>
          <w:noProof/>
        </w:rPr>
      </w:pPr>
      <w:r>
        <w:rPr>
          <w:noProof/>
        </w:rPr>
        <w:t>i)</w:t>
      </w:r>
      <w:r>
        <w:rPr>
          <w:noProof/>
        </w:rPr>
        <w:tab/>
        <w:t>то е създадено и извършва дейност в своята държава членка или в друга юрисдикция, на която е местно лице, изключително за религиозни, благотворителни, научни, художествени, културни, спортни или образователни цели; или е установено и извършва дейност в своята държава членка или в друга юрисдикция, на която е местно лице, и е професионална организация, съюз на предприемачи, търговска камара, работническа организация, земеделска или градинарска организация, граждански обединение или организация, чиято основна дейност е насочена към повишаване на социалното благосъстояние;</w:t>
      </w:r>
    </w:p>
    <w:p>
      <w:pPr>
        <w:pStyle w:val="Point3"/>
        <w:rPr>
          <w:noProof/>
        </w:rPr>
      </w:pPr>
      <w:r>
        <w:rPr>
          <w:noProof/>
        </w:rPr>
        <w:t>ii)</w:t>
      </w:r>
      <w:r>
        <w:rPr>
          <w:noProof/>
        </w:rPr>
        <w:tab/>
        <w:t>освободено е от облагане с подоходен данък в своята държава членка или в юрисдикцията, на която е местно лице;</w:t>
      </w:r>
    </w:p>
    <w:p>
      <w:pPr>
        <w:pStyle w:val="Point3"/>
        <w:rPr>
          <w:noProof/>
        </w:rPr>
      </w:pPr>
      <w:r>
        <w:rPr>
          <w:noProof/>
        </w:rPr>
        <w:t>iii)</w:t>
      </w:r>
      <w:r>
        <w:rPr>
          <w:noProof/>
        </w:rPr>
        <w:tab/>
        <w:t>няма акционери или членове, които да притежават дял въз основа на собственост или материален интерес от неговия доход или активи;</w:t>
      </w:r>
    </w:p>
    <w:p>
      <w:pPr>
        <w:pStyle w:val="Point3"/>
        <w:rPr>
          <w:noProof/>
        </w:rPr>
      </w:pPr>
      <w:r>
        <w:rPr>
          <w:noProof/>
        </w:rPr>
        <w:t>iv)</w:t>
      </w:r>
      <w:r>
        <w:rPr>
          <w:noProof/>
        </w:rPr>
        <w:tab/>
        <w:t>приложимото законодателство на държавата членка на нефинансовото образувание или на друга юрисдикция, на която е местно лице, или учредителните документи на нефинансовото образувание не допускат доход или активи на нефинансовото образувание да бъдат разпределяни или предоставяни в полза на частно лице или на образувание, което не преследва благотворителна цел, освен в съответствие с извършването на благотворителните дейности на нефинансовото образувание или като плащане на разумно възнаграждение за предоставени услуги, или като плащане, което представлява справедливата пазарна цена на закупено от нефинансовото образувание имущество; и</w:t>
      </w:r>
    </w:p>
    <w:p>
      <w:pPr>
        <w:pStyle w:val="Point3"/>
        <w:rPr>
          <w:noProof/>
        </w:rPr>
      </w:pPr>
      <w:r>
        <w:rPr>
          <w:noProof/>
        </w:rPr>
        <w:t>v)</w:t>
      </w:r>
      <w:r>
        <w:rPr>
          <w:noProof/>
        </w:rPr>
        <w:tab/>
        <w:t>приложимото законодателство на държавата членка на нефинансовото образувание или на друга юрисдикция, на която е местно лице, или учредителните документи на нефинансовото образувание изискват при ликвидация или прекратяване на нефинансовото образувание всички негови активи да бъдат разпределени на държавно образувание или на друга организация с нестопанска цел или да бъдат отчуждени в полза на правителството на държавата членка на нефинансовото образувание или друга юрисдикция, на която е местно лице, или на тяхно политическо подразделение.</w:t>
      </w:r>
    </w:p>
    <w:p>
      <w:pPr>
        <w:pStyle w:val="ManualHeading2"/>
        <w:ind w:left="851" w:hanging="851"/>
        <w:rPr>
          <w:noProof/>
        </w:rPr>
      </w:pPr>
      <w:r>
        <w:rPr>
          <w:noProof/>
        </w:rPr>
        <w:t>Д.</w:t>
      </w:r>
      <w:r>
        <w:rPr>
          <w:noProof/>
        </w:rPr>
        <w:tab/>
        <w:t>Други въпроси</w:t>
      </w:r>
    </w:p>
    <w:p>
      <w:pPr>
        <w:pStyle w:val="Point1"/>
        <w:rPr>
          <w:noProof/>
        </w:rPr>
      </w:pPr>
      <w:r>
        <w:rPr>
          <w:noProof/>
        </w:rPr>
        <w:t>1.</w:t>
      </w:r>
      <w:r>
        <w:rPr>
          <w:noProof/>
        </w:rPr>
        <w:tab/>
        <w:t>Понятието „титуляр на сметка“ означава лице, което е вписано или идентифицирано като титуляр на финансова сметка от финансовата институция, която поддържа сметката. Лице, с изключение на финансова институция, което е титуляр на финансова сметка в полза на или за сметка на друго лице в качеството на агент, попечител, пълномощник, подписващо лице, инвестиционен съветник или посредник, не се третира като титуляр на сметка за целите на настоящата директива, като за титуляр на сметката се приема другото лице. В случая на застрахователен договор с откупна стойност или на анюитетен договор титулярят на сметката е всяко лице с право на получаване на откупната стойност или на промяна на бенефициера по договора. Когато никое лице няма право на получаване на откупната стойност или на промяна на бенефициера, титуляр на сметката е всяко лице, което е посочено в договора като собственик, и всяко лице с неотменимо право на плащане по договора. При настъпване на падежа на застрахователен договор с откупна стойност или на анюитетен договор всяко лице, което има право да получи плащане по договора, се третира като титуляр на сметката.</w:t>
      </w:r>
    </w:p>
    <w:p>
      <w:pPr>
        <w:pStyle w:val="Point1"/>
        <w:rPr>
          <w:noProof/>
        </w:rPr>
      </w:pPr>
      <w:r>
        <w:rPr>
          <w:noProof/>
        </w:rPr>
        <w:t>2.</w:t>
      </w:r>
      <w:r>
        <w:rPr>
          <w:noProof/>
        </w:rPr>
        <w:tab/>
        <w:t>Понятието „AML/KYC процедури“ означава процедури за комплексна проверка на клиента от страна на предоставящата информация финансова институция в съответствие с изискванията за борба с изпирането на пари или други подобни изисквания, които се прилагат към предоставящата информация финансова институция.</w:t>
      </w:r>
    </w:p>
    <w:p>
      <w:pPr>
        <w:pStyle w:val="Point1"/>
        <w:rPr>
          <w:noProof/>
        </w:rPr>
      </w:pPr>
      <w:r>
        <w:rPr>
          <w:noProof/>
        </w:rPr>
        <w:t>3.</w:t>
      </w:r>
      <w:r>
        <w:rPr>
          <w:noProof/>
        </w:rPr>
        <w:tab/>
        <w:t>Понятието „образувание“ означава юридическо лице или правна договореност, като дружество, съдружие, тръст или фондация.</w:t>
      </w:r>
    </w:p>
    <w:p>
      <w:pPr>
        <w:pStyle w:val="Point1"/>
        <w:rPr>
          <w:noProof/>
        </w:rPr>
      </w:pPr>
      <w:r>
        <w:rPr>
          <w:noProof/>
        </w:rPr>
        <w:t>4.</w:t>
      </w:r>
      <w:r>
        <w:rPr>
          <w:noProof/>
        </w:rPr>
        <w:tab/>
        <w:t>Дадено образувание е „свързано образувание“ с друго образувание, когато i) всяко образувание контролира другото образувание; ii) двете образувания са под общ контрол; или iii) двете образувания са инвестиционни образувания, описани в точка А.6, буква б), и са под общо управление, като това управление изпълнява задълженията за комплексна проверка на такива инвестиционни образувания. За тази цел контролът включва пряка или непряка собственост върху над 50 % от гласовете и стойността на образуванието.</w:t>
      </w:r>
    </w:p>
    <w:p>
      <w:pPr>
        <w:pStyle w:val="Point1"/>
        <w:rPr>
          <w:noProof/>
        </w:rPr>
      </w:pPr>
      <w:r>
        <w:rPr>
          <w:noProof/>
        </w:rPr>
        <w:t>5.</w:t>
      </w:r>
      <w:r>
        <w:rPr>
          <w:noProof/>
        </w:rPr>
        <w:tab/>
        <w:t>Понятието „данъчен номер“ означава данъчен идентификационен номер (или негов функционален еквивалент при липсата на данъчен номер).</w:t>
      </w:r>
    </w:p>
    <w:p>
      <w:pPr>
        <w:pStyle w:val="Point1"/>
        <w:keepNext/>
        <w:keepLines/>
        <w:rPr>
          <w:noProof/>
        </w:rPr>
      </w:pPr>
      <w:r>
        <w:rPr>
          <w:noProof/>
        </w:rPr>
        <w:t>6.</w:t>
      </w:r>
      <w:r>
        <w:rPr>
          <w:noProof/>
        </w:rPr>
        <w:tab/>
        <w:t>Понятието „документални доказателства“ означава някое от посоченото по-долу:</w:t>
      </w:r>
    </w:p>
    <w:p>
      <w:pPr>
        <w:pStyle w:val="Point2"/>
        <w:rPr>
          <w:noProof/>
        </w:rPr>
      </w:pPr>
      <w:r>
        <w:rPr>
          <w:noProof/>
        </w:rPr>
        <w:t>а)</w:t>
      </w:r>
      <w:r>
        <w:rPr>
          <w:noProof/>
        </w:rPr>
        <w:tab/>
        <w:t>удостоверение за местно лице, издадено от оправомощен публичен орган (например правителство или държавна агенция, или община) на държавата членка или друга юрисдикция, в която получателят на плащането твърди, че е местно лице;</w:t>
      </w:r>
    </w:p>
    <w:p>
      <w:pPr>
        <w:pStyle w:val="Point2"/>
        <w:rPr>
          <w:noProof/>
        </w:rPr>
      </w:pPr>
      <w:r>
        <w:rPr>
          <w:noProof/>
        </w:rPr>
        <w:t>б)</w:t>
      </w:r>
      <w:r>
        <w:rPr>
          <w:noProof/>
        </w:rPr>
        <w:tab/>
        <w:t>по отношение на физическо лице, всеки валиден документ за самоличност, издаден от оправомощен публичен орган (например правителство или държавна агенция, или община), който съдържа името на лицето и се използва обичайно за установяване на самоличността;</w:t>
      </w:r>
    </w:p>
    <w:p>
      <w:pPr>
        <w:pStyle w:val="Point2"/>
        <w:rPr>
          <w:noProof/>
        </w:rPr>
      </w:pPr>
      <w:r>
        <w:rPr>
          <w:noProof/>
        </w:rPr>
        <w:t>в)</w:t>
      </w:r>
      <w:r>
        <w:rPr>
          <w:noProof/>
        </w:rPr>
        <w:tab/>
        <w:t>по отношение на образувание, всеки официален документ, издаден от оправомощен публичен орган (например правителство или държавна агенция, или община), който съдържа наименованието на образуванието и адреса на неговото централно управление в държавата членка или друга юрисдикция, на която това образувание твърди, че е местно лице, в държавата членка или в друга юрисдикция, в която образуванието е било учредено или създадено;</w:t>
      </w:r>
    </w:p>
    <w:p>
      <w:pPr>
        <w:pStyle w:val="Point2"/>
        <w:rPr>
          <w:noProof/>
        </w:rPr>
      </w:pPr>
      <w:r>
        <w:rPr>
          <w:noProof/>
        </w:rPr>
        <w:t>г)</w:t>
      </w:r>
      <w:r>
        <w:rPr>
          <w:noProof/>
        </w:rPr>
        <w:tab/>
        <w:t>всеки одитиран финансов отчет, кредитен отчет на трето лице, документи за несъстоятелност или доклад на регулатор на ценни книжа.</w:t>
      </w:r>
    </w:p>
    <w:p>
      <w:pPr>
        <w:pStyle w:val="Text2"/>
        <w:rPr>
          <w:noProof/>
        </w:rPr>
      </w:pPr>
      <w:r>
        <w:rPr>
          <w:noProof/>
        </w:rPr>
        <w:t>По отношение на съществуваща сметка на образувание предоставящите информация финансови институции могат да използват като документално доказателство всяка класификация в регистрите на предоставящата информация финансова институция по отношение на титуляря на сметката, която е била определена въз основа на стандартизирана класификация на икономическите дейности, била е вписана от предоставящата информация финансова институция в съответствие с обичайната ѝ стопанска практика за целите на AML/KYC процедурите или за други регулаторни цели (с изключение на данъчни цели) и която е била прилагана от предоставящата информация финансова институция преди датата, използвана за класифициране на финансовата сметка като съществуваща сметка, при условие че на предоставящата информация финансова институция не е известно или няма причина да ѝ е известно, че такава класификация е невярна или ненадеждна. Понятието „стандартизирана класификация на икономическите дейности“ означава стандартизирана класификация, използвана за класифициране на предприятия по вид на извършваната стопанска дейност за цели, различни от данъчни цели.</w:t>
      </w:r>
    </w:p>
    <w:p>
      <w:pPr>
        <w:pStyle w:val="SectionTitle"/>
        <w:rPr>
          <w:noProof/>
        </w:rPr>
      </w:pPr>
      <w:r>
        <w:rPr>
          <w:noProof/>
        </w:rPr>
        <w:t>РАЗДЕЛ IX</w:t>
      </w:r>
    </w:p>
    <w:p>
      <w:pPr>
        <w:pStyle w:val="SectionTitle"/>
        <w:rPr>
          <w:noProof/>
        </w:rPr>
      </w:pPr>
      <w:r>
        <w:rPr>
          <w:noProof/>
        </w:rPr>
        <w:t>ЕФЕКТИВНО ПРИЛАГАНЕ</w:t>
      </w:r>
    </w:p>
    <w:p>
      <w:pPr>
        <w:rPr>
          <w:noProof/>
        </w:rPr>
      </w:pPr>
      <w:r>
        <w:rPr>
          <w:noProof/>
        </w:rPr>
        <w:t>В съответствие с член 8, параграф 4 от настоящата директива държавите членки са длъжни да въведат правила и административни процедури за гарантиране на ефективното прилагане и на спазването на описаните по-горе процедури за предоставяне на информация и комплексна проверка, включително:</w:t>
      </w:r>
    </w:p>
    <w:p>
      <w:pPr>
        <w:pStyle w:val="Point0"/>
        <w:rPr>
          <w:noProof/>
        </w:rPr>
      </w:pPr>
      <w:r>
        <w:rPr>
          <w:noProof/>
        </w:rPr>
        <w:t>1)</w:t>
      </w:r>
      <w:r>
        <w:rPr>
          <w:noProof/>
        </w:rPr>
        <w:tab/>
        <w:t>правила за предотвратяване на възприемането от финансови институции, лица или посредници на практики, целящи да заобиколят процедурите за предоставяне на информация и комплексна проверка;</w:t>
      </w:r>
    </w:p>
    <w:p>
      <w:pPr>
        <w:pStyle w:val="Point0"/>
        <w:rPr>
          <w:noProof/>
        </w:rPr>
      </w:pPr>
      <w:r>
        <w:rPr>
          <w:noProof/>
        </w:rPr>
        <w:t>2)</w:t>
      </w:r>
      <w:r>
        <w:rPr>
          <w:noProof/>
        </w:rPr>
        <w:tab/>
        <w:t>правила, изискващи предоставящите информация финансови институции да поддържат информация за предприетите мерки и всяко доказателство, използвано за прилагане на горепосочените процедури, и адекватни мерки за получаване на тази информация;</w:t>
      </w:r>
    </w:p>
    <w:p>
      <w:pPr>
        <w:pStyle w:val="Point0"/>
        <w:rPr>
          <w:noProof/>
        </w:rPr>
      </w:pPr>
      <w:r>
        <w:rPr>
          <w:noProof/>
        </w:rPr>
        <w:t>3)</w:t>
      </w:r>
      <w:r>
        <w:rPr>
          <w:noProof/>
        </w:rPr>
        <w:tab/>
        <w:t>административни процедури за проверка на спазването от страна на предоставящите информация финансови институции на процедурите за предоставяне на информация и комплексна проверка; административни процедури за наблюдение на предоставяща информация финансова институция в случай на предоставяне на информация за недокументирани сметки;</w:t>
      </w:r>
    </w:p>
    <w:p>
      <w:pPr>
        <w:pStyle w:val="Point0"/>
        <w:rPr>
          <w:noProof/>
        </w:rPr>
      </w:pPr>
      <w:r>
        <w:rPr>
          <w:noProof/>
        </w:rPr>
        <w:t>4)</w:t>
      </w:r>
      <w:r>
        <w:rPr>
          <w:noProof/>
        </w:rPr>
        <w:tab/>
        <w:t>административни процедури, чрез които да се гарантира, че образуванията и сметките, определени според вътрешното право като непредоставящи информация финансови институции и изключени сметки, продължават да се характеризират с нисък риск да бъдат използвани за избягване на данъчно облагане; и</w:t>
      </w:r>
    </w:p>
    <w:p>
      <w:pPr>
        <w:pStyle w:val="Point0"/>
        <w:rPr>
          <w:noProof/>
        </w:rPr>
      </w:pPr>
      <w:r>
        <w:rPr>
          <w:noProof/>
        </w:rPr>
        <w:t>5)</w:t>
      </w:r>
      <w:r>
        <w:rPr>
          <w:noProof/>
        </w:rPr>
        <w:tab/>
        <w:t>разпоредби за ефективно прилагане, насочени към борба с нарушенията.</w:t>
      </w:r>
    </w:p>
    <w:p>
      <w:pPr>
        <w:pStyle w:val="Point0"/>
        <w:jc w:val="center"/>
        <w:rPr>
          <w:noProof/>
        </w:rPr>
      </w:pPr>
      <w:r>
        <w:rPr>
          <w:noProof/>
        </w:rPr>
        <w:t>_____________</w:t>
      </w:r>
    </w:p>
    <w:p>
      <w:pPr>
        <w:adjustRightInd w:val="0"/>
        <w:spacing w:before="0" w:after="0"/>
        <w:jc w:val="left"/>
        <w:rPr>
          <w:noProof/>
        </w:rPr>
        <w:sectPr>
          <w:footerReference w:type="default" r:id="rId16"/>
          <w:footerReference w:type="first" r:id="rId17"/>
          <w:pgSz w:w="11906" w:h="16838"/>
          <w:pgMar w:top="1134" w:right="1418" w:bottom="1134" w:left="1418" w:header="709" w:footer="709" w:gutter="0"/>
          <w:cols w:space="709"/>
          <w:docGrid w:linePitch="326"/>
        </w:sectPr>
      </w:pPr>
    </w:p>
    <w:p>
      <w:pPr>
        <w:pStyle w:val="Annexetitre"/>
        <w:rPr>
          <w:noProof/>
        </w:rPr>
      </w:pPr>
      <w:r>
        <w:rPr>
          <w:noProof/>
        </w:rPr>
        <w:t>ПРИЛОЖЕНИЕ II</w:t>
      </w:r>
    </w:p>
    <w:p>
      <w:pPr>
        <w:pStyle w:val="NormalCentered"/>
        <w:rPr>
          <w:b/>
          <w:bCs/>
          <w:noProof/>
        </w:rPr>
      </w:pPr>
      <w:r>
        <w:rPr>
          <w:b/>
          <w:bCs/>
          <w:noProof/>
        </w:rPr>
        <w:t>ДОПЪЛНИТЕЛНИ ПРАВИЛА ЗА ПРЕДОСТАВЯНЕ НА ИНФОРМАЦИЯ И КОМПЛЕКСНА ПРОВЕРКА НА ИНФОРМАЦИЯ ЗА ФИНАНСОВИ СМЕТКИ</w:t>
      </w:r>
    </w:p>
    <w:p>
      <w:pPr>
        <w:pStyle w:val="ManualHeading1"/>
        <w:ind w:left="851" w:hanging="851"/>
        <w:rPr>
          <w:noProof/>
        </w:rPr>
      </w:pPr>
      <w:r>
        <w:rPr>
          <w:noProof/>
        </w:rPr>
        <w:t>1.</w:t>
      </w:r>
      <w:r>
        <w:rPr>
          <w:noProof/>
        </w:rPr>
        <w:tab/>
        <w:t>Промяна в обстоятелствата</w:t>
      </w:r>
    </w:p>
    <w:p>
      <w:pPr>
        <w:rPr>
          <w:noProof/>
        </w:rPr>
      </w:pPr>
      <w:r>
        <w:rPr>
          <w:noProof/>
        </w:rPr>
        <w:t>„Промяна в обстоятелствата“ включва всяка промяна, която води до добавяне на информация, отнасяща се до статуса на дадено лице, или по друг начин влиза в противоречие със статуса на такова лице. Наред с това, промяната в обстоятелствата включва всяка промяна или добавяне на информация по сметката на титуляря на сметката (включително добавяне, замяна или друга промяна на титуляря на сметката) или всяка промяна или добавяне на информация по всяка сметка, свързана с такава сметка (при прилагане на правилата за сумиране на сметки, установени в раздел VII, точки В.1</w:t>
      </w:r>
      <w:r>
        <w:rPr>
          <w:noProof/>
          <w:lang w:val="en-IE"/>
        </w:rPr>
        <w:t> </w:t>
      </w:r>
      <w:r>
        <w:rPr>
          <w:noProof/>
        </w:rPr>
        <w:t>—</w:t>
      </w:r>
      <w:r>
        <w:rPr>
          <w:noProof/>
          <w:lang w:val="en-IE"/>
        </w:rPr>
        <w:t> </w:t>
      </w:r>
      <w:r>
        <w:rPr>
          <w:noProof/>
        </w:rPr>
        <w:t>В.3 от приложение I), ако такава промяна или добавяне на информация засяга статуса на титуляря на сметката.</w:t>
      </w:r>
    </w:p>
    <w:p>
      <w:pPr>
        <w:rPr>
          <w:noProof/>
        </w:rPr>
      </w:pPr>
      <w:r>
        <w:rPr>
          <w:noProof/>
        </w:rPr>
        <w:t>Ако предоставящата информация финансова институция е използвала проверката за адрес на пребиваване, описана в раздел III, точка Б.1 от приложение I, и има промяна в обстоятелствата, вследствие на която на предоставящата информация финансова институция става известно или има причина да ѝ бъде известно, че първоначалното документално доказателство (или друга равностойна документация) е невярно или ненадеждно, предоставящата информация финансова институция трябва до по-късната от следните две дати: последния ден на съответната календарна година или на друг подходящ отчетен период или 90 календарни дни след съобщението или откриването на такава промяна в обстоятелствата, да получи декларация и нови документални доказателства за установяване на качеството на местно лице за данъчни цели на титуляря на сметката. Ако до тази дата предоставящата информация финансова институция не може да получи декларация и нови документални доказателства, тя трябва да приложи процедурата за търсене в електронните записи, описана в раздел III, точки Б.2—Б.6 от приложение I.</w:t>
      </w:r>
    </w:p>
    <w:p>
      <w:pPr>
        <w:pStyle w:val="ManualHeading1"/>
        <w:ind w:left="851" w:hanging="851"/>
        <w:rPr>
          <w:noProof/>
        </w:rPr>
      </w:pPr>
      <w:r>
        <w:rPr>
          <w:noProof/>
        </w:rPr>
        <w:t>2.</w:t>
      </w:r>
      <w:r>
        <w:rPr>
          <w:noProof/>
        </w:rPr>
        <w:tab/>
        <w:t>Декларация за нови сметки на образувания</w:t>
      </w:r>
    </w:p>
    <w:p>
      <w:pPr>
        <w:rPr>
          <w:noProof/>
        </w:rPr>
      </w:pPr>
      <w:r>
        <w:rPr>
          <w:noProof/>
        </w:rPr>
        <w:t>По отношение на нови сметки на образувания, за целите на определянето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 единствено декларация от страна на титуляря на сметката или на контролиращото лице.</w:t>
      </w:r>
    </w:p>
    <w:p>
      <w:pPr>
        <w:pStyle w:val="ManualHeading1"/>
        <w:ind w:left="851" w:hanging="851"/>
        <w:rPr>
          <w:noProof/>
        </w:rPr>
      </w:pPr>
      <w:r>
        <w:rPr>
          <w:noProof/>
        </w:rPr>
        <w:t>3.</w:t>
      </w:r>
      <w:r>
        <w:rPr>
          <w:noProof/>
        </w:rPr>
        <w:tab/>
        <w:t>Качество на местно лице на финансова институция</w:t>
      </w:r>
    </w:p>
    <w:p>
      <w:pPr>
        <w:rPr>
          <w:noProof/>
        </w:rPr>
      </w:pPr>
      <w:r>
        <w:rPr>
          <w:noProof/>
        </w:rPr>
        <w:t>Дадена финансова институция има качество на местно лице на държава членка, ако попада под юрисдикцията на тази държава членка (т.е. държавата членка има право да наложи на финансовата институция задължение за предоставяне на информация). По правило, когато за данъчни цели финансова институция е местно лице на държава членка, тя попада под юрисдикцията на тази държава членка и поради това е финансова институция на държавата членка. В случая на тръст, който е финансова институция (независимо от това дали е местно лице за данъчни цели на държава членка), се счита, че тръстът попада под юрисдикцията на държава членка, ако един или повече от попечителите са местни лица на тази държава членка, освен ако тръстът предостави цялата информация, чието предоставяне се дължи съгласно настоящата директива по отношение на сметки, за които се предоставя информация, поддържани от тръста, на друга държава членка, тъй като е местно лице за данъчни цели на тази друга държава членка. Същевременно, когато финансова институция (с изключение на тръст) не е местно лице за данъчни цели (например, тъй като е третирана като фискално прозрачна или попада под юрисдикция, която не предвижда подоходен данък), се счита, че тя попада под юрисдикцията на държава членка и поради това е финансова институция на държава членка, ако:</w:t>
      </w:r>
    </w:p>
    <w:p>
      <w:pPr>
        <w:pStyle w:val="Point0"/>
        <w:rPr>
          <w:noProof/>
        </w:rPr>
      </w:pPr>
      <w:r>
        <w:rPr>
          <w:noProof/>
        </w:rPr>
        <w:t>а)</w:t>
      </w:r>
      <w:r>
        <w:rPr>
          <w:noProof/>
        </w:rPr>
        <w:tab/>
        <w:t>е учредена съгласно правото на държавата членка;</w:t>
      </w:r>
    </w:p>
    <w:p>
      <w:pPr>
        <w:pStyle w:val="Point0"/>
        <w:rPr>
          <w:noProof/>
        </w:rPr>
      </w:pPr>
      <w:r>
        <w:rPr>
          <w:noProof/>
        </w:rPr>
        <w:t>б)</w:t>
      </w:r>
      <w:r>
        <w:rPr>
          <w:noProof/>
        </w:rPr>
        <w:tab/>
        <w:t>има място на управление (включително на действително управление) в държавата членка; или</w:t>
      </w:r>
    </w:p>
    <w:p>
      <w:pPr>
        <w:pStyle w:val="Point0"/>
        <w:rPr>
          <w:noProof/>
        </w:rPr>
      </w:pPr>
      <w:r>
        <w:rPr>
          <w:noProof/>
        </w:rPr>
        <w:t>в)</w:t>
      </w:r>
      <w:r>
        <w:rPr>
          <w:noProof/>
        </w:rPr>
        <w:tab/>
        <w:t>подлежи на финансов надзор в държавата членка.</w:t>
      </w:r>
    </w:p>
    <w:p>
      <w:pPr>
        <w:rPr>
          <w:noProof/>
        </w:rPr>
      </w:pPr>
      <w:r>
        <w:rPr>
          <w:noProof/>
        </w:rPr>
        <w:t>Когато финансова институция (с изключение на тръст) е местно лице на две или повече държави членки, тази финансова институция подлежи на задължение за предоставяне на информация и комплексна проверка в държавата членка, в която поддържа финансовата сметка (сметки).</w:t>
      </w:r>
    </w:p>
    <w:p>
      <w:pPr>
        <w:pStyle w:val="ManualHeading1"/>
        <w:ind w:left="851" w:hanging="851"/>
        <w:rPr>
          <w:noProof/>
        </w:rPr>
      </w:pPr>
      <w:r>
        <w:rPr>
          <w:noProof/>
        </w:rPr>
        <w:t>4.</w:t>
      </w:r>
      <w:r>
        <w:rPr>
          <w:noProof/>
        </w:rPr>
        <w:tab/>
        <w:t>Поддържана сметка</w:t>
      </w:r>
    </w:p>
    <w:p>
      <w:pPr>
        <w:rPr>
          <w:noProof/>
        </w:rPr>
      </w:pPr>
      <w:r>
        <w:rPr>
          <w:noProof/>
        </w:rPr>
        <w:t>По правило се счита, че дадена сметка се поддържа от финансова институция, както следва:</w:t>
      </w:r>
    </w:p>
    <w:p>
      <w:pPr>
        <w:pStyle w:val="Point0"/>
        <w:rPr>
          <w:noProof/>
        </w:rPr>
      </w:pPr>
      <w:r>
        <w:rPr>
          <w:noProof/>
        </w:rPr>
        <w:t>а)</w:t>
      </w:r>
      <w:r>
        <w:rPr>
          <w:noProof/>
        </w:rPr>
        <w:tab/>
        <w:t>в случай на попечителска сметка — от финансовата институция, която е попечител на активите по сметката (включително финансова институция, която държи активи на името на брокера за титуляр на сметка в такава институция);</w:t>
      </w:r>
    </w:p>
    <w:p>
      <w:pPr>
        <w:pStyle w:val="Point0"/>
        <w:rPr>
          <w:noProof/>
        </w:rPr>
      </w:pPr>
      <w:r>
        <w:rPr>
          <w:noProof/>
        </w:rPr>
        <w:t>б)</w:t>
      </w:r>
      <w:r>
        <w:rPr>
          <w:noProof/>
        </w:rPr>
        <w:tab/>
        <w:t>в случай на депозитна сметка — от финансовата институция, която е длъжна да извършва плащания по сметката (с изключение на представител на финансова институция, независимо от това дали този представител е финансова институция);</w:t>
      </w:r>
    </w:p>
    <w:p>
      <w:pPr>
        <w:pStyle w:val="Point0"/>
        <w:rPr>
          <w:noProof/>
        </w:rPr>
      </w:pPr>
      <w:r>
        <w:rPr>
          <w:noProof/>
        </w:rPr>
        <w:t>в)</w:t>
      </w:r>
      <w:r>
        <w:rPr>
          <w:noProof/>
        </w:rPr>
        <w:tab/>
        <w:t>в случай на капиталово или дългово участие във финансова институция, което съставлява финансова сметка — от тази финансова институция;</w:t>
      </w:r>
    </w:p>
    <w:p>
      <w:pPr>
        <w:pStyle w:val="Point0"/>
        <w:rPr>
          <w:noProof/>
        </w:rPr>
      </w:pPr>
      <w:r>
        <w:rPr>
          <w:noProof/>
        </w:rPr>
        <w:t>г)</w:t>
      </w:r>
      <w:r>
        <w:rPr>
          <w:noProof/>
        </w:rPr>
        <w:tab/>
        <w:t>в случай на застрахователен договор с откупна стойност или анюитетен договор — от финансовата институция, която е длъжна да извършва плащания по договора.</w:t>
      </w:r>
    </w:p>
    <w:p>
      <w:pPr>
        <w:pStyle w:val="ManualHeading1"/>
        <w:ind w:left="851" w:hanging="851"/>
        <w:rPr>
          <w:noProof/>
        </w:rPr>
      </w:pPr>
      <w:r>
        <w:rPr>
          <w:noProof/>
        </w:rPr>
        <w:t>5.</w:t>
      </w:r>
      <w:r>
        <w:rPr>
          <w:noProof/>
        </w:rPr>
        <w:tab/>
        <w:t>Тръст, който е пасивно нефинансово образувание</w:t>
      </w:r>
    </w:p>
    <w:p>
      <w:pPr>
        <w:rPr>
          <w:noProof/>
        </w:rPr>
      </w:pPr>
      <w:r>
        <w:rPr>
          <w:noProof/>
        </w:rPr>
        <w:t>Образувание като съдружие, неперсонифицирано дружество с ограничена отговорност или подобна правна договореност, което не е местно лице за данъчни цели, съгласно раздел VIII, точка Г.3 от приложение I, се третира като установено в рамките на юрисдикцията, на чиято територия се намира мястото на действителното му управление. За тези цели юридическо лице или правна договореност се считат за „подобни“ на съдружие и неперсонифицирано дружество с ограничена отговорност, когато не се третират като облагаем субект в държава членка съгласно данъчното законодателство на тази държава членка. Същевременно, за да се избегне двойно предоставяне на информация (предвид широкия обхват на понятието „контролиращи лица“ в хипотезата с тръст), тръст, който е пасивно нефинансово образувание, не може да се разглежда като подобна правна договореност.</w:t>
      </w:r>
    </w:p>
    <w:p>
      <w:pPr>
        <w:pStyle w:val="ManualHeading1"/>
        <w:ind w:left="851" w:hanging="851"/>
        <w:rPr>
          <w:noProof/>
        </w:rPr>
      </w:pPr>
      <w:r>
        <w:rPr>
          <w:noProof/>
        </w:rPr>
        <w:t>6.</w:t>
      </w:r>
      <w:r>
        <w:rPr>
          <w:noProof/>
        </w:rPr>
        <w:tab/>
        <w:t>Адрес на централно управление на образуванието</w:t>
      </w:r>
    </w:p>
    <w:p>
      <w:pPr>
        <w:rPr>
          <w:noProof/>
        </w:rPr>
      </w:pPr>
      <w:r>
        <w:rPr>
          <w:noProof/>
        </w:rPr>
        <w:t>Едно от изискванията, посочени раздел VIII, точка Д.6, буква в) от приложение I, предвижда, че по отношение на образувание официалната документация съдържа адреса на централно управление на образуванието в държавата членка или друга юрисдикция, в която образуванието твърди, че е местно лице, в държавата членка или в друга юрисдикция, в която е учредено или създадено. Адресът на централно управление на образуванието по правило е мястото, на което се намира неговото действително управление. Адресът на финансова институция, в която образуванието поддържа сметка, пощенска кутия или адрес, използван единствено за целите на кореспонденцията, не е адресът на централно управление на образуванието, освен ако това е единственият адрес, използван от образуванието, и е посочен като негов регистриран адрес в организационните му документи. Наред с това, адрес, предоставен с инструкции за запазване на цялата поща на този адрес, не е адресът на централно управление на образуванието.</w:t>
      </w:r>
    </w:p>
    <w:p>
      <w:pPr>
        <w:jc w:val="center"/>
        <w:rPr>
          <w:noProof/>
        </w:rPr>
      </w:pPr>
      <w:r>
        <w:rPr>
          <w:noProof/>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чл. 1 т. 9 и Приложение</w:t>
      </w:r>
    </w:p>
    <w:p>
      <w:pPr>
        <w:pStyle w:val="Annexetitre"/>
        <w:rPr>
          <w:noProof/>
        </w:rPr>
      </w:pPr>
      <w:r>
        <w:rPr>
          <w:noProof/>
        </w:rPr>
        <w:t>ПРИЛОЖЕНИЕ III</w:t>
      </w:r>
    </w:p>
    <w:p>
      <w:pPr>
        <w:pStyle w:val="ManualHeading1"/>
        <w:jc w:val="center"/>
        <w:rPr>
          <w:noProof/>
        </w:rPr>
      </w:pPr>
      <w:r>
        <w:rPr>
          <w:noProof/>
        </w:rPr>
        <w:t>ПРАВИЛА ЗА ПРЕДОСТАВЯНЕ НА ИНФОРМАЦИЯ ОТ МНОГОНАЦИОНАЛНИ „ГРУПИ“ ОТ ПРЕДПРИЯТИЯ</w:t>
      </w:r>
    </w:p>
    <w:p>
      <w:pPr>
        <w:pStyle w:val="SectionTitle"/>
        <w:rPr>
          <w:noProof/>
        </w:rPr>
      </w:pPr>
      <w:r>
        <w:rPr>
          <w:noProof/>
        </w:rPr>
        <w:t>РАЗДЕЛ I</w:t>
      </w:r>
    </w:p>
    <w:p>
      <w:pPr>
        <w:pStyle w:val="ManualHeading3"/>
        <w:rPr>
          <w:noProof/>
        </w:rPr>
      </w:pPr>
      <w:r>
        <w:rPr>
          <w:noProof/>
        </w:rPr>
        <w:t>ОПРЕДЕЛЕНИЯ</w:t>
      </w:r>
    </w:p>
    <w:p>
      <w:pPr>
        <w:pStyle w:val="Point0"/>
        <w:rPr>
          <w:noProof/>
        </w:rPr>
      </w:pPr>
      <w:r>
        <w:rPr>
          <w:noProof/>
        </w:rPr>
        <w:t>1.</w:t>
      </w:r>
      <w:r>
        <w:rPr>
          <w:noProof/>
        </w:rPr>
        <w:tab/>
        <w:t>Понятието „група“ означава съвкупност от предприятия, свързани посредством собственост или контрол, така че тя е или длъжна да изготвя консолидирани финансови отчети за целите на финансовата отчетност съгласно приложимите счетоводни принципи, или ще бъде длъжна, ако дялове от капитала на някое от предприятията бъдат търгувани на публична фондова борса.</w:t>
      </w:r>
    </w:p>
    <w:p>
      <w:pPr>
        <w:pStyle w:val="Point0"/>
        <w:rPr>
          <w:noProof/>
        </w:rPr>
      </w:pPr>
      <w:r>
        <w:rPr>
          <w:noProof/>
        </w:rPr>
        <w:t>2.</w:t>
      </w:r>
      <w:r>
        <w:rPr>
          <w:noProof/>
        </w:rPr>
        <w:tab/>
        <w:t>Понятието „предприятие“ означава всяка форма на осъществяване на стопанска дейност от лице, посочено в член 3, точка 11, букви б), в) и г).</w:t>
      </w:r>
    </w:p>
    <w:p>
      <w:pPr>
        <w:pStyle w:val="Point0"/>
        <w:rPr>
          <w:noProof/>
        </w:rPr>
      </w:pPr>
      <w:r>
        <w:rPr>
          <w:noProof/>
        </w:rPr>
        <w:t>3.</w:t>
      </w:r>
      <w:r>
        <w:rPr>
          <w:noProof/>
        </w:rPr>
        <w:tab/>
        <w:t>Понятието „многонационална група от предприятия“ („МГП“) означава „група“, която включва две или повече предприятия, които са местни лица за данъчни цели на различни юрисдикции, или включва предприятие, което е местно лице за данъчни цели на една юрисдикция, но подлежи на данъчно облагане по отношение на стопанската дейност, извършвана чрез място на стопанска дейност в друга юрисдикция, и не представлява „изключена МГП“.</w:t>
      </w:r>
    </w:p>
    <w:p>
      <w:pPr>
        <w:pStyle w:val="Point0"/>
        <w:rPr>
          <w:noProof/>
        </w:rPr>
      </w:pPr>
      <w:r>
        <w:rPr>
          <w:noProof/>
        </w:rPr>
        <w:t>4.</w:t>
      </w:r>
      <w:r>
        <w:rPr>
          <w:noProof/>
        </w:rPr>
        <w:tab/>
        <w:t>Понятието „изключена МГП“ означава, по отношение на всяка „данъчна година“ на „групата“, „група“, която има общи консолидирани приходи на групата в размер до 750</w:t>
      </w:r>
      <w:r>
        <w:rPr>
          <w:noProof/>
          <w:lang w:val="en-IE"/>
        </w:rPr>
        <w:t> </w:t>
      </w:r>
      <w:r>
        <w:rPr>
          <w:noProof/>
        </w:rPr>
        <w:t>000</w:t>
      </w:r>
      <w:r>
        <w:rPr>
          <w:noProof/>
          <w:lang w:val="en-IE"/>
        </w:rPr>
        <w:t> </w:t>
      </w:r>
      <w:r>
        <w:rPr>
          <w:noProof/>
        </w:rPr>
        <w:t>000 EUR или сума в местна валута, която е приблизително равна на 750</w:t>
      </w:r>
      <w:r>
        <w:rPr>
          <w:noProof/>
          <w:lang w:val="en-IE"/>
        </w:rPr>
        <w:t> </w:t>
      </w:r>
      <w:r>
        <w:rPr>
          <w:noProof/>
        </w:rPr>
        <w:t>000</w:t>
      </w:r>
      <w:r>
        <w:rPr>
          <w:noProof/>
          <w:lang w:val="en-IE"/>
        </w:rPr>
        <w:t> </w:t>
      </w:r>
      <w:r>
        <w:rPr>
          <w:noProof/>
        </w:rPr>
        <w:t>000 EUR към януари 2015 г. на „данъчната година“, непосредствено предшестваща „отчетната данъчна година“, както е отразено в нейните „консолидирани финансови отчети“ за такава предходна „данъчна година“.</w:t>
      </w:r>
    </w:p>
    <w:p>
      <w:pPr>
        <w:pStyle w:val="Point0"/>
        <w:rPr>
          <w:noProof/>
        </w:rPr>
      </w:pPr>
      <w:r>
        <w:rPr>
          <w:noProof/>
        </w:rPr>
        <w:t>5.</w:t>
      </w:r>
      <w:r>
        <w:rPr>
          <w:noProof/>
        </w:rPr>
        <w:tab/>
        <w:t>Понятието „съставно образувание“ означава някое от следните:</w:t>
      </w:r>
    </w:p>
    <w:p>
      <w:pPr>
        <w:pStyle w:val="Point1"/>
        <w:rPr>
          <w:noProof/>
        </w:rPr>
      </w:pPr>
      <w:r>
        <w:rPr>
          <w:noProof/>
        </w:rPr>
        <w:t>а)</w:t>
      </w:r>
      <w:r>
        <w:rPr>
          <w:noProof/>
        </w:rPr>
        <w:tab/>
        <w:t>всяка отделна стопанска единица на „МГП“, която е включена в „консолидираните финансови отчети“ на „МГП“ за целите на финансовото отчитане, или която ще бъде включена, ако дялове от капитала на такава стопанска единица на „МГП“ бъдат търгувани на публична фондова борса;</w:t>
      </w:r>
    </w:p>
    <w:p>
      <w:pPr>
        <w:pStyle w:val="Point1"/>
        <w:rPr>
          <w:noProof/>
        </w:rPr>
      </w:pPr>
      <w:r>
        <w:rPr>
          <w:noProof/>
        </w:rPr>
        <w:t>б)</w:t>
      </w:r>
      <w:r>
        <w:rPr>
          <w:noProof/>
        </w:rPr>
        <w:tab/>
        <w:t>всяка такава стопанска единица, която е изключена от „консолидираните финансови отчети“ на „МГП“ само на основание размер или същественост;</w:t>
      </w:r>
    </w:p>
    <w:p>
      <w:pPr>
        <w:pStyle w:val="Point1"/>
        <w:rPr>
          <w:noProof/>
        </w:rPr>
      </w:pPr>
      <w:r>
        <w:rPr>
          <w:noProof/>
        </w:rPr>
        <w:t>в)</w:t>
      </w:r>
      <w:r>
        <w:rPr>
          <w:noProof/>
        </w:rPr>
        <w:tab/>
        <w:t>всяко място на стопанска дейност на всяка отделна стопанска единица на „МГП“, спадаща към буква а) или буква б), ако стопанската единица изготвя отделен финансов отчет за това място на стопанска дейност за целите на финансовото отчитане, за регулаторни цели, данъчно отчитане или във връзка с вътрешния управленски контрол.</w:t>
      </w:r>
    </w:p>
    <w:p>
      <w:pPr>
        <w:pStyle w:val="Point0"/>
        <w:rPr>
          <w:noProof/>
        </w:rPr>
      </w:pPr>
      <w:r>
        <w:rPr>
          <w:noProof/>
        </w:rPr>
        <w:t>6.</w:t>
      </w:r>
      <w:r>
        <w:rPr>
          <w:noProof/>
        </w:rPr>
        <w:tab/>
        <w:t>Понятието „предоставящо информация образувание“ означава „съставното образувание“, от което се изисква да подаде отчет по държави в съответствие с изискванията на член 10, параграф 3 в юрисдикцията, на която то е местно лице за данъчни цели, от името на „МГП“. „Предоставящото информация образувание“ може да е „крайното образувание майка“, „заместващото образувание майка“ или всяко образувание, посочено в раздел II, точка 1.</w:t>
      </w:r>
    </w:p>
    <w:p>
      <w:pPr>
        <w:pStyle w:val="Point0"/>
        <w:rPr>
          <w:noProof/>
        </w:rPr>
      </w:pPr>
      <w:r>
        <w:rPr>
          <w:noProof/>
        </w:rPr>
        <w:t>7.</w:t>
      </w:r>
      <w:r>
        <w:rPr>
          <w:noProof/>
        </w:rPr>
        <w:tab/>
        <w:t>Понятието „крайно образувание майка“ означава „съставно образувание“ на „МГП“, което отговаря на следните критерии:</w:t>
      </w:r>
    </w:p>
    <w:p>
      <w:pPr>
        <w:pStyle w:val="Point1"/>
        <w:rPr>
          <w:noProof/>
        </w:rPr>
      </w:pPr>
      <w:r>
        <w:rPr>
          <w:noProof/>
        </w:rPr>
        <w:t>а)</w:t>
      </w:r>
      <w:r>
        <w:rPr>
          <w:noProof/>
        </w:rPr>
        <w:tab/>
        <w:t>пряко или косвено притежава достатъчен дял в едно или повече други „съставни образувания“ на „МГП“, така че да е длъжно да изготвя „консолидирани финансови отчети“ съгласно общоприетите счетоводни принципи, прилагани в юрисдикцията, на която то е местно лице за данъчни цели, или което ще бъде длъжно да прави това, ако неговите дялове от капитала бъдат търгувани на публична фондова борса в юрисдикцията, на която то е местно лице за данъчни цели;</w:t>
      </w:r>
    </w:p>
    <w:p>
      <w:pPr>
        <w:pStyle w:val="Point1"/>
        <w:rPr>
          <w:noProof/>
        </w:rPr>
      </w:pPr>
      <w:r>
        <w:rPr>
          <w:noProof/>
        </w:rPr>
        <w:t>б)</w:t>
      </w:r>
      <w:r>
        <w:rPr>
          <w:noProof/>
        </w:rPr>
        <w:tab/>
        <w:t>няма друго „съставно образувание“ на тази „МГП“, което притежава пряко или косвено дял, както е описано в буква а), в посоченото първо „съставно образувание“.</w:t>
      </w:r>
    </w:p>
    <w:p>
      <w:pPr>
        <w:pStyle w:val="Point0"/>
        <w:rPr>
          <w:noProof/>
        </w:rPr>
      </w:pPr>
      <w:r>
        <w:rPr>
          <w:noProof/>
        </w:rPr>
        <w:t>8.</w:t>
      </w:r>
      <w:r>
        <w:rPr>
          <w:noProof/>
        </w:rPr>
        <w:tab/>
        <w:t>Понятието „заместващо образувание майка“ означава „съставно образувание“ на „МГП“, което е била определено от тази „МГП“ като единствен заместник на „крайното образувание майка“ при подаването на отчета по държави в юрисдикцията, на която „съставното образувание“ е местно лице за данъчни цели, от името на „МГП“, когато са изпълнени едно или повече от условията, посочени в раздел II, точка 1, първа алинея, буква б).</w:t>
      </w:r>
    </w:p>
    <w:p>
      <w:pPr>
        <w:pStyle w:val="Point0"/>
        <w:rPr>
          <w:noProof/>
        </w:rPr>
      </w:pPr>
      <w:r>
        <w:rPr>
          <w:noProof/>
        </w:rPr>
        <w:t>9.</w:t>
      </w:r>
      <w:r>
        <w:rPr>
          <w:noProof/>
        </w:rPr>
        <w:tab/>
        <w:t>Понятието „данъчна година“ означава годишен счетоводен период, по отношение на който „крайното образувание майка“ от „МГП“ изготвя своите финансови отчети.</w:t>
      </w:r>
    </w:p>
    <w:p>
      <w:pPr>
        <w:pStyle w:val="Point0"/>
        <w:rPr>
          <w:noProof/>
        </w:rPr>
      </w:pPr>
      <w:r>
        <w:rPr>
          <w:noProof/>
        </w:rPr>
        <w:t>10.</w:t>
      </w:r>
      <w:r>
        <w:rPr>
          <w:noProof/>
        </w:rPr>
        <w:tab/>
        <w:t>Понятието „отчетна данъчна година“ означава „данъчната година“, за която финансовите и оперативните резултати са отразени в отчета по държави, посочен в член 10, параграф 3.</w:t>
      </w:r>
    </w:p>
    <w:p>
      <w:pPr>
        <w:pStyle w:val="Point0"/>
        <w:rPr>
          <w:noProof/>
        </w:rPr>
      </w:pPr>
      <w:r>
        <w:rPr>
          <w:noProof/>
        </w:rPr>
        <w:t>11.</w:t>
      </w:r>
      <w:r>
        <w:rPr>
          <w:noProof/>
        </w:rPr>
        <w:tab/>
        <w:t>Понятието „отговарящо на условията споразумение между компетентните органи“ означава споразумение, което е сключено между упълномощени представители на държава — членка на ЕС, и на юрисдикция извън Съюза, които са страни по „международно споразумение“, и по силата на което се изисква автоматичен обмен на отчетите по държави между юрисдикциите, които са страни по него.</w:t>
      </w:r>
    </w:p>
    <w:p>
      <w:pPr>
        <w:pStyle w:val="Point0"/>
        <w:rPr>
          <w:noProof/>
        </w:rPr>
      </w:pPr>
      <w:r>
        <w:rPr>
          <w:noProof/>
        </w:rPr>
        <w:t>12.</w:t>
      </w:r>
      <w:r>
        <w:rPr>
          <w:noProof/>
        </w:rPr>
        <w:tab/>
        <w:t>Понятието „международно споразумение“ означава Многостранната конвенция за взаимно административно сътрудничество по данъчни въпроси, всяка двустранна или многостранна данъчна спогодба или всяко споразумение за обмен на информация по данъчни въпроси, по които държавата членка е страна и чиито разпоредби предоставят законови правомощия за обмен на данъчна информация между юрисдикции, в това число за автоматичен обмен на такава информация.</w:t>
      </w:r>
    </w:p>
    <w:p>
      <w:pPr>
        <w:pStyle w:val="Point0"/>
        <w:rPr>
          <w:noProof/>
        </w:rPr>
      </w:pPr>
      <w:r>
        <w:rPr>
          <w:noProof/>
        </w:rPr>
        <w:t>13.</w:t>
      </w:r>
      <w:r>
        <w:rPr>
          <w:noProof/>
        </w:rPr>
        <w:tab/>
        <w:t>Понятието „консолидирани финансови отчети“ означава финансовите отчети на „МГП“, в които активите, пасивите, приходите, разходите и паричните потоци на „крайното образувание майка“ и на „съставните образувания“ са представени като такива на един стопански субект.</w:t>
      </w:r>
    </w:p>
    <w:p>
      <w:pPr>
        <w:pStyle w:val="Point0"/>
        <w:rPr>
          <w:noProof/>
        </w:rPr>
      </w:pPr>
      <w:r>
        <w:rPr>
          <w:noProof/>
        </w:rPr>
        <w:t>14.</w:t>
      </w:r>
      <w:r>
        <w:rPr>
          <w:noProof/>
        </w:rPr>
        <w:tab/>
        <w:t>Понятието „системно неизпълнение“ по отношение на юрисдикция означава или че дадена юрисдикция има действащо „отговарящо на условията споразумение между компетентните органи“ с държава членка, но е спряла автоматичния обмен (поради причини, различни от съответстващите на условията на това споразумение), или че дадена юрисдикция по друг начин редовно не предоставя автоматично на държава членка отчетите по държави, с които разполага, за „МГП“, които имат „съставни образувания“ в тази държава членка.</w:t>
      </w:r>
    </w:p>
    <w:p>
      <w:pPr>
        <w:pStyle w:val="SectionTitle"/>
        <w:rPr>
          <w:noProof/>
        </w:rPr>
      </w:pPr>
      <w:r>
        <w:rPr>
          <w:noProof/>
        </w:rPr>
        <w:t>РАЗДЕЛ II</w:t>
      </w:r>
    </w:p>
    <w:p>
      <w:pPr>
        <w:pStyle w:val="ManualHeading3"/>
        <w:rPr>
          <w:noProof/>
        </w:rPr>
      </w:pPr>
      <w:r>
        <w:rPr>
          <w:noProof/>
        </w:rPr>
        <w:t>ОБЩИ ИЗИСКВАНИЯ ЗА ПРЕДОСТАВЯНЕ НА ИНФОРМАЦИЯ</w:t>
      </w:r>
    </w:p>
    <w:p>
      <w:pPr>
        <w:pStyle w:val="Point0"/>
        <w:rPr>
          <w:noProof/>
        </w:rPr>
      </w:pPr>
      <w:r>
        <w:rPr>
          <w:noProof/>
        </w:rPr>
        <w:t>1.</w:t>
      </w:r>
      <w:r>
        <w:rPr>
          <w:noProof/>
        </w:rPr>
        <w:tab/>
        <w:t>„Съставно образувание“, което е местно лице на държава членка и което не е „крайното образувание майка“ на „МГП“, подава отчет по държави за „отчетната данъчна година“ на „МГП“, на което е „съставно образувание“, ако са удовлетворени следните критерии:</w:t>
      </w:r>
    </w:p>
    <w:p>
      <w:pPr>
        <w:pStyle w:val="Point1"/>
        <w:rPr>
          <w:noProof/>
        </w:rPr>
      </w:pPr>
      <w:r>
        <w:rPr>
          <w:noProof/>
        </w:rPr>
        <w:t>а)</w:t>
      </w:r>
      <w:r>
        <w:rPr>
          <w:noProof/>
        </w:rPr>
        <w:tab/>
        <w:t>образуванието е местно лице за данъчни цели на дадена държава членка;</w:t>
      </w:r>
    </w:p>
    <w:p>
      <w:pPr>
        <w:pStyle w:val="Point1"/>
        <w:rPr>
          <w:noProof/>
        </w:rPr>
      </w:pPr>
      <w:r>
        <w:rPr>
          <w:noProof/>
        </w:rPr>
        <w:t>б)</w:t>
      </w:r>
      <w:r>
        <w:rPr>
          <w:noProof/>
        </w:rPr>
        <w:tab/>
        <w:t>изпълнено е едно от следните условия:</w:t>
      </w:r>
    </w:p>
    <w:p>
      <w:pPr>
        <w:pStyle w:val="Point2"/>
        <w:rPr>
          <w:noProof/>
        </w:rPr>
      </w:pPr>
      <w:r>
        <w:rPr>
          <w:noProof/>
        </w:rPr>
        <w:t>i.</w:t>
      </w:r>
      <w:r>
        <w:rPr>
          <w:noProof/>
        </w:rPr>
        <w:tab/>
        <w:t>„крайното образувание майка“ на „МГП“ не е задължено да подава отчет по държави в юрисдикцията, на която е местно лице за данъчни цели;</w:t>
      </w:r>
    </w:p>
    <w:p>
      <w:pPr>
        <w:pStyle w:val="Point2"/>
        <w:rPr>
          <w:noProof/>
        </w:rPr>
      </w:pPr>
      <w:r>
        <w:rPr>
          <w:noProof/>
        </w:rPr>
        <w:t>ii.</w:t>
      </w:r>
      <w:r>
        <w:rPr>
          <w:noProof/>
        </w:rPr>
        <w:tab/>
        <w:t>юрисдикцията, на която „крайното образувание майка“ е местно лице за данъчни цели, има действащо „международно споразумение“, по което държавата членка е страна, но към посочения в член 10, параграф 1 момент за подаване на отчет по държави за „отчетната данъчна година“ няма действащо „отговарящо на условията споразумение между компетентните органи“, по което държавата членка да е страна;</w:t>
      </w:r>
    </w:p>
    <w:p>
      <w:pPr>
        <w:pStyle w:val="Point2"/>
        <w:rPr>
          <w:noProof/>
        </w:rPr>
      </w:pPr>
      <w:r>
        <w:rPr>
          <w:noProof/>
        </w:rPr>
        <w:t>iii.</w:t>
      </w:r>
      <w:r>
        <w:rPr>
          <w:noProof/>
        </w:rPr>
        <w:tab/>
        <w:t>налице е „системно неизпълнение“ от страна на юрисдикцията, на която „крайното образувание майка“ е местно лице за данъчни цели, за което държавата членка е уведомила „съставното образувание“, което е местно лице за данъчни цели на тази държава членка.</w:t>
      </w:r>
    </w:p>
    <w:p>
      <w:pPr>
        <w:pStyle w:val="Text1"/>
        <w:rPr>
          <w:noProof/>
        </w:rPr>
      </w:pPr>
      <w:r>
        <w:rPr>
          <w:noProof/>
        </w:rPr>
        <w:t>Без да се засяга задължението на „крайното образувание майка“, посочено в член 10, параграф 1, или на „заместващото предприятие майка“ да подаде първия отчет по държави за „данъчната година“ на „МГП“, започваща на 1 януари 2016 г. или след тази дата, държавите членки могат да решат задължението на „съставните образувания“, съгласно точка 1 от настоящия раздел, да се прилага за отчетите по държави за „отчетните данъчни години“, започващи на 1 януари 2017 г. или след тази дата.</w:t>
      </w:r>
    </w:p>
    <w:p>
      <w:pPr>
        <w:pStyle w:val="Text1"/>
        <w:rPr>
          <w:noProof/>
        </w:rPr>
      </w:pPr>
      <w:r>
        <w:rPr>
          <w:noProof/>
        </w:rPr>
        <w:t>„Съставно образувание“, което е местно лице на държава членка съгласно определението в първа алинея на настоящата точка, изисква от своето „крайно образувание майка“ да ѝ предостави цялата необходима информация, която да ѝ позволи да изпълни задълженията си за подаване на отчета по държави съгласно член 10, параграф 3. Ако въпреки това съответното „съставно образувание“ не е получило или придобило цялата необходима информация за подаване на отчет за „МГП“, това „съставно образувание“ подава отчет по държави, съдържащ цялата получена или придобита информация, с която разполага, и нотифицира държавата членка, на която е местно лице, че „крайното образувание майка“ е отказало да предостави необходимата информация. Това не засяга правото на засегнатата държава членка да прилага санкциите, предвидени в нейното национално законодателство, като тази държава членка информира всички държави членки за отказа.</w:t>
      </w:r>
    </w:p>
    <w:p>
      <w:pPr>
        <w:pStyle w:val="Text1"/>
        <w:rPr>
          <w:noProof/>
        </w:rPr>
      </w:pPr>
      <w:r>
        <w:rPr>
          <w:noProof/>
        </w:rPr>
        <w:t>При наличие на няколко „съставни образувания“ на една и съща „МГП“, които са местни лица за данъчни цели на Съюза, и когато се прилагат едно или няколко от условията, посочени в буква б), „МГП“ може да посочи едно от тези „съставни образувания“ да подаде отчета по държави в съответствие с изискванията на член 10, параграф 3 по отношение на всяка „отчетна данъчна година“ в рамките на посочения в член 10, параграф 1 срок, и да уведоми държавата членка, че подаването на отчета е предназначено да отговори на изискването за подаване, приложимо спрямо всички „съставни образувания“ на съответната „МГП“, които са местни лица за данъчни цели на Съюза. Тази държава членка, в съответствие с член 10, параграф 2, предоставя получения отчет по държави на всяка друга държава членка, в която, въз основа на информацията от отчета по държави, едно или повече „съставни образувания“ на „МГП“ на „предоставящото информация образувание“ са или местни лица за данъчни цели, или подлежат на данъчно облагане по отношение на стопанската дейност, извършвана чрез място на стопанска дейност.</w:t>
      </w:r>
    </w:p>
    <w:p>
      <w:pPr>
        <w:pStyle w:val="Text1"/>
        <w:rPr>
          <w:noProof/>
        </w:rPr>
      </w:pPr>
      <w:r>
        <w:rPr>
          <w:noProof/>
        </w:rPr>
        <w:t>Когато дадено „съставно образувание“ не може да получи или да придобие цялата необходима информация за подаване на отчет по държави съгласно член 10, параграф 3, то не може да бъде посочено за „предоставящо информация образувание“ за „МГП“ съгласно четвърта алинея от настоящата точка. Това правило се прилага без да се засяга задължението на „съставното образувание“ да уведоми държавата членка, на която е местно лице, че „крайното образувание майка“ е отказало да предостави необходимата информация.</w:t>
      </w:r>
    </w:p>
    <w:p>
      <w:pPr>
        <w:pStyle w:val="Point0"/>
        <w:rPr>
          <w:noProof/>
        </w:rPr>
      </w:pPr>
      <w:r>
        <w:rPr>
          <w:noProof/>
        </w:rPr>
        <w:t>2.</w:t>
      </w:r>
      <w:r>
        <w:rPr>
          <w:noProof/>
        </w:rPr>
        <w:tab/>
        <w:t>Чрез дерогация от точка 1, когато се прилагат едно или повече от условията в точка 1, буква б), от образувание, посочено в точка 1, не се изисква да подава отчет по държави за дадена „отчетна данъчна година“, ако „МГП“, на която то е „съставно образувание“, е подала отчет по държави в съответствие с член 10, параграф 3 за същата „данъчна година“ чрез „заместващо образувание майка“, което подава този отчет по държави пред данъчните органи на юрисдикцията, на която е местно лице за данъчни цели, на или преди датата, посочена в член</w:t>
      </w:r>
      <w:r>
        <w:rPr>
          <w:noProof/>
          <w:lang w:val="en-IE"/>
        </w:rPr>
        <w:t> </w:t>
      </w:r>
      <w:r>
        <w:rPr>
          <w:noProof/>
        </w:rPr>
        <w:t xml:space="preserve">10, параграф 1, и когато, в случай че „заместващото образувание майка“ е местно лице за данъчни цели на дадена юрисдикция извън Съюза, са изпълнени следните условия: </w:t>
      </w:r>
    </w:p>
    <w:p>
      <w:pPr>
        <w:pStyle w:val="Point1"/>
        <w:rPr>
          <w:noProof/>
        </w:rPr>
      </w:pPr>
      <w:r>
        <w:rPr>
          <w:noProof/>
        </w:rPr>
        <w:t>а)</w:t>
      </w:r>
      <w:r>
        <w:rPr>
          <w:noProof/>
        </w:rPr>
        <w:tab/>
        <w:t>юрисдикцията, на която „заместващото образувание майка“ е местно лице за данъчни цели, изисква подаване на отчети по държави в съответствие с изискванията на член 10, параграф 3;</w:t>
      </w:r>
    </w:p>
    <w:p>
      <w:pPr>
        <w:pStyle w:val="Point1"/>
        <w:rPr>
          <w:noProof/>
        </w:rPr>
      </w:pPr>
      <w:r>
        <w:rPr>
          <w:noProof/>
        </w:rPr>
        <w:t>б)</w:t>
      </w:r>
      <w:r>
        <w:rPr>
          <w:noProof/>
        </w:rPr>
        <w:tab/>
        <w:t>юрисдикцията, на която „заместващото образувание майка“ е местно лице за данъчни цели, има действащо „отговарящо на условията споразумение между компетентните органи“, по което държавата членка е страна към посочения в член 10, параграф 1 момент за подаване на отчет по държави за „отчетната данъчна година“;</w:t>
      </w:r>
    </w:p>
    <w:p>
      <w:pPr>
        <w:pStyle w:val="Point1"/>
        <w:rPr>
          <w:noProof/>
        </w:rPr>
      </w:pPr>
      <w:r>
        <w:rPr>
          <w:noProof/>
        </w:rPr>
        <w:t>в)</w:t>
      </w:r>
      <w:r>
        <w:rPr>
          <w:noProof/>
        </w:rPr>
        <w:tab/>
        <w:t>юрисдикцията, на която „заместващото образувание майка“ е местно лице за данъчни цели, не е уведомила държавата членка за „системно неизпълнение“;</w:t>
      </w:r>
    </w:p>
    <w:p>
      <w:pPr>
        <w:pStyle w:val="Point1"/>
        <w:rPr>
          <w:noProof/>
        </w:rPr>
      </w:pPr>
      <w:r>
        <w:rPr>
          <w:noProof/>
        </w:rPr>
        <w:t>г)</w:t>
      </w:r>
      <w:r>
        <w:rPr>
          <w:noProof/>
        </w:rPr>
        <w:tab/>
        <w:t>юрисдикцията, на която „заместващото образувание майка“ е местно лице за данъчни цели, е била уведомена не по-късно от последния ден на „отчетната данъчна година“ на „МГП“ от „съставното образувание“, което е нейно местно лице за данъчни цели, че последното е „заместващото образувание майка“;</w:t>
      </w:r>
    </w:p>
    <w:p>
      <w:pPr>
        <w:pStyle w:val="Point1"/>
        <w:rPr>
          <w:noProof/>
        </w:rPr>
      </w:pPr>
      <w:r>
        <w:rPr>
          <w:noProof/>
        </w:rPr>
        <w:t>д)</w:t>
      </w:r>
      <w:r>
        <w:rPr>
          <w:noProof/>
        </w:rPr>
        <w:tab/>
        <w:t>държавата членка е получила уведомление в съответствие с точка 4.</w:t>
      </w:r>
    </w:p>
    <w:p>
      <w:pPr>
        <w:pStyle w:val="Point0"/>
        <w:rPr>
          <w:noProof/>
        </w:rPr>
      </w:pPr>
      <w:r>
        <w:rPr>
          <w:noProof/>
        </w:rPr>
        <w:t>3.</w:t>
      </w:r>
      <w:r>
        <w:rPr>
          <w:noProof/>
        </w:rPr>
        <w:tab/>
        <w:t>Държавите членки изискват всяко „съставно образувание“ на „МГП“, което е местно лице за данъчни цели на една държава членка, да уведомява тази държава членка дали представлява „крайно образувание майка“, „заместващо образувание майка“ или „съставно образувание“ по точка 1 не по-късно от последния ден на „отчетната данъчна година“ на тази „МГП“. Държавите членки могат да удължат този краен срок до последния ден, в който съответното „съставно образувание“ трябва да подаде данъчна декларация за предходната данъчна година.</w:t>
      </w:r>
    </w:p>
    <w:p>
      <w:pPr>
        <w:pStyle w:val="Point0"/>
        <w:rPr>
          <w:noProof/>
        </w:rPr>
      </w:pPr>
      <w:r>
        <w:rPr>
          <w:noProof/>
        </w:rPr>
        <w:t>4.</w:t>
      </w:r>
      <w:r>
        <w:rPr>
          <w:noProof/>
        </w:rPr>
        <w:tab/>
        <w:t>Държавите членки изискват, когато „съставно образувание“ на „МГП“, което е местно лице за данъчни цели на една държава членка, но не е „крайно образувание майка“, нито „заместващо образувание майка“, нито „съставно образувание“ по точка 1, то да уведомява държавата членка относно идентификацията на „предоставящото информация образувание“ и мястото, където то е местно лице за данъчни цели, не по-късно от последния ден на „отчетната данъчна година“ на „МГП“. Държавите членки могат да удължат този краен срок до последния ден, в който съответното „съставно образувание“ трябва да подаде данъчна декларация за предходната данъчна година.</w:t>
      </w:r>
    </w:p>
    <w:p>
      <w:pPr>
        <w:pStyle w:val="Point0"/>
        <w:rPr>
          <w:noProof/>
        </w:rPr>
      </w:pPr>
      <w:r>
        <w:rPr>
          <w:noProof/>
        </w:rPr>
        <w:t>5.</w:t>
      </w:r>
      <w:r>
        <w:rPr>
          <w:noProof/>
        </w:rPr>
        <w:tab/>
        <w:t>В отчета по държави се посочва валутата на сумите, посочени в този отчет.</w:t>
      </w:r>
    </w:p>
    <w:p>
      <w:pPr>
        <w:rPr>
          <w:noProof/>
        </w:rPr>
        <w:sectPr>
          <w:pgSz w:w="11906" w:h="16838"/>
          <w:pgMar w:top="1134" w:right="1418" w:bottom="1134" w:left="1418" w:header="709" w:footer="709" w:gutter="0"/>
          <w:cols w:space="709"/>
          <w:docGrid w:linePitch="326"/>
        </w:sectPr>
      </w:pPr>
    </w:p>
    <w:p>
      <w:pPr>
        <w:pStyle w:val="SectionTitle"/>
        <w:rPr>
          <w:noProof/>
        </w:rPr>
      </w:pPr>
      <w:r>
        <w:rPr>
          <w:noProof/>
        </w:rPr>
        <w:t>РАЗДЕЛ III</w:t>
      </w:r>
    </w:p>
    <w:p>
      <w:pPr>
        <w:pStyle w:val="ManualHeading3"/>
        <w:rPr>
          <w:noProof/>
        </w:rPr>
      </w:pPr>
      <w:r>
        <w:rPr>
          <w:noProof/>
        </w:rPr>
        <w:t>ОТЧЕТ ПО ДЪРЖАВИ</w:t>
      </w:r>
    </w:p>
    <w:p>
      <w:pPr>
        <w:pStyle w:val="ManualHeading3"/>
        <w:rPr>
          <w:noProof/>
        </w:rPr>
      </w:pPr>
      <w:r>
        <w:rPr>
          <w:noProof/>
        </w:rPr>
        <w:t>Α.</w:t>
      </w:r>
      <w:r>
        <w:rPr>
          <w:noProof/>
        </w:rPr>
        <w:tab/>
        <w:t>Образец за отчет по държави</w:t>
      </w:r>
    </w:p>
    <w:tbl>
      <w:tblPr>
        <w:tblW w:w="14850" w:type="dxa"/>
        <w:tblLayout w:type="fixed"/>
        <w:tblLook w:val="0000" w:firstRow="0" w:lastRow="0" w:firstColumn="0" w:lastColumn="0" w:noHBand="0" w:noVBand="0"/>
      </w:tblPr>
      <w:tblGrid>
        <w:gridCol w:w="1384"/>
        <w:gridCol w:w="1276"/>
        <w:gridCol w:w="992"/>
        <w:gridCol w:w="992"/>
        <w:gridCol w:w="1418"/>
        <w:gridCol w:w="1559"/>
        <w:gridCol w:w="1418"/>
        <w:gridCol w:w="1134"/>
        <w:gridCol w:w="1559"/>
        <w:gridCol w:w="1276"/>
        <w:gridCol w:w="1842"/>
      </w:tblGrid>
      <w:tr>
        <w:tc>
          <w:tcPr>
            <w:tcW w:w="14850" w:type="dxa"/>
            <w:gridSpan w:val="11"/>
            <w:tcBorders>
              <w:top w:val="single" w:sz="2" w:space="0" w:color="auto"/>
              <w:left w:val="single" w:sz="2" w:space="0" w:color="auto"/>
              <w:bottom w:val="single" w:sz="2" w:space="0" w:color="auto"/>
              <w:right w:val="single" w:sz="2" w:space="0" w:color="auto"/>
            </w:tcBorders>
          </w:tcPr>
          <w:p>
            <w:pPr>
              <w:pStyle w:val="NormalCentered"/>
              <w:rPr>
                <w:noProof/>
              </w:rPr>
            </w:pPr>
            <w:r>
              <w:rPr>
                <w:rFonts w:eastAsia="Calibri"/>
                <w:noProof/>
              </w:rPr>
              <w:t>Таблица 1.</w:t>
            </w:r>
            <w:r>
              <w:rPr>
                <w:rFonts w:eastAsia="Calibri"/>
                <w:noProof/>
              </w:rPr>
              <w:tab/>
              <w:t>Обобщение на разпределението на приходите, данъците и стопанските дейности по данъчни юрисдикции</w:t>
            </w:r>
          </w:p>
        </w:tc>
      </w:tr>
      <w:tr>
        <w:tc>
          <w:tcPr>
            <w:tcW w:w="14850" w:type="dxa"/>
            <w:gridSpan w:val="11"/>
            <w:tcBorders>
              <w:top w:val="single" w:sz="2" w:space="0" w:color="auto"/>
              <w:left w:val="single" w:sz="2" w:space="0" w:color="auto"/>
              <w:bottom w:val="single" w:sz="2" w:space="0" w:color="auto"/>
              <w:right w:val="single" w:sz="2" w:space="0" w:color="auto"/>
            </w:tcBorders>
          </w:tcPr>
          <w:p>
            <w:pPr>
              <w:jc w:val="center"/>
              <w:rPr>
                <w:rFonts w:eastAsia="Calibri"/>
                <w:noProof/>
              </w:rPr>
            </w:pPr>
            <w:r>
              <w:rPr>
                <w:rFonts w:eastAsia="Calibri"/>
                <w:noProof/>
              </w:rPr>
              <w:t>Наименование на „МГП“:</w:t>
            </w:r>
          </w:p>
          <w:p>
            <w:pPr>
              <w:jc w:val="center"/>
              <w:rPr>
                <w:rFonts w:eastAsia="Calibri"/>
                <w:noProof/>
              </w:rPr>
            </w:pPr>
            <w:r>
              <w:rPr>
                <w:rFonts w:eastAsia="Calibri"/>
                <w:noProof/>
              </w:rPr>
              <w:t>„Данъчна година“, за която се отнася отчетът:</w:t>
            </w:r>
          </w:p>
          <w:p>
            <w:pPr>
              <w:pStyle w:val="NormalCentered"/>
              <w:rPr>
                <w:noProof/>
              </w:rPr>
            </w:pPr>
            <w:r>
              <w:rPr>
                <w:rFonts w:eastAsia="Calibri"/>
                <w:noProof/>
              </w:rPr>
              <w:t>Използвана валута:</w:t>
            </w:r>
          </w:p>
        </w:tc>
      </w:tr>
      <w:tr>
        <w:tc>
          <w:tcPr>
            <w:tcW w:w="1384"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Данъчна юрисдикция</w:t>
            </w:r>
          </w:p>
        </w:tc>
        <w:tc>
          <w:tcPr>
            <w:tcW w:w="3260" w:type="dxa"/>
            <w:gridSpan w:val="3"/>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Приходи</w:t>
            </w:r>
          </w:p>
        </w:tc>
        <w:tc>
          <w:tcPr>
            <w:tcW w:w="1418"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Печалба (загуба) преди данъка върху доходите</w:t>
            </w:r>
          </w:p>
        </w:tc>
        <w:tc>
          <w:tcPr>
            <w:tcW w:w="1559"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Платени данъци върху доходите (на касова основа)</w:t>
            </w:r>
          </w:p>
        </w:tc>
        <w:tc>
          <w:tcPr>
            <w:tcW w:w="1418"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Начислен данък върху дохода — текуща година</w:t>
            </w:r>
          </w:p>
        </w:tc>
        <w:tc>
          <w:tcPr>
            <w:tcW w:w="1134"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Регистриран капитал</w:t>
            </w:r>
          </w:p>
        </w:tc>
        <w:tc>
          <w:tcPr>
            <w:tcW w:w="1559"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Натрупана печалба</w:t>
            </w:r>
          </w:p>
        </w:tc>
        <w:tc>
          <w:tcPr>
            <w:tcW w:w="1276"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Брой на наетите лица</w:t>
            </w:r>
          </w:p>
        </w:tc>
        <w:tc>
          <w:tcPr>
            <w:tcW w:w="1842"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2"/>
              </w:rPr>
            </w:pPr>
            <w:r>
              <w:rPr>
                <w:rFonts w:eastAsia="Calibri"/>
                <w:noProof/>
                <w:sz w:val="22"/>
              </w:rPr>
              <w:t>Материални активи, различни от парични средства и парични еквиваленти</w:t>
            </w:r>
          </w:p>
        </w:tc>
      </w:tr>
      <w:tr>
        <w:tc>
          <w:tcPr>
            <w:tcW w:w="1384"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1276" w:type="dxa"/>
            <w:tcBorders>
              <w:top w:val="single" w:sz="2" w:space="0" w:color="auto"/>
              <w:left w:val="single" w:sz="2" w:space="0" w:color="auto"/>
              <w:bottom w:val="single" w:sz="2" w:space="0" w:color="auto"/>
              <w:right w:val="single" w:sz="2" w:space="0" w:color="auto"/>
            </w:tcBorders>
          </w:tcPr>
          <w:p>
            <w:pPr>
              <w:pStyle w:val="NormalCentered"/>
              <w:rPr>
                <w:noProof/>
              </w:rPr>
            </w:pPr>
            <w:r>
              <w:rPr>
                <w:rFonts w:eastAsia="Calibri"/>
                <w:noProof/>
              </w:rPr>
              <w:t>Несвързано лице</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rPr>
            </w:pPr>
            <w:r>
              <w:rPr>
                <w:rFonts w:eastAsia="Calibri"/>
                <w:noProof/>
              </w:rPr>
              <w:t>Свързано лице</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rPr>
            </w:pPr>
            <w:r>
              <w:rPr>
                <w:rFonts w:eastAsia="Calibri"/>
                <w:noProof/>
              </w:rPr>
              <w:t>Общо</w:t>
            </w:r>
          </w:p>
        </w:tc>
        <w:tc>
          <w:tcPr>
            <w:tcW w:w="1418"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559"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418"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134"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559"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276"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c>
          <w:tcPr>
            <w:tcW w:w="1842" w:type="dxa"/>
            <w:vMerge/>
            <w:tcBorders>
              <w:top w:val="single" w:sz="2" w:space="0" w:color="auto"/>
              <w:left w:val="single" w:sz="2" w:space="0" w:color="auto"/>
              <w:bottom w:val="single" w:sz="2" w:space="0" w:color="auto"/>
              <w:right w:val="single" w:sz="2" w:space="0" w:color="auto"/>
            </w:tcBorders>
          </w:tcPr>
          <w:p>
            <w:pPr>
              <w:pStyle w:val="NormalCentered"/>
              <w:rPr>
                <w:noProof/>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r>
        <w:trPr>
          <w:trHeight w:val="68"/>
        </w:trPr>
        <w:tc>
          <w:tcPr>
            <w:tcW w:w="138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41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134"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559"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27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1842"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r>
    </w:tbl>
    <w:p>
      <w:pPr>
        <w:rPr>
          <w:noProof/>
        </w:rPr>
      </w:pPr>
    </w:p>
    <w:tbl>
      <w:tblPr>
        <w:tblW w:w="15134" w:type="dxa"/>
        <w:tblLayout w:type="fixed"/>
        <w:tblLook w:val="0000" w:firstRow="0" w:lastRow="0" w:firstColumn="0" w:lastColumn="0" w:noHBand="0" w:noVBand="0"/>
      </w:tblPr>
      <w:tblGrid>
        <w:gridCol w:w="817"/>
        <w:gridCol w:w="992"/>
        <w:gridCol w:w="993"/>
        <w:gridCol w:w="992"/>
        <w:gridCol w:w="850"/>
        <w:gridCol w:w="851"/>
        <w:gridCol w:w="992"/>
        <w:gridCol w:w="992"/>
        <w:gridCol w:w="993"/>
        <w:gridCol w:w="1134"/>
        <w:gridCol w:w="992"/>
        <w:gridCol w:w="1134"/>
        <w:gridCol w:w="709"/>
        <w:gridCol w:w="992"/>
        <w:gridCol w:w="850"/>
        <w:gridCol w:w="851"/>
      </w:tblGrid>
      <w:tr>
        <w:tc>
          <w:tcPr>
            <w:tcW w:w="15134" w:type="dxa"/>
            <w:gridSpan w:val="16"/>
            <w:tcBorders>
              <w:top w:val="single" w:sz="2" w:space="0" w:color="auto"/>
              <w:left w:val="single" w:sz="2" w:space="0" w:color="auto"/>
              <w:bottom w:val="single" w:sz="2" w:space="0" w:color="auto"/>
              <w:right w:val="single" w:sz="2" w:space="0" w:color="auto"/>
            </w:tcBorders>
          </w:tcPr>
          <w:p>
            <w:pPr>
              <w:pStyle w:val="NormalCentered"/>
              <w:keepNext/>
              <w:rPr>
                <w:noProof/>
                <w:sz w:val="20"/>
                <w:szCs w:val="20"/>
              </w:rPr>
            </w:pPr>
            <w:r>
              <w:rPr>
                <w:rFonts w:eastAsia="Calibri"/>
                <w:noProof/>
                <w:sz w:val="18"/>
                <w:szCs w:val="20"/>
              </w:rPr>
              <w:t>Таблица 2</w:t>
            </w:r>
            <w:r>
              <w:rPr>
                <w:rFonts w:eastAsia="Calibri"/>
                <w:noProof/>
                <w:sz w:val="18"/>
                <w:szCs w:val="20"/>
              </w:rPr>
              <w:tab/>
              <w:t>Списък на всички „съставни образувания“ на „МГП“, включени във всяко от обобщенията по данъчни юрисдикции</w:t>
            </w:r>
          </w:p>
        </w:tc>
      </w:tr>
      <w:tr>
        <w:tc>
          <w:tcPr>
            <w:tcW w:w="15134" w:type="dxa"/>
            <w:gridSpan w:val="16"/>
            <w:tcBorders>
              <w:top w:val="single" w:sz="2" w:space="0" w:color="auto"/>
              <w:left w:val="single" w:sz="2" w:space="0" w:color="auto"/>
              <w:bottom w:val="single" w:sz="2" w:space="0" w:color="auto"/>
              <w:right w:val="single" w:sz="2" w:space="0" w:color="auto"/>
            </w:tcBorders>
          </w:tcPr>
          <w:p>
            <w:pPr>
              <w:jc w:val="center"/>
              <w:rPr>
                <w:rFonts w:eastAsia="Calibri"/>
                <w:noProof/>
                <w:sz w:val="18"/>
                <w:szCs w:val="20"/>
              </w:rPr>
            </w:pPr>
            <w:r>
              <w:rPr>
                <w:rFonts w:eastAsia="Calibri"/>
                <w:noProof/>
                <w:sz w:val="18"/>
                <w:szCs w:val="20"/>
              </w:rPr>
              <w:t>Наименование на „МГП“:</w:t>
            </w:r>
          </w:p>
          <w:p>
            <w:pPr>
              <w:pStyle w:val="NormalCentered"/>
              <w:rPr>
                <w:noProof/>
                <w:sz w:val="20"/>
                <w:szCs w:val="20"/>
              </w:rPr>
            </w:pPr>
            <w:r>
              <w:rPr>
                <w:rFonts w:eastAsia="Calibri"/>
                <w:noProof/>
                <w:sz w:val="18"/>
                <w:szCs w:val="20"/>
              </w:rPr>
              <w:t>„Данъчна година“, за която се отнася отчетът:</w:t>
            </w:r>
          </w:p>
        </w:tc>
      </w:tr>
      <w:tr>
        <w:tc>
          <w:tcPr>
            <w:tcW w:w="817"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Данъчна юрисдикция</w:t>
            </w:r>
          </w:p>
        </w:tc>
        <w:tc>
          <w:tcPr>
            <w:tcW w:w="992"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Съставни образувания, които са местни лица на данъчната юрисдикция</w:t>
            </w:r>
          </w:p>
        </w:tc>
        <w:tc>
          <w:tcPr>
            <w:tcW w:w="993" w:type="dxa"/>
            <w:vMerge w:val="restart"/>
            <w:tcBorders>
              <w:top w:val="single" w:sz="2" w:space="0" w:color="auto"/>
              <w:left w:val="single" w:sz="2" w:space="0" w:color="auto"/>
              <w:bottom w:val="single" w:sz="2" w:space="0" w:color="auto"/>
              <w:right w:val="single" w:sz="2" w:space="0" w:color="auto"/>
            </w:tcBorders>
          </w:tcPr>
          <w:p>
            <w:pPr>
              <w:pStyle w:val="NormalCentered"/>
              <w:rPr>
                <w:noProof/>
                <w:sz w:val="16"/>
                <w:szCs w:val="16"/>
              </w:rPr>
            </w:pPr>
            <w:r>
              <w:rPr>
                <w:rFonts w:eastAsia="Calibri"/>
                <w:noProof/>
                <w:sz w:val="16"/>
                <w:szCs w:val="16"/>
              </w:rPr>
              <w:t>Данъчна юрисдикция на организация или учредяване, ако е различна от данъчната юрисдикция, на която са местни лица за данъчни цели</w:t>
            </w:r>
          </w:p>
        </w:tc>
        <w:tc>
          <w:tcPr>
            <w:tcW w:w="12332" w:type="dxa"/>
            <w:gridSpan w:val="13"/>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Основна стопанска дейност/дейности</w:t>
            </w:r>
          </w:p>
        </w:tc>
      </w:tr>
      <w:tr>
        <w:tc>
          <w:tcPr>
            <w:tcW w:w="817"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20"/>
                <w:szCs w:val="20"/>
                <w:lang w:val="en-US"/>
              </w:rPr>
            </w:pPr>
          </w:p>
        </w:tc>
        <w:tc>
          <w:tcPr>
            <w:tcW w:w="992"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20"/>
                <w:szCs w:val="20"/>
                <w:lang w:val="en-US"/>
              </w:rPr>
            </w:pPr>
          </w:p>
        </w:tc>
        <w:tc>
          <w:tcPr>
            <w:tcW w:w="993"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sz w:val="20"/>
                <w:szCs w:val="20"/>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Научноизследователска и развойна дейност</w:t>
            </w: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Притежаване или управление на интелектуална собственост</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Закупуване или снабдяване</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Производство</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Продажби, маркетинг или дистрибуция</w:t>
            </w:r>
          </w:p>
        </w:tc>
        <w:tc>
          <w:tcPr>
            <w:tcW w:w="993"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Административни услуги, управленчески услуги или услуги по поддръжка</w:t>
            </w: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Предоставяне на услуги на несвързани страни</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Финансиране в рамките на групата</w:t>
            </w:r>
          </w:p>
        </w:tc>
        <w:tc>
          <w:tcPr>
            <w:tcW w:w="1134"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Регулирани финансови услуги</w:t>
            </w:r>
          </w:p>
        </w:tc>
        <w:tc>
          <w:tcPr>
            <w:tcW w:w="709"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Застраховане</w:t>
            </w:r>
          </w:p>
        </w:tc>
        <w:tc>
          <w:tcPr>
            <w:tcW w:w="992"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Притежание на акции или други капиталови инструменти</w:t>
            </w:r>
          </w:p>
        </w:tc>
        <w:tc>
          <w:tcPr>
            <w:tcW w:w="850"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szCs w:val="20"/>
              </w:rPr>
              <w:t>Неактивно</w:t>
            </w:r>
          </w:p>
        </w:tc>
        <w:tc>
          <w:tcPr>
            <w:tcW w:w="851" w:type="dxa"/>
            <w:tcBorders>
              <w:top w:val="single" w:sz="2" w:space="0" w:color="auto"/>
              <w:left w:val="single" w:sz="2" w:space="0" w:color="auto"/>
              <w:bottom w:val="single" w:sz="2" w:space="0" w:color="auto"/>
              <w:right w:val="single" w:sz="2" w:space="0" w:color="auto"/>
            </w:tcBorders>
          </w:tcPr>
          <w:p>
            <w:pPr>
              <w:pStyle w:val="NormalCentered"/>
              <w:rPr>
                <w:noProof/>
                <w:sz w:val="20"/>
                <w:szCs w:val="20"/>
              </w:rPr>
            </w:pPr>
            <w:r>
              <w:rPr>
                <w:rFonts w:eastAsia="Calibri"/>
                <w:noProof/>
                <w:sz w:val="18"/>
              </w:rPr>
              <w:t>Други</w:t>
            </w:r>
            <w:r>
              <w:rPr>
                <w:rStyle w:val="FootnoteReference"/>
                <w:rFonts w:eastAsia="Calibri"/>
                <w:noProof/>
                <w:sz w:val="18"/>
              </w:rPr>
              <w:footnoteReference w:id="1"/>
            </w: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817"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w:t>
            </w: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3"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134"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09"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99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0"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851" w:type="dxa"/>
            <w:tcBorders>
              <w:top w:val="single" w:sz="2" w:space="0" w:color="auto"/>
              <w:left w:val="single" w:sz="2" w:space="0" w:color="auto"/>
              <w:bottom w:val="single" w:sz="2" w:space="0" w:color="auto"/>
              <w:right w:val="single" w:sz="2" w:space="0" w:color="auto"/>
            </w:tcBorders>
          </w:tcPr>
          <w:p>
            <w:pPr>
              <w:pStyle w:val="NormalLeft"/>
              <w:rPr>
                <w:noProof/>
              </w:rPr>
            </w:pPr>
          </w:p>
        </w:tc>
      </w:tr>
    </w:tbl>
    <w:p>
      <w:pPr>
        <w:pStyle w:val="Text1"/>
        <w:rPr>
          <w:noProof/>
        </w:rPr>
      </w:pPr>
    </w:p>
    <w:p>
      <w:pPr>
        <w:rPr>
          <w:noProof/>
        </w:rPr>
        <w:sectPr>
          <w:headerReference w:type="default" r:id="rId18"/>
          <w:footerReference w:type="default" r:id="rId19"/>
          <w:headerReference w:type="first" r:id="rId20"/>
          <w:footerReference w:type="first" r:id="rId21"/>
          <w:pgSz w:w="16838" w:h="11906" w:orient="landscape"/>
          <w:pgMar w:top="1418" w:right="1134" w:bottom="1418" w:left="1134" w:header="709" w:footer="709" w:gutter="0"/>
          <w:cols w:space="709"/>
          <w:docGrid w:linePitch="326"/>
        </w:sectPr>
      </w:pPr>
    </w:p>
    <w:p>
      <w:pPr>
        <w:pStyle w:val="ManualHeading4"/>
        <w:rPr>
          <w:noProof/>
        </w:rPr>
      </w:pPr>
      <w:r>
        <w:rPr>
          <w:noProof/>
        </w:rPr>
        <w:t>Таблица 3:</w:t>
      </w:r>
      <w:r>
        <w:rPr>
          <w:noProof/>
        </w:rPr>
        <w:tab/>
        <w:t>Допълнителна информация</w:t>
      </w:r>
    </w:p>
    <w:p>
      <w:pPr>
        <w:pStyle w:val="ManualHeading4"/>
        <w:rPr>
          <w:noProof/>
        </w:rPr>
      </w:pPr>
      <w:r>
        <w:rPr>
          <w:noProof/>
        </w:rPr>
        <w:t>Наименование на „МГП“:</w:t>
      </w:r>
    </w:p>
    <w:p>
      <w:pPr>
        <w:pStyle w:val="ManualHeading4"/>
        <w:rPr>
          <w:noProof/>
        </w:rPr>
      </w:pPr>
      <w:r>
        <w:rPr>
          <w:noProof/>
        </w:rPr>
        <w:t>„Данъчна година“, за която се отнася отчетът:</w:t>
      </w:r>
    </w:p>
    <w:p>
      <w:pPr>
        <w:rPr>
          <w:noProof/>
        </w:rPr>
      </w:pPr>
      <w:r>
        <w:rPr>
          <w:noProof/>
        </w:rPr>
        <w:t>Моля, включете всякаква допълнителна кратка информация или обяснения, които смятате за необходими или улесняващи възприемането на задължителната информация, предоставена в отчета по държави</w:t>
      </w:r>
    </w:p>
    <w:p>
      <w:pPr>
        <w:pStyle w:val="ManualHeading3"/>
        <w:rPr>
          <w:noProof/>
        </w:rPr>
      </w:pPr>
      <w:r>
        <w:rPr>
          <w:noProof/>
        </w:rPr>
        <w:t>Б.</w:t>
      </w:r>
      <w:r>
        <w:rPr>
          <w:noProof/>
        </w:rPr>
        <w:tab/>
        <w:t>Общи указания за подаване на отчета по държави</w:t>
      </w:r>
    </w:p>
    <w:p>
      <w:pPr>
        <w:pStyle w:val="ManualHeading4"/>
        <w:rPr>
          <w:noProof/>
        </w:rPr>
      </w:pPr>
      <w:r>
        <w:rPr>
          <w:noProof/>
        </w:rPr>
        <w:t>1.</w:t>
      </w:r>
      <w:r>
        <w:rPr>
          <w:noProof/>
        </w:rPr>
        <w:tab/>
        <w:t>Цел</w:t>
      </w:r>
    </w:p>
    <w:p>
      <w:pPr>
        <w:rPr>
          <w:noProof/>
        </w:rPr>
      </w:pPr>
      <w:r>
        <w:rPr>
          <w:noProof/>
        </w:rPr>
        <w:t>Образецът се използва за предоставяне на информация от страна на многонационалните „групи“ от предприятия („МГП“) на разпределението на приходите, данъците и стопанските дейности по данъчни юрисдикции.</w:t>
      </w:r>
    </w:p>
    <w:p>
      <w:pPr>
        <w:pStyle w:val="ManualHeading4"/>
        <w:rPr>
          <w:noProof/>
        </w:rPr>
      </w:pPr>
      <w:r>
        <w:rPr>
          <w:noProof/>
        </w:rPr>
        <w:t>2.</w:t>
      </w:r>
      <w:r>
        <w:rPr>
          <w:noProof/>
        </w:rPr>
        <w:tab/>
        <w:t>Третиране на клонове и места на стопанска дейност</w:t>
      </w:r>
    </w:p>
    <w:p>
      <w:pPr>
        <w:rPr>
          <w:noProof/>
        </w:rPr>
      </w:pPr>
      <w:r>
        <w:rPr>
          <w:noProof/>
        </w:rPr>
        <w:t>Информацията за местата на стопанска дейност се предоставя в зависимост от данъчната юрисдикция, в която те се намират, а не в зависимост от данъчната юрисдикция, на която е местно лице за данъчни цели стопанската единица, към която принадлежи мястото на стопанска дейност. Данъчната юрисдикция на местното лице, която предоставя информация за стопанската единица, към която принадлежи мястото на стопанска дейност, изключват финансовите данни, свързани с мястото на стопанска дейност.</w:t>
      </w:r>
    </w:p>
    <w:p>
      <w:pPr>
        <w:pStyle w:val="ManualHeading4"/>
        <w:rPr>
          <w:noProof/>
        </w:rPr>
      </w:pPr>
      <w:r>
        <w:rPr>
          <w:noProof/>
        </w:rPr>
        <w:t>3.</w:t>
      </w:r>
      <w:r>
        <w:rPr>
          <w:noProof/>
        </w:rPr>
        <w:tab/>
        <w:t>Период, обхванат от годишния образец</w:t>
      </w:r>
    </w:p>
    <w:p>
      <w:pPr>
        <w:rPr>
          <w:noProof/>
        </w:rPr>
      </w:pPr>
      <w:r>
        <w:rPr>
          <w:noProof/>
        </w:rPr>
        <w:t>Образецът обхваща „данъчната година“ на предоставящата информация МГП. За „съставни образувания“, по преценка на предоставящата информация МГП, образецът отразява последователно едно от следните сведения:</w:t>
      </w:r>
    </w:p>
    <w:p>
      <w:pPr>
        <w:pStyle w:val="Point0"/>
        <w:rPr>
          <w:noProof/>
        </w:rPr>
      </w:pPr>
      <w:r>
        <w:rPr>
          <w:noProof/>
        </w:rPr>
        <w:t>а)</w:t>
      </w:r>
      <w:r>
        <w:rPr>
          <w:noProof/>
        </w:rPr>
        <w:tab/>
        <w:t>информация за „данъчната година“ на съответните „съставни образувания“, която изтича на същата дата както „данъчната година“ на предоставящата информация МГП или която завършва в рамките на 12-месечния период, предхождащ тази дата;</w:t>
      </w:r>
    </w:p>
    <w:p>
      <w:pPr>
        <w:pStyle w:val="Point0"/>
        <w:rPr>
          <w:noProof/>
        </w:rPr>
      </w:pPr>
      <w:r>
        <w:rPr>
          <w:noProof/>
        </w:rPr>
        <w:t>б)</w:t>
      </w:r>
      <w:r>
        <w:rPr>
          <w:noProof/>
        </w:rPr>
        <w:tab/>
        <w:t>информация за всички съответни „съставни образувания“, предоставена за „данъчната година“ на предоставящата информация МГП.</w:t>
      </w:r>
    </w:p>
    <w:p>
      <w:pPr>
        <w:pStyle w:val="ManualHeading4"/>
        <w:rPr>
          <w:noProof/>
        </w:rPr>
      </w:pPr>
      <w:r>
        <w:rPr>
          <w:noProof/>
        </w:rPr>
        <w:t>4.</w:t>
      </w:r>
      <w:r>
        <w:rPr>
          <w:noProof/>
        </w:rPr>
        <w:tab/>
        <w:t>Източник на данните</w:t>
      </w:r>
    </w:p>
    <w:p>
      <w:pPr>
        <w:rPr>
          <w:noProof/>
        </w:rPr>
      </w:pPr>
      <w:r>
        <w:rPr>
          <w:noProof/>
        </w:rPr>
        <w:t>При попълването на образеца предоставящата информация МГП използва последователно всяка година едни и същи източници на информация. Предоставящата информация МГП може да избере да използва данните от своите консолидирани отчети, от задължителните финансови отчети на отделните образувания, от законоустановените финансови отчети или от вътрешното управленско счетоводство. Не е необходимо синхронизиране на отчитането на приходи, печалба и данъци в образеца с „консолидираните финансови отчети“. Ако като основа за предоставената информация се използват задължителните финансови отчети, всички суми се преизчисляват във функционалната валута на предоставящата информация МГП по средния обменен курс за годината, посочена в раздела „Допълнителна информация“ на образеца. Не са необходими обаче корекции на различията в счетоводните принципи, прилагани от различните данъчни юрисдикции.</w:t>
      </w:r>
    </w:p>
    <w:p>
      <w:pPr>
        <w:rPr>
          <w:noProof/>
        </w:rPr>
      </w:pPr>
      <w:r>
        <w:rPr>
          <w:noProof/>
        </w:rPr>
        <w:t>Предоставящата информация МГП предоставя кратко описание на източниците на данни, използвани при изготвянето на образеца в раздел „Допълнителна информация“ на образеца. Ако е направено изменение в обичайно използвания всяка година източник на информация, предоставящата информация МГП обяснява причините за промяната и последиците от нея в раздел „Допълнителна информация“ на образеца.</w:t>
      </w:r>
    </w:p>
    <w:p>
      <w:pPr>
        <w:pStyle w:val="ManualHeading3"/>
        <w:rPr>
          <w:noProof/>
        </w:rPr>
      </w:pPr>
      <w:r>
        <w:rPr>
          <w:noProof/>
        </w:rPr>
        <w:t>В.</w:t>
      </w:r>
      <w:r>
        <w:rPr>
          <w:noProof/>
        </w:rPr>
        <w:tab/>
        <w:t>Конкретни указания за подаване на отчета по държави</w:t>
      </w:r>
    </w:p>
    <w:p>
      <w:pPr>
        <w:pStyle w:val="ManualHeading4"/>
        <w:rPr>
          <w:noProof/>
        </w:rPr>
      </w:pPr>
      <w:r>
        <w:rPr>
          <w:noProof/>
        </w:rPr>
        <w:t>1.</w:t>
      </w:r>
      <w:r>
        <w:rPr>
          <w:noProof/>
        </w:rPr>
        <w:tab/>
        <w:t>Обобщение на разпределението на доходите, данъците и стопанските дейности по данъчни юрисдикции (Таблица 1)</w:t>
      </w:r>
    </w:p>
    <w:p>
      <w:pPr>
        <w:pStyle w:val="ManualHeading4"/>
        <w:rPr>
          <w:noProof/>
        </w:rPr>
      </w:pPr>
      <w:r>
        <w:rPr>
          <w:noProof/>
        </w:rPr>
        <w:t>1.1.</w:t>
      </w:r>
      <w:r>
        <w:rPr>
          <w:noProof/>
        </w:rPr>
        <w:tab/>
        <w:t>Данъчна юрисдикция</w:t>
      </w:r>
    </w:p>
    <w:p>
      <w:pPr>
        <w:rPr>
          <w:noProof/>
        </w:rPr>
      </w:pPr>
      <w:r>
        <w:rPr>
          <w:noProof/>
        </w:rPr>
        <w:t>В първата колона на образеца предоставящата информация МГП изброява всички данъчни юрисдикции, на които „съставните образувания“ на „МГП“ са местни лица за данъчни цели. Данъчната юрисдикция представлява държавна, както и недържавна юрисдикция, която притежава данъчна автономност. Въвежда се отделен ред за всички „съставни образувания“ на „МГП“, които предоставящата информация МГП не смята за местни лица за данъчни цели, на която и да било данъчна юрисдикция. Когато „съставно образувание“ е местно лице на повече от една данъчна юрисдикция, за определянето на данъчната юрисдикция, на която то е местно лице, се прилага правилото за разкъсване на връзката, предвидено в приложимата данъчна спогодба. Когато липсват приложими данъчни спогодби, за „съставното образувание“ се подава информация в данъчната юрисдикция, в която е мястото на неговото действително управление. Мястото на действително управление се определя на базата на международно приетите стандарти.</w:t>
      </w:r>
    </w:p>
    <w:p>
      <w:pPr>
        <w:pStyle w:val="ManualHeading4"/>
        <w:rPr>
          <w:noProof/>
        </w:rPr>
      </w:pPr>
      <w:r>
        <w:rPr>
          <w:noProof/>
        </w:rPr>
        <w:t>1.2.</w:t>
      </w:r>
      <w:r>
        <w:rPr>
          <w:noProof/>
        </w:rPr>
        <w:tab/>
        <w:t>Приходи</w:t>
      </w:r>
    </w:p>
    <w:p>
      <w:pPr>
        <w:rPr>
          <w:noProof/>
        </w:rPr>
      </w:pPr>
      <w:r>
        <w:rPr>
          <w:noProof/>
        </w:rPr>
        <w:t>В трите колони в раздел „Приходи“ от образеца предоставящата информация МГП посочва следната информация:</w:t>
      </w:r>
    </w:p>
    <w:p>
      <w:pPr>
        <w:pStyle w:val="Point0"/>
        <w:rPr>
          <w:noProof/>
        </w:rPr>
      </w:pPr>
      <w:r>
        <w:rPr>
          <w:noProof/>
        </w:rPr>
        <w:t>а)</w:t>
      </w:r>
      <w:r>
        <w:rPr>
          <w:noProof/>
        </w:rPr>
        <w:tab/>
        <w:t>сумата на приходите на всички „съставни образувания“ на „МГП“ в съответната данъчна юрисдикция, реализирани от сделки със свързани предприятия;</w:t>
      </w:r>
    </w:p>
    <w:p>
      <w:pPr>
        <w:pStyle w:val="Point0"/>
        <w:rPr>
          <w:noProof/>
        </w:rPr>
      </w:pPr>
      <w:r>
        <w:rPr>
          <w:noProof/>
        </w:rPr>
        <w:t>б)</w:t>
      </w:r>
      <w:r>
        <w:rPr>
          <w:noProof/>
        </w:rPr>
        <w:tab/>
        <w:t>сумата на приходите на всички „съставни образувания“ на „МГП“ в съответната данъчна юрисдикция, реализирани от сделки с независими страни;</w:t>
      </w:r>
    </w:p>
    <w:p>
      <w:pPr>
        <w:pStyle w:val="Point0"/>
        <w:rPr>
          <w:noProof/>
        </w:rPr>
      </w:pPr>
      <w:r>
        <w:rPr>
          <w:noProof/>
        </w:rPr>
        <w:t>в)</w:t>
      </w:r>
      <w:r>
        <w:rPr>
          <w:noProof/>
        </w:rPr>
        <w:tab/>
        <w:t>сборът на сумите, посочени в букви а) и б).</w:t>
      </w:r>
    </w:p>
    <w:p>
      <w:pPr>
        <w:rPr>
          <w:noProof/>
        </w:rPr>
      </w:pPr>
      <w:r>
        <w:rPr>
          <w:noProof/>
        </w:rPr>
        <w:t>Приходите включват приходи от продажби на стоково-материални запаси и имущество, услуги, авторски и лицензионни възнаграждения, лихви, премии и всякакви други суми. Приходите не включват плащанията, получени от други „съставни образувания“, които се третират като дивиденти в данъчната юрисдикция на платеца.</w:t>
      </w:r>
    </w:p>
    <w:p>
      <w:pPr>
        <w:pStyle w:val="ManualHeading4"/>
        <w:rPr>
          <w:noProof/>
        </w:rPr>
      </w:pPr>
      <w:r>
        <w:rPr>
          <w:noProof/>
        </w:rPr>
        <w:t>1.3.</w:t>
      </w:r>
      <w:r>
        <w:rPr>
          <w:noProof/>
        </w:rPr>
        <w:tab/>
        <w:t>Печалба (загуба) преди данъка върху доходите</w:t>
      </w:r>
    </w:p>
    <w:p>
      <w:pPr>
        <w:rPr>
          <w:noProof/>
        </w:rPr>
      </w:pPr>
      <w:r>
        <w:rPr>
          <w:noProof/>
        </w:rPr>
        <w:t>В петата колона от образеца предоставящата информация МГП посочва сумата на печалбата (загубата) преди данъка върху доходите за всички „съставни образувания“, които са местни лица за данъчни цели на съответната данъчна юрисдикция. Печалбата (загубата) преди данъка върху доходите включва всички извънредни приходи и разходи.</w:t>
      </w:r>
    </w:p>
    <w:p>
      <w:pPr>
        <w:pStyle w:val="ManualHeading4"/>
        <w:rPr>
          <w:noProof/>
        </w:rPr>
      </w:pPr>
      <w:r>
        <w:rPr>
          <w:noProof/>
        </w:rPr>
        <w:t>1.4.</w:t>
      </w:r>
      <w:r>
        <w:rPr>
          <w:noProof/>
        </w:rPr>
        <w:tab/>
        <w:t>Платени данъци върху доходите (на касова основа)</w:t>
      </w:r>
    </w:p>
    <w:p>
      <w:pPr>
        <w:rPr>
          <w:noProof/>
        </w:rPr>
      </w:pPr>
      <w:r>
        <w:rPr>
          <w:noProof/>
        </w:rPr>
        <w:t>В шестата колона от образеца предоставящата информация МГП посочва общия размер на данъка върху доходите, реално платен през съответната „данъчна година“ от всички „съставни образувания“, които са местни лица за данъчни цели на съответната данъчна юрисдикция. Платените данъци включват платените в парично изражение данъци от „съставното образувание“ към юрисдикцията, на която то е местно лице за данъчни цели, и към всички останали данъчни юрисдикции. Платените данъци включват удържаните при източника данъци, платени от други образувания (свързани предприятия и независими предприятия) по отношение на плащанията към „съставното образувание“. Така например, ако дружество А, което е местно лице на данъчна юрисдикция А, получава лихви от данъчна юрисдикция Б, данъкът, удържан в данъчна юрисдикция Б, се посочва от дружество A.</w:t>
      </w:r>
    </w:p>
    <w:p>
      <w:pPr>
        <w:pStyle w:val="ManualHeading4"/>
        <w:rPr>
          <w:noProof/>
        </w:rPr>
      </w:pPr>
      <w:r>
        <w:rPr>
          <w:noProof/>
        </w:rPr>
        <w:t>1.5.</w:t>
      </w:r>
      <w:r>
        <w:rPr>
          <w:noProof/>
        </w:rPr>
        <w:tab/>
        <w:t>Начислен данък върху дохода (текуща година)</w:t>
      </w:r>
    </w:p>
    <w:p>
      <w:pPr>
        <w:rPr>
          <w:noProof/>
        </w:rPr>
      </w:pPr>
      <w:r>
        <w:rPr>
          <w:noProof/>
        </w:rPr>
        <w:t>В седмата колона от образеца предоставящата информация МГП посочва сумата на разходите за текущо начисления данък във връзка с облагаемата печалба или загуба за годината на предоставяне на информация за всички „съставни образувания“, които са местни лица за данъчни цели в съответната данъчна юрисдикция. Текущите данъчни разходи отразяват само операции през текущата година и не включват разсрочени данъци или провизии за неопределени данъчни задължения.</w:t>
      </w:r>
    </w:p>
    <w:p>
      <w:pPr>
        <w:pStyle w:val="ManualHeading4"/>
        <w:rPr>
          <w:noProof/>
        </w:rPr>
      </w:pPr>
      <w:r>
        <w:rPr>
          <w:noProof/>
        </w:rPr>
        <w:t>1.6.</w:t>
      </w:r>
      <w:r>
        <w:rPr>
          <w:noProof/>
        </w:rPr>
        <w:tab/>
        <w:t>Регистриран капитал</w:t>
      </w:r>
    </w:p>
    <w:p>
      <w:pPr>
        <w:rPr>
          <w:noProof/>
        </w:rPr>
      </w:pPr>
      <w:r>
        <w:rPr>
          <w:noProof/>
        </w:rPr>
        <w:t>В осмата колона от образеца предоставящата информация МГП посочва сумата на регистрирания капитал на всички „съставни образувания“, които са местни лица за данъчни цели на съответната данъчна юрисдикция. Що се отнася до местата на стопанска дейност, регистрираният капитал се посочва от юридическото лице, на което принадлежи мястото на стопанска дейност, освен ако съществува изрично капиталово изискване в данъчната юрисдикция на мястото на стопанска дейност за регулаторни цели.</w:t>
      </w:r>
    </w:p>
    <w:p>
      <w:pPr>
        <w:pStyle w:val="ManualHeading4"/>
        <w:rPr>
          <w:noProof/>
        </w:rPr>
      </w:pPr>
      <w:r>
        <w:rPr>
          <w:noProof/>
        </w:rPr>
        <w:t>1.7.</w:t>
      </w:r>
      <w:r>
        <w:rPr>
          <w:noProof/>
        </w:rPr>
        <w:tab/>
        <w:t>Натрупана печалба</w:t>
      </w:r>
    </w:p>
    <w:p>
      <w:pPr>
        <w:rPr>
          <w:noProof/>
        </w:rPr>
      </w:pPr>
      <w:r>
        <w:rPr>
          <w:noProof/>
        </w:rPr>
        <w:t>В деветата колона от образеца предоставящата информация МГП посочва сумата на натрупаната печалба общо на всички „съставни образувания“, които са местни лица за данъчни цели на съответната данъчна юрисдикция към края на годината. Що се отнася до местата на стопанска дейност, натрупаната печалба се посочва от юридическото лице, на което принадлежи мястото на стопанска дейност.</w:t>
      </w:r>
    </w:p>
    <w:p>
      <w:pPr>
        <w:pStyle w:val="ManualHeading4"/>
        <w:rPr>
          <w:noProof/>
        </w:rPr>
      </w:pPr>
      <w:r>
        <w:rPr>
          <w:noProof/>
        </w:rPr>
        <w:t>1.8.</w:t>
      </w:r>
      <w:r>
        <w:rPr>
          <w:noProof/>
        </w:rPr>
        <w:tab/>
        <w:t>Брой на наетите лица</w:t>
      </w:r>
    </w:p>
    <w:p>
      <w:pPr>
        <w:rPr>
          <w:noProof/>
        </w:rPr>
      </w:pPr>
      <w:r>
        <w:rPr>
          <w:noProof/>
        </w:rPr>
        <w:t>В десетата колона от образеца предоставящата информация МГП посочва общия брой на наетите лица в еквивалент на пълно работно време (ЕПРВ) във всички „съставни образувания“, които са местни лица за данъчни цели на съответната данъчна юрисдикция. Броят на служителите може да бъде отчетен към края на годината въз основа на средните равнища на заетост за годината или на друга последователно прилагана през годините база за различните данъчни юрисдикции. За тази цел независимите изпълнители, участващи в обичайната оперативна дейност на „съставното образувание“, могат да бъдат подадени като наети лица. Закръгляване на броя на наетите лица или представяне на приблизителен брой на наетите лица в разумни граници е допустимо, при условие че закръгляването или представянето на приблизителен брой не нарушава съществено относителното разпределение на наетите лица в различните данъчни юрисдикции. През годините и спрямо различните образувания се прилагат последователни подходи.</w:t>
      </w:r>
    </w:p>
    <w:p>
      <w:pPr>
        <w:pStyle w:val="ManualHeading4"/>
        <w:rPr>
          <w:noProof/>
        </w:rPr>
      </w:pPr>
      <w:r>
        <w:rPr>
          <w:noProof/>
        </w:rPr>
        <w:t>1.9.</w:t>
      </w:r>
      <w:r>
        <w:rPr>
          <w:noProof/>
        </w:rPr>
        <w:tab/>
        <w:t>Материални активи, различни от парични средства и парични еквиваленти</w:t>
      </w:r>
    </w:p>
    <w:p>
      <w:pPr>
        <w:rPr>
          <w:noProof/>
        </w:rPr>
      </w:pPr>
      <w:r>
        <w:rPr>
          <w:noProof/>
        </w:rPr>
        <w:t>В единадесетата колона от образеца предоставящата информация МГП посочва сумата на нетните балансови стойности на материалните активи на всички „съставни образувания“, които са местни лица за данъчни цели в съответната данъчна юрисдикция. Що се отнася до местата на стопанска дейност, активите се посочват за данъчната юрисдикция, в която е разположено мястото на стопанска дейност. За тази цел материалните активи не включват парични средства или парични еквиваленти, нематериални или финансови активи.</w:t>
      </w:r>
    </w:p>
    <w:p>
      <w:pPr>
        <w:pStyle w:val="ManualHeading4"/>
        <w:rPr>
          <w:noProof/>
        </w:rPr>
      </w:pPr>
      <w:r>
        <w:rPr>
          <w:noProof/>
        </w:rPr>
        <w:t>2.</w:t>
      </w:r>
      <w:r>
        <w:rPr>
          <w:noProof/>
        </w:rPr>
        <w:tab/>
        <w:t>Списък на всички „съставни образувания“ на „МГП“, включени във всяко от обобщенията по данъчни юрисдикции (Таблица 2)</w:t>
      </w:r>
    </w:p>
    <w:p>
      <w:pPr>
        <w:pStyle w:val="ManualHeading4"/>
        <w:rPr>
          <w:noProof/>
        </w:rPr>
      </w:pPr>
      <w:r>
        <w:rPr>
          <w:noProof/>
        </w:rPr>
        <w:t>2.1.</w:t>
      </w:r>
      <w:r>
        <w:rPr>
          <w:noProof/>
        </w:rPr>
        <w:tab/>
        <w:t>„Съставни образувания“, които са местни лица на данъчната юрисдикция</w:t>
      </w:r>
    </w:p>
    <w:p>
      <w:pPr>
        <w:rPr>
          <w:noProof/>
        </w:rPr>
      </w:pPr>
      <w:r>
        <w:rPr>
          <w:noProof/>
        </w:rPr>
        <w:t>Предоставящата информация МГП изброява по данъчни юрисдикции и наименование на юридическите лица всички „съставни образувания“ на „МГП“, които са местни лица за данъчни цели на съответната данъчна юрисдикция. Както е посочено в точка 2 от общите инструкции по отношение на местата на стопанска дейност обаче, мястото на стопанска дейност се посочва във връзка с данъчната юрисдикция, в която се намира. Отбелязва се юридическото лице, към което принадлежи мястото на стопанска дейност.</w:t>
      </w:r>
    </w:p>
    <w:p>
      <w:pPr>
        <w:pStyle w:val="ManualHeading4"/>
        <w:rPr>
          <w:noProof/>
        </w:rPr>
      </w:pPr>
      <w:r>
        <w:rPr>
          <w:noProof/>
        </w:rPr>
        <w:t>2.2.</w:t>
      </w:r>
      <w:r>
        <w:rPr>
          <w:noProof/>
        </w:rPr>
        <w:tab/>
        <w:t>Данъчна юрисдикция на организация или учредяване, ако е различна от данъчната юрисдикция на местното лице</w:t>
      </w:r>
    </w:p>
    <w:p>
      <w:pPr>
        <w:rPr>
          <w:noProof/>
        </w:rPr>
      </w:pPr>
      <w:r>
        <w:rPr>
          <w:noProof/>
        </w:rPr>
        <w:t>Предоставящата информация МГП посочва наименованието на данъчната юрисдикция, съгласно чиито закони е организирано или учредено „съставното образувание“ на „МГП“, ако то е различно от юрисдикцията, на която „съставното образувание“ на „МГП“ е местно лице за данъчни цели.</w:t>
      </w:r>
    </w:p>
    <w:p>
      <w:pPr>
        <w:pStyle w:val="ManualHeading4"/>
        <w:rPr>
          <w:noProof/>
        </w:rPr>
      </w:pPr>
      <w:r>
        <w:rPr>
          <w:noProof/>
        </w:rPr>
        <w:t>2.3.</w:t>
      </w:r>
      <w:r>
        <w:rPr>
          <w:noProof/>
        </w:rPr>
        <w:tab/>
        <w:t>Основна стопанска дейност/дейности</w:t>
      </w:r>
    </w:p>
    <w:p>
      <w:pPr>
        <w:rPr>
          <w:noProof/>
        </w:rPr>
      </w:pPr>
      <w:r>
        <w:rPr>
          <w:noProof/>
        </w:rPr>
        <w:t>Предоставящата информация МГП определя естеството на основната стопанска дейност/дейности, извършвана от „съставното образувание“ в съответната данъчна юрисдикция, като за целта отбелязва една или няколко от съответните клетки.</w:t>
      </w:r>
    </w:p>
    <w:p>
      <w:pPr>
        <w:jc w:val="center"/>
        <w:rPr>
          <w:noProof/>
        </w:rPr>
      </w:pPr>
      <w:r>
        <w:rPr>
          <w:rFonts w:eastAsia="Times New Roman"/>
          <w:noProof/>
          <w:szCs w:val="20"/>
        </w:rPr>
        <w:t>_____________</w:t>
      </w:r>
    </w:p>
    <w:p>
      <w:pPr>
        <w:adjustRightInd w:val="0"/>
        <w:spacing w:before="0" w:after="0"/>
        <w:jc w:val="left"/>
        <w:rPr>
          <w:noProof/>
        </w:rPr>
        <w:sectPr>
          <w:headerReference w:type="default" r:id="rId22"/>
          <w:footerReference w:type="default" r:id="rId23"/>
          <w:headerReference w:type="first" r:id="rId24"/>
          <w:footerReference w:type="first" r:id="rId25"/>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2018/822 чл. 1 т. 8 и Приложение</w:t>
      </w:r>
    </w:p>
    <w:p>
      <w:pPr>
        <w:pStyle w:val="Annexetitre"/>
        <w:rPr>
          <w:noProof/>
        </w:rPr>
      </w:pPr>
      <w:r>
        <w:rPr>
          <w:noProof/>
        </w:rPr>
        <w:t>ПРИЛОЖЕНИЕ IV</w:t>
      </w:r>
    </w:p>
    <w:p>
      <w:pPr>
        <w:pStyle w:val="ManualHeading1"/>
        <w:ind w:left="851" w:hanging="851"/>
        <w:jc w:val="center"/>
        <w:rPr>
          <w:noProof/>
        </w:rPr>
      </w:pPr>
      <w:r>
        <w:rPr>
          <w:iCs/>
          <w:noProof/>
        </w:rPr>
        <w:t>ТИПИЧНИ БЕЛЕЗИ</w:t>
      </w:r>
    </w:p>
    <w:p>
      <w:pPr>
        <w:pStyle w:val="ManualHeading2"/>
        <w:ind w:left="851" w:hanging="851"/>
        <w:rPr>
          <w:noProof/>
        </w:rPr>
      </w:pPr>
      <w:r>
        <w:rPr>
          <w:noProof/>
        </w:rPr>
        <w:t>Част I.</w:t>
      </w:r>
      <w:r>
        <w:rPr>
          <w:noProof/>
        </w:rPr>
        <w:tab/>
        <w:t>Проверка за основната полза</w:t>
      </w:r>
    </w:p>
    <w:p>
      <w:pPr>
        <w:rPr>
          <w:noProof/>
        </w:rPr>
      </w:pPr>
      <w:r>
        <w:rPr>
          <w:noProof/>
        </w:rPr>
        <w:t>Общите типични белези по категория А и специфичните типични белези по категория Б и точка В1, буква б), подточка i), буква в) и буква г) могат да бъдат взети предвид само ако резултатите от „проверката за основната полза“ са положителни.</w:t>
      </w:r>
    </w:p>
    <w:p>
      <w:pPr>
        <w:rPr>
          <w:noProof/>
        </w:rPr>
      </w:pPr>
      <w:r>
        <w:rPr>
          <w:noProof/>
        </w:rPr>
        <w:t>Резултатите от проверката са положителни само ако може да се установи, че основната полза или една от основните ползи, която — предвид всички относими факти и обстоятелства — дадено лице може с основание да очаква да извлече от дадена договореност, е получаването на данъчно облекчение.</w:t>
      </w:r>
    </w:p>
    <w:p>
      <w:pPr>
        <w:rPr>
          <w:noProof/>
        </w:rPr>
      </w:pPr>
      <w:r>
        <w:rPr>
          <w:noProof/>
        </w:rPr>
        <w:t>По отношение на типичните белези по категория В, точка 1, наличието на условията, изложени в точка В1, буква б), подточка i), буква в) или буква г), не може само по себе си да бъде основание за заключение, че дадена договореност е преминала успешно проверката за основната полза.</w:t>
      </w:r>
    </w:p>
    <w:p>
      <w:pPr>
        <w:pStyle w:val="ManualHeading2"/>
        <w:ind w:left="851" w:hanging="851"/>
        <w:rPr>
          <w:noProof/>
        </w:rPr>
      </w:pPr>
      <w:r>
        <w:rPr>
          <w:noProof/>
        </w:rPr>
        <w:t>Част II.</w:t>
      </w:r>
      <w:r>
        <w:rPr>
          <w:noProof/>
        </w:rPr>
        <w:tab/>
        <w:t>Категории типични белези</w:t>
      </w:r>
    </w:p>
    <w:p>
      <w:pPr>
        <w:pStyle w:val="ManualHeading3"/>
        <w:rPr>
          <w:noProof/>
        </w:rPr>
      </w:pPr>
      <w:r>
        <w:rPr>
          <w:noProof/>
        </w:rPr>
        <w:t>А.</w:t>
      </w:r>
      <w:r>
        <w:rPr>
          <w:noProof/>
        </w:rPr>
        <w:tab/>
        <w:t>Общи типични белези, свързани с проверката на основната полза</w:t>
      </w:r>
    </w:p>
    <w:p>
      <w:pPr>
        <w:pStyle w:val="Point1"/>
        <w:rPr>
          <w:noProof/>
        </w:rPr>
      </w:pPr>
      <w:r>
        <w:rPr>
          <w:noProof/>
        </w:rPr>
        <w:t>1.</w:t>
      </w:r>
      <w:r>
        <w:rPr>
          <w:noProof/>
        </w:rPr>
        <w:tab/>
        <w:t>Договореност, при която съответното данъчнозадължено лице или участник в договореността, се задължава да спазва условие за поверителност, което може да изисква от него да не разкрива как договореността може да осигури данъчно облекчение спрямо други посредници или данъчните органи.</w:t>
      </w:r>
    </w:p>
    <w:p>
      <w:pPr>
        <w:pStyle w:val="Point1"/>
        <w:rPr>
          <w:noProof/>
        </w:rPr>
      </w:pPr>
      <w:r>
        <w:rPr>
          <w:noProof/>
        </w:rPr>
        <w:t>2.</w:t>
      </w:r>
      <w:r>
        <w:rPr>
          <w:noProof/>
        </w:rPr>
        <w:tab/>
        <w:t>Договореност, при която посредникът има право да получи такса (или лихва, хонорар за разходи по финансиране и други такси) за договореността и тази такса е определена в зависимост от:</w:t>
      </w:r>
    </w:p>
    <w:p>
      <w:pPr>
        <w:pStyle w:val="Point2"/>
        <w:rPr>
          <w:noProof/>
        </w:rPr>
      </w:pPr>
      <w:r>
        <w:rPr>
          <w:noProof/>
        </w:rPr>
        <w:t>а)</w:t>
      </w:r>
      <w:r>
        <w:rPr>
          <w:noProof/>
        </w:rPr>
        <w:tab/>
        <w:t>размера на данъчното облекчение, произтичащо от договореността; или</w:t>
      </w:r>
    </w:p>
    <w:p>
      <w:pPr>
        <w:pStyle w:val="Point2"/>
        <w:rPr>
          <w:noProof/>
        </w:rPr>
      </w:pPr>
      <w:r>
        <w:rPr>
          <w:noProof/>
        </w:rPr>
        <w:t>б)</w:t>
      </w:r>
      <w:r>
        <w:rPr>
          <w:noProof/>
        </w:rPr>
        <w:tab/>
        <w:t>това, дали действително е получено данъчно облекчение в резултат от договореността. Това включва задължение за посредника да възстанови частично или изцяло таксата, когато очакваното данъчно облекчение, произтичащо от договореността, не е било частично или напълно постигнато.</w:t>
      </w:r>
    </w:p>
    <w:p>
      <w:pPr>
        <w:pStyle w:val="Point1"/>
        <w:rPr>
          <w:noProof/>
        </w:rPr>
      </w:pPr>
      <w:r>
        <w:rPr>
          <w:noProof/>
        </w:rPr>
        <w:t>3.</w:t>
      </w:r>
      <w:r>
        <w:rPr>
          <w:noProof/>
        </w:rPr>
        <w:tab/>
        <w:t>Договореност, при която има стандартизирана в значителна степен документация и/или структура и която е достъпна за повече от едно данъчнозадължено лице, без да е необходимо да бъде съществено адаптирана за целите на прилагането.</w:t>
      </w:r>
    </w:p>
    <w:p>
      <w:pPr>
        <w:pStyle w:val="ManualHeading3"/>
        <w:rPr>
          <w:noProof/>
        </w:rPr>
      </w:pPr>
      <w:r>
        <w:rPr>
          <w:noProof/>
        </w:rPr>
        <w:t>Б.</w:t>
      </w:r>
      <w:r>
        <w:rPr>
          <w:noProof/>
        </w:rPr>
        <w:tab/>
        <w:t>Специфични типични белези, свързани с проверката за основната полза</w:t>
      </w:r>
    </w:p>
    <w:p>
      <w:pPr>
        <w:pStyle w:val="Point1"/>
        <w:rPr>
          <w:noProof/>
        </w:rPr>
      </w:pPr>
      <w:r>
        <w:rPr>
          <w:noProof/>
        </w:rPr>
        <w:t>1.</w:t>
      </w:r>
      <w:r>
        <w:rPr>
          <w:noProof/>
        </w:rPr>
        <w:tab/>
        <w:t>Договореност, при която участник в договореността предприема изкуствено действия, които се състоят в придобиване на дружество на загуба, прекратяване на основната дейност на такова дружество и използване на неговите загуби с цел да намали своите данъчни задължения, включително чрез прехвърляне на тези загуби към друга юрисдикция или чрез ускоряване на използването на тези загуби.</w:t>
      </w:r>
    </w:p>
    <w:p>
      <w:pPr>
        <w:pStyle w:val="Point1"/>
        <w:rPr>
          <w:noProof/>
        </w:rPr>
      </w:pPr>
      <w:r>
        <w:rPr>
          <w:noProof/>
        </w:rPr>
        <w:t>2.</w:t>
      </w:r>
      <w:r>
        <w:rPr>
          <w:noProof/>
        </w:rPr>
        <w:tab/>
        <w:t>Договореност, която води до преобразуване на доход в капитал, дарения или други категории доходи, които се облагат с по-ниска ставка или са освободени от данъчно облагане.</w:t>
      </w:r>
    </w:p>
    <w:p>
      <w:pPr>
        <w:pStyle w:val="Point1"/>
        <w:rPr>
          <w:noProof/>
        </w:rPr>
      </w:pPr>
      <w:r>
        <w:rPr>
          <w:noProof/>
        </w:rPr>
        <w:t>3.</w:t>
      </w:r>
      <w:r>
        <w:rPr>
          <w:noProof/>
        </w:rPr>
        <w:tab/>
        <w:t>Договореност, която включва циклични повтаряеми сделки, които водят до „превъртане“ на средства, а именно чрез участието на междинни образувания, които нямат друга основна търговска функция, или чрез използването на сделки, които взаимно се компенсират или обезсилват, или имат други подобни характеристики.</w:t>
      </w:r>
    </w:p>
    <w:p>
      <w:pPr>
        <w:pStyle w:val="ManualHeading3"/>
        <w:rPr>
          <w:noProof/>
        </w:rPr>
      </w:pPr>
      <w:r>
        <w:rPr>
          <w:noProof/>
        </w:rPr>
        <w:t>В.</w:t>
      </w:r>
      <w:r>
        <w:rPr>
          <w:noProof/>
        </w:rPr>
        <w:tab/>
        <w:t>Специфични типични белези, свързани с трансгранични сделки</w:t>
      </w:r>
    </w:p>
    <w:p>
      <w:pPr>
        <w:pStyle w:val="Point1"/>
        <w:rPr>
          <w:noProof/>
        </w:rPr>
      </w:pPr>
      <w:r>
        <w:rPr>
          <w:noProof/>
        </w:rPr>
        <w:t>1.</w:t>
      </w:r>
      <w:r>
        <w:rPr>
          <w:noProof/>
        </w:rPr>
        <w:tab/>
        <w:t>Договореност, която включва подлежащи на приспадане трансгранични плащания, извършени между две или повече свързани предприятия, когато е изпълнено най-малко едно от следните условия:</w:t>
      </w:r>
    </w:p>
    <w:p>
      <w:pPr>
        <w:pStyle w:val="Point2"/>
        <w:rPr>
          <w:noProof/>
        </w:rPr>
      </w:pPr>
      <w:r>
        <w:rPr>
          <w:noProof/>
        </w:rPr>
        <w:t>а)</w:t>
      </w:r>
      <w:r>
        <w:rPr>
          <w:noProof/>
        </w:rPr>
        <w:tab/>
        <w:t>получателят не е местно лице за данъчни цели на никоя данъчна юрисдикция;</w:t>
      </w:r>
    </w:p>
    <w:p>
      <w:pPr>
        <w:pStyle w:val="Point2"/>
        <w:rPr>
          <w:noProof/>
        </w:rPr>
      </w:pPr>
      <w:r>
        <w:rPr>
          <w:noProof/>
        </w:rPr>
        <w:t>б)</w:t>
      </w:r>
      <w:r>
        <w:rPr>
          <w:noProof/>
        </w:rPr>
        <w:tab/>
        <w:t>въпреки че получателят е местно лице за данъчни цели на дадена юрисдикция, тази юрисдикция:</w:t>
      </w:r>
    </w:p>
    <w:p>
      <w:pPr>
        <w:pStyle w:val="Point3"/>
        <w:rPr>
          <w:noProof/>
        </w:rPr>
      </w:pPr>
      <w:r>
        <w:rPr>
          <w:noProof/>
        </w:rPr>
        <w:t>i)</w:t>
      </w:r>
      <w:r>
        <w:rPr>
          <w:noProof/>
        </w:rPr>
        <w:tab/>
        <w:t>не налага никакъв корпоративен данък или налага корпоративен данък с нулева или почти нулева ставка; или</w:t>
      </w:r>
    </w:p>
    <w:p>
      <w:pPr>
        <w:pStyle w:val="Point3"/>
        <w:rPr>
          <w:noProof/>
        </w:rPr>
      </w:pPr>
      <w:r>
        <w:rPr>
          <w:noProof/>
        </w:rPr>
        <w:t>ii)</w:t>
      </w:r>
      <w:r>
        <w:rPr>
          <w:noProof/>
        </w:rPr>
        <w:tab/>
        <w:t>е включена в списък на юрисдикции на трети държави, които са били оценени от държавите членки, колективно или в рамките на ОИСР, като неоказващи съдействие юрисдикции;</w:t>
      </w:r>
    </w:p>
    <w:p>
      <w:pPr>
        <w:pStyle w:val="Point2"/>
        <w:rPr>
          <w:noProof/>
        </w:rPr>
      </w:pPr>
      <w:r>
        <w:rPr>
          <w:noProof/>
        </w:rPr>
        <w:t>в)</w:t>
      </w:r>
      <w:r>
        <w:rPr>
          <w:noProof/>
        </w:rPr>
        <w:tab/>
        <w:t>плащането е напълно освободено от данъчно облагане в юрисдикцията, в която получателят е местно лице за данъчни цели;</w:t>
      </w:r>
    </w:p>
    <w:p>
      <w:pPr>
        <w:pStyle w:val="Point2"/>
        <w:rPr>
          <w:noProof/>
        </w:rPr>
      </w:pPr>
      <w:r>
        <w:rPr>
          <w:noProof/>
        </w:rPr>
        <w:t>г)</w:t>
      </w:r>
      <w:r>
        <w:rPr>
          <w:noProof/>
        </w:rPr>
        <w:tab/>
        <w:t>за плащането се прилага преференциален данъчен режим в юрисдикцията, в която получателят е местно лице за данъчни цели.</w:t>
      </w:r>
    </w:p>
    <w:p>
      <w:pPr>
        <w:pStyle w:val="Point1"/>
        <w:rPr>
          <w:noProof/>
        </w:rPr>
      </w:pPr>
      <w:r>
        <w:rPr>
          <w:noProof/>
        </w:rPr>
        <w:t>2.</w:t>
      </w:r>
      <w:r>
        <w:rPr>
          <w:noProof/>
        </w:rPr>
        <w:tab/>
        <w:t>Приспадания за същата амортизация на актива са поискани в повече от една юрисдикция.</w:t>
      </w:r>
    </w:p>
    <w:p>
      <w:pPr>
        <w:pStyle w:val="Point1"/>
        <w:rPr>
          <w:noProof/>
        </w:rPr>
      </w:pPr>
      <w:r>
        <w:rPr>
          <w:noProof/>
        </w:rPr>
        <w:t>3.</w:t>
      </w:r>
      <w:r>
        <w:rPr>
          <w:noProof/>
        </w:rPr>
        <w:tab/>
        <w:t>Освобождаване от двойно данъчно облагане по отношение на един и същ елемент на дохода или капитала е поискано в повече от една юрисдикция.</w:t>
      </w:r>
    </w:p>
    <w:p>
      <w:pPr>
        <w:pStyle w:val="Point1"/>
        <w:rPr>
          <w:noProof/>
        </w:rPr>
      </w:pPr>
      <w:r>
        <w:rPr>
          <w:noProof/>
        </w:rPr>
        <w:t>4.</w:t>
      </w:r>
      <w:r>
        <w:rPr>
          <w:noProof/>
        </w:rPr>
        <w:tab/>
        <w:t>Съществува договореност, която включва прехвърлянето на активи и при която е налице съществена разлика в сумите, които се разглеждат като дължими в замяна на активите в участващите юрисдикции.</w:t>
      </w:r>
    </w:p>
    <w:p>
      <w:pPr>
        <w:pStyle w:val="ManualHeading3"/>
        <w:rPr>
          <w:noProof/>
        </w:rPr>
      </w:pPr>
      <w:r>
        <w:rPr>
          <w:noProof/>
        </w:rPr>
        <w:t>Г.</w:t>
      </w:r>
      <w:r>
        <w:rPr>
          <w:noProof/>
        </w:rPr>
        <w:tab/>
        <w:t>Специфични типични белези във връзка с автоматичния обмен на информация или действителната собственост</w:t>
      </w:r>
    </w:p>
    <w:p>
      <w:pPr>
        <w:pStyle w:val="Point1"/>
        <w:keepNext/>
        <w:rPr>
          <w:noProof/>
        </w:rPr>
      </w:pPr>
      <w:r>
        <w:rPr>
          <w:noProof/>
        </w:rPr>
        <w:t>1.</w:t>
      </w:r>
      <w:r>
        <w:rPr>
          <w:noProof/>
        </w:rPr>
        <w:tab/>
        <w:t>Договореност, която може да доведе до намаляване на задълженията за оповестяване съгласно законови актове, с които се въвежда законодателството на Съюза, или равностойни споразумения за автоматичен обмен на информация за „финансови сметки“, включително споразумения с трети държави, или при която се използва липсата на такова законодателство или споразумения. Тези договорености включват най-малко следното:</w:t>
      </w:r>
    </w:p>
    <w:p>
      <w:pPr>
        <w:pStyle w:val="Point2"/>
        <w:rPr>
          <w:noProof/>
        </w:rPr>
      </w:pPr>
      <w:r>
        <w:rPr>
          <w:noProof/>
        </w:rPr>
        <w:t>а)</w:t>
      </w:r>
      <w:r>
        <w:rPr>
          <w:noProof/>
        </w:rPr>
        <w:tab/>
        <w:t>използване на сметка, продукт или инвестиция, която не е или за която се твърди, че не е „финансова сметка“, но която има характеристики, по същество сходни с тези на „финансова сметка“;</w:t>
      </w:r>
    </w:p>
    <w:p>
      <w:pPr>
        <w:pStyle w:val="Point2"/>
        <w:rPr>
          <w:noProof/>
        </w:rPr>
      </w:pPr>
      <w:r>
        <w:rPr>
          <w:noProof/>
        </w:rPr>
        <w:t>б)</w:t>
      </w:r>
      <w:r>
        <w:rPr>
          <w:noProof/>
        </w:rPr>
        <w:tab/>
        <w:t>прехвърляне на „финансови сметки“ или активи към юрисдикции или използването на юрисдикции, които не са задължени да извършват автоматичен обмен на информация за „финансови сметки“ с държавата, на която съответното данъчнозадължено лице е местно лице;</w:t>
      </w:r>
    </w:p>
    <w:p>
      <w:pPr>
        <w:pStyle w:val="Point2"/>
        <w:rPr>
          <w:noProof/>
        </w:rPr>
      </w:pPr>
      <w:r>
        <w:rPr>
          <w:noProof/>
        </w:rPr>
        <w:t>в)</w:t>
      </w:r>
      <w:r>
        <w:rPr>
          <w:noProof/>
        </w:rPr>
        <w:tab/>
        <w:t>замяната на класификацията на доходи и капитал с продукти или плащания, които не са предмет на автоматичен обмен на информация за „финансови сметки“;</w:t>
      </w:r>
    </w:p>
    <w:p>
      <w:pPr>
        <w:pStyle w:val="Point2"/>
        <w:rPr>
          <w:noProof/>
        </w:rPr>
      </w:pPr>
      <w:r>
        <w:rPr>
          <w:noProof/>
        </w:rPr>
        <w:t>г)</w:t>
      </w:r>
      <w:r>
        <w:rPr>
          <w:noProof/>
        </w:rPr>
        <w:tab/>
        <w:t>прехвърлянето или преобразуването на „финансова институция“ или „финансова сметка“, или на съдържащите се в тях активи, във „финансова институция“ или „финансова сметка“, или активи, за които не се предоставя информация в рамките на автоматичния обмен на информация за „финансови сметки“;</w:t>
      </w:r>
    </w:p>
    <w:p>
      <w:pPr>
        <w:pStyle w:val="Point2"/>
        <w:rPr>
          <w:noProof/>
        </w:rPr>
      </w:pPr>
      <w:r>
        <w:rPr>
          <w:noProof/>
        </w:rPr>
        <w:t>д)</w:t>
      </w:r>
      <w:r>
        <w:rPr>
          <w:noProof/>
        </w:rPr>
        <w:tab/>
        <w:t>използването на правни образувания, форми или структури, които премахват или за които се твърди, че премахват, оповестяването на един или повече от „титулярите на сметки“ или „контролиращи лица“ при автоматичния обмен на информация за „финансови сметки“;</w:t>
      </w:r>
    </w:p>
    <w:p>
      <w:pPr>
        <w:pStyle w:val="Point2"/>
        <w:rPr>
          <w:noProof/>
        </w:rPr>
      </w:pPr>
      <w:r>
        <w:rPr>
          <w:noProof/>
        </w:rPr>
        <w:t>е)</w:t>
      </w:r>
      <w:r>
        <w:rPr>
          <w:noProof/>
        </w:rPr>
        <w:tab/>
        <w:t>договорености, които засягат или се възползват от слабости в процедурите за комплексна проверка, които „финансовите институции“ използват, за да спазят своите задължения за оповестяване на информация за „финансови сметки“, включително използването на юрисдикции с неподходящи или слаби режими на прилагане на законодателството срещу изпирането на пари или със слаби изисквания за прозрачност за юридически лица или правните форми.</w:t>
      </w:r>
    </w:p>
    <w:p>
      <w:pPr>
        <w:pStyle w:val="Point1"/>
        <w:rPr>
          <w:noProof/>
        </w:rPr>
      </w:pPr>
      <w:r>
        <w:rPr>
          <w:noProof/>
        </w:rPr>
        <w:t>2.</w:t>
      </w:r>
      <w:r>
        <w:rPr>
          <w:noProof/>
        </w:rPr>
        <w:tab/>
        <w:t>Договореност, която включва редица от непрозрачна юридическа или действителна собственост с използването на лица, правни форми или структури:</w:t>
      </w:r>
    </w:p>
    <w:p>
      <w:pPr>
        <w:pStyle w:val="Point2"/>
        <w:rPr>
          <w:noProof/>
        </w:rPr>
      </w:pPr>
      <w:r>
        <w:rPr>
          <w:noProof/>
        </w:rPr>
        <w:t>а)</w:t>
      </w:r>
      <w:r>
        <w:rPr>
          <w:noProof/>
        </w:rPr>
        <w:tab/>
        <w:t>които не упражняват съществена стопанска дейност, която се подпомага от подходящ персонал, оборудване, активи и помещения; и</w:t>
      </w:r>
    </w:p>
    <w:p>
      <w:pPr>
        <w:pStyle w:val="Point2"/>
        <w:rPr>
          <w:noProof/>
        </w:rPr>
      </w:pPr>
      <w:r>
        <w:rPr>
          <w:noProof/>
        </w:rPr>
        <w:t>б)</w:t>
      </w:r>
      <w:r>
        <w:rPr>
          <w:noProof/>
        </w:rPr>
        <w:tab/>
        <w:t>които са учредени, управлявани, местни лица, контролирани или установени в юрисдикция, различна от юрисдикцията, на която са местни лица един или повече от действителните собственици на активи, притежавани от такива лица, правни форми или структури; и</w:t>
      </w:r>
    </w:p>
    <w:p>
      <w:pPr>
        <w:pStyle w:val="Point2"/>
        <w:rPr>
          <w:noProof/>
        </w:rPr>
      </w:pPr>
      <w:r>
        <w:rPr>
          <w:noProof/>
        </w:rPr>
        <w:t>в)</w:t>
      </w:r>
      <w:r>
        <w:rPr>
          <w:noProof/>
        </w:rPr>
        <w:tab/>
        <w:t>когато не могат да бъдат установени действителните собственици на такива лица, правни форми или структури по смисъла на определенията в Директива (ЕС) 2015/849.</w:t>
      </w:r>
    </w:p>
    <w:p>
      <w:pPr>
        <w:pStyle w:val="ManualHeading3"/>
        <w:rPr>
          <w:noProof/>
        </w:rPr>
      </w:pPr>
      <w:r>
        <w:rPr>
          <w:noProof/>
        </w:rPr>
        <w:t>Д.</w:t>
      </w:r>
      <w:r>
        <w:rPr>
          <w:noProof/>
        </w:rPr>
        <w:tab/>
        <w:t>Специфични типични белези относно трансферното ценообразуване</w:t>
      </w:r>
    </w:p>
    <w:p>
      <w:pPr>
        <w:pStyle w:val="Point1"/>
        <w:rPr>
          <w:noProof/>
        </w:rPr>
      </w:pPr>
      <w:r>
        <w:rPr>
          <w:noProof/>
        </w:rPr>
        <w:t>1.</w:t>
      </w:r>
      <w:r>
        <w:rPr>
          <w:noProof/>
        </w:rPr>
        <w:tab/>
        <w:t>Договореност, която включва използването на едностранни правила за облекчени режими.</w:t>
      </w:r>
    </w:p>
    <w:p>
      <w:pPr>
        <w:pStyle w:val="Point1"/>
        <w:rPr>
          <w:noProof/>
        </w:rPr>
      </w:pPr>
      <w:r>
        <w:rPr>
          <w:noProof/>
        </w:rPr>
        <w:t>2.</w:t>
      </w:r>
      <w:r>
        <w:rPr>
          <w:noProof/>
        </w:rPr>
        <w:tab/>
        <w:t>Договореност, която включва прехвърляне на трудни за оценяване нематериални активи. Понятието „трудни за оценяване нематериални активи“ обхваща нематериални активи или права върху нематериални активи, за които към момента на тяхното прехвърляне между свързани предприятия:</w:t>
      </w:r>
    </w:p>
    <w:p>
      <w:pPr>
        <w:pStyle w:val="Point2"/>
        <w:rPr>
          <w:noProof/>
        </w:rPr>
      </w:pPr>
      <w:r>
        <w:rPr>
          <w:noProof/>
        </w:rPr>
        <w:t>а)</w:t>
      </w:r>
      <w:r>
        <w:rPr>
          <w:noProof/>
        </w:rPr>
        <w:tab/>
        <w:t>не съществуват надеждни съпоставими данни, и</w:t>
      </w:r>
    </w:p>
    <w:p>
      <w:pPr>
        <w:pStyle w:val="Point2"/>
        <w:rPr>
          <w:noProof/>
        </w:rPr>
      </w:pPr>
      <w:r>
        <w:rPr>
          <w:noProof/>
        </w:rPr>
        <w:t>б)</w:t>
      </w:r>
      <w:r>
        <w:rPr>
          <w:noProof/>
        </w:rPr>
        <w:tab/>
        <w:t>към момента на встъпване в сделките прогнозите за бъдещите парични потоци или приходи, които се очаква да бъдат получени от прехвърлените нематериални активи, или допусканията, използвани при оценяването на стойността на нематериалните активи, са твърде несигурни, поради което е трудно да се предвиди степента на крайния успех на нематериалните активи към момента на прехвърлянето.</w:t>
      </w:r>
    </w:p>
    <w:p>
      <w:pPr>
        <w:pStyle w:val="Point1"/>
        <w:rPr>
          <w:noProof/>
        </w:rPr>
      </w:pPr>
      <w:r>
        <w:rPr>
          <w:noProof/>
        </w:rPr>
        <w:t>3.</w:t>
      </w:r>
      <w:r>
        <w:rPr>
          <w:noProof/>
        </w:rPr>
        <w:tab/>
        <w:t>Договореност, която включва вътрешногрупово трансгранично прехвърляне на функции и/или рискове, и/или активи, ако прогнозираната годишна печалба преди лихви и данъци на прехвърлителя или прехвърлителите през трите години след прехвърлянето се равнява на по-малко от 50 % от прогнозираната годишна печалба преди лихви и данъци на същия прехвърлител или прехвърлители, ако не беше извършено прехвърлянето.</w:t>
      </w:r>
    </w:p>
    <w:p>
      <w:pPr>
        <w:jc w:val="center"/>
        <w:rPr>
          <w:noProof/>
        </w:rPr>
      </w:pPr>
      <w:r>
        <w:rPr>
          <w:rFonts w:eastAsia="Times New Roman"/>
          <w:noProof/>
          <w:szCs w:val="20"/>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é</w:instrText>
      </w:r>
      <w:r>
        <w:rPr>
          <w:noProof/>
          <w:lang w:val="bg-BG"/>
        </w:rPr>
        <w:instrText xml:space="preserve">" </w:instrText>
      </w:r>
      <w:r>
        <w:rPr>
          <w:noProof/>
        </w:rPr>
        <w:fldChar w:fldCharType="separate"/>
      </w:r>
      <w:r>
        <w:rPr>
          <w:rStyle w:val="CRMarker"/>
          <w:noProof/>
          <w:lang w:val="bg-BG"/>
        </w:rPr>
        <w:t>é</w:t>
      </w:r>
      <w:r>
        <w:rPr>
          <w:noProof/>
        </w:rPr>
        <w:fldChar w:fldCharType="end"/>
      </w:r>
    </w:p>
    <w:p>
      <w:pPr>
        <w:pStyle w:val="Annexetitre"/>
        <w:rPr>
          <w:noProof/>
          <w:color w:val="000000" w:themeColor="text1"/>
        </w:rPr>
      </w:pPr>
      <w:bookmarkStart w:id="1" w:name="_CopyToNewDocument_"/>
      <w:bookmarkEnd w:id="1"/>
      <w:r>
        <w:rPr>
          <w:noProof/>
          <w:color w:val="000000" w:themeColor="text1"/>
        </w:rPr>
        <w:t>ПРИЛОЖЕНИЕ V</w:t>
      </w:r>
    </w:p>
    <w:p>
      <w:pPr>
        <w:jc w:val="center"/>
        <w:rPr>
          <w:b/>
          <w:noProof/>
        </w:rPr>
      </w:pPr>
      <w:r>
        <w:rPr>
          <w:b/>
          <w:bCs/>
          <w:noProof/>
        </w:rPr>
        <w:t>Част А</w:t>
      </w:r>
    </w:p>
    <w:p>
      <w:pPr>
        <w:jc w:val="center"/>
        <w:rPr>
          <w:noProof/>
        </w:rPr>
      </w:pPr>
      <w:r>
        <w:rPr>
          <w:noProof/>
        </w:rPr>
        <w:t>Отменената директива и списък на нейните последователни изменения</w:t>
      </w:r>
      <w:r>
        <w:rPr>
          <w:noProof/>
        </w:rPr>
        <w:br/>
        <w:t>(посочени в член 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138"/>
        <w:gridCol w:w="662"/>
        <w:gridCol w:w="3945"/>
      </w:tblGrid>
      <w:tr>
        <w:tc>
          <w:tcPr>
            <w:tcW w:w="4606" w:type="dxa"/>
            <w:gridSpan w:val="2"/>
            <w:vAlign w:val="bottom"/>
          </w:tcPr>
          <w:p>
            <w:pPr>
              <w:jc w:val="left"/>
              <w:rPr>
                <w:noProof/>
              </w:rPr>
            </w:pPr>
            <w:r>
              <w:rPr>
                <w:noProof/>
              </w:rPr>
              <w:t xml:space="preserve">Директива </w:t>
            </w:r>
            <w:r>
              <w:rPr>
                <w:rFonts w:eastAsia="Times New Roman"/>
                <w:noProof/>
              </w:rPr>
              <w:t>2011/16/E</w:t>
            </w:r>
            <w:r>
              <w:rPr>
                <w:rFonts w:eastAsia="Times New Roman"/>
                <w:noProof/>
                <w:lang w:val="en-GB"/>
              </w:rPr>
              <w:t>C</w:t>
            </w:r>
            <w:r>
              <w:rPr>
                <w:noProof/>
              </w:rPr>
              <w:t xml:space="preserve"> </w:t>
            </w:r>
            <w:r>
              <w:rPr>
                <w:rFonts w:eastAsia="Times New Roman"/>
                <w:noProof/>
                <w:lang w:val="en-GB"/>
              </w:rPr>
              <w:t>на Съвета</w:t>
            </w:r>
          </w:p>
        </w:tc>
        <w:tc>
          <w:tcPr>
            <w:tcW w:w="4607" w:type="dxa"/>
            <w:gridSpan w:val="2"/>
            <w:vAlign w:val="bottom"/>
          </w:tcPr>
          <w:p>
            <w:pPr>
              <w:jc w:val="left"/>
              <w:rPr>
                <w:noProof/>
              </w:rPr>
            </w:pPr>
            <w:r>
              <w:rPr>
                <w:rFonts w:eastAsia="Times New Roman"/>
                <w:noProof/>
              </w:rPr>
              <w:t>(</w:t>
            </w:r>
            <w:r>
              <w:rPr>
                <w:rFonts w:eastAsia="Times New Roman"/>
                <w:noProof/>
                <w:lang w:val="en-GB"/>
              </w:rPr>
              <w:t>OB</w:t>
            </w:r>
            <w:r>
              <w:rPr>
                <w:rFonts w:eastAsia="Times New Roman"/>
                <w:noProof/>
              </w:rPr>
              <w:t xml:space="preserve"> L 64, 11.3.2011</w:t>
            </w:r>
            <w:r>
              <w:rPr>
                <w:noProof/>
              </w:rPr>
              <w:t xml:space="preserve"> </w:t>
            </w:r>
            <w:r>
              <w:rPr>
                <w:rFonts w:eastAsia="Times New Roman"/>
                <w:noProof/>
              </w:rPr>
              <w:t>г., стр. 1)</w:t>
            </w:r>
          </w:p>
        </w:tc>
      </w:tr>
      <w:tr>
        <w:trPr>
          <w:gridBefore w:val="1"/>
          <w:wBefore w:w="468" w:type="dxa"/>
          <w:trHeight w:val="600"/>
        </w:trPr>
        <w:tc>
          <w:tcPr>
            <w:tcW w:w="4800" w:type="dxa"/>
            <w:gridSpan w:val="2"/>
            <w:vAlign w:val="bottom"/>
          </w:tcPr>
          <w:p>
            <w:pPr>
              <w:widowControl w:val="0"/>
              <w:tabs>
                <w:tab w:val="left" w:pos="-720"/>
                <w:tab w:val="center" w:pos="7344"/>
              </w:tabs>
              <w:suppressAutoHyphens/>
              <w:spacing w:before="0" w:after="240"/>
              <w:jc w:val="left"/>
              <w:rPr>
                <w:rFonts w:eastAsia="Times New Roman"/>
                <w:noProof/>
                <w:lang w:eastAsia="fr-BE"/>
              </w:rPr>
            </w:pPr>
            <w:r>
              <w:rPr>
                <w:noProof/>
              </w:rPr>
              <w:t xml:space="preserve">Директива </w:t>
            </w:r>
            <w:r>
              <w:rPr>
                <w:rFonts w:eastAsia="Times New Roman"/>
                <w:noProof/>
              </w:rPr>
              <w:t>2014/107/E</w:t>
            </w:r>
            <w:r>
              <w:rPr>
                <w:rFonts w:eastAsia="Times New Roman"/>
                <w:noProof/>
                <w:lang w:val="en-GB"/>
              </w:rPr>
              <w:t>C</w:t>
            </w:r>
            <w:r>
              <w:rPr>
                <w:rFonts w:eastAsia="Times New Roman"/>
                <w:noProof/>
              </w:rPr>
              <w:t xml:space="preserve"> на Съвета</w:t>
            </w:r>
          </w:p>
        </w:tc>
        <w:tc>
          <w:tcPr>
            <w:tcW w:w="3945" w:type="dxa"/>
            <w:vAlign w:val="bottom"/>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w:t>
            </w:r>
            <w:r>
              <w:rPr>
                <w:rFonts w:eastAsia="Times New Roman"/>
                <w:noProof/>
                <w:lang w:val="en-GB"/>
              </w:rPr>
              <w:t>OB</w:t>
            </w:r>
            <w:r>
              <w:rPr>
                <w:rFonts w:eastAsia="Times New Roman"/>
                <w:noProof/>
              </w:rPr>
              <w:t xml:space="preserve"> L 359, 16.12.2014</w:t>
            </w:r>
            <w:r>
              <w:rPr>
                <w:noProof/>
              </w:rPr>
              <w:t xml:space="preserve"> </w:t>
            </w:r>
            <w:r>
              <w:rPr>
                <w:rFonts w:eastAsia="Times New Roman"/>
                <w:noProof/>
              </w:rPr>
              <w:t>г., стр. 1)</w:t>
            </w:r>
          </w:p>
        </w:tc>
      </w:tr>
      <w:tr>
        <w:trPr>
          <w:gridBefore w:val="1"/>
          <w:wBefore w:w="468" w:type="dxa"/>
          <w:trHeight w:val="600"/>
        </w:trPr>
        <w:tc>
          <w:tcPr>
            <w:tcW w:w="4800" w:type="dxa"/>
            <w:gridSpan w:val="2"/>
            <w:vAlign w:val="bottom"/>
          </w:tcPr>
          <w:p>
            <w:pPr>
              <w:widowControl w:val="0"/>
              <w:tabs>
                <w:tab w:val="left" w:pos="-720"/>
                <w:tab w:val="center" w:pos="7344"/>
              </w:tabs>
              <w:suppressAutoHyphens/>
              <w:spacing w:before="0" w:after="240"/>
              <w:jc w:val="left"/>
              <w:rPr>
                <w:rFonts w:eastAsia="Times New Roman"/>
                <w:noProof/>
                <w:lang w:eastAsia="fr-BE"/>
              </w:rPr>
            </w:pPr>
            <w:r>
              <w:rPr>
                <w:noProof/>
              </w:rPr>
              <w:t xml:space="preserve">Директива </w:t>
            </w:r>
            <w:r>
              <w:rPr>
                <w:rFonts w:eastAsia="Times New Roman"/>
                <w:noProof/>
              </w:rPr>
              <w:t>(E</w:t>
            </w:r>
            <w:r>
              <w:rPr>
                <w:rFonts w:eastAsia="Times New Roman"/>
                <w:noProof/>
                <w:lang w:val="en-GB"/>
              </w:rPr>
              <w:t>C</w:t>
            </w:r>
            <w:r>
              <w:rPr>
                <w:rFonts w:eastAsia="Times New Roman"/>
                <w:noProof/>
              </w:rPr>
              <w:t>) 2015/2376 на Съвета</w:t>
            </w:r>
          </w:p>
        </w:tc>
        <w:tc>
          <w:tcPr>
            <w:tcW w:w="3945" w:type="dxa"/>
            <w:vAlign w:val="bottom"/>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w:t>
            </w:r>
            <w:r>
              <w:rPr>
                <w:rFonts w:eastAsia="Times New Roman"/>
                <w:noProof/>
                <w:lang w:val="en-GB"/>
              </w:rPr>
              <w:t>OB</w:t>
            </w:r>
            <w:r>
              <w:rPr>
                <w:rFonts w:eastAsia="Times New Roman"/>
                <w:noProof/>
              </w:rPr>
              <w:t xml:space="preserve"> L 332, 18.12.2015</w:t>
            </w:r>
            <w:r>
              <w:rPr>
                <w:noProof/>
              </w:rPr>
              <w:t xml:space="preserve"> </w:t>
            </w:r>
            <w:r>
              <w:rPr>
                <w:rFonts w:eastAsia="Times New Roman"/>
                <w:noProof/>
              </w:rPr>
              <w:t>г., стр. 1)</w:t>
            </w:r>
          </w:p>
        </w:tc>
      </w:tr>
      <w:tr>
        <w:trPr>
          <w:gridBefore w:val="1"/>
          <w:wBefore w:w="468" w:type="dxa"/>
          <w:trHeight w:val="600"/>
        </w:trPr>
        <w:tc>
          <w:tcPr>
            <w:tcW w:w="4800" w:type="dxa"/>
            <w:gridSpan w:val="2"/>
            <w:vAlign w:val="bottom"/>
          </w:tcPr>
          <w:p>
            <w:pPr>
              <w:widowControl w:val="0"/>
              <w:tabs>
                <w:tab w:val="left" w:pos="-720"/>
                <w:tab w:val="center" w:pos="7344"/>
              </w:tabs>
              <w:suppressAutoHyphens/>
              <w:spacing w:before="0" w:after="240"/>
              <w:jc w:val="left"/>
              <w:rPr>
                <w:rFonts w:eastAsia="Times New Roman"/>
                <w:noProof/>
                <w:lang w:eastAsia="fr-BE"/>
              </w:rPr>
            </w:pPr>
            <w:r>
              <w:rPr>
                <w:noProof/>
              </w:rPr>
              <w:t xml:space="preserve">Директива </w:t>
            </w:r>
            <w:r>
              <w:rPr>
                <w:rFonts w:eastAsia="Times New Roman"/>
                <w:noProof/>
              </w:rPr>
              <w:t>(E</w:t>
            </w:r>
            <w:r>
              <w:rPr>
                <w:rFonts w:eastAsia="Times New Roman"/>
                <w:noProof/>
                <w:lang w:val="en-GB"/>
              </w:rPr>
              <w:t>C</w:t>
            </w:r>
            <w:r>
              <w:rPr>
                <w:rFonts w:eastAsia="Times New Roman"/>
                <w:noProof/>
              </w:rPr>
              <w:t>) 2016/881 на Съвета</w:t>
            </w:r>
          </w:p>
        </w:tc>
        <w:tc>
          <w:tcPr>
            <w:tcW w:w="3945" w:type="dxa"/>
            <w:vAlign w:val="bottom"/>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w:t>
            </w:r>
            <w:r>
              <w:rPr>
                <w:rFonts w:eastAsia="Times New Roman"/>
                <w:noProof/>
                <w:lang w:val="en-GB"/>
              </w:rPr>
              <w:t>OB</w:t>
            </w:r>
            <w:r>
              <w:rPr>
                <w:rFonts w:eastAsia="Times New Roman"/>
                <w:noProof/>
              </w:rPr>
              <w:t xml:space="preserve"> L 146, 3.6.2016</w:t>
            </w:r>
            <w:r>
              <w:rPr>
                <w:noProof/>
              </w:rPr>
              <w:t xml:space="preserve"> </w:t>
            </w:r>
            <w:r>
              <w:rPr>
                <w:rFonts w:eastAsia="Times New Roman"/>
                <w:noProof/>
              </w:rPr>
              <w:t>г., стр. 8)</w:t>
            </w:r>
          </w:p>
        </w:tc>
      </w:tr>
      <w:tr>
        <w:trPr>
          <w:gridBefore w:val="1"/>
          <w:wBefore w:w="468" w:type="dxa"/>
          <w:trHeight w:val="600"/>
        </w:trPr>
        <w:tc>
          <w:tcPr>
            <w:tcW w:w="4800" w:type="dxa"/>
            <w:gridSpan w:val="2"/>
            <w:vAlign w:val="bottom"/>
          </w:tcPr>
          <w:p>
            <w:pPr>
              <w:widowControl w:val="0"/>
              <w:tabs>
                <w:tab w:val="left" w:pos="-720"/>
                <w:tab w:val="center" w:pos="7344"/>
              </w:tabs>
              <w:suppressAutoHyphens/>
              <w:spacing w:before="0" w:after="240"/>
              <w:jc w:val="left"/>
              <w:rPr>
                <w:rFonts w:eastAsia="Times New Roman"/>
                <w:noProof/>
                <w:lang w:eastAsia="fr-BE"/>
              </w:rPr>
            </w:pPr>
            <w:r>
              <w:rPr>
                <w:noProof/>
              </w:rPr>
              <w:t xml:space="preserve">Директива </w:t>
            </w:r>
            <w:r>
              <w:rPr>
                <w:rFonts w:eastAsia="Times New Roman"/>
                <w:noProof/>
              </w:rPr>
              <w:t>(E</w:t>
            </w:r>
            <w:r>
              <w:rPr>
                <w:rFonts w:eastAsia="Times New Roman"/>
                <w:noProof/>
                <w:lang w:val="en-GB"/>
              </w:rPr>
              <w:t>C</w:t>
            </w:r>
            <w:r>
              <w:rPr>
                <w:rFonts w:eastAsia="Times New Roman"/>
                <w:noProof/>
              </w:rPr>
              <w:t>) 2016/2258 на Съвета</w:t>
            </w:r>
          </w:p>
        </w:tc>
        <w:tc>
          <w:tcPr>
            <w:tcW w:w="3945" w:type="dxa"/>
            <w:vAlign w:val="bottom"/>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w:t>
            </w:r>
            <w:r>
              <w:rPr>
                <w:rFonts w:eastAsia="Times New Roman"/>
                <w:noProof/>
                <w:lang w:val="en-GB"/>
              </w:rPr>
              <w:t>OB</w:t>
            </w:r>
            <w:r>
              <w:rPr>
                <w:rFonts w:eastAsia="Times New Roman"/>
                <w:noProof/>
              </w:rPr>
              <w:t xml:space="preserve"> L 342, 16.12.2016</w:t>
            </w:r>
            <w:r>
              <w:rPr>
                <w:noProof/>
              </w:rPr>
              <w:t xml:space="preserve"> </w:t>
            </w:r>
            <w:r>
              <w:rPr>
                <w:rFonts w:eastAsia="Times New Roman"/>
                <w:noProof/>
              </w:rPr>
              <w:t>г., стр. 1)</w:t>
            </w:r>
          </w:p>
        </w:tc>
      </w:tr>
      <w:tr>
        <w:trPr>
          <w:gridBefore w:val="1"/>
          <w:wBefore w:w="468" w:type="dxa"/>
          <w:trHeight w:val="600"/>
        </w:trPr>
        <w:tc>
          <w:tcPr>
            <w:tcW w:w="4800" w:type="dxa"/>
            <w:gridSpan w:val="2"/>
            <w:vAlign w:val="bottom"/>
          </w:tcPr>
          <w:p>
            <w:pPr>
              <w:widowControl w:val="0"/>
              <w:tabs>
                <w:tab w:val="left" w:pos="-720"/>
                <w:tab w:val="center" w:pos="7344"/>
              </w:tabs>
              <w:suppressAutoHyphens/>
              <w:spacing w:before="0" w:after="240"/>
              <w:jc w:val="left"/>
              <w:rPr>
                <w:rFonts w:eastAsia="Times New Roman"/>
                <w:noProof/>
                <w:lang w:eastAsia="fr-BE"/>
              </w:rPr>
            </w:pPr>
            <w:r>
              <w:rPr>
                <w:noProof/>
              </w:rPr>
              <w:t xml:space="preserve">Директива </w:t>
            </w:r>
            <w:r>
              <w:rPr>
                <w:rFonts w:eastAsia="Times New Roman"/>
                <w:noProof/>
              </w:rPr>
              <w:t>(E</w:t>
            </w:r>
            <w:r>
              <w:rPr>
                <w:rFonts w:eastAsia="Times New Roman"/>
                <w:noProof/>
                <w:lang w:val="en-GB"/>
              </w:rPr>
              <w:t>C</w:t>
            </w:r>
            <w:r>
              <w:rPr>
                <w:rFonts w:eastAsia="Times New Roman"/>
                <w:noProof/>
              </w:rPr>
              <w:t>) 2018/822 на Съвета</w:t>
            </w:r>
          </w:p>
        </w:tc>
        <w:tc>
          <w:tcPr>
            <w:tcW w:w="3945" w:type="dxa"/>
            <w:vAlign w:val="bottom"/>
          </w:tcPr>
          <w:p>
            <w:pPr>
              <w:widowControl w:val="0"/>
              <w:tabs>
                <w:tab w:val="left" w:pos="-720"/>
                <w:tab w:val="center" w:pos="7344"/>
              </w:tabs>
              <w:suppressAutoHyphens/>
              <w:spacing w:before="0" w:after="240"/>
              <w:jc w:val="left"/>
              <w:rPr>
                <w:rFonts w:eastAsia="Times New Roman"/>
                <w:noProof/>
                <w:lang w:eastAsia="fr-BE"/>
              </w:rPr>
            </w:pPr>
            <w:r>
              <w:rPr>
                <w:rFonts w:eastAsia="Times New Roman"/>
                <w:noProof/>
              </w:rPr>
              <w:t>(</w:t>
            </w:r>
            <w:r>
              <w:rPr>
                <w:rFonts w:eastAsia="Times New Roman"/>
                <w:noProof/>
                <w:lang w:val="en-GB"/>
              </w:rPr>
              <w:t>OB</w:t>
            </w:r>
            <w:r>
              <w:rPr>
                <w:rFonts w:eastAsia="Times New Roman"/>
                <w:noProof/>
              </w:rPr>
              <w:t xml:space="preserve"> L 139, 5.6.2018</w:t>
            </w:r>
            <w:r>
              <w:rPr>
                <w:noProof/>
              </w:rPr>
              <w:t xml:space="preserve"> </w:t>
            </w:r>
            <w:r>
              <w:rPr>
                <w:rFonts w:eastAsia="Times New Roman"/>
                <w:noProof/>
              </w:rPr>
              <w:t>г., стр. 1)</w:t>
            </w:r>
          </w:p>
        </w:tc>
      </w:tr>
    </w:tbl>
    <w:p>
      <w:pPr>
        <w:jc w:val="center"/>
        <w:rPr>
          <w:rFonts w:eastAsia="Calibri"/>
          <w:b/>
          <w:noProof/>
          <w:lang w:eastAsia="fr-FR"/>
        </w:rPr>
      </w:pPr>
      <w:r>
        <w:rPr>
          <w:b/>
          <w:bCs/>
          <w:noProof/>
          <w:lang w:val="ru-RU"/>
        </w:rPr>
        <w:t>Част Б</w:t>
      </w:r>
    </w:p>
    <w:p>
      <w:pPr>
        <w:keepNext/>
        <w:keepLines/>
        <w:tabs>
          <w:tab w:val="right" w:pos="9600"/>
        </w:tabs>
        <w:spacing w:line="218" w:lineRule="auto"/>
        <w:jc w:val="center"/>
        <w:rPr>
          <w:bCs/>
          <w:noProof/>
          <w:snapToGrid w:val="0"/>
          <w:lang w:val="ru-RU"/>
        </w:rPr>
      </w:pPr>
      <w:r>
        <w:rPr>
          <w:bCs/>
          <w:noProof/>
        </w:rPr>
        <w:t>Срокове за транспониране в националното законодателство и дати на прилагане</w:t>
      </w:r>
      <w:r>
        <w:rPr>
          <w:rFonts w:eastAsia="Calibri"/>
          <w:noProof/>
          <w:lang w:val="ru-RU" w:eastAsia="fr-FR"/>
        </w:rPr>
        <w:br/>
      </w:r>
      <w:r>
        <w:rPr>
          <w:bCs/>
          <w:noProof/>
          <w:snapToGrid w:val="0"/>
        </w:rPr>
        <w:t>(посочени в член</w:t>
      </w:r>
      <w:r>
        <w:rPr>
          <w:rFonts w:eastAsia="Times New Roman"/>
          <w:noProof/>
          <w:szCs w:val="24"/>
          <w:lang w:val="ru-RU" w:eastAsia="fr-FR"/>
        </w:rPr>
        <w:t xml:space="preserve"> 35</w:t>
      </w:r>
      <w:r>
        <w:rPr>
          <w:bCs/>
          <w:noProof/>
          <w:snapToGrid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1"/>
      </w:tblGrid>
      <w:tr>
        <w:tc>
          <w:tcPr>
            <w:tcW w:w="3071" w:type="dxa"/>
            <w:tcBorders>
              <w:top w:val="single" w:sz="4" w:space="0" w:color="auto"/>
              <w:bottom w:val="single" w:sz="4" w:space="0" w:color="auto"/>
              <w:right w:val="single" w:sz="4" w:space="0" w:color="auto"/>
            </w:tcBorders>
          </w:tcPr>
          <w:p>
            <w:pPr>
              <w:jc w:val="center"/>
              <w:rPr>
                <w:b/>
                <w:noProof/>
              </w:rPr>
            </w:pPr>
            <w:r>
              <w:rPr>
                <w:b/>
                <w:bCs/>
                <w:noProof/>
                <w:snapToGrid w:val="0"/>
              </w:rPr>
              <w:t>Директива</w:t>
            </w:r>
          </w:p>
        </w:tc>
        <w:tc>
          <w:tcPr>
            <w:tcW w:w="3071" w:type="dxa"/>
            <w:tcBorders>
              <w:top w:val="single" w:sz="4" w:space="0" w:color="auto"/>
              <w:left w:val="single" w:sz="4" w:space="0" w:color="auto"/>
              <w:bottom w:val="single" w:sz="4" w:space="0" w:color="auto"/>
              <w:right w:val="single" w:sz="4" w:space="0" w:color="auto"/>
            </w:tcBorders>
          </w:tcPr>
          <w:p>
            <w:pPr>
              <w:jc w:val="center"/>
              <w:rPr>
                <w:b/>
                <w:noProof/>
              </w:rPr>
            </w:pPr>
            <w:r>
              <w:rPr>
                <w:b/>
                <w:bCs/>
                <w:noProof/>
                <w:snapToGrid w:val="0"/>
              </w:rPr>
              <w:t>Срок за транспониране</w:t>
            </w:r>
          </w:p>
        </w:tc>
        <w:tc>
          <w:tcPr>
            <w:tcW w:w="3071" w:type="dxa"/>
            <w:tcBorders>
              <w:top w:val="single" w:sz="4" w:space="0" w:color="auto"/>
              <w:left w:val="single" w:sz="4" w:space="0" w:color="auto"/>
              <w:bottom w:val="single" w:sz="4" w:space="0" w:color="auto"/>
            </w:tcBorders>
          </w:tcPr>
          <w:p>
            <w:pPr>
              <w:jc w:val="center"/>
              <w:rPr>
                <w:b/>
                <w:noProof/>
              </w:rPr>
            </w:pPr>
            <w:r>
              <w:rPr>
                <w:b/>
                <w:bCs/>
                <w:noProof/>
              </w:rPr>
              <w:t>Дата на прилагане</w:t>
            </w:r>
          </w:p>
        </w:tc>
      </w:tr>
      <w:tr>
        <w:tc>
          <w:tcPr>
            <w:tcW w:w="3071" w:type="dxa"/>
            <w:tcBorders>
              <w:top w:val="single" w:sz="4" w:space="0" w:color="auto"/>
              <w:right w:val="single" w:sz="4" w:space="0" w:color="auto"/>
            </w:tcBorders>
          </w:tcPr>
          <w:p>
            <w:pPr>
              <w:jc w:val="center"/>
              <w:rPr>
                <w:noProof/>
              </w:rPr>
            </w:pPr>
            <w:r>
              <w:rPr>
                <w:bCs/>
                <w:noProof/>
                <w:snapToGrid w:val="0"/>
              </w:rPr>
              <w:t>Директива</w:t>
            </w:r>
            <w:r>
              <w:rPr>
                <w:noProof/>
              </w:rPr>
              <w:t xml:space="preserve"> 2011/16/E</w:t>
            </w:r>
            <w:r>
              <w:rPr>
                <w:noProof/>
                <w:lang w:val="en-GB"/>
              </w:rPr>
              <w:t>C</w:t>
            </w:r>
          </w:p>
        </w:tc>
        <w:tc>
          <w:tcPr>
            <w:tcW w:w="3071" w:type="dxa"/>
            <w:tcBorders>
              <w:top w:val="single" w:sz="4" w:space="0" w:color="auto"/>
              <w:left w:val="single" w:sz="4" w:space="0" w:color="auto"/>
              <w:right w:val="single" w:sz="4" w:space="0" w:color="auto"/>
            </w:tcBorders>
          </w:tcPr>
          <w:p>
            <w:pPr>
              <w:jc w:val="center"/>
              <w:rPr>
                <w:noProof/>
              </w:rPr>
            </w:pPr>
            <w:r>
              <w:rPr>
                <w:noProof/>
              </w:rPr>
              <w:t xml:space="preserve">1 </w:t>
            </w:r>
            <w:r>
              <w:rPr>
                <w:rFonts w:eastAsia="Calibri"/>
                <w:noProof/>
                <w:lang w:eastAsia="fr-FR"/>
              </w:rPr>
              <w:t>януари</w:t>
            </w:r>
            <w:r>
              <w:rPr>
                <w:noProof/>
              </w:rPr>
              <w:t xml:space="preserve"> 2013</w:t>
            </w:r>
            <w:r>
              <w:rPr>
                <w:noProof/>
                <w:lang w:val="en-GB"/>
              </w:rPr>
              <w:t xml:space="preserve"> г.</w:t>
            </w:r>
          </w:p>
        </w:tc>
        <w:tc>
          <w:tcPr>
            <w:tcW w:w="3071" w:type="dxa"/>
            <w:tcBorders>
              <w:top w:val="single" w:sz="4" w:space="0" w:color="auto"/>
              <w:left w:val="single" w:sz="4" w:space="0" w:color="auto"/>
            </w:tcBorders>
          </w:tcPr>
          <w:p>
            <w:pPr>
              <w:jc w:val="center"/>
              <w:rPr>
                <w:noProof/>
              </w:rPr>
            </w:pPr>
          </w:p>
        </w:tc>
      </w:tr>
      <w:tr>
        <w:tc>
          <w:tcPr>
            <w:tcW w:w="3071" w:type="dxa"/>
            <w:tcBorders>
              <w:right w:val="single" w:sz="4" w:space="0" w:color="auto"/>
            </w:tcBorders>
          </w:tcPr>
          <w:p>
            <w:pPr>
              <w:jc w:val="center"/>
              <w:rPr>
                <w:noProof/>
              </w:rPr>
            </w:pPr>
          </w:p>
        </w:tc>
        <w:tc>
          <w:tcPr>
            <w:tcW w:w="3071" w:type="dxa"/>
            <w:tcBorders>
              <w:left w:val="single" w:sz="4" w:space="0" w:color="auto"/>
              <w:right w:val="single" w:sz="4" w:space="0" w:color="auto"/>
            </w:tcBorders>
          </w:tcPr>
          <w:p>
            <w:pPr>
              <w:jc w:val="center"/>
              <w:rPr>
                <w:noProof/>
              </w:rPr>
            </w:pPr>
            <w:r>
              <w:rPr>
                <w:noProof/>
                <w:szCs w:val="20"/>
              </w:rPr>
              <w:t>(1 януари 2015 г. по отношение на член 8)</w:t>
            </w:r>
          </w:p>
        </w:tc>
        <w:tc>
          <w:tcPr>
            <w:tcW w:w="3071" w:type="dxa"/>
            <w:tcBorders>
              <w:left w:val="single" w:sz="4" w:space="0" w:color="auto"/>
            </w:tcBorders>
          </w:tcPr>
          <w:p>
            <w:pPr>
              <w:jc w:val="center"/>
              <w:rPr>
                <w:noProof/>
              </w:rPr>
            </w:pPr>
          </w:p>
        </w:tc>
      </w:tr>
      <w:tr>
        <w:tc>
          <w:tcPr>
            <w:tcW w:w="3071" w:type="dxa"/>
            <w:tcBorders>
              <w:right w:val="single" w:sz="4" w:space="0" w:color="auto"/>
            </w:tcBorders>
          </w:tcPr>
          <w:p>
            <w:pPr>
              <w:jc w:val="center"/>
              <w:rPr>
                <w:noProof/>
              </w:rPr>
            </w:pPr>
            <w:r>
              <w:rPr>
                <w:bCs/>
                <w:noProof/>
                <w:snapToGrid w:val="0"/>
              </w:rPr>
              <w:t>Директива</w:t>
            </w:r>
            <w:r>
              <w:rPr>
                <w:noProof/>
              </w:rPr>
              <w:t xml:space="preserve"> 2014/107/E</w:t>
            </w:r>
            <w:r>
              <w:rPr>
                <w:noProof/>
                <w:lang w:val="en-GB"/>
              </w:rPr>
              <w:t>C</w:t>
            </w:r>
          </w:p>
        </w:tc>
        <w:tc>
          <w:tcPr>
            <w:tcW w:w="3071" w:type="dxa"/>
            <w:tcBorders>
              <w:left w:val="single" w:sz="4" w:space="0" w:color="auto"/>
              <w:right w:val="single" w:sz="4" w:space="0" w:color="auto"/>
            </w:tcBorders>
          </w:tcPr>
          <w:p>
            <w:pPr>
              <w:jc w:val="center"/>
              <w:rPr>
                <w:noProof/>
              </w:rPr>
            </w:pPr>
            <w:r>
              <w:rPr>
                <w:noProof/>
              </w:rPr>
              <w:t xml:space="preserve">31 </w:t>
            </w:r>
            <w:r>
              <w:rPr>
                <w:rFonts w:eastAsia="Calibri"/>
                <w:noProof/>
                <w:lang w:eastAsia="fr-FR"/>
              </w:rPr>
              <w:t>декември</w:t>
            </w:r>
            <w:r>
              <w:rPr>
                <w:noProof/>
              </w:rPr>
              <w:t xml:space="preserve"> 2015</w:t>
            </w:r>
            <w:r>
              <w:rPr>
                <w:noProof/>
                <w:lang w:val="en-GB"/>
              </w:rPr>
              <w:t xml:space="preserve"> г.</w:t>
            </w:r>
          </w:p>
        </w:tc>
        <w:tc>
          <w:tcPr>
            <w:tcW w:w="3071" w:type="dxa"/>
            <w:tcBorders>
              <w:left w:val="single" w:sz="4" w:space="0" w:color="auto"/>
            </w:tcBorders>
          </w:tcPr>
          <w:p>
            <w:pPr>
              <w:jc w:val="center"/>
              <w:rPr>
                <w:noProof/>
              </w:rPr>
            </w:pPr>
            <w:r>
              <w:rPr>
                <w:noProof/>
              </w:rPr>
              <w:t xml:space="preserve">1 </w:t>
            </w:r>
            <w:r>
              <w:rPr>
                <w:rFonts w:eastAsia="Calibri"/>
                <w:noProof/>
                <w:lang w:eastAsia="fr-FR"/>
              </w:rPr>
              <w:t>януари</w:t>
            </w:r>
            <w:r>
              <w:rPr>
                <w:noProof/>
              </w:rPr>
              <w:t xml:space="preserve"> 2016</w:t>
            </w:r>
            <w:r>
              <w:rPr>
                <w:noProof/>
                <w:lang w:val="en-GB"/>
              </w:rPr>
              <w:t xml:space="preserve"> г.</w:t>
            </w:r>
          </w:p>
        </w:tc>
      </w:tr>
      <w:tr>
        <w:tc>
          <w:tcPr>
            <w:tcW w:w="3071" w:type="dxa"/>
            <w:tcBorders>
              <w:right w:val="single" w:sz="4" w:space="0" w:color="auto"/>
            </w:tcBorders>
          </w:tcPr>
          <w:p>
            <w:pPr>
              <w:jc w:val="center"/>
              <w:rPr>
                <w:noProof/>
              </w:rPr>
            </w:pPr>
          </w:p>
        </w:tc>
        <w:tc>
          <w:tcPr>
            <w:tcW w:w="3071" w:type="dxa"/>
            <w:tcBorders>
              <w:left w:val="single" w:sz="4" w:space="0" w:color="auto"/>
              <w:right w:val="single" w:sz="4" w:space="0" w:color="auto"/>
            </w:tcBorders>
          </w:tcPr>
          <w:p>
            <w:pPr>
              <w:jc w:val="center"/>
              <w:rPr>
                <w:noProof/>
              </w:rPr>
            </w:pPr>
          </w:p>
        </w:tc>
        <w:tc>
          <w:tcPr>
            <w:tcW w:w="3071" w:type="dxa"/>
            <w:tcBorders>
              <w:left w:val="single" w:sz="4" w:space="0" w:color="auto"/>
            </w:tcBorders>
          </w:tcPr>
          <w:p>
            <w:pPr>
              <w:jc w:val="center"/>
              <w:rPr>
                <w:noProof/>
              </w:rPr>
            </w:pPr>
            <w:r>
              <w:rPr>
                <w:noProof/>
              </w:rPr>
              <w:t xml:space="preserve">(1 </w:t>
            </w:r>
            <w:r>
              <w:rPr>
                <w:rFonts w:eastAsia="Calibri"/>
                <w:noProof/>
                <w:lang w:eastAsia="fr-FR"/>
              </w:rPr>
              <w:t>януари</w:t>
            </w:r>
            <w:r>
              <w:rPr>
                <w:noProof/>
              </w:rPr>
              <w:t xml:space="preserve"> 2017 г. </w:t>
            </w:r>
            <w:r>
              <w:rPr>
                <w:noProof/>
                <w:szCs w:val="20"/>
              </w:rPr>
              <w:t>по отношение на Австрия</w:t>
            </w:r>
            <w:r>
              <w:rPr>
                <w:noProof/>
              </w:rPr>
              <w:t>)</w:t>
            </w:r>
          </w:p>
        </w:tc>
      </w:tr>
      <w:tr>
        <w:tc>
          <w:tcPr>
            <w:tcW w:w="3071" w:type="dxa"/>
            <w:tcBorders>
              <w:right w:val="single" w:sz="4" w:space="0" w:color="auto"/>
            </w:tcBorders>
          </w:tcPr>
          <w:p>
            <w:pPr>
              <w:jc w:val="center"/>
              <w:rPr>
                <w:noProof/>
              </w:rPr>
            </w:pPr>
            <w:r>
              <w:rPr>
                <w:bCs/>
                <w:noProof/>
                <w:snapToGrid w:val="0"/>
              </w:rPr>
              <w:t>Директива</w:t>
            </w:r>
            <w:r>
              <w:rPr>
                <w:noProof/>
              </w:rPr>
              <w:t xml:space="preserve"> (E</w:t>
            </w:r>
            <w:r>
              <w:rPr>
                <w:noProof/>
                <w:lang w:val="en-GB"/>
              </w:rPr>
              <w:t>C</w:t>
            </w:r>
            <w:r>
              <w:rPr>
                <w:noProof/>
              </w:rPr>
              <w:t>) 2015/2376</w:t>
            </w:r>
          </w:p>
        </w:tc>
        <w:tc>
          <w:tcPr>
            <w:tcW w:w="3071" w:type="dxa"/>
            <w:tcBorders>
              <w:left w:val="single" w:sz="4" w:space="0" w:color="auto"/>
              <w:right w:val="single" w:sz="4" w:space="0" w:color="auto"/>
            </w:tcBorders>
          </w:tcPr>
          <w:p>
            <w:pPr>
              <w:jc w:val="center"/>
              <w:rPr>
                <w:noProof/>
              </w:rPr>
            </w:pPr>
            <w:r>
              <w:rPr>
                <w:noProof/>
              </w:rPr>
              <w:t xml:space="preserve">31 </w:t>
            </w:r>
            <w:r>
              <w:rPr>
                <w:rFonts w:eastAsia="Calibri"/>
                <w:noProof/>
                <w:lang w:eastAsia="fr-FR"/>
              </w:rPr>
              <w:t>декември</w:t>
            </w:r>
            <w:r>
              <w:rPr>
                <w:noProof/>
              </w:rPr>
              <w:t xml:space="preserve"> 2016</w:t>
            </w:r>
            <w:r>
              <w:rPr>
                <w:noProof/>
                <w:lang w:val="en-GB"/>
              </w:rPr>
              <w:t xml:space="preserve"> г.</w:t>
            </w:r>
          </w:p>
        </w:tc>
        <w:tc>
          <w:tcPr>
            <w:tcW w:w="3071" w:type="dxa"/>
            <w:tcBorders>
              <w:left w:val="single" w:sz="4" w:space="0" w:color="auto"/>
            </w:tcBorders>
          </w:tcPr>
          <w:p>
            <w:pPr>
              <w:jc w:val="center"/>
              <w:rPr>
                <w:noProof/>
              </w:rPr>
            </w:pPr>
            <w:r>
              <w:rPr>
                <w:noProof/>
              </w:rPr>
              <w:t xml:space="preserve">1 </w:t>
            </w:r>
            <w:r>
              <w:rPr>
                <w:rFonts w:eastAsia="Calibri"/>
                <w:noProof/>
                <w:lang w:eastAsia="fr-FR"/>
              </w:rPr>
              <w:t>януари</w:t>
            </w:r>
            <w:r>
              <w:rPr>
                <w:noProof/>
              </w:rPr>
              <w:t xml:space="preserve"> 2017</w:t>
            </w:r>
            <w:r>
              <w:rPr>
                <w:noProof/>
                <w:lang w:val="en-GB"/>
              </w:rPr>
              <w:t xml:space="preserve"> г.</w:t>
            </w:r>
          </w:p>
        </w:tc>
      </w:tr>
      <w:tr>
        <w:tc>
          <w:tcPr>
            <w:tcW w:w="3071" w:type="dxa"/>
            <w:tcBorders>
              <w:right w:val="single" w:sz="4" w:space="0" w:color="auto"/>
            </w:tcBorders>
          </w:tcPr>
          <w:p>
            <w:pPr>
              <w:jc w:val="center"/>
              <w:rPr>
                <w:noProof/>
              </w:rPr>
            </w:pPr>
            <w:r>
              <w:rPr>
                <w:bCs/>
                <w:noProof/>
                <w:snapToGrid w:val="0"/>
              </w:rPr>
              <w:t>Директива</w:t>
            </w:r>
            <w:r>
              <w:rPr>
                <w:noProof/>
              </w:rPr>
              <w:t xml:space="preserve"> (E</w:t>
            </w:r>
            <w:r>
              <w:rPr>
                <w:noProof/>
                <w:lang w:val="en-GB"/>
              </w:rPr>
              <w:t>C</w:t>
            </w:r>
            <w:r>
              <w:rPr>
                <w:noProof/>
              </w:rPr>
              <w:t>) 2016/881</w:t>
            </w:r>
          </w:p>
        </w:tc>
        <w:tc>
          <w:tcPr>
            <w:tcW w:w="3071" w:type="dxa"/>
            <w:tcBorders>
              <w:left w:val="single" w:sz="4" w:space="0" w:color="auto"/>
              <w:right w:val="single" w:sz="4" w:space="0" w:color="auto"/>
            </w:tcBorders>
          </w:tcPr>
          <w:p>
            <w:pPr>
              <w:jc w:val="center"/>
              <w:rPr>
                <w:noProof/>
              </w:rPr>
            </w:pPr>
            <w:r>
              <w:rPr>
                <w:noProof/>
              </w:rPr>
              <w:t>4 юни 2017</w:t>
            </w:r>
            <w:r>
              <w:rPr>
                <w:noProof/>
                <w:lang w:val="en-GB"/>
              </w:rPr>
              <w:t xml:space="preserve"> г.</w:t>
            </w:r>
          </w:p>
        </w:tc>
        <w:tc>
          <w:tcPr>
            <w:tcW w:w="3071" w:type="dxa"/>
            <w:tcBorders>
              <w:left w:val="single" w:sz="4" w:space="0" w:color="auto"/>
            </w:tcBorders>
          </w:tcPr>
          <w:p>
            <w:pPr>
              <w:jc w:val="center"/>
              <w:rPr>
                <w:noProof/>
              </w:rPr>
            </w:pPr>
            <w:r>
              <w:rPr>
                <w:noProof/>
              </w:rPr>
              <w:t>5 юни</w:t>
            </w:r>
            <w:r>
              <w:rPr>
                <w:noProof/>
                <w:lang w:val="en-GB"/>
              </w:rPr>
              <w:t xml:space="preserve"> </w:t>
            </w:r>
            <w:r>
              <w:rPr>
                <w:noProof/>
              </w:rPr>
              <w:t>2017</w:t>
            </w:r>
            <w:r>
              <w:rPr>
                <w:noProof/>
                <w:lang w:val="en-GB"/>
              </w:rPr>
              <w:t xml:space="preserve"> г.</w:t>
            </w:r>
          </w:p>
        </w:tc>
      </w:tr>
      <w:tr>
        <w:tc>
          <w:tcPr>
            <w:tcW w:w="3071" w:type="dxa"/>
            <w:tcBorders>
              <w:right w:val="single" w:sz="4" w:space="0" w:color="auto"/>
            </w:tcBorders>
          </w:tcPr>
          <w:p>
            <w:pPr>
              <w:jc w:val="center"/>
              <w:rPr>
                <w:noProof/>
              </w:rPr>
            </w:pPr>
            <w:r>
              <w:rPr>
                <w:bCs/>
                <w:noProof/>
                <w:snapToGrid w:val="0"/>
              </w:rPr>
              <w:t>Директива</w:t>
            </w:r>
            <w:r>
              <w:rPr>
                <w:noProof/>
              </w:rPr>
              <w:t xml:space="preserve"> (E</w:t>
            </w:r>
            <w:r>
              <w:rPr>
                <w:noProof/>
                <w:lang w:val="en-GB"/>
              </w:rPr>
              <w:t>C</w:t>
            </w:r>
            <w:r>
              <w:rPr>
                <w:noProof/>
              </w:rPr>
              <w:t>) 2016/2258</w:t>
            </w:r>
          </w:p>
        </w:tc>
        <w:tc>
          <w:tcPr>
            <w:tcW w:w="3071" w:type="dxa"/>
            <w:tcBorders>
              <w:left w:val="single" w:sz="4" w:space="0" w:color="auto"/>
              <w:right w:val="single" w:sz="4" w:space="0" w:color="auto"/>
            </w:tcBorders>
          </w:tcPr>
          <w:p>
            <w:pPr>
              <w:jc w:val="center"/>
              <w:rPr>
                <w:noProof/>
              </w:rPr>
            </w:pPr>
            <w:r>
              <w:rPr>
                <w:noProof/>
              </w:rPr>
              <w:t xml:space="preserve">31 </w:t>
            </w:r>
            <w:r>
              <w:rPr>
                <w:rFonts w:eastAsia="Calibri"/>
                <w:noProof/>
                <w:lang w:eastAsia="fr-FR"/>
              </w:rPr>
              <w:t>декември</w:t>
            </w:r>
            <w:r>
              <w:rPr>
                <w:noProof/>
              </w:rPr>
              <w:t xml:space="preserve"> 2017</w:t>
            </w:r>
            <w:r>
              <w:rPr>
                <w:noProof/>
                <w:lang w:val="en-GB"/>
              </w:rPr>
              <w:t xml:space="preserve"> г.</w:t>
            </w:r>
          </w:p>
        </w:tc>
        <w:tc>
          <w:tcPr>
            <w:tcW w:w="3071" w:type="dxa"/>
            <w:tcBorders>
              <w:left w:val="single" w:sz="4" w:space="0" w:color="auto"/>
            </w:tcBorders>
          </w:tcPr>
          <w:p>
            <w:pPr>
              <w:jc w:val="center"/>
              <w:rPr>
                <w:noProof/>
              </w:rPr>
            </w:pPr>
            <w:r>
              <w:rPr>
                <w:noProof/>
              </w:rPr>
              <w:t xml:space="preserve">1 </w:t>
            </w:r>
            <w:r>
              <w:rPr>
                <w:rFonts w:eastAsia="Calibri"/>
                <w:noProof/>
                <w:lang w:eastAsia="fr-FR"/>
              </w:rPr>
              <w:t>януари</w:t>
            </w:r>
            <w:r>
              <w:rPr>
                <w:noProof/>
              </w:rPr>
              <w:t xml:space="preserve"> 2018</w:t>
            </w:r>
            <w:r>
              <w:rPr>
                <w:noProof/>
                <w:lang w:val="en-GB"/>
              </w:rPr>
              <w:t xml:space="preserve"> г.</w:t>
            </w:r>
          </w:p>
        </w:tc>
      </w:tr>
      <w:tr>
        <w:tc>
          <w:tcPr>
            <w:tcW w:w="3071" w:type="dxa"/>
            <w:tcBorders>
              <w:right w:val="single" w:sz="4" w:space="0" w:color="auto"/>
            </w:tcBorders>
          </w:tcPr>
          <w:p>
            <w:pPr>
              <w:jc w:val="center"/>
              <w:rPr>
                <w:noProof/>
              </w:rPr>
            </w:pPr>
            <w:r>
              <w:rPr>
                <w:bCs/>
                <w:noProof/>
                <w:snapToGrid w:val="0"/>
              </w:rPr>
              <w:t>Директива</w:t>
            </w:r>
            <w:r>
              <w:rPr>
                <w:noProof/>
              </w:rPr>
              <w:t xml:space="preserve"> (E</w:t>
            </w:r>
            <w:r>
              <w:rPr>
                <w:noProof/>
                <w:lang w:val="en-GB"/>
              </w:rPr>
              <w:t>C</w:t>
            </w:r>
            <w:r>
              <w:rPr>
                <w:noProof/>
              </w:rPr>
              <w:t>) 2018/822</w:t>
            </w:r>
          </w:p>
        </w:tc>
        <w:tc>
          <w:tcPr>
            <w:tcW w:w="3071" w:type="dxa"/>
            <w:tcBorders>
              <w:left w:val="single" w:sz="4" w:space="0" w:color="auto"/>
              <w:right w:val="single" w:sz="4" w:space="0" w:color="auto"/>
            </w:tcBorders>
          </w:tcPr>
          <w:p>
            <w:pPr>
              <w:jc w:val="center"/>
              <w:rPr>
                <w:noProof/>
              </w:rPr>
            </w:pPr>
            <w:r>
              <w:rPr>
                <w:noProof/>
              </w:rPr>
              <w:t xml:space="preserve">31 </w:t>
            </w:r>
            <w:r>
              <w:rPr>
                <w:rFonts w:eastAsia="Calibri"/>
                <w:noProof/>
                <w:lang w:eastAsia="fr-FR"/>
              </w:rPr>
              <w:t>декември</w:t>
            </w:r>
            <w:r>
              <w:rPr>
                <w:noProof/>
              </w:rPr>
              <w:t xml:space="preserve"> 2019</w:t>
            </w:r>
            <w:r>
              <w:rPr>
                <w:noProof/>
                <w:lang w:val="en-GB"/>
              </w:rPr>
              <w:t xml:space="preserve"> г.</w:t>
            </w:r>
          </w:p>
        </w:tc>
        <w:tc>
          <w:tcPr>
            <w:tcW w:w="3071" w:type="dxa"/>
            <w:tcBorders>
              <w:left w:val="single" w:sz="4" w:space="0" w:color="auto"/>
            </w:tcBorders>
          </w:tcPr>
          <w:p>
            <w:pPr>
              <w:jc w:val="center"/>
              <w:rPr>
                <w:noProof/>
              </w:rPr>
            </w:pPr>
            <w:r>
              <w:rPr>
                <w:noProof/>
              </w:rPr>
              <w:t xml:space="preserve">1 </w:t>
            </w:r>
            <w:r>
              <w:rPr>
                <w:rFonts w:eastAsia="Calibri"/>
                <w:noProof/>
                <w:lang w:eastAsia="fr-FR"/>
              </w:rPr>
              <w:t>юли</w:t>
            </w:r>
            <w:r>
              <w:rPr>
                <w:noProof/>
              </w:rPr>
              <w:t xml:space="preserve"> 2020</w:t>
            </w:r>
            <w:r>
              <w:rPr>
                <w:noProof/>
                <w:lang w:val="en-GB"/>
              </w:rPr>
              <w:t xml:space="preserve"> г.</w:t>
            </w:r>
          </w:p>
        </w:tc>
      </w:tr>
    </w:tbl>
    <w:p>
      <w:pPr>
        <w:jc w:val="center"/>
        <w:rPr>
          <w:noProof/>
        </w:rPr>
      </w:pPr>
      <w:r>
        <w:rPr>
          <w:noProof/>
        </w:rPr>
        <w:t>_____________</w:t>
      </w:r>
    </w:p>
    <w:p>
      <w:pPr>
        <w:rPr>
          <w:noProof/>
        </w:rPr>
        <w:sectPr>
          <w:pgSz w:w="11907" w:h="16839"/>
          <w:pgMar w:top="1134" w:right="1417" w:bottom="1134" w:left="1417" w:header="709" w:footer="709" w:gutter="0"/>
          <w:cols w:space="720"/>
          <w:docGrid w:linePitch="360"/>
        </w:sectPr>
      </w:pPr>
    </w:p>
    <w:p>
      <w:pPr>
        <w:pStyle w:val="Annexetitre"/>
        <w:rPr>
          <w:noProof/>
          <w:lang w:val="en-IE"/>
        </w:rPr>
      </w:pPr>
      <w:r>
        <w:rPr>
          <w:noProof/>
          <w:color w:val="000000" w:themeColor="text1"/>
        </w:rPr>
        <w:t xml:space="preserve">ПРИЛОЖЕНИЕ </w:t>
      </w:r>
      <w:r>
        <w:rPr>
          <w:noProof/>
        </w:rPr>
        <w:t>V</w:t>
      </w:r>
      <w:r>
        <w:rPr>
          <w:noProof/>
          <w:lang w:val="en-IE"/>
        </w:rPr>
        <w:t>I</w:t>
      </w:r>
    </w:p>
    <w:p>
      <w:pPr>
        <w:spacing w:before="360"/>
        <w:jc w:val="center"/>
        <w:rPr>
          <w:rFonts w:eastAsia="Times New Roman"/>
          <w:b/>
          <w:smallCaps/>
          <w:noProof/>
          <w:szCs w:val="20"/>
        </w:rPr>
      </w:pPr>
      <w:r>
        <w:rPr>
          <w:rFonts w:eastAsia="Times New Roman"/>
          <w:b/>
          <w:smallCaps/>
          <w:noProof/>
          <w:szCs w:val="20"/>
        </w:rPr>
        <w:t>Таблица на съответствието</w:t>
      </w:r>
    </w:p>
    <w:tbl>
      <w:tblPr>
        <w:tblW w:w="0" w:type="auto"/>
        <w:tblLook w:val="04A0" w:firstRow="1" w:lastRow="0" w:firstColumn="1" w:lastColumn="0" w:noHBand="0" w:noVBand="1"/>
      </w:tblPr>
      <w:tblGrid>
        <w:gridCol w:w="4643"/>
        <w:gridCol w:w="4643"/>
      </w:tblGrid>
      <w:tr>
        <w:tc>
          <w:tcPr>
            <w:tcW w:w="4643" w:type="dxa"/>
            <w:tcBorders>
              <w:top w:val="single" w:sz="4" w:space="0" w:color="auto"/>
              <w:bottom w:val="single" w:sz="4" w:space="0" w:color="auto"/>
              <w:right w:val="single" w:sz="4" w:space="0" w:color="auto"/>
            </w:tcBorders>
          </w:tcPr>
          <w:p>
            <w:pPr>
              <w:jc w:val="center"/>
              <w:outlineLvl w:val="0"/>
              <w:rPr>
                <w:rFonts w:eastAsia="Times New Roman"/>
                <w:noProof/>
                <w:szCs w:val="20"/>
              </w:rPr>
            </w:pPr>
            <w:r>
              <w:rPr>
                <w:bCs/>
                <w:noProof/>
                <w:snapToGrid w:val="0"/>
              </w:rPr>
              <w:t>Директива</w:t>
            </w:r>
            <w:r>
              <w:rPr>
                <w:rFonts w:eastAsia="Times New Roman"/>
                <w:noProof/>
                <w:szCs w:val="20"/>
              </w:rPr>
              <w:t xml:space="preserve"> 2011/16/E</w:t>
            </w:r>
            <w:r>
              <w:rPr>
                <w:rFonts w:eastAsia="Times New Roman"/>
                <w:noProof/>
                <w:szCs w:val="20"/>
                <w:lang w:val="en-GB"/>
              </w:rPr>
              <w:t>C</w:t>
            </w:r>
          </w:p>
        </w:tc>
        <w:tc>
          <w:tcPr>
            <w:tcW w:w="4643" w:type="dxa"/>
            <w:tcBorders>
              <w:top w:val="single" w:sz="4" w:space="0" w:color="auto"/>
              <w:left w:val="single" w:sz="4" w:space="0" w:color="auto"/>
              <w:bottom w:val="single" w:sz="4" w:space="0" w:color="auto"/>
            </w:tcBorders>
          </w:tcPr>
          <w:p>
            <w:pPr>
              <w:jc w:val="center"/>
              <w:outlineLvl w:val="0"/>
              <w:rPr>
                <w:rFonts w:eastAsia="Times New Roman"/>
                <w:noProof/>
                <w:szCs w:val="20"/>
              </w:rPr>
            </w:pPr>
            <w:r>
              <w:rPr>
                <w:rFonts w:eastAsia="Times New Roman"/>
                <w:noProof/>
                <w:szCs w:val="20"/>
              </w:rPr>
              <w:t>Настоящата директива</w:t>
            </w:r>
          </w:p>
        </w:tc>
      </w:tr>
      <w:tr>
        <w:tc>
          <w:tcPr>
            <w:tcW w:w="4643" w:type="dxa"/>
            <w:tcBorders>
              <w:top w:val="single" w:sz="4" w:space="0" w:color="auto"/>
              <w:right w:val="single" w:sz="4" w:space="0" w:color="auto"/>
            </w:tcBorders>
          </w:tcPr>
          <w:p>
            <w:pPr>
              <w:outlineLvl w:val="0"/>
              <w:rPr>
                <w:rFonts w:eastAsia="Times New Roman"/>
                <w:noProof/>
                <w:szCs w:val="20"/>
              </w:rPr>
            </w:pPr>
            <w:r>
              <w:rPr>
                <w:rFonts w:eastAsia="Times New Roman"/>
                <w:noProof/>
                <w:szCs w:val="24"/>
              </w:rPr>
              <w:t>Членове</w:t>
            </w:r>
            <w:r>
              <w:rPr>
                <w:rFonts w:eastAsia="Times New Roman"/>
                <w:noProof/>
              </w:rPr>
              <w:t xml:space="preserve"> </w:t>
            </w:r>
            <w:r>
              <w:rPr>
                <w:rFonts w:eastAsia="Times New Roman"/>
                <w:noProof/>
                <w:lang w:val="en-GB"/>
              </w:rPr>
              <w:t xml:space="preserve">1 </w:t>
            </w:r>
            <w:r>
              <w:rPr>
                <w:rFonts w:eastAsia="Times New Roman"/>
                <w:noProof/>
              </w:rPr>
              <w:t xml:space="preserve">до </w:t>
            </w:r>
            <w:r>
              <w:rPr>
                <w:rFonts w:eastAsia="Times New Roman"/>
                <w:noProof/>
                <w:lang w:val="en-GB"/>
              </w:rPr>
              <w:t>7</w:t>
            </w:r>
          </w:p>
        </w:tc>
        <w:tc>
          <w:tcPr>
            <w:tcW w:w="4643" w:type="dxa"/>
            <w:tcBorders>
              <w:top w:val="single" w:sz="4" w:space="0" w:color="auto"/>
              <w:left w:val="single" w:sz="4" w:space="0" w:color="auto"/>
            </w:tcBorders>
          </w:tcPr>
          <w:p>
            <w:pPr>
              <w:jc w:val="left"/>
              <w:outlineLvl w:val="0"/>
              <w:rPr>
                <w:rFonts w:eastAsia="Times New Roman"/>
                <w:noProof/>
                <w:szCs w:val="20"/>
              </w:rPr>
            </w:pPr>
            <w:r>
              <w:rPr>
                <w:rFonts w:eastAsia="Times New Roman"/>
                <w:noProof/>
                <w:szCs w:val="24"/>
              </w:rPr>
              <w:t>Членове</w:t>
            </w:r>
            <w:r>
              <w:rPr>
                <w:rFonts w:eastAsia="Times New Roman"/>
                <w:noProof/>
              </w:rPr>
              <w:t xml:space="preserve"> </w:t>
            </w:r>
            <w:r>
              <w:rPr>
                <w:rFonts w:eastAsia="Times New Roman"/>
                <w:noProof/>
                <w:lang w:val="en-GB"/>
              </w:rPr>
              <w:t xml:space="preserve">1 </w:t>
            </w:r>
            <w:r>
              <w:rPr>
                <w:rFonts w:eastAsia="Times New Roman"/>
                <w:noProof/>
              </w:rPr>
              <w:t xml:space="preserve">до </w:t>
            </w:r>
            <w:r>
              <w:rPr>
                <w:rFonts w:eastAsia="Times New Roman"/>
                <w:noProof/>
                <w:lang w:val="en-GB"/>
              </w:rPr>
              <w:t>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fr-BE"/>
              </w:rPr>
              <w:t>8</w:t>
            </w:r>
            <w:r>
              <w:rPr>
                <w:rFonts w:eastAsia="Times New Roman"/>
                <w:noProof/>
                <w:szCs w:val="20"/>
              </w:rPr>
              <w:t>, параграфи 1</w:t>
            </w:r>
            <w:r>
              <w:rPr>
                <w:rFonts w:eastAsia="Times New Roman"/>
                <w:noProof/>
                <w:szCs w:val="20"/>
                <w:lang w:val="fr-BE"/>
              </w:rPr>
              <w:t>, 2</w:t>
            </w:r>
            <w:r>
              <w:rPr>
                <w:rFonts w:eastAsia="Times New Roman"/>
                <w:noProof/>
                <w:szCs w:val="20"/>
              </w:rPr>
              <w:t xml:space="preserve"> и </w:t>
            </w:r>
            <w:r>
              <w:rPr>
                <w:rFonts w:eastAsia="Times New Roman"/>
                <w:noProof/>
                <w:szCs w:val="20"/>
                <w:lang w:val="en-GB"/>
              </w:rPr>
              <w:t>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fr-BE"/>
              </w:rPr>
              <w:t>8</w:t>
            </w:r>
            <w:r>
              <w:rPr>
                <w:rFonts w:eastAsia="Times New Roman"/>
                <w:noProof/>
                <w:szCs w:val="20"/>
              </w:rPr>
              <w:t>, параграфи 1</w:t>
            </w:r>
            <w:r>
              <w:rPr>
                <w:rFonts w:eastAsia="Times New Roman"/>
                <w:noProof/>
                <w:szCs w:val="20"/>
                <w:lang w:val="fr-BE"/>
              </w:rPr>
              <w:t>, 2</w:t>
            </w:r>
            <w:r>
              <w:rPr>
                <w:rFonts w:eastAsia="Times New Roman"/>
                <w:noProof/>
                <w:szCs w:val="20"/>
              </w:rPr>
              <w:t xml:space="preserve"> и </w:t>
            </w:r>
            <w:r>
              <w:rPr>
                <w:rFonts w:eastAsia="Times New Roman"/>
                <w:noProof/>
                <w:szCs w:val="20"/>
                <w:lang w:val="en-GB"/>
              </w:rPr>
              <w:t>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8</w:t>
            </w:r>
            <w:r>
              <w:rPr>
                <w:rFonts w:eastAsia="Times New Roman"/>
                <w:noProof/>
                <w:szCs w:val="20"/>
              </w:rPr>
              <w:t xml:space="preserve">, параграф </w:t>
            </w:r>
            <w:r>
              <w:rPr>
                <w:rFonts w:eastAsia="Times New Roman"/>
                <w:noProof/>
                <w:szCs w:val="20"/>
                <w:lang w:val="en-GB"/>
              </w:rPr>
              <w:t>3</w:t>
            </w:r>
            <w:r>
              <w:rPr>
                <w:rFonts w:eastAsia="Times New Roman"/>
                <w:noProof/>
                <w:szCs w:val="20"/>
              </w:rPr>
              <w:t>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8</w:t>
            </w:r>
            <w:r>
              <w:rPr>
                <w:rFonts w:eastAsia="Times New Roman"/>
                <w:noProof/>
                <w:szCs w:val="20"/>
                <w:lang w:val="en-GB"/>
              </w:rPr>
              <w:t xml:space="preserve">, </w:t>
            </w:r>
            <w:r>
              <w:rPr>
                <w:rFonts w:eastAsia="Times New Roman"/>
                <w:noProof/>
                <w:szCs w:val="20"/>
              </w:rPr>
              <w:t>параграф 4</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8</w:t>
            </w:r>
            <w:r>
              <w:rPr>
                <w:rFonts w:eastAsia="Times New Roman"/>
                <w:noProof/>
                <w:szCs w:val="20"/>
                <w:lang w:val="en-GB"/>
              </w:rPr>
              <w:t xml:space="preserve">, </w:t>
            </w:r>
            <w:r>
              <w:rPr>
                <w:rFonts w:eastAsia="Times New Roman"/>
                <w:noProof/>
                <w:szCs w:val="20"/>
              </w:rPr>
              <w:t xml:space="preserve">параграф </w:t>
            </w:r>
            <w:r>
              <w:rPr>
                <w:rFonts w:eastAsia="Times New Roman"/>
                <w:noProof/>
                <w:szCs w:val="20"/>
                <w:lang w:val="en-GB"/>
              </w:rPr>
              <w:t>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8</w:t>
            </w:r>
            <w:r>
              <w:rPr>
                <w:rFonts w:eastAsia="Times New Roman"/>
                <w:noProof/>
                <w:szCs w:val="20"/>
                <w:lang w:val="en-GB"/>
              </w:rPr>
              <w:t xml:space="preserve">, </w:t>
            </w:r>
            <w:r>
              <w:rPr>
                <w:rFonts w:eastAsia="Times New Roman"/>
                <w:noProof/>
                <w:szCs w:val="20"/>
              </w:rPr>
              <w:t xml:space="preserve">параграф </w:t>
            </w:r>
            <w:r>
              <w:rPr>
                <w:rFonts w:eastAsia="Times New Roman"/>
                <w:noProof/>
                <w:szCs w:val="20"/>
                <w:lang w:val="en-GB"/>
              </w:rPr>
              <w:t>5</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8</w:t>
            </w:r>
            <w:r>
              <w:rPr>
                <w:rFonts w:eastAsia="Times New Roman"/>
                <w:noProof/>
                <w:szCs w:val="20"/>
                <w:lang w:val="en-GB"/>
              </w:rPr>
              <w:t xml:space="preserve">, </w:t>
            </w:r>
            <w:r>
              <w:rPr>
                <w:rFonts w:eastAsia="Times New Roman"/>
                <w:noProof/>
                <w:szCs w:val="20"/>
              </w:rPr>
              <w:t xml:space="preserve">параграф </w:t>
            </w:r>
            <w:r>
              <w:rPr>
                <w:rFonts w:eastAsia="Times New Roman"/>
                <w:noProof/>
                <w:szCs w:val="20"/>
                <w:lang w:val="en-GB"/>
              </w:rPr>
              <w:t>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8</w:t>
            </w:r>
            <w:r>
              <w:rPr>
                <w:rFonts w:eastAsia="Times New Roman"/>
                <w:noProof/>
                <w:szCs w:val="20"/>
                <w:lang w:val="en-GB"/>
              </w:rPr>
              <w:t xml:space="preserve">, </w:t>
            </w:r>
            <w:r>
              <w:rPr>
                <w:rFonts w:eastAsia="Times New Roman"/>
                <w:noProof/>
                <w:szCs w:val="20"/>
              </w:rPr>
              <w:t xml:space="preserve">параграф </w:t>
            </w:r>
            <w:r>
              <w:rPr>
                <w:rFonts w:eastAsia="Times New Roman"/>
                <w:noProof/>
                <w:szCs w:val="20"/>
                <w:lang w:val="en-GB"/>
              </w:rPr>
              <w:t>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8, параграф 7а</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lang w:val="en-GB"/>
              </w:rPr>
              <w:t>Член 8, параграф 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8</w:t>
            </w:r>
            <w:r>
              <w:rPr>
                <w:rFonts w:eastAsia="Times New Roman"/>
                <w:noProof/>
                <w:szCs w:val="20"/>
                <w:lang w:val="en-GB"/>
              </w:rPr>
              <w:t xml:space="preserve">, </w:t>
            </w:r>
            <w:r>
              <w:rPr>
                <w:rFonts w:eastAsia="Times New Roman"/>
                <w:noProof/>
                <w:szCs w:val="20"/>
              </w:rPr>
              <w:t xml:space="preserve">параграф </w:t>
            </w:r>
            <w:r>
              <w:rPr>
                <w:rFonts w:eastAsia="Times New Roman"/>
                <w:noProof/>
                <w:szCs w:val="20"/>
                <w:lang w:val="en-GB"/>
              </w:rPr>
              <w:t>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8</w:t>
            </w:r>
            <w:r>
              <w:rPr>
                <w:rFonts w:eastAsia="Times New Roman"/>
                <w:noProof/>
                <w:szCs w:val="20"/>
                <w:lang w:val="en-GB"/>
              </w:rPr>
              <w:t xml:space="preserve">, </w:t>
            </w:r>
            <w:r>
              <w:rPr>
                <w:rFonts w:eastAsia="Times New Roman"/>
                <w:noProof/>
                <w:szCs w:val="20"/>
              </w:rPr>
              <w:t>параграф 8</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9, </w:t>
            </w:r>
            <w:r>
              <w:rPr>
                <w:rFonts w:eastAsia="Times New Roman"/>
                <w:noProof/>
                <w:szCs w:val="20"/>
              </w:rPr>
              <w:t xml:space="preserve">параграф </w:t>
            </w:r>
            <w:r>
              <w:rPr>
                <w:rFonts w:eastAsia="Times New Roman"/>
                <w:noProof/>
                <w:szCs w:val="20"/>
                <w:lang w:val="en-GB"/>
              </w:rPr>
              <w:t>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9, </w:t>
            </w:r>
            <w:r>
              <w:rPr>
                <w:rFonts w:eastAsia="Times New Roman"/>
                <w:noProof/>
                <w:szCs w:val="20"/>
              </w:rPr>
              <w:t xml:space="preserve">параграф </w:t>
            </w:r>
            <w:r>
              <w:rPr>
                <w:rFonts w:eastAsia="Times New Roman"/>
                <w:noProof/>
                <w:szCs w:val="20"/>
                <w:lang w:val="en-GB"/>
              </w:rPr>
              <w:t>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9, </w:t>
            </w:r>
            <w:r>
              <w:rPr>
                <w:rFonts w:eastAsia="Times New Roman"/>
                <w:noProof/>
                <w:szCs w:val="20"/>
              </w:rPr>
              <w:t xml:space="preserve">параграф </w:t>
            </w:r>
            <w:r>
              <w:rPr>
                <w:rFonts w:eastAsia="Times New Roman"/>
                <w:noProof/>
                <w:szCs w:val="20"/>
                <w:lang w:val="en-GB"/>
              </w:rPr>
              <w:t>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5</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9, </w:t>
            </w:r>
            <w:r>
              <w:rPr>
                <w:rFonts w:eastAsia="Times New Roman"/>
                <w:noProof/>
                <w:szCs w:val="20"/>
              </w:rPr>
              <w:t xml:space="preserve">параграф </w:t>
            </w:r>
            <w:r>
              <w:rPr>
                <w:rFonts w:eastAsia="Times New Roman"/>
                <w:noProof/>
                <w:szCs w:val="20"/>
                <w:lang w:val="en-GB"/>
              </w:rPr>
              <w:t>4</w:t>
            </w:r>
            <w:r>
              <w:rPr>
                <w:rFonts w:eastAsia="Times New Roman"/>
                <w:noProof/>
                <w:szCs w:val="20"/>
              </w:rPr>
              <w:t xml:space="preserve">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9, </w:t>
            </w:r>
            <w:r>
              <w:rPr>
                <w:rFonts w:eastAsia="Times New Roman"/>
                <w:noProof/>
                <w:szCs w:val="20"/>
              </w:rPr>
              <w:t xml:space="preserve">параграф </w:t>
            </w:r>
            <w:r>
              <w:rPr>
                <w:rFonts w:eastAsia="Times New Roman"/>
                <w:noProof/>
                <w:szCs w:val="20"/>
                <w:lang w:val="en-GB"/>
              </w:rPr>
              <w:t>5</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9, </w:t>
            </w:r>
            <w:r>
              <w:rPr>
                <w:rFonts w:eastAsia="Times New Roman"/>
                <w:noProof/>
                <w:szCs w:val="20"/>
              </w:rPr>
              <w:t xml:space="preserve">параграф </w:t>
            </w:r>
            <w:r>
              <w:rPr>
                <w:rFonts w:eastAsia="Times New Roman"/>
                <w:noProof/>
                <w:szCs w:val="20"/>
                <w:lang w:val="en-GB"/>
              </w:rPr>
              <w:t>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9, </w:t>
            </w:r>
            <w:r>
              <w:rPr>
                <w:rFonts w:eastAsia="Times New Roman"/>
                <w:noProof/>
                <w:szCs w:val="20"/>
              </w:rPr>
              <w:t xml:space="preserve">параграф </w:t>
            </w:r>
            <w:r>
              <w:rPr>
                <w:rFonts w:eastAsia="Times New Roman"/>
                <w:noProof/>
                <w:szCs w:val="20"/>
                <w:lang w:val="en-GB"/>
              </w:rPr>
              <w:t>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8a, параграф </w:t>
            </w:r>
            <w:r>
              <w:rPr>
                <w:rFonts w:eastAsia="Times New Roman"/>
                <w:noProof/>
                <w:szCs w:val="20"/>
                <w:lang w:val="en-GB"/>
              </w:rPr>
              <w:t>10</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9, </w:t>
            </w:r>
            <w:r>
              <w:rPr>
                <w:rFonts w:eastAsia="Times New Roman"/>
                <w:noProof/>
                <w:szCs w:val="20"/>
              </w:rPr>
              <w:t xml:space="preserve">параграф </w:t>
            </w:r>
            <w:r>
              <w:rPr>
                <w:rFonts w:eastAsia="Times New Roman"/>
                <w:noProof/>
                <w:szCs w:val="20"/>
                <w:lang w:val="en-GB"/>
              </w:rPr>
              <w:t>8</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8аa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10</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8аб</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11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8б, параграф </w:t>
            </w:r>
            <w:r>
              <w:rPr>
                <w:rFonts w:eastAsia="Times New Roman"/>
                <w:noProof/>
                <w:szCs w:val="20"/>
                <w:lang w:val="en-GB"/>
              </w:rPr>
              <w:t>1</w:t>
            </w:r>
          </w:p>
        </w:tc>
        <w:tc>
          <w:tcPr>
            <w:tcW w:w="4643" w:type="dxa"/>
            <w:tcBorders>
              <w:left w:val="single" w:sz="4" w:space="0" w:color="auto"/>
            </w:tcBorders>
          </w:tcPr>
          <w:p>
            <w:pPr>
              <w:jc w:val="left"/>
              <w:outlineLvl w:val="0"/>
              <w:rPr>
                <w:rFonts w:eastAsia="Times New Roman"/>
                <w:noProof/>
                <w:szCs w:val="20"/>
              </w:rPr>
            </w:pPr>
            <w:r>
              <w:rPr>
                <w:rFonts w:eastAsia="Times New Roman"/>
                <w:b/>
                <w:noProof/>
                <w:szCs w:val="20"/>
              </w:rPr>
              <w:t>–</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8б, параграф </w:t>
            </w:r>
            <w:r>
              <w:rPr>
                <w:rFonts w:eastAsia="Times New Roman"/>
                <w:noProof/>
                <w:szCs w:val="20"/>
                <w:lang w:val="en-GB"/>
              </w:rPr>
              <w:t>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12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13</w:t>
            </w:r>
          </w:p>
        </w:tc>
      </w:tr>
      <w:t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Член 10</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Член 14</w:t>
            </w:r>
          </w:p>
        </w:tc>
      </w:tr>
      <w:t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 xml:space="preserve">Член 11 </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Член 15</w:t>
            </w:r>
          </w:p>
        </w:tc>
      </w:tr>
      <w:tr>
        <w:tc>
          <w:tcPr>
            <w:tcW w:w="4643" w:type="dxa"/>
            <w:tcBorders>
              <w:right w:val="single" w:sz="4" w:space="0" w:color="auto"/>
            </w:tcBorders>
          </w:tcPr>
          <w:p>
            <w:pPr>
              <w:jc w:val="left"/>
              <w:outlineLvl w:val="0"/>
              <w:rPr>
                <w:rFonts w:eastAsia="Times New Roman"/>
                <w:b/>
                <w:noProof/>
                <w:szCs w:val="20"/>
              </w:rPr>
            </w:pPr>
            <w:r>
              <w:rPr>
                <w:rFonts w:eastAsia="Times New Roman"/>
                <w:noProof/>
                <w:szCs w:val="20"/>
              </w:rPr>
              <w:t>Член 12</w:t>
            </w:r>
          </w:p>
        </w:tc>
        <w:tc>
          <w:tcPr>
            <w:tcW w:w="4643" w:type="dxa"/>
            <w:tcBorders>
              <w:left w:val="single" w:sz="4" w:space="0" w:color="auto"/>
            </w:tcBorders>
          </w:tcPr>
          <w:p>
            <w:pPr>
              <w:jc w:val="left"/>
              <w:outlineLvl w:val="0"/>
              <w:rPr>
                <w:rFonts w:eastAsia="Times New Roman"/>
                <w:b/>
                <w:noProof/>
                <w:szCs w:val="20"/>
              </w:rPr>
            </w:pPr>
            <w:r>
              <w:rPr>
                <w:rFonts w:eastAsia="Times New Roman"/>
                <w:noProof/>
                <w:szCs w:val="20"/>
              </w:rPr>
              <w:t>Член 16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13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17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14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18</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15</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19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16 </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20</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17</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18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19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fr-BE"/>
              </w:rPr>
              <w:t>20</w:t>
            </w:r>
            <w:r>
              <w:rPr>
                <w:rFonts w:eastAsia="Times New Roman"/>
                <w:noProof/>
                <w:szCs w:val="20"/>
              </w:rPr>
              <w:t>, параграфи 1 – 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fr-BE"/>
              </w:rPr>
              <w:t>24</w:t>
            </w:r>
            <w:r>
              <w:rPr>
                <w:rFonts w:eastAsia="Times New Roman"/>
                <w:noProof/>
                <w:szCs w:val="20"/>
              </w:rPr>
              <w:t>, параграфи 1 – 4</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20</w:t>
            </w:r>
            <w:r>
              <w:rPr>
                <w:rFonts w:eastAsia="Times New Roman"/>
                <w:noProof/>
                <w:szCs w:val="20"/>
              </w:rPr>
              <w:t xml:space="preserve">, параграф </w:t>
            </w:r>
            <w:r>
              <w:rPr>
                <w:rFonts w:eastAsia="Times New Roman"/>
                <w:noProof/>
                <w:szCs w:val="20"/>
                <w:lang w:val="en-GB"/>
              </w:rPr>
              <w:t>5</w:t>
            </w:r>
            <w:r>
              <w:rPr>
                <w:rFonts w:eastAsia="Times New Roman"/>
                <w:noProof/>
                <w:szCs w:val="20"/>
              </w:rPr>
              <w:t>, първа алинея</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24, параграф 5, първа и </w:t>
            </w:r>
            <w:r>
              <w:rPr>
                <w:rFonts w:eastAsia="Times New Roman"/>
                <w:noProof/>
              </w:rPr>
              <w:t>втора алинеи</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20</w:t>
            </w:r>
            <w:r>
              <w:rPr>
                <w:rFonts w:eastAsia="Times New Roman"/>
                <w:noProof/>
                <w:szCs w:val="20"/>
              </w:rPr>
              <w:t xml:space="preserve">, параграф </w:t>
            </w:r>
            <w:r>
              <w:rPr>
                <w:rFonts w:eastAsia="Times New Roman"/>
                <w:noProof/>
                <w:szCs w:val="20"/>
                <w:lang w:val="en-GB"/>
              </w:rPr>
              <w:t>5</w:t>
            </w:r>
            <w:r>
              <w:rPr>
                <w:rFonts w:eastAsia="Times New Roman"/>
                <w:noProof/>
                <w:szCs w:val="20"/>
              </w:rPr>
              <w:t xml:space="preserve">, </w:t>
            </w:r>
            <w:r>
              <w:rPr>
                <w:rFonts w:eastAsia="Times New Roman"/>
                <w:noProof/>
              </w:rPr>
              <w:t>втора алинея</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24, параграф 5, </w:t>
            </w:r>
            <w:r>
              <w:rPr>
                <w:rFonts w:eastAsia="Times New Roman"/>
                <w:noProof/>
                <w:szCs w:val="20"/>
                <w:lang w:val="en-GB"/>
              </w:rPr>
              <w:t>трет</w:t>
            </w:r>
            <w:r>
              <w:rPr>
                <w:rFonts w:eastAsia="Times New Roman"/>
                <w:noProof/>
                <w:szCs w:val="20"/>
              </w:rPr>
              <w:t>а</w:t>
            </w:r>
            <w:r>
              <w:rPr>
                <w:rFonts w:eastAsia="Times New Roman"/>
                <w:noProof/>
                <w:szCs w:val="20"/>
                <w:lang w:val="en-GB"/>
              </w:rPr>
              <w:t xml:space="preserve"> </w:t>
            </w:r>
            <w:r>
              <w:rPr>
                <w:rFonts w:eastAsia="Times New Roman"/>
                <w:noProof/>
                <w:szCs w:val="20"/>
              </w:rPr>
              <w:t>алинея</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20</w:t>
            </w:r>
            <w:r>
              <w:rPr>
                <w:rFonts w:eastAsia="Times New Roman"/>
                <w:noProof/>
                <w:szCs w:val="20"/>
              </w:rPr>
              <w:t xml:space="preserve">, параграф </w:t>
            </w:r>
            <w:r>
              <w:rPr>
                <w:rFonts w:eastAsia="Times New Roman"/>
                <w:noProof/>
                <w:szCs w:val="20"/>
                <w:lang w:val="en-GB"/>
              </w:rPr>
              <w:t>5</w:t>
            </w:r>
            <w:r>
              <w:rPr>
                <w:rFonts w:eastAsia="Times New Roman"/>
                <w:noProof/>
                <w:szCs w:val="20"/>
              </w:rPr>
              <w:t xml:space="preserve">, </w:t>
            </w:r>
            <w:r>
              <w:rPr>
                <w:rFonts w:eastAsia="Times New Roman"/>
                <w:noProof/>
                <w:szCs w:val="20"/>
                <w:lang w:val="en-GB"/>
              </w:rPr>
              <w:t>трет</w:t>
            </w:r>
            <w:r>
              <w:rPr>
                <w:rFonts w:eastAsia="Times New Roman"/>
                <w:noProof/>
                <w:szCs w:val="20"/>
              </w:rPr>
              <w:t>а</w:t>
            </w:r>
            <w:r>
              <w:rPr>
                <w:rFonts w:eastAsia="Times New Roman"/>
                <w:noProof/>
                <w:szCs w:val="20"/>
                <w:lang w:val="en-GB"/>
              </w:rPr>
              <w:t xml:space="preserve"> </w:t>
            </w:r>
            <w:r>
              <w:rPr>
                <w:rFonts w:eastAsia="Times New Roman"/>
                <w:noProof/>
                <w:szCs w:val="20"/>
              </w:rPr>
              <w:t>алинея</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24, параграф 5, четвърта алинея</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20, </w:t>
            </w:r>
            <w:r>
              <w:rPr>
                <w:rFonts w:eastAsia="Times New Roman"/>
                <w:noProof/>
                <w:szCs w:val="20"/>
              </w:rPr>
              <w:t xml:space="preserve">параграф </w:t>
            </w:r>
            <w:r>
              <w:rPr>
                <w:rFonts w:eastAsia="Times New Roman"/>
                <w:noProof/>
                <w:szCs w:val="20"/>
                <w:lang w:val="en-GB"/>
              </w:rPr>
              <w:t>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 xml:space="preserve">24, </w:t>
            </w:r>
            <w:r>
              <w:rPr>
                <w:rFonts w:eastAsia="Times New Roman"/>
                <w:noProof/>
                <w:szCs w:val="20"/>
              </w:rPr>
              <w:t xml:space="preserve">параграф </w:t>
            </w:r>
            <w:r>
              <w:rPr>
                <w:rFonts w:eastAsia="Times New Roman"/>
                <w:noProof/>
                <w:szCs w:val="20"/>
                <w:lang w:val="en-GB"/>
              </w:rPr>
              <w:t>6</w:t>
            </w:r>
          </w:p>
        </w:tc>
      </w:tr>
      <w:tr>
        <w:tc>
          <w:tcPr>
            <w:tcW w:w="4643" w:type="dxa"/>
            <w:tcBorders>
              <w:right w:val="single" w:sz="4" w:space="0" w:color="auto"/>
            </w:tcBorders>
          </w:tcPr>
          <w:p>
            <w:pPr>
              <w:jc w:val="left"/>
              <w:outlineLvl w:val="0"/>
              <w:rPr>
                <w:rFonts w:eastAsia="Times New Roman"/>
                <w:noProof/>
                <w:szCs w:val="20"/>
                <w:lang w:val="fi-FI"/>
              </w:rPr>
            </w:pPr>
            <w:r>
              <w:rPr>
                <w:rFonts w:eastAsia="Times New Roman"/>
                <w:noProof/>
                <w:szCs w:val="20"/>
              </w:rPr>
              <w:t>Член 21, параграфи 1 – 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xml:space="preserve">, параграфи 1 – 4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21, параграф 5, първа и </w:t>
            </w:r>
            <w:r>
              <w:rPr>
                <w:rFonts w:eastAsia="Times New Roman"/>
                <w:noProof/>
              </w:rPr>
              <w:t>втора алинеи</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параграф 5, първа алинея</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21, параграф 5, </w:t>
            </w:r>
            <w:r>
              <w:rPr>
                <w:rFonts w:eastAsia="Times New Roman"/>
                <w:noProof/>
                <w:szCs w:val="20"/>
                <w:lang w:val="en-GB"/>
              </w:rPr>
              <w:t>трет</w:t>
            </w:r>
            <w:r>
              <w:rPr>
                <w:rFonts w:eastAsia="Times New Roman"/>
                <w:noProof/>
                <w:szCs w:val="20"/>
              </w:rPr>
              <w:t>а</w:t>
            </w:r>
            <w:r>
              <w:rPr>
                <w:rFonts w:eastAsia="Times New Roman"/>
                <w:noProof/>
                <w:szCs w:val="20"/>
                <w:lang w:val="en-GB"/>
              </w:rPr>
              <w:t xml:space="preserve"> </w:t>
            </w:r>
            <w:r>
              <w:rPr>
                <w:rFonts w:eastAsia="Times New Roman"/>
                <w:noProof/>
                <w:szCs w:val="20"/>
              </w:rPr>
              <w:t>алинея</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xml:space="preserve">, параграф 5, </w:t>
            </w:r>
            <w:r>
              <w:rPr>
                <w:rFonts w:eastAsia="Times New Roman"/>
                <w:noProof/>
              </w:rPr>
              <w:t>втора алинея</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21, параграф 5, четвърта алинея</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xml:space="preserve">, параграф 5, </w:t>
            </w:r>
            <w:r>
              <w:rPr>
                <w:rFonts w:eastAsia="Times New Roman"/>
                <w:noProof/>
                <w:szCs w:val="20"/>
                <w:lang w:val="en-GB"/>
              </w:rPr>
              <w:t>трет</w:t>
            </w:r>
            <w:r>
              <w:rPr>
                <w:rFonts w:eastAsia="Times New Roman"/>
                <w:noProof/>
                <w:szCs w:val="20"/>
              </w:rPr>
              <w:t>а</w:t>
            </w:r>
            <w:r>
              <w:rPr>
                <w:rFonts w:eastAsia="Times New Roman"/>
                <w:noProof/>
                <w:szCs w:val="20"/>
                <w:lang w:val="en-GB"/>
              </w:rPr>
              <w:t xml:space="preserve"> </w:t>
            </w:r>
            <w:r>
              <w:rPr>
                <w:rFonts w:eastAsia="Times New Roman"/>
                <w:noProof/>
                <w:szCs w:val="20"/>
              </w:rPr>
              <w:t>алинея</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21, параграф </w:t>
            </w:r>
            <w:r>
              <w:rPr>
                <w:rFonts w:eastAsia="Times New Roman"/>
                <w:noProof/>
                <w:szCs w:val="20"/>
                <w:lang w:val="en-GB"/>
              </w:rPr>
              <w:t>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xml:space="preserve">, параграф </w:t>
            </w:r>
            <w:r>
              <w:rPr>
                <w:rFonts w:eastAsia="Times New Roman"/>
                <w:noProof/>
                <w:szCs w:val="20"/>
                <w:lang w:val="en-GB"/>
              </w:rPr>
              <w:t>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2</w:t>
            </w:r>
            <w:r>
              <w:rPr>
                <w:rFonts w:eastAsia="Times New Roman"/>
                <w:noProof/>
                <w:szCs w:val="20"/>
              </w:rPr>
              <w:t xml:space="preserve">, параграф </w:t>
            </w:r>
            <w:r>
              <w:rPr>
                <w:rFonts w:eastAsia="Times New Roman"/>
                <w:noProof/>
                <w:szCs w:val="20"/>
                <w:lang w:val="en-GB"/>
              </w:rPr>
              <w:t>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6</w:t>
            </w:r>
            <w:r>
              <w:rPr>
                <w:rFonts w:eastAsia="Times New Roman"/>
                <w:noProof/>
                <w:szCs w:val="20"/>
              </w:rPr>
              <w:t xml:space="preserve">, параграф </w:t>
            </w:r>
            <w:r>
              <w:rPr>
                <w:rFonts w:eastAsia="Times New Roman"/>
                <w:noProof/>
                <w:szCs w:val="20"/>
                <w:lang w:val="en-GB"/>
              </w:rPr>
              <w:t>1</w:t>
            </w:r>
            <w:r>
              <w:rPr>
                <w:rFonts w:eastAsia="Times New Roman"/>
                <w:noProof/>
                <w:szCs w:val="20"/>
              </w:rPr>
              <w:t xml:space="preserve"> </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rPr>
              <w:t xml:space="preserve">Член </w:t>
            </w:r>
            <w:r>
              <w:rPr>
                <w:rFonts w:eastAsia="Times New Roman"/>
                <w:noProof/>
                <w:lang w:val="en-GB"/>
              </w:rPr>
              <w:t>22</w:t>
            </w:r>
            <w:r>
              <w:rPr>
                <w:rFonts w:eastAsia="Times New Roman"/>
                <w:noProof/>
              </w:rPr>
              <w:t xml:space="preserve">, параграф </w:t>
            </w:r>
            <w:r>
              <w:rPr>
                <w:rFonts w:eastAsia="Times New Roman"/>
                <w:noProof/>
                <w:lang w:val="en-GB"/>
              </w:rPr>
              <w:t>1</w:t>
            </w:r>
            <w:r>
              <w:rPr>
                <w:rFonts w:eastAsia="Times New Roman"/>
                <w:noProof/>
              </w:rPr>
              <w:t>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6</w:t>
            </w:r>
            <w:r>
              <w:rPr>
                <w:rFonts w:eastAsia="Times New Roman"/>
                <w:noProof/>
                <w:szCs w:val="20"/>
              </w:rPr>
              <w:t xml:space="preserve">, параграф </w:t>
            </w:r>
            <w:r>
              <w:rPr>
                <w:rFonts w:eastAsia="Times New Roman"/>
                <w:noProof/>
                <w:szCs w:val="20"/>
                <w:lang w:val="en-GB"/>
              </w:rPr>
              <w:t>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2</w:t>
            </w:r>
            <w:r>
              <w:rPr>
                <w:rFonts w:eastAsia="Times New Roman"/>
                <w:noProof/>
                <w:szCs w:val="20"/>
              </w:rPr>
              <w:t xml:space="preserve">, параграф </w:t>
            </w:r>
            <w:r>
              <w:rPr>
                <w:rFonts w:eastAsia="Times New Roman"/>
                <w:noProof/>
                <w:szCs w:val="20"/>
                <w:lang w:val="en-GB"/>
              </w:rPr>
              <w:t>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6</w:t>
            </w:r>
            <w:r>
              <w:rPr>
                <w:rFonts w:eastAsia="Times New Roman"/>
                <w:noProof/>
                <w:szCs w:val="20"/>
              </w:rPr>
              <w:t xml:space="preserve">, параграф </w:t>
            </w:r>
            <w:r>
              <w:rPr>
                <w:rFonts w:eastAsia="Times New Roman"/>
                <w:noProof/>
                <w:szCs w:val="20"/>
                <w:lang w:val="en-GB"/>
              </w:rPr>
              <w:t>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23a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28</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29</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xml:space="preserve">, параграф </w:t>
            </w:r>
            <w:r>
              <w:rPr>
                <w:rFonts w:eastAsia="Times New Roman"/>
                <w:noProof/>
                <w:szCs w:val="20"/>
                <w:lang w:val="en-GB"/>
              </w:rPr>
              <w:t>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30</w:t>
            </w:r>
            <w:r>
              <w:rPr>
                <w:rFonts w:eastAsia="Times New Roman"/>
                <w:noProof/>
                <w:szCs w:val="20"/>
              </w:rPr>
              <w:t xml:space="preserve">, параграф </w:t>
            </w:r>
            <w:r>
              <w:rPr>
                <w:rFonts w:eastAsia="Times New Roman"/>
                <w:noProof/>
                <w:szCs w:val="20"/>
                <w:lang w:val="en-GB"/>
              </w:rPr>
              <w:t>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параграф 1a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30</w:t>
            </w:r>
            <w:r>
              <w:rPr>
                <w:rFonts w:eastAsia="Times New Roman"/>
                <w:noProof/>
                <w:szCs w:val="20"/>
              </w:rPr>
              <w:t xml:space="preserve">, параграф </w:t>
            </w:r>
            <w:r>
              <w:rPr>
                <w:rFonts w:eastAsia="Times New Roman"/>
                <w:noProof/>
                <w:szCs w:val="20"/>
                <w:lang w:val="en-GB"/>
              </w:rPr>
              <w:t>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xml:space="preserve">, параграф </w:t>
            </w:r>
            <w:r>
              <w:rPr>
                <w:rFonts w:eastAsia="Times New Roman"/>
                <w:noProof/>
                <w:szCs w:val="20"/>
                <w:lang w:val="en-GB"/>
              </w:rPr>
              <w:t>2</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30</w:t>
            </w:r>
            <w:r>
              <w:rPr>
                <w:rFonts w:eastAsia="Times New Roman"/>
                <w:noProof/>
                <w:szCs w:val="20"/>
              </w:rPr>
              <w:t xml:space="preserve">, параграф </w:t>
            </w:r>
            <w:r>
              <w:rPr>
                <w:rFonts w:eastAsia="Times New Roman"/>
                <w:noProof/>
                <w:szCs w:val="20"/>
                <w:lang w:val="en-GB"/>
              </w:rPr>
              <w:t>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xml:space="preserve">, параграф </w:t>
            </w:r>
            <w:r>
              <w:rPr>
                <w:rFonts w:eastAsia="Times New Roman"/>
                <w:noProof/>
                <w:szCs w:val="20"/>
                <w:lang w:val="en-GB"/>
              </w:rPr>
              <w:t>3</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30</w:t>
            </w:r>
            <w:r>
              <w:rPr>
                <w:rFonts w:eastAsia="Times New Roman"/>
                <w:noProof/>
                <w:szCs w:val="20"/>
              </w:rPr>
              <w:t xml:space="preserve">, параграф </w:t>
            </w:r>
            <w:r>
              <w:rPr>
                <w:rFonts w:eastAsia="Times New Roman"/>
                <w:noProof/>
                <w:szCs w:val="20"/>
                <w:lang w:val="en-GB"/>
              </w:rPr>
              <w:t>4</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w:t>
            </w:r>
            <w:r>
              <w:rPr>
                <w:rFonts w:eastAsia="Times New Roman"/>
                <w:noProof/>
                <w:szCs w:val="20"/>
                <w:lang w:val="en-GB"/>
              </w:rPr>
              <w:t>5</w:t>
            </w:r>
            <w:r>
              <w:rPr>
                <w:rFonts w:eastAsia="Times New Roman"/>
                <w:noProof/>
                <w:szCs w:val="20"/>
              </w:rPr>
              <w:t xml:space="preserve">, параграф </w:t>
            </w:r>
            <w:r>
              <w:rPr>
                <w:rFonts w:eastAsia="Times New Roman"/>
                <w:noProof/>
                <w:szCs w:val="20"/>
                <w:lang w:val="en-GB"/>
              </w:rPr>
              <w:t>4</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 xml:space="preserve">Член </w:t>
            </w:r>
            <w:r>
              <w:rPr>
                <w:rFonts w:eastAsia="Times New Roman"/>
                <w:noProof/>
                <w:szCs w:val="20"/>
                <w:lang w:val="en-GB"/>
              </w:rPr>
              <w:t>30</w:t>
            </w:r>
            <w:r>
              <w:rPr>
                <w:rFonts w:eastAsia="Times New Roman"/>
                <w:noProof/>
                <w:szCs w:val="20"/>
              </w:rPr>
              <w:t xml:space="preserve">, параграф </w:t>
            </w:r>
            <w:r>
              <w:rPr>
                <w:rFonts w:eastAsia="Times New Roman"/>
                <w:noProof/>
                <w:szCs w:val="20"/>
                <w:lang w:val="en-GB"/>
              </w:rPr>
              <w:t>5</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25a</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31</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26</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32</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 xml:space="preserve">Член 27 </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33</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28</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35</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29</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34</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30</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36</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Член 31</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0"/>
              </w:rPr>
              <w:t>Член 37</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4"/>
              </w:rPr>
              <w:t>Приложения</w:t>
            </w:r>
            <w:r>
              <w:rPr>
                <w:rFonts w:eastAsia="Times New Roman"/>
                <w:noProof/>
                <w:szCs w:val="20"/>
              </w:rPr>
              <w:t xml:space="preserve"> I – IV</w:t>
            </w:r>
          </w:p>
        </w:tc>
        <w:tc>
          <w:tcPr>
            <w:tcW w:w="4643" w:type="dxa"/>
            <w:tcBorders>
              <w:left w:val="single" w:sz="4" w:space="0" w:color="auto"/>
            </w:tcBorders>
          </w:tcPr>
          <w:p>
            <w:pPr>
              <w:jc w:val="left"/>
              <w:outlineLvl w:val="0"/>
              <w:rPr>
                <w:rFonts w:eastAsia="Times New Roman"/>
                <w:noProof/>
                <w:szCs w:val="20"/>
              </w:rPr>
            </w:pPr>
            <w:r>
              <w:rPr>
                <w:rFonts w:eastAsia="Times New Roman"/>
                <w:noProof/>
                <w:szCs w:val="24"/>
              </w:rPr>
              <w:t>Приложения</w:t>
            </w:r>
            <w:r>
              <w:rPr>
                <w:rFonts w:eastAsia="Times New Roman"/>
                <w:noProof/>
                <w:szCs w:val="20"/>
              </w:rPr>
              <w:t xml:space="preserve"> I – IV</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w:t>
            </w:r>
          </w:p>
        </w:tc>
        <w:tc>
          <w:tcPr>
            <w:tcW w:w="4643" w:type="dxa"/>
            <w:tcBorders>
              <w:left w:val="single" w:sz="4" w:space="0" w:color="auto"/>
            </w:tcBorders>
          </w:tcPr>
          <w:p>
            <w:pPr>
              <w:jc w:val="left"/>
              <w:outlineLvl w:val="0"/>
              <w:rPr>
                <w:rFonts w:eastAsia="Times New Roman"/>
                <w:noProof/>
                <w:szCs w:val="20"/>
              </w:rPr>
            </w:pPr>
            <w:r>
              <w:rPr>
                <w:noProof/>
                <w:szCs w:val="24"/>
                <w:lang w:eastAsia="en-GB"/>
              </w:rPr>
              <w:t>Приложение</w:t>
            </w:r>
            <w:r>
              <w:rPr>
                <w:rFonts w:eastAsia="Times New Roman"/>
                <w:noProof/>
                <w:szCs w:val="20"/>
              </w:rPr>
              <w:t xml:space="preserve"> V</w:t>
            </w:r>
          </w:p>
        </w:tc>
      </w:tr>
      <w:tr>
        <w:tc>
          <w:tcPr>
            <w:tcW w:w="4643" w:type="dxa"/>
            <w:tcBorders>
              <w:right w:val="single" w:sz="4" w:space="0" w:color="auto"/>
            </w:tcBorders>
          </w:tcPr>
          <w:p>
            <w:pPr>
              <w:jc w:val="left"/>
              <w:outlineLvl w:val="0"/>
              <w:rPr>
                <w:rFonts w:eastAsia="Times New Roman"/>
                <w:noProof/>
                <w:szCs w:val="20"/>
              </w:rPr>
            </w:pPr>
            <w:r>
              <w:rPr>
                <w:rFonts w:eastAsia="Times New Roman"/>
                <w:noProof/>
                <w:szCs w:val="20"/>
              </w:rPr>
              <w:t>–</w:t>
            </w:r>
          </w:p>
        </w:tc>
        <w:tc>
          <w:tcPr>
            <w:tcW w:w="4643" w:type="dxa"/>
            <w:tcBorders>
              <w:left w:val="single" w:sz="4" w:space="0" w:color="auto"/>
            </w:tcBorders>
          </w:tcPr>
          <w:p>
            <w:pPr>
              <w:jc w:val="left"/>
              <w:outlineLvl w:val="0"/>
              <w:rPr>
                <w:rFonts w:eastAsia="Times New Roman"/>
                <w:noProof/>
                <w:szCs w:val="20"/>
              </w:rPr>
            </w:pPr>
            <w:r>
              <w:rPr>
                <w:noProof/>
                <w:szCs w:val="24"/>
                <w:lang w:eastAsia="en-GB"/>
              </w:rPr>
              <w:t>Приложение</w:t>
            </w:r>
            <w:r>
              <w:rPr>
                <w:rFonts w:eastAsia="Times New Roman"/>
                <w:noProof/>
                <w:szCs w:val="20"/>
              </w:rPr>
              <w:t xml:space="preserve"> VI</w:t>
            </w:r>
          </w:p>
        </w:tc>
      </w:tr>
    </w:tbl>
    <w:p>
      <w:pPr>
        <w:jc w:val="center"/>
        <w:rPr>
          <w:rFonts w:eastAsia="Times New Roman"/>
          <w:noProof/>
          <w:szCs w:val="20"/>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fr-BE"/>
        </w:rPr>
        <w:t>Моля посочете естеството на дейността на „съставното образувание“ в графа „Допълнителна информация“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00C8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B24B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5EAC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B837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BA87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9CC3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721976"/>
    <w:lvl w:ilvl="0">
      <w:start w:val="1"/>
      <w:numFmt w:val="decimal"/>
      <w:pStyle w:val="ListNumber"/>
      <w:lvlText w:val="%1."/>
      <w:lvlJc w:val="left"/>
      <w:pPr>
        <w:tabs>
          <w:tab w:val="num" w:pos="360"/>
        </w:tabs>
        <w:ind w:left="360" w:hanging="360"/>
      </w:pPr>
    </w:lvl>
  </w:abstractNum>
  <w:abstractNum w:abstractNumId="7">
    <w:nsid w:val="FFFFFF89"/>
    <w:multiLevelType w:val="singleLevel"/>
    <w:tmpl w:val="5D88B5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13"/>
    <w:lvlOverride w:ilvl="0">
      <w:startOverride w:val="1"/>
    </w:lvlOverride>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05 10:21: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u1082?\u1098?\u1084?"/>
    <w:docVar w:name="LW_ACCOMPAGNANT.CP" w:val="\u1082?\u1098?\u1084?"/>
    <w:docVar w:name="LW_ANNEX_NBR_FIRST" w:val="1"/>
    <w:docVar w:name="LW_ANNEX_NBR_LAST" w:val="6"/>
    <w:docVar w:name="LW_ANNEX_UNIQUE" w:val="0"/>
    <w:docVar w:name="LW_CORRIGENDUM" w:val="&lt;UNUSED&gt;"/>
    <w:docVar w:name="LW_COVERPAGE_EXISTS" w:val="True"/>
    <w:docVar w:name="LW_COVERPAGE_GUID" w:val="C441168B-CD86-4E80-B446-9D5693288C9C"/>
    <w:docVar w:name="LW_COVERPAGE_TYPE" w:val="1"/>
    <w:docVar w:name="LW_CROSSREFERENCE" w:val="&lt;UNUSED&gt;"/>
    <w:docVar w:name="LW_DocType" w:val="ANNEX"/>
    <w:docVar w:name="LW_EMISSION" w:val="12.2.2020"/>
    <w:docVar w:name="LW_EMISSION_ISODATE" w:val="2020-02-1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72?\u1076?\u1084?\u1080?\u1085?\u1080?\u1089?\u1090?\u1088?\u1072?\u1090?\u1080?\u1074?\u1085?\u1086?\u1090?\u1086? \u1089?\u1098?\u1090?\u1088?\u1091?\u1076?\u1085?\u1080?\u1095?\u1077?\u1089?\u1090?\u1074?\u1086? \u1074? \u1086?\u1073?\u1083?\u1072?\u1089?\u1090?\u1090?\u1072? \u1085?\u1072? \u1076?\u1072?\u1085?\u1098?\u1095?\u1085?\u1086?\u1090?\u1086? \u1086?\u1073?\u1083?\u1072?\u1075?\u1072?\u1085?\u1077? (\u1082?\u1086?\u1076?\u1080?\u1092?\u1080?\u1094?\u1080?\u1088?\u1072?\u1085? \u1090?\u1077?\u1082?\u1089?\u1090?)_x000d__x000b__x000d__x000b_"/>
    <w:docVar w:name="LW_OBJETACTEPRINCIPAL.CP" w:val="\u1086?\u1090?\u1085?\u1086?\u1089?\u1085?\u1086? \u1072?\u1076?\u1084?\u1080?\u1085?\u1080?\u1089?\u1090?\u1088?\u1072?\u1090?\u1080?\u1074?\u1085?\u1086?\u1090?\u1086? \u1089?\u1098?\u1090?\u1088?\u1091?\u1076?\u1085?\u1080?\u1095?\u1077?\u1089?\u1090?\u1074?\u1086? \u1074? \u1086?\u1073?\u1083?\u1072?\u1089?\u1090?\u1090?\u1072? \u1085?\u1072? \u1076?\u1072?\u1085?\u1098?\u1095?\u1085?\u1086?\u1090?\u1086? \u1086?\u1073?\u1083?\u1072?\u1075?\u1072?\u1085?\u1077? (\u1082?\u1086?\u1076?\u1080?\u1092?\u1080?\u1094?\u1080?\u1088?\u1072?\u1085? \u1090?\u1077?\u1082?\u1089?\u1090?)_x000d__x000b__x000d__x000b_"/>
    <w:docVar w:name="LW_PART_NBR" w:val="&lt;UNUSED&gt;"/>
    <w:docVar w:name="LW_PART_NBR_TOTAL" w:val="&lt;UNUSED&gt;"/>
    <w:docVar w:name="LW_REF.INST.NEW" w:val="COM"/>
    <w:docVar w:name="LW_REF.INST.NEW_ADOPTED" w:val="final"/>
    <w:docVar w:name="LW_REF.INST.NEW_TEXT" w:val="(2020)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_x000b__x000b_\u1044?\u1048?\u1056?\u1045?\u1050?\u1058?\u1048?\u1042?\u1040? \u1053?\u1040? \u1057?\u1066?\u1042?\u1045?\u1058?\u1040?"/>
    <w:docVar w:name="LW_TYPEACTEPRINCIPAL.CP" w:val="\u1055?\u1088?\u1077?\u1076?\u1083?\u1086?\u1078?\u1077?\u1085?\u1080?\u1077? \u1079?\u1072?_x000b__x000b_\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Deleted">
    <w:name w:val="CR Minor Change Deleted"/>
    <w:basedOn w:val="DefaultParagraphFont"/>
    <w:rPr>
      <w:strike w:val="0"/>
      <w:dstrike/>
      <w:noProof w:val="0"/>
      <w:u w:val="double"/>
    </w:rPr>
  </w:style>
  <w:style w:type="character" w:customStyle="1" w:styleId="CRMinorChangeAdded">
    <w:name w:val="CR Minor Change Added"/>
    <w:basedOn w:val="DefaultParagraphFont"/>
    <w:rPr>
      <w:noProof w:val="0"/>
      <w:u w:val="double"/>
    </w:rPr>
  </w:style>
  <w:style w:type="character" w:customStyle="1" w:styleId="CRDeleted">
    <w:name w:val="CR Deleted"/>
    <w:basedOn w:val="DefaultParagraphFont"/>
    <w:rPr>
      <w:strike w:val="0"/>
      <w:dstrike/>
      <w:noProof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ListNumber">
    <w:name w:val="List Number"/>
    <w:basedOn w:val="Normal"/>
    <w:uiPriority w:val="99"/>
    <w:semiHidden/>
    <w:unhideWhenUsed/>
    <w:pPr>
      <w:numPr>
        <w:numId w:val="5"/>
      </w:numPr>
      <w:contextualSpacing/>
    </w:pPr>
    <w:rPr>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Deleted">
    <w:name w:val="CR Minor Change Deleted"/>
    <w:basedOn w:val="DefaultParagraphFont"/>
    <w:rPr>
      <w:strike w:val="0"/>
      <w:dstrike/>
      <w:noProof w:val="0"/>
      <w:u w:val="double"/>
    </w:rPr>
  </w:style>
  <w:style w:type="character" w:customStyle="1" w:styleId="CRMinorChangeAdded">
    <w:name w:val="CR Minor Change Added"/>
    <w:basedOn w:val="DefaultParagraphFont"/>
    <w:rPr>
      <w:noProof w:val="0"/>
      <w:u w:val="double"/>
    </w:rPr>
  </w:style>
  <w:style w:type="character" w:customStyle="1" w:styleId="CRDeleted">
    <w:name w:val="CR Deleted"/>
    <w:basedOn w:val="DefaultParagraphFont"/>
    <w:rPr>
      <w:strike w:val="0"/>
      <w:dstrike/>
      <w:noProof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ListNumber">
    <w:name w:val="List Number"/>
    <w:basedOn w:val="Normal"/>
    <w:uiPriority w:val="99"/>
    <w:semiHidden/>
    <w:unhideWhenUsed/>
    <w:pPr>
      <w:numPr>
        <w:numId w:val="5"/>
      </w:numPr>
      <w:contextualSpacing/>
    </w:pPr>
    <w:rPr>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E8B592C-8FC9-4FEF-BF30-F0FB5ECE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55</Pages>
  <Words>18646</Words>
  <Characters>109640</Characters>
  <Application>Microsoft Office Word</Application>
  <DocSecurity>0</DocSecurity>
  <Lines>2674</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Martina (SJ)</dc:creator>
  <cp:keywords/>
  <dc:description/>
  <cp:lastModifiedBy>WES PDFC Administrator</cp:lastModifiedBy>
  <cp:revision>9</cp:revision>
  <cp:lastPrinted>2019-06-26T12:37:00Z</cp:lastPrinted>
  <dcterms:created xsi:type="dcterms:W3CDTF">2019-08-29T08:47:00Z</dcterms:created>
  <dcterms:modified xsi:type="dcterms:W3CDTF">2020-02-05T09:21:00Z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False</vt:lpwstr>
  </property>
  <property fmtid="{D5CDD505-2E9C-101B-9397-08002B2CF9AE}" pid="14" name="DQCStatus">
    <vt:lpwstr>Green (DQC version 03)</vt:lpwstr>
  </property>
</Properties>
</file>