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746E02AC-2857-41E9-9FBA-CF5AE4639E81" style="width:450.75pt;height:406.15pt">
            <v:imagedata r:id="rId11" o:title=""/>
          </v:shape>
        </w:pict>
      </w:r>
    </w:p>
    <w:p>
      <w:pPr>
        <w:rPr>
          <w:noProof/>
        </w:rPr>
        <w:sectPr>
          <w:footerReference w:type="default" r:id="rId12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до решение за установяване на позицията, която трябва да се заеме от името на Съюза в рамките на Съвместния комитет за митническо сътрудничество Европейски съюз — Нова Зеландия във връзка с предвиденото решение за приемане на неговия процедурен правилник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Споразумението между Европейския съюз и Нова Зеландия за сътрудничество и административна взаимопомощ в митническата област</w:t>
      </w:r>
    </w:p>
    <w:p>
      <w:pPr>
        <w:rPr>
          <w:rFonts w:eastAsia="Arial Unicode MS"/>
          <w:noProof/>
        </w:rPr>
      </w:pPr>
      <w:r>
        <w:rPr>
          <w:noProof/>
        </w:rPr>
        <w:t>Споразумението между Европейския съюз и Нова Зеландия за сътрудничество и административна взаимопомощ в митническата област („споразумението“) има за цел да допринесе за развитието на законната търговия между двете страни чрез създаване на по-сигурна и по-благоприятна за търговията среда, тъй като съответните митнически органи ще обменят повече информация, за да гарантират правилното прилагане на митническото законодателство съгласно споразумението. Споразумението влезе в сила на 1 май 2018 г</w:t>
      </w:r>
      <w:r>
        <w:t>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Съвместен комитет за митническо сътрудничество</w:t>
      </w:r>
    </w:p>
    <w:p>
      <w:pPr>
        <w:rPr>
          <w:rFonts w:eastAsia="Arial Unicode MS"/>
          <w:noProof/>
        </w:rPr>
      </w:pPr>
      <w:r>
        <w:rPr>
          <w:noProof/>
        </w:rPr>
        <w:t>Съвместният комитет за митническо сътрудничество (СКМС), създаден съгласно член 20, параграф 1 от споразумението, трябва да следи за правилното функциониране и прилагане на споразумението. За тази цел СКМС може да предприема действия и да приема решения по въпросите, определени в член 20 от споразумението. С член 20, параграф 2, буква д) от споразумението на СКМС се предоставя правомощието да приема свой процедурен правилник.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Предвиденият акт на Съвместния комитет за митническо сътрудничество</w:t>
      </w:r>
    </w:p>
    <w:p>
      <w:pPr>
        <w:rPr>
          <w:rFonts w:eastAsia="Arial Unicode MS"/>
          <w:noProof/>
        </w:rPr>
      </w:pPr>
      <w:r>
        <w:rPr>
          <w:noProof/>
        </w:rPr>
        <w:t>По време на второто си заседание, планирано за първата седмица на март 2020 г., и при спазване на процеса на вземане на решения на ЕС, СКМС трябва да приеме решение относно своя процедурен правилник („предвидения акт“).</w:t>
      </w:r>
    </w:p>
    <w:p>
      <w:pPr>
        <w:rPr>
          <w:rFonts w:eastAsia="Arial Unicode MS"/>
          <w:noProof/>
        </w:rPr>
      </w:pPr>
      <w:r>
        <w:rPr>
          <w:noProof/>
        </w:rPr>
        <w:t>Целта на предвидения акт е да се определят работните механизми на СКМС по отношение на неговата дейност за прилагане на споразумението в съответствие с член 20 от споразумението. По своята същност процедурният правилник на Съвместния комитет, поместен в приложението към настоящото решение, е много сходен с приеманите от съвместните комитети, създадени по силата на други споразумения за митническо сътрудничество и търговия. Приемането на настоящия документ е от съществено значение за гладкото функциониране и прилагане на споразумението.</w:t>
      </w:r>
    </w:p>
    <w:p>
      <w:pPr>
        <w:rPr>
          <w:noProof/>
        </w:rPr>
      </w:pPr>
      <w:r>
        <w:rPr>
          <w:noProof/>
        </w:rPr>
        <w:t>Между 17 декември 2019 г. и 8 януари 2020 г. Комисията проведе неофициални консултации относно предвидения акт с Експертната група по митнически въпроси — отдел по международни митнически въпроси. Комисията взе предвид получените коментари.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Позицията, която трябва да се заеме от името на Съюза</w:t>
      </w:r>
    </w:p>
    <w:p>
      <w:pPr>
        <w:rPr>
          <w:rFonts w:eastAsia="Arial Unicode MS"/>
          <w:noProof/>
        </w:rPr>
      </w:pPr>
      <w:r>
        <w:rPr>
          <w:noProof/>
        </w:rPr>
        <w:t>С настоящото предложение за решение на Съвета се установява позицията, която трябва да се заеме от името на Съюза в рамките на СКМС, създаден със споразумението, по отношение на приемането на процедурния правилник на СКМС.</w:t>
      </w:r>
    </w:p>
    <w:p>
      <w:pPr>
        <w:rPr>
          <w:rFonts w:eastAsia="Arial Unicode MS"/>
          <w:noProof/>
        </w:rPr>
      </w:pPr>
      <w:r>
        <w:rPr>
          <w:noProof/>
        </w:rPr>
        <w:lastRenderedPageBreak/>
        <w:t>Страните по споразумението се съгласиха да приемат проекта за документ, съдържащ се в приложението към настоящото решение.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дейността на съответния орган. То включва и инструментите, които нямат задължителен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СКМС е орган, създаден със споразумение, а именно Споразумението между Европейския съюз и Нова Зеландия за сътрудничество и административна взаимопомощ в митническата област</w:t>
      </w:r>
      <w:r>
        <w:t>.</w:t>
      </w:r>
    </w:p>
    <w:p>
      <w:pPr>
        <w:rPr>
          <w:noProof/>
        </w:rPr>
      </w:pPr>
      <w:r>
        <w:rPr>
          <w:noProof/>
        </w:rPr>
        <w:t>Актът, който Съвместният комитет има за задача да приеме, представлява акт с правно действие. Предвиденият акт ще бъде обвързващ съгласно международното право в съответствие с член 20, параграф 2, буква д) от споразумението, тъй като процедурният правилник ще повлияе на начина, по който се вземат решенията в СКМС.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 218, параграф 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 218, параграф 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общата търговска политика.</w:t>
      </w:r>
    </w:p>
    <w:p>
      <w:pPr>
        <w:rPr>
          <w:i/>
          <w:noProof/>
        </w:rPr>
      </w:pPr>
      <w:r>
        <w:rPr>
          <w:noProof/>
        </w:rPr>
        <w:lastRenderedPageBreak/>
        <w:t>Поради това материалноправното основание за предложеното решение е член 207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 207</w:t>
      </w:r>
      <w:r>
        <w:t xml:space="preserve"> </w:t>
      </w:r>
      <w:r>
        <w:rPr>
          <w:noProof/>
        </w:rPr>
        <w:t>от ДФЕС във връзка с член 218, параграф 9 от ДФЕС.</w:t>
      </w:r>
    </w:p>
    <w:p>
      <w:pPr>
        <w:rPr>
          <w:noProof/>
        </w:rPr>
        <w:sectPr>
          <w:footerReference w:type="default" r:id="rId13"/>
          <w:footerReference w:type="first" r:id="rId14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2020/0025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Съвместния комитет за митническо сътрудничество, създаден съгласно Споразумението между Европейския съюз и Нова Зеландия за сътрудничество и административна взаимопомощ в митническата област, по отношение на приемането на вътрешния процедурен правилник на Съвместния комитет за митническо сътрудничество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207</w:t>
      </w:r>
      <w:r>
        <w:t xml:space="preserve"> </w:t>
      </w:r>
      <w:r>
        <w:rPr>
          <w:noProof/>
        </w:rPr>
        <w:t>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между Европейския съюз и Нова Зеландия за сътрудничество и административна взаимопомощ в митническата област („споразумението“) бе сключено от Съюза с решение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и влезе в сила на 1 май 2018 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Съгласно член 20, параграф 2, буква д) от споразумението Съвместният комитет за митническо сътрудничество, създаден по силата на член 20, параграф 1 от споразумението, приема свой вътрешен процедурен правилник.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в рамките на Съвместния комитет за митническо сътрудничество</w:t>
      </w:r>
      <w:r>
        <w:t>,</w:t>
      </w:r>
      <w:r>
        <w:rPr>
          <w:noProof/>
        </w:rPr>
        <w:t xml:space="preserve"> тъй като решението ще бъде обвързващо за Съюза,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Съвместния комитет за митническо сътрудничество, създаден съгласно Споразумението между Европейския съюз и Нова Зеландия за сътрудничество и административна взаимопомощ в митническата област, по отношение на приемането на вътрешния процедурен правилник на Съвместния комитет за митническо сътрудничество се основава на проекторешението на последния, приложено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keepNext/>
        <w:keepLines/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от 7 октомври 2014 г., Германия/Съвет, C-399/12, ECLI:EU:C:2014:2258, т. 61—64.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101, 20.4.2018 г., стр.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052BF5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A0063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1569F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610FBA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DD44B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4FCC9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11272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1281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02-13 09:33:3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46E02AC-2857-41E9-9FBA-CF5AE4639E81"/>
    <w:docVar w:name="LW_COVERPAGE_TYPE" w:val="1"/>
    <w:docVar w:name="LW_CROSSREFERENCE" w:val="&lt;UNUSED&gt;"/>
    <w:docVar w:name="LW_DocType" w:val="COM"/>
    <w:docVar w:name="LW_EMISSION" w:val="14.2.2020"/>
    <w:docVar w:name="LW_EMISSION_ISODATE" w:val="2020-02-14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25"/>
    <w:docVar w:name="LW_REF.II.NEW.CP_YEAR" w:val="2020"/>
    <w:docVar w:name="LW_REF.INST.NEW" w:val="COM"/>
    <w:docVar w:name="LW_REF.INST.NEW_ADOPTED" w:val="final"/>
    <w:docVar w:name="LW_REF.INST.NEW_TEXT" w:val="(2020) 5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79?\u1072? \u1084?\u1080?\u1090?\u1085?\u1080?\u1095?\u1077?\u1089?\u1082?\u1086? \u1089?\u1098?\u1090?\u1088?\u1091?\u1076?\u1085?\u1080?\u1095?\u1077?\u1089?\u1090?\u1074?\u1086?, \u1089?\u1098?\u1079?\u1076?\u1072?\u1076?\u1077?\u1085? \u1089?\u1098?\u1075?\u1083?\u1072?\u1089?\u1085?\u1086? \u1057?\u1087?\u1086?\u1088?\u1072?\u1079?\u1091?\u1084?\u1077?\u1085?\u1080?\u1077?\u1090?\u1086? \u1084?\u1077?\u1078?\u1076?\u1091? \u1045?\u1074?\u1088?\u1086?\u1087?\u1077?\u1081?\u1089?\u1082?\u1080?\u1103? \u1089?\u1098?\u1102?\u1079? \u1080? \u1053?\u1086?\u1074?\u1072? \u1047?\u1077?\u1083?\u1072?\u1085?\u1076?\u1080?\u1103? \u1079?\u1072? \u1089?\u1098?\u1090?\u1088?\u1091?\u1076?\u1085?\u1080?\u1095?\u1077?\u1089?\u1090?\u1074?\u1086? \u1080? \u1072?\u1076?\u1084?\u1080?\u1085?\u1080?\u1089?\u1090?\u1088?\u1072?\u1090?\u1080?\u1074?\u1085?\u1072? \u1074?\u1079?\u1072?\u1080?\u1084?\u1086?\u1087?\u1086?\u1084?\u1086?\u1097? \u1074? \u1084?\u1080?\u1090?\u1085?\u1080?\u1095?\u1077?\u1089?\u1082?\u1072?\u1090?\u1072? \u1086?\u1073?\u1083?\u1072?\u1089?\u1090?, \u1087?\u1086? \u1086?\u1090?\u1085?\u1086?\u1096?\u1077?\u1085?\u1080?\u1077? \u1085?\u1072? \u1087?\u1088?\u1080?\u1077?\u1084?\u1072?\u1085?\u1077?\u1090?\u1086? \u1085?\u1072? \u1074?\u1098?\u1090?\u1088?\u1077?\u1096?\u1085?\u1080?\u1103? \u1087?\u1088?\u1086?\u1094?\u1077?\u1076?\u1091?\u1088?\u1077?\u1085? \u1087?\u1088?\u1072?\u1074?\u1080?\u1083?\u1085?\u1080?\u1082? \u1085?\u1072? \u1057?\u1098?\u1074?\u1084?\u1077?\u1089?\u1090?\u1085?\u1080?\u1103? \u1082?\u1086?\u1084?\u1080?\u1090?\u1077?\u1090? \u1079?\u1072? \u1084?\u1080?\u1090?\u1085?\u1080?\u1095?\u1077?\u1089?\u1082?\u1086? \u1089?\u1098?\u1090?\u1088?\u1091?\u1076?\u1085?\u1080?\u1095?\u1077?\u1089?\u1090?\u1074?\u1086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5206B88E52D4B80A3A75AEE04D35B" ma:contentTypeVersion="1" ma:contentTypeDescription="Create a new document." ma:contentTypeScope="" ma:versionID="3d4672d1dfe1f4e36bb37a23df3e44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F11B71-CA4F-4656-BA90-AA10E1A38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CA865-D784-4B35-9347-E04E39F88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58BA0-7AB5-484B-B2EB-C1637A48D490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1064</Words>
  <Characters>6324</Characters>
  <Application>Microsoft Office Word</Application>
  <DocSecurity>0</DocSecurity>
  <Lines>126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19</cp:revision>
  <cp:lastPrinted>2019-12-13T14:38:00Z</cp:lastPrinted>
  <dcterms:created xsi:type="dcterms:W3CDTF">2020-02-12T09:42:00Z</dcterms:created>
  <dcterms:modified xsi:type="dcterms:W3CDTF">2020-02-13T08:33:00Z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ContentTypeId">
    <vt:lpwstr>0x010100EFB5206B88E52D4B80A3A75AEE04D35B</vt:lpwstr>
  </property>
  <property fmtid="{D5CDD505-2E9C-101B-9397-08002B2CF9AE}" pid="11" name="DQCStatus">
    <vt:lpwstr>Green (DQC version 03)</vt:lpwstr>
  </property>
</Properties>
</file>