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2F" w:rsidRDefault="0015791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7A60631-15A1-455E-A2BC-38D0C78EA399" style="width:450.75pt;height:333.75pt">
            <v:imagedata r:id="rId8" o:title=""/>
          </v:shape>
        </w:pict>
      </w:r>
    </w:p>
    <w:bookmarkEnd w:id="0"/>
    <w:p w:rsidR="00503A2F" w:rsidRDefault="00503A2F">
      <w:pPr>
        <w:rPr>
          <w:noProof/>
          <w:sz w:val="24"/>
          <w:szCs w:val="24"/>
        </w:rPr>
        <w:sectPr w:rsidR="00503A2F">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rsidR="00503A2F" w:rsidRDefault="0015791B">
      <w:pP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lastRenderedPageBreak/>
        <w:t xml:space="preserve">Засилване на процеса на разширяване – надеждна перспектива за членство в ЕС за Западните Балкани  </w:t>
      </w:r>
    </w:p>
    <w:p w:rsidR="00503A2F" w:rsidRDefault="00503A2F">
      <w:pPr>
        <w:spacing w:after="120" w:line="240" w:lineRule="auto"/>
        <w:rPr>
          <w:rFonts w:ascii="Times New Roman" w:hAnsi="Times New Roman" w:cs="Times New Roman"/>
          <w:b/>
          <w:noProof/>
          <w:sz w:val="24"/>
          <w:szCs w:val="24"/>
          <w:u w:val="single"/>
        </w:rPr>
      </w:pPr>
    </w:p>
    <w:p w:rsidR="00503A2F" w:rsidRDefault="0015791B">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Въведение</w:t>
      </w:r>
    </w:p>
    <w:p w:rsidR="00503A2F" w:rsidRDefault="00503A2F">
      <w:pPr>
        <w:spacing w:after="120" w:line="240" w:lineRule="auto"/>
        <w:jc w:val="both"/>
        <w:rPr>
          <w:rFonts w:ascii="Times New Roman" w:hAnsi="Times New Roman" w:cs="Times New Roman"/>
          <w:noProof/>
          <w:sz w:val="24"/>
          <w:szCs w:val="24"/>
        </w:rPr>
      </w:pPr>
    </w:p>
    <w:p w:rsidR="00503A2F" w:rsidRDefault="0015791B">
      <w:pPr>
        <w:spacing w:after="120" w:line="240" w:lineRule="auto"/>
        <w:jc w:val="both"/>
        <w:rPr>
          <w:rFonts w:ascii="Times New Roman" w:eastAsia="Calibri" w:hAnsi="Times New Roman" w:cs="Times New Roman"/>
          <w:iCs/>
          <w:noProof/>
          <w:sz w:val="24"/>
          <w:szCs w:val="24"/>
        </w:rPr>
      </w:pPr>
      <w:r>
        <w:rPr>
          <w:rFonts w:ascii="Times New Roman" w:hAnsi="Times New Roman"/>
          <w:noProof/>
          <w:sz w:val="24"/>
          <w:szCs w:val="24"/>
        </w:rPr>
        <w:t xml:space="preserve">От срещите на върха във Фейра през 2000 г. и в Солун през 2003 г. насам Европейският съюз и неговите държави членки непрестанно изразяват </w:t>
      </w:r>
      <w:r>
        <w:rPr>
          <w:rFonts w:ascii="Times New Roman" w:hAnsi="Times New Roman"/>
          <w:b/>
          <w:bCs/>
          <w:noProof/>
          <w:sz w:val="24"/>
          <w:szCs w:val="24"/>
        </w:rPr>
        <w:t>недвусмислената си подкрепа за европейската перспектива на Западните Балкани.</w:t>
      </w:r>
      <w:r>
        <w:rPr>
          <w:rFonts w:ascii="Times New Roman" w:hAnsi="Times New Roman"/>
          <w:noProof/>
          <w:sz w:val="24"/>
          <w:szCs w:val="24"/>
        </w:rPr>
        <w:t xml:space="preserve"> В заключенията си, приети през юни 2019 </w:t>
      </w:r>
      <w:r>
        <w:rPr>
          <w:rFonts w:ascii="Times New Roman" w:hAnsi="Times New Roman"/>
          <w:noProof/>
          <w:sz w:val="24"/>
          <w:szCs w:val="24"/>
        </w:rPr>
        <w:t xml:space="preserve">г., Съветът по общи въпроси отново подчерта </w:t>
      </w:r>
      <w:r>
        <w:rPr>
          <w:rFonts w:ascii="Times New Roman" w:hAnsi="Times New Roman"/>
          <w:i/>
          <w:noProof/>
          <w:sz w:val="24"/>
          <w:szCs w:val="24"/>
        </w:rPr>
        <w:t>„</w:t>
      </w:r>
      <w:r>
        <w:rPr>
          <w:rFonts w:ascii="Times New Roman" w:hAnsi="Times New Roman"/>
          <w:bCs/>
          <w:i/>
          <w:noProof/>
          <w:sz w:val="24"/>
          <w:szCs w:val="24"/>
        </w:rPr>
        <w:t>своята</w:t>
      </w:r>
      <w:r>
        <w:rPr>
          <w:rFonts w:ascii="Times New Roman" w:hAnsi="Times New Roman"/>
          <w:b/>
          <w:bCs/>
          <w:i/>
          <w:noProof/>
          <w:sz w:val="24"/>
          <w:szCs w:val="24"/>
        </w:rPr>
        <w:t xml:space="preserve"> ангажираност с разширяването</w:t>
      </w:r>
      <w:r>
        <w:rPr>
          <w:rFonts w:ascii="Times New Roman" w:hAnsi="Times New Roman"/>
          <w:i/>
          <w:noProof/>
          <w:sz w:val="24"/>
          <w:szCs w:val="24"/>
        </w:rPr>
        <w:t xml:space="preserve">, което продължава да бъде политика от ключово значение за Европейския съюз, в съответствие с подновения консенсус относно разширяването, одобрен от Европейския съвет на 14 и </w:t>
      </w:r>
      <w:r>
        <w:rPr>
          <w:rFonts w:ascii="Times New Roman" w:hAnsi="Times New Roman"/>
          <w:i/>
          <w:noProof/>
          <w:sz w:val="24"/>
          <w:szCs w:val="24"/>
        </w:rPr>
        <w:t>15 декември 2006 г. и последващите заключения на Съвета.“</w:t>
      </w:r>
      <w:r>
        <w:rPr>
          <w:rFonts w:ascii="Times New Roman" w:hAnsi="Times New Roman"/>
          <w:iCs/>
          <w:noProof/>
          <w:sz w:val="24"/>
          <w:szCs w:val="24"/>
        </w:rPr>
        <w:t xml:space="preserve"> На заседанието на Съвета през ноември 2019 г. беше налице общо разбиране за ползата да се разгледа ефективността на процеса на преговори за присъединяване. </w:t>
      </w:r>
    </w:p>
    <w:p w:rsidR="00503A2F" w:rsidRDefault="0015791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Тази </w:t>
      </w:r>
      <w:r>
        <w:rPr>
          <w:rFonts w:ascii="Times New Roman" w:hAnsi="Times New Roman"/>
          <w:b/>
          <w:noProof/>
          <w:sz w:val="24"/>
          <w:szCs w:val="24"/>
        </w:rPr>
        <w:t>сигурна, основана на заслуги перспек</w:t>
      </w:r>
      <w:r>
        <w:rPr>
          <w:rFonts w:ascii="Times New Roman" w:hAnsi="Times New Roman"/>
          <w:b/>
          <w:noProof/>
          <w:sz w:val="24"/>
          <w:szCs w:val="24"/>
        </w:rPr>
        <w:t>тива за пълноправно членство в ЕС</w:t>
      </w:r>
      <w:r>
        <w:rPr>
          <w:rFonts w:ascii="Times New Roman" w:hAnsi="Times New Roman"/>
          <w:noProof/>
          <w:sz w:val="24"/>
          <w:szCs w:val="24"/>
        </w:rPr>
        <w:t xml:space="preserve"> за Западните Балкани е изцяло в интерес на Съюза от политическа и икономическа гледна точка и от гледна точка на сигурността. Във време на нарастващи световни предизвикателства и разделения тази перспектива продължава пове</w:t>
      </w:r>
      <w:r>
        <w:rPr>
          <w:rFonts w:ascii="Times New Roman" w:hAnsi="Times New Roman"/>
          <w:noProof/>
          <w:sz w:val="24"/>
          <w:szCs w:val="24"/>
        </w:rPr>
        <w:t xml:space="preserve">че от всякога да бъде </w:t>
      </w:r>
      <w:r>
        <w:rPr>
          <w:rFonts w:ascii="Times New Roman" w:hAnsi="Times New Roman"/>
          <w:b/>
          <w:noProof/>
          <w:sz w:val="24"/>
          <w:szCs w:val="24"/>
        </w:rPr>
        <w:t>геостратегическа инвестиция</w:t>
      </w:r>
      <w:r>
        <w:rPr>
          <w:rFonts w:ascii="Times New Roman" w:hAnsi="Times New Roman"/>
          <w:noProof/>
          <w:sz w:val="24"/>
          <w:szCs w:val="24"/>
        </w:rPr>
        <w:t xml:space="preserve"> в една стабилна, силна и обединена Европа. Надеждният процес на присъединяване е ключов стимул и фактор за промени в региона, заздравявайки общата ни сигурност и засилвайки просперитета ни. Тя е важен инстр</w:t>
      </w:r>
      <w:r>
        <w:rPr>
          <w:rFonts w:ascii="Times New Roman" w:hAnsi="Times New Roman"/>
          <w:noProof/>
          <w:sz w:val="24"/>
          <w:szCs w:val="24"/>
        </w:rPr>
        <w:t>умент за насърчаване на демокрацията, върховенството на закона и зачитането на основните права, които са и основните двигатели на икономическата интеграция и жизненоважни фактори за стимулиране на помирението и стабилността в региона. Поради това запазване</w:t>
      </w:r>
      <w:r>
        <w:rPr>
          <w:rFonts w:ascii="Times New Roman" w:hAnsi="Times New Roman"/>
          <w:noProof/>
          <w:sz w:val="24"/>
          <w:szCs w:val="24"/>
        </w:rPr>
        <w:t xml:space="preserve">то и засилването на тази политика са абсолютно необходими за </w:t>
      </w:r>
      <w:r>
        <w:rPr>
          <w:rFonts w:ascii="Times New Roman" w:hAnsi="Times New Roman"/>
          <w:b/>
          <w:noProof/>
          <w:sz w:val="24"/>
          <w:szCs w:val="24"/>
        </w:rPr>
        <w:t>доверието в ЕС, за неговия успех и за влиянието му в региона и отвъд него</w:t>
      </w:r>
      <w:r>
        <w:rPr>
          <w:rFonts w:ascii="Times New Roman" w:hAnsi="Times New Roman"/>
          <w:noProof/>
          <w:sz w:val="24"/>
          <w:szCs w:val="24"/>
        </w:rPr>
        <w:t xml:space="preserve"> — особено във време на засилена геополитическа конкуренция.  </w:t>
      </w:r>
    </w:p>
    <w:p w:rsidR="00503A2F" w:rsidRDefault="0015791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При все това обаче е ясно, че </w:t>
      </w:r>
      <w:r>
        <w:rPr>
          <w:rFonts w:ascii="Times New Roman" w:hAnsi="Times New Roman"/>
          <w:b/>
          <w:noProof/>
          <w:sz w:val="24"/>
          <w:szCs w:val="24"/>
        </w:rPr>
        <w:t xml:space="preserve">цялостният процес на </w:t>
      </w:r>
      <w:r>
        <w:rPr>
          <w:rFonts w:ascii="Times New Roman" w:hAnsi="Times New Roman"/>
          <w:b/>
          <w:noProof/>
          <w:sz w:val="24"/>
          <w:szCs w:val="24"/>
        </w:rPr>
        <w:t>присъединяване и протичането му трябва да станат по-ефективни</w:t>
      </w:r>
      <w:r>
        <w:rPr>
          <w:rFonts w:ascii="Times New Roman" w:hAnsi="Times New Roman"/>
          <w:noProof/>
          <w:sz w:val="24"/>
          <w:szCs w:val="24"/>
        </w:rPr>
        <w:t xml:space="preserve">. Стратегическата насоченост на политиката продължава да бъде по-основателна от всякога, но тази политика трябва да получи по-силен тласък на място. </w:t>
      </w:r>
    </w:p>
    <w:p w:rsidR="00503A2F" w:rsidRDefault="0015791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Въпреки последователните реформи, като наприм</w:t>
      </w:r>
      <w:r>
        <w:rPr>
          <w:rFonts w:ascii="Times New Roman" w:hAnsi="Times New Roman"/>
          <w:noProof/>
          <w:sz w:val="24"/>
          <w:szCs w:val="24"/>
        </w:rPr>
        <w:t>ер новия подход към върховенството на закона, акцента върху основните въпроси и подобренията в контекста на Стратегията на Комисията за Западните Балкани от 2018 г.</w:t>
      </w:r>
      <w:r>
        <w:rPr>
          <w:rStyle w:val="FootnoteReference"/>
          <w:noProof/>
          <w:sz w:val="24"/>
          <w:szCs w:val="24"/>
        </w:rPr>
        <w:footnoteReference w:id="2"/>
      </w:r>
      <w:r>
        <w:rPr>
          <w:rFonts w:ascii="Times New Roman" w:hAnsi="Times New Roman"/>
          <w:noProof/>
          <w:sz w:val="24"/>
          <w:szCs w:val="24"/>
        </w:rPr>
        <w:t xml:space="preserve">, процесът се нуждае от по-добри инструменти за справяне със </w:t>
      </w:r>
      <w:r>
        <w:rPr>
          <w:rFonts w:ascii="Times New Roman" w:hAnsi="Times New Roman"/>
          <w:b/>
          <w:noProof/>
          <w:sz w:val="24"/>
          <w:szCs w:val="24"/>
        </w:rPr>
        <w:t>структурните слабости</w:t>
      </w:r>
      <w:r>
        <w:rPr>
          <w:rFonts w:ascii="Times New Roman" w:hAnsi="Times New Roman"/>
          <w:noProof/>
          <w:sz w:val="24"/>
          <w:szCs w:val="24"/>
        </w:rPr>
        <w:t xml:space="preserve"> в държав</w:t>
      </w:r>
      <w:r>
        <w:rPr>
          <w:rFonts w:ascii="Times New Roman" w:hAnsi="Times New Roman"/>
          <w:noProof/>
          <w:sz w:val="24"/>
          <w:szCs w:val="24"/>
        </w:rPr>
        <w:t xml:space="preserve">ите, особено в сферите от основно значение. </w:t>
      </w:r>
    </w:p>
    <w:p w:rsidR="00503A2F" w:rsidRDefault="0015791B">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От огромно значение е </w:t>
      </w:r>
      <w:r>
        <w:rPr>
          <w:rFonts w:ascii="Times New Roman" w:hAnsi="Times New Roman"/>
          <w:b/>
          <w:noProof/>
          <w:sz w:val="24"/>
          <w:szCs w:val="24"/>
        </w:rPr>
        <w:t>да се установи по-голямо доверие между всички участници</w:t>
      </w:r>
      <w:r>
        <w:rPr>
          <w:rFonts w:ascii="Times New Roman" w:hAnsi="Times New Roman"/>
          <w:noProof/>
          <w:sz w:val="24"/>
          <w:szCs w:val="24"/>
        </w:rPr>
        <w:t xml:space="preserve">, да се засили </w:t>
      </w:r>
      <w:r>
        <w:rPr>
          <w:rFonts w:ascii="Times New Roman" w:hAnsi="Times New Roman"/>
          <w:b/>
          <w:noProof/>
          <w:sz w:val="24"/>
          <w:szCs w:val="24"/>
        </w:rPr>
        <w:t xml:space="preserve">процесът на присъединяване и да се повиши ефективността му. </w:t>
      </w:r>
      <w:r>
        <w:rPr>
          <w:rFonts w:ascii="Times New Roman" w:hAnsi="Times New Roman"/>
          <w:noProof/>
          <w:sz w:val="24"/>
          <w:szCs w:val="24"/>
        </w:rPr>
        <w:t xml:space="preserve">Процесът на присъединяване трябва да стане </w:t>
      </w:r>
      <w:r>
        <w:rPr>
          <w:rFonts w:ascii="Times New Roman" w:hAnsi="Times New Roman"/>
          <w:b/>
          <w:noProof/>
          <w:sz w:val="24"/>
          <w:szCs w:val="24"/>
        </w:rPr>
        <w:t>по-предвидим, по</w:t>
      </w:r>
      <w:r>
        <w:rPr>
          <w:rFonts w:ascii="Times New Roman" w:hAnsi="Times New Roman"/>
          <w:b/>
          <w:noProof/>
          <w:sz w:val="24"/>
          <w:szCs w:val="24"/>
        </w:rPr>
        <w:t>-надежден</w:t>
      </w:r>
      <w:r>
        <w:rPr>
          <w:rFonts w:ascii="Times New Roman" w:hAnsi="Times New Roman"/>
          <w:noProof/>
          <w:sz w:val="24"/>
          <w:szCs w:val="24"/>
        </w:rPr>
        <w:t xml:space="preserve"> — въз основа на обективни критерии, на обвързаност със строги условия с положителни и отрицателни последици и на обратимост, </w:t>
      </w:r>
      <w:r>
        <w:rPr>
          <w:rFonts w:ascii="Times New Roman" w:hAnsi="Times New Roman"/>
          <w:b/>
          <w:noProof/>
          <w:sz w:val="24"/>
          <w:szCs w:val="24"/>
        </w:rPr>
        <w:t>по-динамичен и да подлежи на по-силно политическо насочване.</w:t>
      </w:r>
    </w:p>
    <w:p w:rsidR="00503A2F" w:rsidRDefault="0015791B">
      <w:pPr>
        <w:spacing w:after="120" w:line="240" w:lineRule="auto"/>
        <w:jc w:val="both"/>
        <w:rPr>
          <w:rFonts w:ascii="Times New Roman" w:eastAsia="Calibri" w:hAnsi="Times New Roman" w:cs="Times New Roman"/>
          <w:b/>
          <w:bCs/>
          <w:noProof/>
          <w:sz w:val="24"/>
          <w:szCs w:val="24"/>
        </w:rPr>
      </w:pPr>
      <w:r>
        <w:rPr>
          <w:rFonts w:ascii="Times New Roman" w:hAnsi="Times New Roman"/>
          <w:b/>
          <w:bCs/>
          <w:noProof/>
          <w:sz w:val="24"/>
          <w:szCs w:val="24"/>
        </w:rPr>
        <w:lastRenderedPageBreak/>
        <w:t>Настоящото съобщение съдържа конкретните предложения на Коми</w:t>
      </w:r>
      <w:r>
        <w:rPr>
          <w:rFonts w:ascii="Times New Roman" w:hAnsi="Times New Roman"/>
          <w:b/>
          <w:bCs/>
          <w:noProof/>
          <w:sz w:val="24"/>
          <w:szCs w:val="24"/>
        </w:rPr>
        <w:t>сията</w:t>
      </w:r>
      <w:r>
        <w:rPr>
          <w:rFonts w:ascii="Times New Roman" w:hAnsi="Times New Roman"/>
          <w:noProof/>
          <w:sz w:val="24"/>
          <w:szCs w:val="24"/>
        </w:rPr>
        <w:t xml:space="preserve"> за засилване на цялостния процес на присъединяване. Общата цел на тези предложения е да се повишат надеждността и доверието и при двете страни в процеса и да се постигнат по-добри резултати на място. Предлаганите промени могат да бъдат включени в сег</w:t>
      </w:r>
      <w:r>
        <w:rPr>
          <w:rFonts w:ascii="Times New Roman" w:hAnsi="Times New Roman"/>
          <w:noProof/>
          <w:sz w:val="24"/>
          <w:szCs w:val="24"/>
        </w:rPr>
        <w:t>ашните рамки за водене на преговори, което ще осигури равни условия в региона. Това означава, че рамките за водене на преговори за Сърбия и Черна гора няма да бъдат изменяни, но предлаганите промени биха могли да бъдат включени в сегашните рамки чрез спора</w:t>
      </w:r>
      <w:r>
        <w:rPr>
          <w:rFonts w:ascii="Times New Roman" w:hAnsi="Times New Roman"/>
          <w:noProof/>
          <w:sz w:val="24"/>
          <w:szCs w:val="24"/>
        </w:rPr>
        <w:t>зумение с двете държави.</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Сред основните цели на ангажимента на Европейския съюз по отношение на Западните Балкани е подготвянето на страните от региона за изпълнение на всичките изисквания за членство. Това включва оказване на подкрепа за осъществяването н</w:t>
      </w:r>
      <w:r>
        <w:rPr>
          <w:rFonts w:ascii="Times New Roman" w:hAnsi="Times New Roman"/>
          <w:noProof/>
          <w:sz w:val="24"/>
          <w:szCs w:val="24"/>
        </w:rPr>
        <w:t xml:space="preserve">а </w:t>
      </w:r>
      <w:r>
        <w:rPr>
          <w:rFonts w:ascii="Times New Roman" w:hAnsi="Times New Roman"/>
          <w:b/>
          <w:noProof/>
          <w:sz w:val="24"/>
          <w:szCs w:val="24"/>
        </w:rPr>
        <w:t>основни реформи в сферите на демокрацията, върховенството на закона и икономиката</w:t>
      </w:r>
      <w:r>
        <w:rPr>
          <w:rFonts w:ascii="Times New Roman" w:hAnsi="Times New Roman"/>
          <w:noProof/>
          <w:sz w:val="24"/>
          <w:szCs w:val="24"/>
        </w:rPr>
        <w:t xml:space="preserve"> и за утвърждаването на основните европейски ценности. Тази подкрепа на свой ред ще насърчи стабилния и засилен </w:t>
      </w:r>
      <w:r>
        <w:rPr>
          <w:rFonts w:ascii="Times New Roman" w:hAnsi="Times New Roman"/>
          <w:b/>
          <w:noProof/>
          <w:sz w:val="24"/>
          <w:szCs w:val="24"/>
        </w:rPr>
        <w:t>икономически растеж и социално сближаване</w:t>
      </w:r>
      <w:r>
        <w:rPr>
          <w:rFonts w:ascii="Times New Roman" w:hAnsi="Times New Roman"/>
          <w:noProof/>
          <w:sz w:val="24"/>
          <w:szCs w:val="24"/>
        </w:rPr>
        <w:t xml:space="preserve">. </w:t>
      </w:r>
    </w:p>
    <w:p w:rsidR="00503A2F" w:rsidRDefault="0015791B">
      <w:pPr>
        <w:pStyle w:val="Briefingtext"/>
        <w:spacing w:after="120"/>
        <w:rPr>
          <w:rFonts w:ascii="Times New Roman" w:eastAsia="Calibri" w:hAnsi="Times New Roman" w:cs="Times New Roman"/>
          <w:noProof/>
          <w:sz w:val="24"/>
        </w:rPr>
      </w:pPr>
      <w:r>
        <w:rPr>
          <w:rFonts w:ascii="Times New Roman" w:hAnsi="Times New Roman"/>
          <w:noProof/>
          <w:sz w:val="24"/>
        </w:rPr>
        <w:t xml:space="preserve">Освен това от основно значение за по-голямата ефективност на процеса на присъединяване ще бъде </w:t>
      </w:r>
      <w:r>
        <w:rPr>
          <w:rFonts w:ascii="Times New Roman" w:hAnsi="Times New Roman"/>
          <w:b/>
          <w:noProof/>
          <w:sz w:val="24"/>
        </w:rPr>
        <w:t>стратегическата комуникация</w:t>
      </w:r>
      <w:r>
        <w:rPr>
          <w:rFonts w:ascii="Times New Roman" w:hAnsi="Times New Roman"/>
          <w:noProof/>
          <w:sz w:val="24"/>
        </w:rPr>
        <w:t xml:space="preserve">. Изключително важно е да се повиши осведомеността в региона за възможностите, създавани от по-близката интеграция и реформите, както </w:t>
      </w:r>
      <w:r>
        <w:rPr>
          <w:rFonts w:ascii="Times New Roman" w:hAnsi="Times New Roman"/>
          <w:noProof/>
          <w:sz w:val="24"/>
        </w:rPr>
        <w:t>и да се неутрализира вредното влияние на трети държави. За тази цел е необходимо и самите държави да положат по-убедителни усилия. Публично поетият политически ангажимент на техните власти във връзка със стратегическата цел за присъединяване към ЕС ще бъде</w:t>
      </w:r>
      <w:r>
        <w:rPr>
          <w:rFonts w:ascii="Times New Roman" w:hAnsi="Times New Roman"/>
          <w:noProof/>
          <w:sz w:val="24"/>
        </w:rPr>
        <w:t xml:space="preserve"> по-ясно оценяван в годишните доклади.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Така този стратегически подход ще бъде крайъгълният камък на </w:t>
      </w:r>
      <w:r>
        <w:rPr>
          <w:rFonts w:ascii="Times New Roman" w:hAnsi="Times New Roman"/>
          <w:b/>
          <w:noProof/>
          <w:sz w:val="24"/>
          <w:szCs w:val="24"/>
        </w:rPr>
        <w:t>една ориентирана към бъдещето програма</w:t>
      </w:r>
      <w:r>
        <w:rPr>
          <w:rFonts w:ascii="Times New Roman" w:hAnsi="Times New Roman"/>
          <w:noProof/>
          <w:sz w:val="24"/>
          <w:szCs w:val="24"/>
        </w:rPr>
        <w:t>. Програмата ще подпомогне превръщането на страните от Западните Балкани във функциониращи пазарни икономики, които м</w:t>
      </w:r>
      <w:r>
        <w:rPr>
          <w:rFonts w:ascii="Times New Roman" w:hAnsi="Times New Roman"/>
          <w:noProof/>
          <w:sz w:val="24"/>
          <w:szCs w:val="24"/>
        </w:rPr>
        <w:t>огат да се интегрират пълноценно в единния пазар на ЕС, да създават работни места и възможности за предприемачество, да подобрят средата за бизнес и инвестиции, да утвърждават върховенството на закона и да сложат край на изтичането на мозъци от региона. Те</w:t>
      </w:r>
      <w:r>
        <w:rPr>
          <w:rFonts w:ascii="Times New Roman" w:hAnsi="Times New Roman"/>
          <w:noProof/>
          <w:sz w:val="24"/>
          <w:szCs w:val="24"/>
        </w:rPr>
        <w:t>зи реформи са от основно значение за стимулирането на икономиките на Балканите и за осигуряването на стабилната им връзка с пазарите на ЕС чрез ускоряване на нужното сближаване със Съюза. По-специално Комисията ще анализира как да се даде тласък на инвести</w:t>
      </w:r>
      <w:r>
        <w:rPr>
          <w:rFonts w:ascii="Times New Roman" w:hAnsi="Times New Roman"/>
          <w:noProof/>
          <w:sz w:val="24"/>
          <w:szCs w:val="24"/>
        </w:rPr>
        <w:t xml:space="preserve">циите, социално-икономическата интеграция и прилагането на принципа на върховенство на закона, да подобри достъпа до единния пазар на ЕС, да се увеличи свързаността и да се използват възможностите на зелената икономика. Комисията ще представи съобщение по </w:t>
      </w:r>
      <w:r>
        <w:rPr>
          <w:rFonts w:ascii="Times New Roman" w:hAnsi="Times New Roman"/>
          <w:noProof/>
          <w:sz w:val="24"/>
          <w:szCs w:val="24"/>
        </w:rPr>
        <w:t xml:space="preserve">темата преди срещата на върха в Загреб през май 2020 г. </w:t>
      </w:r>
    </w:p>
    <w:p w:rsidR="00503A2F" w:rsidRDefault="00503A2F">
      <w:pPr>
        <w:spacing w:after="120" w:line="240" w:lineRule="auto"/>
        <w:jc w:val="both"/>
        <w:rPr>
          <w:rFonts w:ascii="Times New Roman" w:hAnsi="Times New Roman" w:cs="Times New Roman"/>
          <w:noProof/>
          <w:sz w:val="24"/>
          <w:szCs w:val="24"/>
        </w:rPr>
      </w:pPr>
    </w:p>
    <w:p w:rsidR="00503A2F" w:rsidRDefault="0015791B">
      <w:pPr>
        <w:pStyle w:val="ListParagraph"/>
        <w:numPr>
          <w:ilvl w:val="0"/>
          <w:numId w:val="6"/>
        </w:numPr>
        <w:spacing w:after="120" w:line="240" w:lineRule="auto"/>
        <w:contextualSpacing w:val="0"/>
        <w:rPr>
          <w:rFonts w:ascii="Times New Roman" w:hAnsi="Times New Roman" w:cs="Times New Roman"/>
          <w:b/>
          <w:noProof/>
          <w:sz w:val="24"/>
          <w:szCs w:val="24"/>
        </w:rPr>
      </w:pPr>
      <w:r>
        <w:rPr>
          <w:rFonts w:ascii="Times New Roman" w:hAnsi="Times New Roman"/>
          <w:b/>
          <w:noProof/>
          <w:sz w:val="24"/>
          <w:szCs w:val="24"/>
        </w:rPr>
        <w:t>Даване на нов тласък на процеса на присъединяване</w:t>
      </w:r>
    </w:p>
    <w:p w:rsidR="00503A2F" w:rsidRDefault="00503A2F">
      <w:pPr>
        <w:pStyle w:val="ListParagraph"/>
        <w:spacing w:after="120" w:line="240" w:lineRule="auto"/>
        <w:ind w:left="1080"/>
        <w:contextualSpacing w:val="0"/>
        <w:rPr>
          <w:rFonts w:ascii="Times New Roman" w:hAnsi="Times New Roman" w:cs="Times New Roman"/>
          <w:b/>
          <w:noProof/>
          <w:sz w:val="24"/>
          <w:szCs w:val="24"/>
          <w:u w:val="single"/>
        </w:rPr>
      </w:pPr>
    </w:p>
    <w:p w:rsidR="00503A2F" w:rsidRDefault="0015791B">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По-голяма надеждност</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може процесът на присъединяване да си възвърне надеждността и за двете страни в него и да бъде използван пълният му поте</w:t>
      </w:r>
      <w:r>
        <w:rPr>
          <w:rFonts w:ascii="Times New Roman" w:hAnsi="Times New Roman"/>
          <w:noProof/>
          <w:sz w:val="24"/>
          <w:szCs w:val="24"/>
        </w:rPr>
        <w:t xml:space="preserve">нциал, той трябва да се основава на стабилно </w:t>
      </w:r>
      <w:r>
        <w:rPr>
          <w:rFonts w:ascii="Times New Roman" w:hAnsi="Times New Roman"/>
          <w:b/>
          <w:noProof/>
          <w:sz w:val="24"/>
          <w:szCs w:val="24"/>
        </w:rPr>
        <w:t xml:space="preserve"> взаимно доверие и поемането на ясни ангажименти от двете страни</w:t>
      </w:r>
      <w:r>
        <w:rPr>
          <w:rFonts w:ascii="Times New Roman" w:hAnsi="Times New Roman"/>
          <w:noProof/>
          <w:sz w:val="24"/>
          <w:szCs w:val="24"/>
        </w:rPr>
        <w:t xml:space="preserve">.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w:t>
      </w:r>
      <w:r>
        <w:rPr>
          <w:rFonts w:ascii="Times New Roman" w:hAnsi="Times New Roman"/>
          <w:b/>
          <w:noProof/>
          <w:sz w:val="24"/>
          <w:szCs w:val="24"/>
        </w:rPr>
        <w:t>означава, че лидерите от Западните Балкани трябва да изпълняват по-убедително ангажимента си</w:t>
      </w:r>
      <w:r>
        <w:rPr>
          <w:rFonts w:ascii="Times New Roman" w:hAnsi="Times New Roman"/>
          <w:noProof/>
          <w:sz w:val="24"/>
          <w:szCs w:val="24"/>
        </w:rPr>
        <w:t xml:space="preserve"> за извършване на необходимите основни реформи,</w:t>
      </w:r>
      <w:r>
        <w:rPr>
          <w:rFonts w:ascii="Times New Roman" w:hAnsi="Times New Roman"/>
          <w:noProof/>
          <w:sz w:val="24"/>
          <w:szCs w:val="24"/>
        </w:rPr>
        <w:t xml:space="preserve"> било то в сферата на върховенството на закона, борбата с корупцията, икономиката, </w:t>
      </w:r>
      <w:r>
        <w:rPr>
          <w:rFonts w:ascii="Times New Roman" w:hAnsi="Times New Roman"/>
          <w:noProof/>
          <w:sz w:val="24"/>
          <w:szCs w:val="24"/>
        </w:rPr>
        <w:lastRenderedPageBreak/>
        <w:t xml:space="preserve">осигуряването на надлежното функциониране на демократичните институции и публичната администрация или привеждането в съответствие в областта на външната политика. Държавите </w:t>
      </w:r>
      <w:r>
        <w:rPr>
          <w:rFonts w:ascii="Times New Roman" w:hAnsi="Times New Roman"/>
          <w:noProof/>
          <w:sz w:val="24"/>
          <w:szCs w:val="24"/>
        </w:rPr>
        <w:t>от ЕС и техните граждани имат основателни притеснения и е необходимо да бъдат убедени в категоричната политическа воля на страните, доказана чрез структурни и осезаеми реформи. Освен това лидерите от Западните Балкани трябва да покажат, че полагат по-голем</w:t>
      </w:r>
      <w:r>
        <w:rPr>
          <w:rFonts w:ascii="Times New Roman" w:hAnsi="Times New Roman"/>
          <w:noProof/>
          <w:sz w:val="24"/>
          <w:szCs w:val="24"/>
        </w:rPr>
        <w:t>и усилия за заздравяване на регионалното сътрудничество и добрите съседски отношения, които ще донесат стабилност и просперитет за гражданите им, като същевременно дадат на ЕС надежден сигнал, че регионът работи за преодоляване на наследството от миналото.</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означава също така, че </w:t>
      </w:r>
      <w:r>
        <w:rPr>
          <w:rFonts w:ascii="Times New Roman" w:hAnsi="Times New Roman"/>
          <w:b/>
          <w:noProof/>
          <w:sz w:val="24"/>
          <w:szCs w:val="24"/>
        </w:rPr>
        <w:t>Европейският съюз трябва да изпълнява непоколебимия си ангажимент за провеждането на процес, основан на заслуги.</w:t>
      </w:r>
      <w:r>
        <w:rPr>
          <w:rFonts w:ascii="Times New Roman" w:hAnsi="Times New Roman"/>
          <w:noProof/>
          <w:sz w:val="24"/>
          <w:szCs w:val="24"/>
        </w:rPr>
        <w:t xml:space="preserve"> Когато партньорските страни изпълнят обективните критерии и определените обективни условия, държавите членки ще да</w:t>
      </w:r>
      <w:r>
        <w:rPr>
          <w:rFonts w:ascii="Times New Roman" w:hAnsi="Times New Roman"/>
          <w:noProof/>
          <w:sz w:val="24"/>
          <w:szCs w:val="24"/>
        </w:rPr>
        <w:t>дат съгласие за преминаване към следващия етап от процеса. Всички страни в процеса трябва да се въздържат от злоупотребяване с неуредените въпроси в процеса на присъединяване към ЕС. В този ред на мисли държавите членки и институциите трябва да имат единна</w:t>
      </w:r>
      <w:r>
        <w:rPr>
          <w:rFonts w:ascii="Times New Roman" w:hAnsi="Times New Roman"/>
          <w:noProof/>
          <w:sz w:val="24"/>
          <w:szCs w:val="24"/>
        </w:rPr>
        <w:t xml:space="preserve"> позиция в региона, като изпращат ясни сигнали за подкрепа и насърчение и говорят ясно и открито за недостатъците, когато се появят такива.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Процесът следва да се подсили чрез поставянето на </w:t>
      </w:r>
      <w:r>
        <w:rPr>
          <w:rFonts w:ascii="Times New Roman" w:hAnsi="Times New Roman"/>
          <w:b/>
          <w:noProof/>
          <w:sz w:val="24"/>
          <w:szCs w:val="24"/>
        </w:rPr>
        <w:t>още по-силен акцент върху основните реформи</w:t>
      </w:r>
      <w:r>
        <w:rPr>
          <w:rFonts w:ascii="Times New Roman" w:hAnsi="Times New Roman"/>
          <w:noProof/>
          <w:sz w:val="24"/>
          <w:szCs w:val="24"/>
        </w:rPr>
        <w:t>, които са от жизнено</w:t>
      </w:r>
      <w:r>
        <w:rPr>
          <w:rFonts w:ascii="Times New Roman" w:hAnsi="Times New Roman"/>
          <w:noProof/>
          <w:sz w:val="24"/>
          <w:szCs w:val="24"/>
        </w:rPr>
        <w:t xml:space="preserve">важно значение за успеха по пътя към членство в ЕС. Тези основни теми ще заемат още по-централно място в преговорите за присъединяване. </w:t>
      </w:r>
      <w:r>
        <w:rPr>
          <w:rFonts w:ascii="Times New Roman" w:hAnsi="Times New Roman"/>
          <w:b/>
          <w:noProof/>
          <w:sz w:val="24"/>
          <w:szCs w:val="24"/>
        </w:rPr>
        <w:t>Преговорите по основните теми ще започнат в самото начало на процеса и ще приключат последни</w:t>
      </w:r>
      <w:r>
        <w:rPr>
          <w:rFonts w:ascii="Times New Roman" w:hAnsi="Times New Roman"/>
          <w:noProof/>
          <w:sz w:val="24"/>
          <w:szCs w:val="24"/>
        </w:rPr>
        <w:t>, а напредъкът по тях ще пре</w:t>
      </w:r>
      <w:r>
        <w:rPr>
          <w:rFonts w:ascii="Times New Roman" w:hAnsi="Times New Roman"/>
          <w:noProof/>
          <w:sz w:val="24"/>
          <w:szCs w:val="24"/>
        </w:rPr>
        <w:t>допределя цялостното темпо на преговорите. Преговорите по основните теми ще бъдат направлявани посредством:</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Използване като критерий за започване на преговорите на глави от </w:t>
      </w:r>
      <w:r>
        <w:rPr>
          <w:rFonts w:ascii="Times New Roman" w:hAnsi="Times New Roman"/>
          <w:b/>
          <w:noProof/>
          <w:sz w:val="24"/>
          <w:szCs w:val="24"/>
        </w:rPr>
        <w:t>пътна карта за върховенството на закона</w:t>
      </w:r>
      <w:r>
        <w:rPr>
          <w:rFonts w:ascii="Times New Roman" w:hAnsi="Times New Roman"/>
          <w:noProof/>
          <w:sz w:val="24"/>
          <w:szCs w:val="24"/>
        </w:rPr>
        <w:t xml:space="preserve">, които ще бъдат еквивалентни на предишните </w:t>
      </w:r>
      <w:r>
        <w:rPr>
          <w:rFonts w:ascii="Times New Roman" w:hAnsi="Times New Roman"/>
          <w:noProof/>
          <w:sz w:val="24"/>
          <w:szCs w:val="24"/>
        </w:rPr>
        <w:t>планове за действие. Определянето на междинни критерии ще продължи. Нито една глава няма да бъде временно затворена, ако не бъдат изпълнени тези критерии.</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Пътна карта за функционирането на демократичните институции</w:t>
      </w:r>
      <w:r>
        <w:rPr>
          <w:rFonts w:ascii="Times New Roman" w:hAnsi="Times New Roman"/>
          <w:noProof/>
          <w:sz w:val="24"/>
          <w:szCs w:val="24"/>
        </w:rPr>
        <w:t xml:space="preserve"> и реформа на публичната администрация.  </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По-тясна връзка с процеса, свързан с програмата за икономически реформи</w:t>
      </w:r>
      <w:r>
        <w:rPr>
          <w:rFonts w:ascii="Times New Roman" w:hAnsi="Times New Roman"/>
          <w:noProof/>
          <w:sz w:val="24"/>
          <w:szCs w:val="24"/>
        </w:rPr>
        <w:t xml:space="preserve">, за да се помогне на страните да изпълнят икономическите критерии.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Освен това Комисията ще засили още мерките, свързани с върховенството на закона и изграждането на институции. Резулт</w:t>
      </w:r>
      <w:r>
        <w:rPr>
          <w:rFonts w:ascii="Times New Roman" w:hAnsi="Times New Roman"/>
          <w:noProof/>
          <w:sz w:val="24"/>
          <w:szCs w:val="24"/>
        </w:rPr>
        <w:t>атите от тези реформи ще бъдат изискване за извършването на по-дълбока секторна интеграция и постигането на цялостен напредък. В допълнение работата във връзка с борбата с корупцията ще бъде рационализирана чрез поставянето на силен акцент върху съответнит</w:t>
      </w:r>
      <w:r>
        <w:rPr>
          <w:rFonts w:ascii="Times New Roman" w:hAnsi="Times New Roman"/>
          <w:noProof/>
          <w:sz w:val="24"/>
          <w:szCs w:val="24"/>
        </w:rPr>
        <w:t>е глави. Подкрепата за регионалното сътрудничество ще продължи с неотслабваща сила. Необходимо е да се предприемат всички усилия за решаване на двустранните спорове, като се обърне специално внимание на водения под егидата на ЕС диалог между Белград и Прищ</w:t>
      </w:r>
      <w:r>
        <w:rPr>
          <w:rFonts w:ascii="Times New Roman" w:hAnsi="Times New Roman"/>
          <w:noProof/>
          <w:sz w:val="24"/>
          <w:szCs w:val="24"/>
        </w:rPr>
        <w:t xml:space="preserve">ина, който следва да приключи с всеобхватно, правнообвързващо споразумение за нормализиране на отношенията. </w:t>
      </w:r>
    </w:p>
    <w:p w:rsidR="0015791B" w:rsidRDefault="0015791B">
      <w:pPr>
        <w:rPr>
          <w:rFonts w:ascii="Times New Roman" w:hAnsi="Times New Roman" w:cs="Times New Roman"/>
          <w:noProof/>
          <w:sz w:val="24"/>
          <w:szCs w:val="24"/>
        </w:rPr>
      </w:pPr>
      <w:r>
        <w:rPr>
          <w:rFonts w:ascii="Times New Roman" w:hAnsi="Times New Roman" w:cs="Times New Roman"/>
          <w:noProof/>
          <w:sz w:val="24"/>
          <w:szCs w:val="24"/>
        </w:rPr>
        <w:br w:type="page"/>
      </w:r>
    </w:p>
    <w:p w:rsidR="00503A2F" w:rsidRDefault="0015791B">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lastRenderedPageBreak/>
        <w:t>По-силно политическо насочване</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Присъединяването към Европейския съюз е процес, който изисква и подпомага извършването на фундаментални реформи и н</w:t>
      </w:r>
      <w:r>
        <w:rPr>
          <w:rFonts w:ascii="Times New Roman" w:hAnsi="Times New Roman"/>
          <w:noProof/>
          <w:sz w:val="24"/>
          <w:szCs w:val="24"/>
        </w:rPr>
        <w:t xml:space="preserve">а политически и социални промени в страните, желаещи да станат негови членки и да покажат, че са в състояние да поемат споделените отговорности като държави — членки на ЕС. Този процес не се осъществява от само себе си, а трябва да отразява </w:t>
      </w:r>
      <w:r>
        <w:rPr>
          <w:rFonts w:ascii="Times New Roman" w:hAnsi="Times New Roman"/>
          <w:b/>
          <w:noProof/>
          <w:sz w:val="24"/>
          <w:szCs w:val="24"/>
        </w:rPr>
        <w:t xml:space="preserve">активния избор </w:t>
      </w:r>
      <w:r>
        <w:rPr>
          <w:rFonts w:ascii="Times New Roman" w:hAnsi="Times New Roman"/>
          <w:b/>
          <w:noProof/>
          <w:sz w:val="24"/>
          <w:szCs w:val="24"/>
        </w:rPr>
        <w:t>на обществото</w:t>
      </w:r>
      <w:r>
        <w:rPr>
          <w:rFonts w:ascii="Times New Roman" w:hAnsi="Times New Roman"/>
          <w:noProof/>
          <w:sz w:val="24"/>
          <w:szCs w:val="24"/>
        </w:rPr>
        <w:t xml:space="preserve"> в тези страни да постигне и съблюдава най-високите европейски стандарти и ценности. Паралелно с това ангажиментът на държавите членки за общо бъдеще със страните от Западните Балкани като пълноправни членове на Съюза е значимо политическо, а не просто тех</w:t>
      </w:r>
      <w:r>
        <w:rPr>
          <w:rFonts w:ascii="Times New Roman" w:hAnsi="Times New Roman"/>
          <w:noProof/>
          <w:sz w:val="24"/>
          <w:szCs w:val="24"/>
        </w:rPr>
        <w:t xml:space="preserve">ническо начинание.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означава, че и двете страни в процеса трябва да </w:t>
      </w:r>
      <w:r>
        <w:rPr>
          <w:rFonts w:ascii="Times New Roman" w:hAnsi="Times New Roman"/>
          <w:b/>
          <w:noProof/>
          <w:sz w:val="24"/>
          <w:szCs w:val="24"/>
        </w:rPr>
        <w:t>демонстрират по-силно лидерство</w:t>
      </w:r>
      <w:r>
        <w:rPr>
          <w:rFonts w:ascii="Times New Roman" w:hAnsi="Times New Roman"/>
          <w:noProof/>
          <w:sz w:val="24"/>
          <w:szCs w:val="24"/>
        </w:rPr>
        <w:t xml:space="preserve"> и да изпълнят своите съответни ангажименти пред обществото, като едновременно с това работят по-директно по будещите безпокойство въпроси. Като се има предвид какъв е залогът, време е </w:t>
      </w:r>
      <w:r>
        <w:rPr>
          <w:rFonts w:ascii="Times New Roman" w:hAnsi="Times New Roman"/>
          <w:b/>
          <w:noProof/>
          <w:sz w:val="24"/>
          <w:szCs w:val="24"/>
        </w:rPr>
        <w:t>политическият характер на процеса да се постави на преден план и на цен</w:t>
      </w:r>
      <w:r>
        <w:rPr>
          <w:rFonts w:ascii="Times New Roman" w:hAnsi="Times New Roman"/>
          <w:b/>
          <w:noProof/>
          <w:sz w:val="24"/>
          <w:szCs w:val="24"/>
        </w:rPr>
        <w:t>трално място</w:t>
      </w:r>
      <w:r>
        <w:rPr>
          <w:rFonts w:ascii="Times New Roman" w:hAnsi="Times New Roman"/>
          <w:noProof/>
          <w:sz w:val="24"/>
          <w:szCs w:val="24"/>
        </w:rPr>
        <w:t xml:space="preserve"> и да се осигури по-силно насочване и по-голям ангажимент на високо равнище от страна на държавите членки.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Това следва да включва създаването на нови възможности за </w:t>
      </w:r>
      <w:r>
        <w:rPr>
          <w:rFonts w:ascii="Times New Roman" w:hAnsi="Times New Roman"/>
          <w:b/>
          <w:noProof/>
          <w:sz w:val="24"/>
          <w:szCs w:val="24"/>
        </w:rPr>
        <w:t>политически диалог на високо равнище със страните относно политиката</w:t>
      </w:r>
      <w:r>
        <w:rPr>
          <w:rFonts w:ascii="Times New Roman" w:hAnsi="Times New Roman"/>
          <w:noProof/>
          <w:sz w:val="24"/>
          <w:szCs w:val="24"/>
        </w:rPr>
        <w:t xml:space="preserve"> </w:t>
      </w:r>
      <w:r>
        <w:rPr>
          <w:rFonts w:ascii="Times New Roman" w:hAnsi="Times New Roman"/>
          <w:b/>
          <w:noProof/>
          <w:sz w:val="24"/>
          <w:szCs w:val="24"/>
        </w:rPr>
        <w:t>посредств</w:t>
      </w:r>
      <w:r>
        <w:rPr>
          <w:rFonts w:ascii="Times New Roman" w:hAnsi="Times New Roman"/>
          <w:b/>
          <w:noProof/>
          <w:sz w:val="24"/>
          <w:szCs w:val="24"/>
        </w:rPr>
        <w:t>ом редовни срещи на върха между ЕС и Западните Балкани и по-интензивни междуведомствени контакти</w:t>
      </w:r>
      <w:r>
        <w:rPr>
          <w:rFonts w:ascii="Times New Roman" w:hAnsi="Times New Roman"/>
          <w:noProof/>
          <w:sz w:val="24"/>
          <w:szCs w:val="24"/>
        </w:rPr>
        <w:t>, особено в сферите, в които привеждането в съответствие напредва добре и ключовите критерии се изпълняват. Вследствие на тази по-голяма ангажираност страните м</w:t>
      </w:r>
      <w:r>
        <w:rPr>
          <w:rFonts w:ascii="Times New Roman" w:hAnsi="Times New Roman"/>
          <w:noProof/>
          <w:sz w:val="24"/>
          <w:szCs w:val="24"/>
        </w:rPr>
        <w:t xml:space="preserve">огат да участват като </w:t>
      </w:r>
      <w:r>
        <w:rPr>
          <w:rFonts w:ascii="Times New Roman" w:hAnsi="Times New Roman"/>
          <w:b/>
          <w:noProof/>
          <w:sz w:val="24"/>
          <w:szCs w:val="24"/>
        </w:rPr>
        <w:t>наблюдатели</w:t>
      </w:r>
      <w:r>
        <w:rPr>
          <w:rFonts w:ascii="Times New Roman" w:hAnsi="Times New Roman"/>
          <w:noProof/>
          <w:sz w:val="24"/>
          <w:szCs w:val="24"/>
        </w:rPr>
        <w:t xml:space="preserve"> на ключови заседания на Европейския съюз по въпроси, които са от съществено значение за тях.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Важно е да се гарантира, че </w:t>
      </w:r>
      <w:r>
        <w:rPr>
          <w:rFonts w:ascii="Times New Roman" w:hAnsi="Times New Roman"/>
          <w:b/>
          <w:noProof/>
          <w:sz w:val="24"/>
          <w:szCs w:val="24"/>
        </w:rPr>
        <w:t xml:space="preserve">всички органи в контекста на Споразумението за стабилизиране и асоцииране (ССА) се съсредоточават в </w:t>
      </w:r>
      <w:r>
        <w:rPr>
          <w:rFonts w:ascii="Times New Roman" w:hAnsi="Times New Roman"/>
          <w:b/>
          <w:noProof/>
          <w:sz w:val="24"/>
          <w:szCs w:val="24"/>
        </w:rPr>
        <w:t>много по-голяма степен върху ключовите политически въпроси и реформи</w:t>
      </w:r>
      <w:r>
        <w:rPr>
          <w:rFonts w:ascii="Times New Roman" w:hAnsi="Times New Roman"/>
          <w:noProof/>
          <w:sz w:val="24"/>
          <w:szCs w:val="24"/>
        </w:rPr>
        <w:t xml:space="preserve">, и да се осигури възможност за истински политически диалог. Чрез междуправителствени конференции следва да се осигури по-силно политическо насочване на преговорите за присъединяване.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Дър</w:t>
      </w:r>
      <w:r>
        <w:rPr>
          <w:rFonts w:ascii="Times New Roman" w:hAnsi="Times New Roman"/>
          <w:b/>
          <w:noProof/>
          <w:sz w:val="24"/>
          <w:szCs w:val="24"/>
          <w:u w:val="single"/>
        </w:rPr>
        <w:t>жавите членки</w:t>
      </w:r>
      <w:r>
        <w:rPr>
          <w:rFonts w:ascii="Times New Roman" w:hAnsi="Times New Roman"/>
          <w:b/>
          <w:noProof/>
          <w:sz w:val="24"/>
          <w:szCs w:val="24"/>
        </w:rPr>
        <w:t xml:space="preserve"> ще бъдат приканени да допринасят по-систематично към процеса на присъединяване</w:t>
      </w:r>
      <w:r>
        <w:rPr>
          <w:rFonts w:ascii="Times New Roman" w:hAnsi="Times New Roman"/>
          <w:noProof/>
          <w:sz w:val="24"/>
          <w:szCs w:val="24"/>
        </w:rPr>
        <w:t>, включително чрез мониторинг на място от страна на техни експерти, чрез директен принос към годишните доклади и чрез експертни знания в съответната област. Държави</w:t>
      </w:r>
      <w:r>
        <w:rPr>
          <w:rFonts w:ascii="Times New Roman" w:hAnsi="Times New Roman"/>
          <w:noProof/>
          <w:sz w:val="24"/>
          <w:szCs w:val="24"/>
        </w:rPr>
        <w:t xml:space="preserve">те членки ще имат също така възможност да извършват по-редовно преглед и мониторинг на цялостния напредък.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Комисията</w:t>
      </w:r>
      <w:r>
        <w:rPr>
          <w:rFonts w:ascii="Times New Roman" w:hAnsi="Times New Roman"/>
          <w:noProof/>
          <w:sz w:val="24"/>
          <w:szCs w:val="24"/>
        </w:rPr>
        <w:t xml:space="preserve"> ще продължи да следи цялостния напредък на преговорите. </w:t>
      </w:r>
      <w:r>
        <w:rPr>
          <w:rFonts w:ascii="Times New Roman" w:hAnsi="Times New Roman"/>
          <w:b/>
          <w:noProof/>
          <w:sz w:val="24"/>
          <w:szCs w:val="24"/>
        </w:rPr>
        <w:t>В годишния си пакет от документи относно разширяването тя  ще чертае по-нататъш</w:t>
      </w:r>
      <w:r>
        <w:rPr>
          <w:rFonts w:ascii="Times New Roman" w:hAnsi="Times New Roman"/>
          <w:b/>
          <w:noProof/>
          <w:sz w:val="24"/>
          <w:szCs w:val="24"/>
        </w:rPr>
        <w:t>ните стъпки</w:t>
      </w:r>
      <w:r>
        <w:rPr>
          <w:rFonts w:ascii="Times New Roman" w:hAnsi="Times New Roman"/>
          <w:noProof/>
          <w:sz w:val="24"/>
          <w:szCs w:val="24"/>
        </w:rPr>
        <w:t xml:space="preserve"> за следващата година, представяйки конкретни подробни предложения за реформи за одобрение от държавите членки, </w:t>
      </w:r>
      <w:r>
        <w:rPr>
          <w:rFonts w:ascii="Times New Roman" w:hAnsi="Times New Roman"/>
          <w:b/>
          <w:noProof/>
          <w:sz w:val="24"/>
          <w:szCs w:val="24"/>
        </w:rPr>
        <w:t>включително предложения за корективни мерки</w:t>
      </w:r>
      <w:r>
        <w:rPr>
          <w:rFonts w:ascii="Times New Roman" w:hAnsi="Times New Roman"/>
          <w:noProof/>
          <w:sz w:val="24"/>
          <w:szCs w:val="24"/>
        </w:rPr>
        <w:t xml:space="preserve">.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t>Междуправителствените конференции за отделните държави</w:t>
      </w:r>
      <w:r>
        <w:rPr>
          <w:rFonts w:ascii="Times New Roman" w:hAnsi="Times New Roman"/>
          <w:b/>
          <w:noProof/>
          <w:sz w:val="24"/>
          <w:szCs w:val="24"/>
        </w:rPr>
        <w:t xml:space="preserve"> следва да се провеждат, след к</w:t>
      </w:r>
      <w:r>
        <w:rPr>
          <w:rFonts w:ascii="Times New Roman" w:hAnsi="Times New Roman"/>
          <w:b/>
          <w:noProof/>
          <w:sz w:val="24"/>
          <w:szCs w:val="24"/>
        </w:rPr>
        <w:t>ато Комисията публикува годишния пакет</w:t>
      </w:r>
      <w:r>
        <w:rPr>
          <w:rFonts w:ascii="Times New Roman" w:hAnsi="Times New Roman"/>
          <w:noProof/>
          <w:sz w:val="24"/>
          <w:szCs w:val="24"/>
        </w:rPr>
        <w:t xml:space="preserve"> от доклади за всяка страна, и да бъдат </w:t>
      </w:r>
      <w:r>
        <w:rPr>
          <w:rFonts w:ascii="Times New Roman" w:hAnsi="Times New Roman"/>
          <w:b/>
          <w:noProof/>
          <w:sz w:val="24"/>
          <w:szCs w:val="24"/>
        </w:rPr>
        <w:t>форум за политически диалог</w:t>
      </w:r>
      <w:r>
        <w:rPr>
          <w:rFonts w:ascii="Times New Roman" w:hAnsi="Times New Roman"/>
          <w:noProof/>
          <w:sz w:val="24"/>
          <w:szCs w:val="24"/>
        </w:rPr>
        <w:t xml:space="preserve"> относно реформите, на който да се направи преглед на цялостния процес на присъединяване и да се изготви планирането за следващата година, включително </w:t>
      </w:r>
      <w:r>
        <w:rPr>
          <w:rFonts w:ascii="Times New Roman" w:hAnsi="Times New Roman"/>
          <w:noProof/>
          <w:sz w:val="24"/>
          <w:szCs w:val="24"/>
        </w:rPr>
        <w:t xml:space="preserve">отварянето и затварянето на глави / групи от глави и евентуални корективни мерки. Всички участници в процеса трябва да осигурят на междуправителствената конференция представителство на </w:t>
      </w:r>
      <w:r>
        <w:rPr>
          <w:rFonts w:ascii="Times New Roman" w:hAnsi="Times New Roman"/>
          <w:b/>
          <w:noProof/>
          <w:sz w:val="24"/>
          <w:szCs w:val="24"/>
        </w:rPr>
        <w:t>подходящо равнище, за да може да се води ползотворен политически диалог</w:t>
      </w:r>
      <w:r>
        <w:rPr>
          <w:rFonts w:ascii="Times New Roman" w:hAnsi="Times New Roman"/>
          <w:noProof/>
          <w:sz w:val="24"/>
          <w:szCs w:val="24"/>
        </w:rPr>
        <w:t xml:space="preserve">.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val="single"/>
        </w:rPr>
        <w:lastRenderedPageBreak/>
        <w:t>Съветите за стабилизиране и асоцииране</w:t>
      </w:r>
      <w:r>
        <w:rPr>
          <w:rFonts w:ascii="Times New Roman" w:hAnsi="Times New Roman"/>
          <w:noProof/>
          <w:sz w:val="24"/>
          <w:szCs w:val="24"/>
        </w:rPr>
        <w:t xml:space="preserve"> ще бъдат още един важен форум за политически диалог относно реформите. Освен това, съвместно с комитетите и подкомитетите за стабилизиране и асоцииране те могат да дадат възможност за </w:t>
      </w:r>
      <w:r>
        <w:rPr>
          <w:rFonts w:ascii="Times New Roman" w:hAnsi="Times New Roman"/>
          <w:b/>
          <w:noProof/>
          <w:sz w:val="24"/>
          <w:szCs w:val="24"/>
        </w:rPr>
        <w:t>по-строг мониторинг на напредъ</w:t>
      </w:r>
      <w:r>
        <w:rPr>
          <w:rFonts w:ascii="Times New Roman" w:hAnsi="Times New Roman"/>
          <w:b/>
          <w:noProof/>
          <w:sz w:val="24"/>
          <w:szCs w:val="24"/>
        </w:rPr>
        <w:t>ка и да разгледат различни аспекти на ускорената интеграция</w:t>
      </w:r>
      <w:r>
        <w:rPr>
          <w:rFonts w:ascii="Times New Roman" w:hAnsi="Times New Roman"/>
          <w:noProof/>
          <w:sz w:val="24"/>
          <w:szCs w:val="24"/>
        </w:rPr>
        <w:t xml:space="preserve"> в съответните клъстери (вж. по-долу).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В ключови моменти от процеса на присъединяването на всеки партньор следва да се извършва по-задълбочен политически преглед, например след като бъдат изпълнен</w:t>
      </w:r>
      <w:r>
        <w:rPr>
          <w:rFonts w:ascii="Times New Roman" w:hAnsi="Times New Roman"/>
          <w:noProof/>
          <w:sz w:val="24"/>
          <w:szCs w:val="24"/>
        </w:rPr>
        <w:t>и междинните критерии по основни реформи, винаги когато Съветът решава дали са изпълнени условията за отварянето на клъстер, и след като цялостните преговори бъдат технически готови за приключване.</w:t>
      </w:r>
    </w:p>
    <w:p w:rsidR="00503A2F" w:rsidRDefault="00503A2F">
      <w:pPr>
        <w:spacing w:after="120" w:line="240" w:lineRule="auto"/>
        <w:jc w:val="both"/>
        <w:rPr>
          <w:rFonts w:ascii="Times New Roman" w:hAnsi="Times New Roman" w:cs="Times New Roman"/>
          <w:noProof/>
          <w:sz w:val="24"/>
          <w:szCs w:val="24"/>
        </w:rPr>
      </w:pPr>
    </w:p>
    <w:p w:rsidR="00503A2F" w:rsidRDefault="0015791B">
      <w:pPr>
        <w:pStyle w:val="ListParagraph"/>
        <w:numPr>
          <w:ilvl w:val="0"/>
          <w:numId w:val="32"/>
        </w:numPr>
        <w:spacing w:after="120" w:line="240" w:lineRule="auto"/>
        <w:jc w:val="both"/>
        <w:rPr>
          <w:rFonts w:ascii="Times New Roman" w:hAnsi="Times New Roman" w:cs="Times New Roman"/>
          <w:b/>
          <w:noProof/>
          <w:sz w:val="24"/>
          <w:szCs w:val="24"/>
        </w:rPr>
      </w:pPr>
      <w:r>
        <w:rPr>
          <w:rFonts w:ascii="Times New Roman" w:hAnsi="Times New Roman"/>
          <w:b/>
          <w:noProof/>
          <w:sz w:val="24"/>
          <w:szCs w:val="24"/>
        </w:rPr>
        <w:t xml:space="preserve">По-динамичен процес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За да се придаде допълнителен динами</w:t>
      </w:r>
      <w:r>
        <w:rPr>
          <w:rFonts w:ascii="Times New Roman" w:hAnsi="Times New Roman"/>
          <w:noProof/>
          <w:sz w:val="24"/>
          <w:szCs w:val="24"/>
        </w:rPr>
        <w:t xml:space="preserve">зъм на процеса на преговори и да се насърчи взаимодействието отвъд отделните глави, </w:t>
      </w:r>
      <w:r>
        <w:rPr>
          <w:rFonts w:ascii="Times New Roman" w:hAnsi="Times New Roman"/>
          <w:b/>
          <w:noProof/>
          <w:sz w:val="24"/>
          <w:szCs w:val="24"/>
        </w:rPr>
        <w:t>преговорните глави ще бъдат организирани в тематични клъстери</w:t>
      </w:r>
      <w:r>
        <w:rPr>
          <w:rFonts w:ascii="Times New Roman" w:hAnsi="Times New Roman"/>
          <w:noProof/>
          <w:sz w:val="24"/>
          <w:szCs w:val="24"/>
        </w:rPr>
        <w:t>. Тези клъстери обхващат обширни теми, като доброто управление, вътрешния пазар, икономическата конкурентоспосо</w:t>
      </w:r>
      <w:r>
        <w:rPr>
          <w:rFonts w:ascii="Times New Roman" w:hAnsi="Times New Roman"/>
          <w:noProof/>
          <w:sz w:val="24"/>
          <w:szCs w:val="24"/>
        </w:rPr>
        <w:t xml:space="preserve">бност и свързаността.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Чрез групирането на главите в клъстери ще се постави </w:t>
      </w:r>
      <w:r>
        <w:rPr>
          <w:rFonts w:ascii="Times New Roman" w:hAnsi="Times New Roman"/>
          <w:b/>
          <w:noProof/>
          <w:sz w:val="24"/>
          <w:szCs w:val="24"/>
        </w:rPr>
        <w:t>по-силен акцент върху основни сектори в политическия диалог</w:t>
      </w:r>
      <w:r>
        <w:rPr>
          <w:rFonts w:ascii="Times New Roman" w:hAnsi="Times New Roman"/>
          <w:noProof/>
          <w:sz w:val="24"/>
          <w:szCs w:val="24"/>
        </w:rPr>
        <w:t xml:space="preserve"> и ще се осигури по-добра рамка за поемането на политически ангажимент на по-високо равнище. То ще даде възможност за иде</w:t>
      </w:r>
      <w:r>
        <w:rPr>
          <w:rFonts w:ascii="Times New Roman" w:hAnsi="Times New Roman"/>
          <w:noProof/>
          <w:sz w:val="24"/>
          <w:szCs w:val="24"/>
        </w:rPr>
        <w:t xml:space="preserve">нтифициране на </w:t>
      </w:r>
      <w:r>
        <w:rPr>
          <w:rFonts w:ascii="Times New Roman" w:hAnsi="Times New Roman"/>
          <w:b/>
          <w:noProof/>
          <w:sz w:val="24"/>
          <w:szCs w:val="24"/>
        </w:rPr>
        <w:t>най-важните и спешни реформи във всяка област.</w:t>
      </w:r>
      <w:r>
        <w:rPr>
          <w:rFonts w:ascii="Times New Roman" w:hAnsi="Times New Roman"/>
          <w:noProof/>
          <w:sz w:val="24"/>
          <w:szCs w:val="24"/>
        </w:rPr>
        <w:t xml:space="preserve"> Това ще даде тласък на цялостната реформа на място чрез по-добро стимулиране на секторните реформи в интерес на гражданите и бизнеса.</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Преговорите по всеки клъстер ще се отварят като едно цяло — </w:t>
      </w:r>
      <w:r>
        <w:rPr>
          <w:rFonts w:ascii="Times New Roman" w:hAnsi="Times New Roman"/>
          <w:b/>
          <w:noProof/>
          <w:sz w:val="24"/>
          <w:szCs w:val="24"/>
        </w:rPr>
        <w:t>след изпълнение на критериите за отваряне</w:t>
      </w:r>
      <w:r>
        <w:rPr>
          <w:rFonts w:ascii="Times New Roman" w:hAnsi="Times New Roman"/>
          <w:noProof/>
          <w:sz w:val="24"/>
          <w:szCs w:val="24"/>
        </w:rPr>
        <w:t>, а не за всяка глава поотделно. След проверката по клъстери между ЕС и страната кандидатка ще бъдат договорени приоритети за ускорена интеграция и ключови реформи. Когато тези приоритети бъдат изпълнени в достатъчн</w:t>
      </w:r>
      <w:r>
        <w:rPr>
          <w:rFonts w:ascii="Times New Roman" w:hAnsi="Times New Roman"/>
          <w:noProof/>
          <w:sz w:val="24"/>
          <w:szCs w:val="24"/>
        </w:rPr>
        <w:t>а степен, клъстерът (групиращ всички свързани глави) ще бъде отворен без допълнителни условия и ще бъдат определени критерии за затваряне за всяка глава. В случай че са били извършени важни реформи още преди отварянето, времето между отварянето на клъстера</w:t>
      </w:r>
      <w:r>
        <w:rPr>
          <w:rFonts w:ascii="Times New Roman" w:hAnsi="Times New Roman"/>
          <w:noProof/>
          <w:sz w:val="24"/>
          <w:szCs w:val="24"/>
        </w:rPr>
        <w:t xml:space="preserve"> и затварянето на отделните глави следва да бъде ограничено, за предпочитане в рамките на една година, и да зависи изцяло от напредъка на реформите, като акцентът бъде поставен върху оставащите мерки, необходими за постигането на пълно привеждане в съответ</w:t>
      </w:r>
      <w:r>
        <w:rPr>
          <w:rFonts w:ascii="Times New Roman" w:hAnsi="Times New Roman"/>
          <w:noProof/>
          <w:sz w:val="24"/>
          <w:szCs w:val="24"/>
        </w:rPr>
        <w:t xml:space="preserve">ствие.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Клъстерите ще бъдат съгласувани с подкомитетите по линия на ССА</w:t>
      </w:r>
      <w:r>
        <w:rPr>
          <w:rFonts w:ascii="Times New Roman" w:hAnsi="Times New Roman"/>
          <w:noProof/>
          <w:sz w:val="24"/>
          <w:szCs w:val="24"/>
        </w:rPr>
        <w:t>, за да може да се извършва мониторинг на напредъка и в рамките на структурите на ССА да бъдат взети специални мерки за ускорено привеждане в съответствие. Това ще позволи провеждането</w:t>
      </w:r>
      <w:r>
        <w:rPr>
          <w:rFonts w:ascii="Times New Roman" w:hAnsi="Times New Roman"/>
          <w:noProof/>
          <w:sz w:val="24"/>
          <w:szCs w:val="24"/>
        </w:rPr>
        <w:t xml:space="preserve"> на целенасочени диалози и идентифицирането на </w:t>
      </w:r>
      <w:r>
        <w:rPr>
          <w:rFonts w:ascii="Times New Roman" w:hAnsi="Times New Roman"/>
          <w:b/>
          <w:noProof/>
          <w:sz w:val="24"/>
          <w:szCs w:val="24"/>
        </w:rPr>
        <w:t>възможности за ускорено привеждане в съответствие</w:t>
      </w:r>
      <w:r>
        <w:rPr>
          <w:rFonts w:ascii="Times New Roman" w:hAnsi="Times New Roman"/>
          <w:noProof/>
          <w:sz w:val="24"/>
          <w:szCs w:val="24"/>
        </w:rPr>
        <w:t xml:space="preserve"> и интеграция във всички области на политиката на ЕС с ясни ползи за Европейския съюз и страните кандидатки.</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 цел да се придаде по-голям динамизъм на </w:t>
      </w:r>
      <w:r>
        <w:rPr>
          <w:rFonts w:ascii="Times New Roman" w:hAnsi="Times New Roman"/>
          <w:b/>
          <w:noProof/>
          <w:sz w:val="24"/>
          <w:szCs w:val="24"/>
        </w:rPr>
        <w:t>преговори</w:t>
      </w:r>
      <w:r>
        <w:rPr>
          <w:rFonts w:ascii="Times New Roman" w:hAnsi="Times New Roman"/>
          <w:b/>
          <w:noProof/>
          <w:sz w:val="24"/>
          <w:szCs w:val="24"/>
        </w:rPr>
        <w:t>те със Сърбия и Черна гора</w:t>
      </w:r>
      <w:r>
        <w:rPr>
          <w:rFonts w:ascii="Times New Roman" w:hAnsi="Times New Roman"/>
          <w:noProof/>
          <w:sz w:val="24"/>
          <w:szCs w:val="24"/>
        </w:rPr>
        <w:t>, работата по главите също може да бъде организирана по клъстери, като се спазват съществуващите рамки за преговори и в съгласие с тези държави. Това също така ще даде възможност за поставянето на по-голям политически акцент върху</w:t>
      </w:r>
      <w:r>
        <w:rPr>
          <w:rFonts w:ascii="Times New Roman" w:hAnsi="Times New Roman"/>
          <w:noProof/>
          <w:sz w:val="24"/>
          <w:szCs w:val="24"/>
        </w:rPr>
        <w:t xml:space="preserve"> ключови сектори и за създаването на политически импулс в държавите по ключови теми, при които е необходимо привеждане в съответствие.  Ще бъде предложена възможност за участие в набелязването на области, представляващи интерес за ускорено секторно </w:t>
      </w:r>
      <w:r>
        <w:rPr>
          <w:rFonts w:ascii="Times New Roman" w:hAnsi="Times New Roman"/>
          <w:noProof/>
          <w:sz w:val="24"/>
          <w:szCs w:val="24"/>
        </w:rPr>
        <w:lastRenderedPageBreak/>
        <w:t>привежд</w:t>
      </w:r>
      <w:r>
        <w:rPr>
          <w:rFonts w:ascii="Times New Roman" w:hAnsi="Times New Roman"/>
          <w:noProof/>
          <w:sz w:val="24"/>
          <w:szCs w:val="24"/>
        </w:rPr>
        <w:t>ане в съответствие и интеграция, като това ще бъде съпътствано от общи пътни карти, които ще се договарят и проследяват в структурите на ССА.</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 </w:t>
      </w:r>
    </w:p>
    <w:p w:rsidR="00503A2F" w:rsidRDefault="0015791B">
      <w:pPr>
        <w:pStyle w:val="ListParagraph"/>
        <w:numPr>
          <w:ilvl w:val="0"/>
          <w:numId w:val="32"/>
        </w:numPr>
        <w:spacing w:after="120" w:line="240" w:lineRule="auto"/>
        <w:jc w:val="both"/>
        <w:rPr>
          <w:rFonts w:ascii="Times New Roman" w:hAnsi="Times New Roman" w:cs="Times New Roman"/>
          <w:b/>
          <w:noProof/>
          <w:sz w:val="24"/>
          <w:szCs w:val="24"/>
          <w:u w:val="single"/>
        </w:rPr>
      </w:pPr>
      <w:r>
        <w:rPr>
          <w:rFonts w:ascii="Times New Roman" w:hAnsi="Times New Roman"/>
          <w:b/>
          <w:noProof/>
          <w:sz w:val="24"/>
          <w:szCs w:val="24"/>
        </w:rPr>
        <w:t xml:space="preserve">Предвидимост и обвързаност с условия с положителни и отрицателни последици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И държави членки, и страни от Западните Балкани настоятелно призовават за по-предвидим процес, при който има </w:t>
      </w:r>
      <w:r>
        <w:rPr>
          <w:rFonts w:ascii="Times New Roman" w:hAnsi="Times New Roman"/>
          <w:b/>
          <w:noProof/>
          <w:sz w:val="24"/>
          <w:szCs w:val="24"/>
        </w:rPr>
        <w:t>по-голяма яснота за това какво очаква Съюзът</w:t>
      </w:r>
      <w:r>
        <w:rPr>
          <w:rFonts w:ascii="Times New Roman" w:hAnsi="Times New Roman"/>
          <w:noProof/>
          <w:sz w:val="24"/>
          <w:szCs w:val="24"/>
        </w:rPr>
        <w:t xml:space="preserve"> от страните, участващи в разширяването, на различните етапи от процеса и какви са </w:t>
      </w:r>
      <w:r>
        <w:rPr>
          <w:rFonts w:ascii="Times New Roman" w:hAnsi="Times New Roman"/>
          <w:b/>
          <w:noProof/>
          <w:sz w:val="24"/>
          <w:szCs w:val="24"/>
        </w:rPr>
        <w:t>положителните и отри</w:t>
      </w:r>
      <w:r>
        <w:rPr>
          <w:rFonts w:ascii="Times New Roman" w:hAnsi="Times New Roman"/>
          <w:b/>
          <w:noProof/>
          <w:sz w:val="24"/>
          <w:szCs w:val="24"/>
        </w:rPr>
        <w:t>цателните последици</w:t>
      </w:r>
      <w:r>
        <w:rPr>
          <w:rFonts w:ascii="Times New Roman" w:hAnsi="Times New Roman"/>
          <w:noProof/>
          <w:sz w:val="24"/>
          <w:szCs w:val="24"/>
        </w:rPr>
        <w:t xml:space="preserve"> от наличието на напредък или липсата на такъв. </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Комисията ще използва </w:t>
      </w:r>
      <w:r>
        <w:rPr>
          <w:rFonts w:ascii="Times New Roman" w:hAnsi="Times New Roman"/>
          <w:b/>
          <w:noProof/>
          <w:sz w:val="24"/>
          <w:szCs w:val="24"/>
        </w:rPr>
        <w:t>пакета относно разширяването, за да провери дали кандидатите изпълняват</w:t>
      </w:r>
      <w:r>
        <w:rPr>
          <w:rFonts w:ascii="Times New Roman" w:hAnsi="Times New Roman"/>
          <w:noProof/>
          <w:sz w:val="24"/>
          <w:szCs w:val="24"/>
        </w:rPr>
        <w:t xml:space="preserve"> достиженията на правото на ЕС, за да </w:t>
      </w:r>
      <w:r>
        <w:rPr>
          <w:rFonts w:ascii="Times New Roman" w:hAnsi="Times New Roman"/>
          <w:b/>
          <w:noProof/>
          <w:sz w:val="24"/>
          <w:szCs w:val="24"/>
        </w:rPr>
        <w:t>даде по-ясни насоки</w:t>
      </w:r>
      <w:r>
        <w:rPr>
          <w:rFonts w:ascii="Times New Roman" w:hAnsi="Times New Roman"/>
          <w:noProof/>
          <w:sz w:val="24"/>
          <w:szCs w:val="24"/>
        </w:rPr>
        <w:t xml:space="preserve"> във връзка с конкретните приоритети з</w:t>
      </w:r>
      <w:r>
        <w:rPr>
          <w:rFonts w:ascii="Times New Roman" w:hAnsi="Times New Roman"/>
          <w:noProof/>
          <w:sz w:val="24"/>
          <w:szCs w:val="24"/>
        </w:rPr>
        <w:t>а реформа и критерии за привеждане в съответствие и за да сподели очакванията относно следващите стъпки от процеса. По-силното политическо насочване и промяната на акцента на междуправителствените конференции ще повишат предвидимостта, което ще внесе по-го</w:t>
      </w:r>
      <w:r>
        <w:rPr>
          <w:rFonts w:ascii="Times New Roman" w:hAnsi="Times New Roman"/>
          <w:noProof/>
          <w:sz w:val="24"/>
          <w:szCs w:val="24"/>
        </w:rPr>
        <w:t>ляма яснота в планирането за предстоящата година. По този начин участниците на политическата сцена в страните ще получат по-ясни насоки за това какво трябва да се направи, за да може процесът да напредва.  Това ще включва насока за това кои клъстери / глав</w:t>
      </w:r>
      <w:r>
        <w:rPr>
          <w:rFonts w:ascii="Times New Roman" w:hAnsi="Times New Roman"/>
          <w:noProof/>
          <w:sz w:val="24"/>
          <w:szCs w:val="24"/>
        </w:rPr>
        <w:t xml:space="preserve">и ще могат евентуално да бъдат отворени или затворени и, когато е уместно, кои условия все още предстои да бъдат изпълнени, за да може да стане това.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Основният елемент на процеса на присъединяване, основан на заслуги, е обвързаността му с условия. </w:t>
      </w:r>
      <w:r>
        <w:rPr>
          <w:rFonts w:ascii="Times New Roman" w:hAnsi="Times New Roman"/>
          <w:noProof/>
          <w:sz w:val="24"/>
          <w:szCs w:val="24"/>
        </w:rPr>
        <w:t>За целт</w:t>
      </w:r>
      <w:r>
        <w:rPr>
          <w:rFonts w:ascii="Times New Roman" w:hAnsi="Times New Roman"/>
          <w:noProof/>
          <w:sz w:val="24"/>
          <w:szCs w:val="24"/>
        </w:rPr>
        <w:t xml:space="preserve">а обаче </w:t>
      </w:r>
      <w:r>
        <w:rPr>
          <w:rFonts w:ascii="Times New Roman" w:hAnsi="Times New Roman"/>
          <w:b/>
          <w:noProof/>
          <w:sz w:val="24"/>
          <w:szCs w:val="24"/>
        </w:rPr>
        <w:t>условията трябва да бъдат ясни</w:t>
      </w:r>
      <w:r>
        <w:rPr>
          <w:rFonts w:ascii="Times New Roman" w:hAnsi="Times New Roman"/>
          <w:noProof/>
          <w:sz w:val="24"/>
          <w:szCs w:val="24"/>
        </w:rPr>
        <w:t xml:space="preserve"> още от самото начало. Важно е страните кандидатки да познават критериите, спрямо които ще се измерват постигнатите от тях резултати, а държавите членки да имат еднакво и ясно разбиране за това какво точно се иска от с</w:t>
      </w:r>
      <w:r>
        <w:rPr>
          <w:rFonts w:ascii="Times New Roman" w:hAnsi="Times New Roman"/>
          <w:noProof/>
          <w:sz w:val="24"/>
          <w:szCs w:val="24"/>
        </w:rPr>
        <w:t xml:space="preserve">траните кандидатки. </w:t>
      </w:r>
      <w:r>
        <w:rPr>
          <w:rFonts w:ascii="Times New Roman" w:hAnsi="Times New Roman"/>
          <w:b/>
          <w:noProof/>
          <w:sz w:val="24"/>
          <w:szCs w:val="24"/>
        </w:rPr>
        <w:t>Комисията ще определи по-ясно условията за напредък на кандидатите</w:t>
      </w:r>
      <w:r>
        <w:rPr>
          <w:rFonts w:ascii="Times New Roman" w:hAnsi="Times New Roman"/>
          <w:noProof/>
          <w:sz w:val="24"/>
          <w:szCs w:val="24"/>
        </w:rPr>
        <w:t>, по-специално чрез годишните си доклади. Тези условия трябва да бъдат обективни, точни, подробни, строги и подлежащи на проверка. Когато е уместно, Комисията ще използва</w:t>
      </w:r>
      <w:r>
        <w:rPr>
          <w:rFonts w:ascii="Times New Roman" w:hAnsi="Times New Roman"/>
          <w:noProof/>
          <w:sz w:val="24"/>
          <w:szCs w:val="24"/>
        </w:rPr>
        <w:t xml:space="preserve"> и показатели на трети страни, за да предостави на държавите членки възможно най-широката основа за вземането на решения от тяхна страна. </w:t>
      </w:r>
    </w:p>
    <w:p w:rsidR="00503A2F" w:rsidRDefault="0015791B">
      <w:pPr>
        <w:spacing w:after="120" w:line="240" w:lineRule="auto"/>
        <w:jc w:val="both"/>
        <w:rPr>
          <w:rFonts w:ascii="Times New Roman" w:hAnsi="Times New Roman" w:cs="Times New Roman"/>
          <w:b/>
          <w:noProof/>
          <w:sz w:val="24"/>
          <w:szCs w:val="24"/>
          <w:u w:val="single"/>
        </w:rPr>
      </w:pPr>
      <w:r>
        <w:rPr>
          <w:rFonts w:ascii="Times New Roman" w:hAnsi="Times New Roman"/>
          <w:noProof/>
          <w:sz w:val="24"/>
          <w:szCs w:val="24"/>
        </w:rPr>
        <w:t xml:space="preserve">Чрез предлагането на </w:t>
      </w:r>
      <w:r>
        <w:rPr>
          <w:rFonts w:ascii="Times New Roman" w:hAnsi="Times New Roman"/>
          <w:b/>
          <w:noProof/>
          <w:sz w:val="24"/>
          <w:szCs w:val="24"/>
        </w:rPr>
        <w:t>ясни и осезаеми стимули от пряк интерес за гражданите ЕС може да насърчава реална политическа во</w:t>
      </w:r>
      <w:r>
        <w:rPr>
          <w:rFonts w:ascii="Times New Roman" w:hAnsi="Times New Roman"/>
          <w:b/>
          <w:noProof/>
          <w:sz w:val="24"/>
          <w:szCs w:val="24"/>
        </w:rPr>
        <w:t>ля</w:t>
      </w:r>
      <w:r>
        <w:rPr>
          <w:rFonts w:ascii="Times New Roman" w:hAnsi="Times New Roman"/>
          <w:noProof/>
          <w:sz w:val="24"/>
          <w:szCs w:val="24"/>
        </w:rPr>
        <w:t xml:space="preserve"> и да възнаграждава резултатите от трудни реформи и от процеса на политически и икономически промени и промени в обществото. </w:t>
      </w:r>
      <w:r>
        <w:rPr>
          <w:rFonts w:ascii="Times New Roman" w:hAnsi="Times New Roman"/>
          <w:b/>
          <w:noProof/>
          <w:sz w:val="24"/>
          <w:szCs w:val="24"/>
        </w:rPr>
        <w:t xml:space="preserve">Ако страните напредват достатъчно по приоритетите за реформи, договорени по време на преговорите, това следва да доведе до: </w:t>
      </w:r>
    </w:p>
    <w:p w:rsidR="00503A2F" w:rsidRDefault="0015791B">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По-т</w:t>
      </w:r>
      <w:r>
        <w:rPr>
          <w:rFonts w:ascii="Times New Roman" w:hAnsi="Times New Roman"/>
          <w:noProof/>
          <w:sz w:val="24"/>
          <w:szCs w:val="24"/>
          <w:u w:val="single"/>
        </w:rPr>
        <w:t>ясна интеграция</w:t>
      </w:r>
      <w:r>
        <w:rPr>
          <w:rFonts w:ascii="Times New Roman" w:hAnsi="Times New Roman"/>
          <w:noProof/>
          <w:sz w:val="24"/>
          <w:szCs w:val="24"/>
        </w:rPr>
        <w:t xml:space="preserve"> на страната с Европейския съюз, </w:t>
      </w:r>
      <w:r>
        <w:rPr>
          <w:rFonts w:ascii="Times New Roman" w:hAnsi="Times New Roman"/>
          <w:noProof/>
          <w:sz w:val="24"/>
          <w:szCs w:val="24"/>
          <w:u w:val="single"/>
        </w:rPr>
        <w:t>действия за ускорена интеграция и постепенно включване в отделни политики на ЕС</w:t>
      </w:r>
      <w:r>
        <w:rPr>
          <w:rFonts w:ascii="Times New Roman" w:hAnsi="Times New Roman"/>
          <w:noProof/>
          <w:sz w:val="24"/>
          <w:szCs w:val="24"/>
        </w:rPr>
        <w:t xml:space="preserve">, в пазара на ЕС и в програми на ЕС, като едновременно с това се осигурят равни условия. </w:t>
      </w:r>
    </w:p>
    <w:p w:rsidR="00503A2F" w:rsidRDefault="0015791B">
      <w:pPr>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По-голямо финансиране и инвестиции</w:t>
      </w:r>
      <w:r>
        <w:rPr>
          <w:rFonts w:ascii="Times New Roman" w:hAnsi="Times New Roman"/>
          <w:noProof/>
          <w:sz w:val="24"/>
          <w:szCs w:val="24"/>
        </w:rPr>
        <w:t xml:space="preserve"> — вк</w:t>
      </w:r>
      <w:r>
        <w:rPr>
          <w:rFonts w:ascii="Times New Roman" w:hAnsi="Times New Roman"/>
          <w:noProof/>
          <w:sz w:val="24"/>
          <w:szCs w:val="24"/>
        </w:rPr>
        <w:t>лючително чрез основана на изпълнението и насочена към реформите подкрепа по линия на Инструмента за предприсъединителна помощ и по-тясно сътрудничество с международните финансови институции за привличането на подпомагане.</w:t>
      </w:r>
    </w:p>
    <w:p w:rsidR="00503A2F" w:rsidRDefault="0015791B">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Чрез използването на фондове на Е</w:t>
      </w:r>
      <w:r>
        <w:rPr>
          <w:rFonts w:ascii="Times New Roman" w:hAnsi="Times New Roman"/>
          <w:noProof/>
          <w:sz w:val="24"/>
          <w:szCs w:val="24"/>
        </w:rPr>
        <w:t xml:space="preserve">С тези мерки следва да допринесат за зараждането на силен европейски избор, който е съвместим със СТО, и едновременно с това за изграждането на силна местна икономика.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Напредъкът на реформите трябва да бъде стимулиран и възнаграждаван по-осезаемо, но паралелно с това са необходими </w:t>
      </w:r>
      <w:r>
        <w:rPr>
          <w:rFonts w:ascii="Times New Roman" w:hAnsi="Times New Roman"/>
          <w:b/>
          <w:noProof/>
          <w:sz w:val="24"/>
          <w:szCs w:val="24"/>
        </w:rPr>
        <w:t>по-решителни мерки, които пропорционално да санкционират всеки сериозен и продължителен застой или връщане назад</w:t>
      </w:r>
      <w:r>
        <w:rPr>
          <w:rFonts w:ascii="Times New Roman" w:hAnsi="Times New Roman"/>
          <w:noProof/>
          <w:sz w:val="24"/>
          <w:szCs w:val="24"/>
        </w:rPr>
        <w:t xml:space="preserve"> в извършването на реформите и</w:t>
      </w:r>
      <w:r>
        <w:rPr>
          <w:rFonts w:ascii="Times New Roman" w:hAnsi="Times New Roman"/>
          <w:noProof/>
          <w:sz w:val="24"/>
          <w:szCs w:val="24"/>
        </w:rPr>
        <w:t xml:space="preserve"> изпълнението на изискванията на процеса на присъединяване.</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Тези решения за спиране или дори връщане назад на процеса следва да бъдат мотивирани от включената в пакета относно разширяването </w:t>
      </w:r>
      <w:r>
        <w:rPr>
          <w:rFonts w:ascii="Times New Roman" w:hAnsi="Times New Roman"/>
          <w:b/>
          <w:noProof/>
          <w:sz w:val="24"/>
          <w:szCs w:val="24"/>
        </w:rPr>
        <w:t>годишна оценка на Комисията</w:t>
      </w:r>
      <w:r>
        <w:rPr>
          <w:rFonts w:ascii="Times New Roman" w:hAnsi="Times New Roman"/>
          <w:noProof/>
          <w:sz w:val="24"/>
          <w:szCs w:val="24"/>
        </w:rPr>
        <w:t xml:space="preserve"> за цялостния баланс в преговорите за п</w:t>
      </w:r>
      <w:r>
        <w:rPr>
          <w:rFonts w:ascii="Times New Roman" w:hAnsi="Times New Roman"/>
          <w:noProof/>
          <w:sz w:val="24"/>
          <w:szCs w:val="24"/>
        </w:rPr>
        <w:t>рисъединяване и степента на изпълнение на основните реформи, по-специално във връзка с върховенството на закона. Държавите членки ще продължат да допринасят за този процес, като уведомяват Комисията за застой или сериозно връщане назад в извършването на ре</w:t>
      </w:r>
      <w:r>
        <w:rPr>
          <w:rFonts w:ascii="Times New Roman" w:hAnsi="Times New Roman"/>
          <w:noProof/>
          <w:sz w:val="24"/>
          <w:szCs w:val="24"/>
        </w:rPr>
        <w:t xml:space="preserve">формите.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В сериозни случаи Комисията може по всяко време да направи предложения по своя инициатива или при надлежно обосновано искане на държава членка, за да осигури бърза ответна реакция на ситуацията чрез, когато това е уместно, опростени процедури, на</w:t>
      </w:r>
      <w:r>
        <w:rPr>
          <w:rFonts w:ascii="Times New Roman" w:hAnsi="Times New Roman"/>
          <w:noProof/>
          <w:sz w:val="24"/>
          <w:szCs w:val="24"/>
        </w:rPr>
        <w:t xml:space="preserve">пример гласуване с обратно квалифицирано мнозинство.   </w:t>
      </w:r>
    </w:p>
    <w:p w:rsidR="00503A2F" w:rsidRDefault="0015791B">
      <w:pPr>
        <w:widowControl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ЕС би могъл да работи за отстраняването на потенциални проблеми по няколко начина: </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Държавите членки биха могли да решат </w:t>
      </w:r>
      <w:r>
        <w:rPr>
          <w:rFonts w:ascii="Times New Roman" w:hAnsi="Times New Roman"/>
          <w:noProof/>
          <w:sz w:val="24"/>
          <w:szCs w:val="24"/>
          <w:u w:val="single"/>
        </w:rPr>
        <w:t>преговорите</w:t>
      </w:r>
      <w:r>
        <w:rPr>
          <w:rFonts w:ascii="Times New Roman" w:hAnsi="Times New Roman"/>
          <w:noProof/>
          <w:sz w:val="24"/>
          <w:szCs w:val="24"/>
        </w:rPr>
        <w:t xml:space="preserve"> да бъдат </w:t>
      </w:r>
      <w:r>
        <w:rPr>
          <w:rFonts w:ascii="Times New Roman" w:hAnsi="Times New Roman"/>
          <w:noProof/>
          <w:sz w:val="24"/>
          <w:szCs w:val="24"/>
          <w:u w:val="single"/>
        </w:rPr>
        <w:t>замразени</w:t>
      </w:r>
      <w:r>
        <w:rPr>
          <w:rFonts w:ascii="Times New Roman" w:hAnsi="Times New Roman"/>
          <w:noProof/>
          <w:sz w:val="24"/>
          <w:szCs w:val="24"/>
        </w:rPr>
        <w:t xml:space="preserve"> в някои области, а в най-сериозните случаи — да </w:t>
      </w:r>
      <w:r>
        <w:rPr>
          <w:rFonts w:ascii="Times New Roman" w:hAnsi="Times New Roman"/>
          <w:noProof/>
          <w:sz w:val="24"/>
          <w:szCs w:val="24"/>
        </w:rPr>
        <w:t xml:space="preserve">бъдат </w:t>
      </w:r>
      <w:r>
        <w:rPr>
          <w:rFonts w:ascii="Times New Roman" w:hAnsi="Times New Roman"/>
          <w:noProof/>
          <w:sz w:val="24"/>
          <w:szCs w:val="24"/>
          <w:u w:val="single"/>
        </w:rPr>
        <w:t>спрени</w:t>
      </w:r>
      <w:r>
        <w:rPr>
          <w:rFonts w:ascii="Times New Roman" w:hAnsi="Times New Roman"/>
          <w:noProof/>
          <w:sz w:val="24"/>
          <w:szCs w:val="24"/>
        </w:rPr>
        <w:t xml:space="preserve"> изцяло. </w:t>
      </w:r>
      <w:r>
        <w:rPr>
          <w:rFonts w:ascii="Times New Roman" w:hAnsi="Times New Roman"/>
          <w:noProof/>
          <w:sz w:val="24"/>
          <w:szCs w:val="24"/>
          <w:u w:val="single"/>
        </w:rPr>
        <w:t>Вече затворени глави биха могли да бъдат отново отворени</w:t>
      </w:r>
      <w:r>
        <w:rPr>
          <w:rFonts w:ascii="Times New Roman" w:hAnsi="Times New Roman"/>
          <w:noProof/>
          <w:sz w:val="24"/>
          <w:szCs w:val="24"/>
        </w:rPr>
        <w:t xml:space="preserve"> или актуализирани, ако е необходима преоценка на темите.</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Обхватът и интензитетът на финансирането от ЕС биха могли да бъдат коригирани в посока намаляване, с изключение на подкре</w:t>
      </w:r>
      <w:r>
        <w:rPr>
          <w:rFonts w:ascii="Times New Roman" w:hAnsi="Times New Roman"/>
          <w:noProof/>
          <w:sz w:val="24"/>
          <w:szCs w:val="24"/>
          <w:u w:val="single"/>
        </w:rPr>
        <w:t>пата за гражданското общество</w:t>
      </w:r>
      <w:r>
        <w:rPr>
          <w:rFonts w:ascii="Times New Roman" w:hAnsi="Times New Roman"/>
          <w:noProof/>
          <w:sz w:val="24"/>
          <w:szCs w:val="24"/>
        </w:rPr>
        <w:t xml:space="preserve">. </w:t>
      </w:r>
    </w:p>
    <w:p w:rsidR="00503A2F" w:rsidRDefault="0015791B">
      <w:pPr>
        <w:widowControl w:val="0"/>
        <w:numPr>
          <w:ilvl w:val="0"/>
          <w:numId w:val="24"/>
        </w:numPr>
        <w:spacing w:after="120" w:line="240" w:lineRule="auto"/>
        <w:jc w:val="both"/>
        <w:rPr>
          <w:rFonts w:ascii="Times New Roman" w:hAnsi="Times New Roman" w:cs="Times New Roman"/>
          <w:noProof/>
          <w:sz w:val="24"/>
          <w:szCs w:val="24"/>
        </w:rPr>
      </w:pPr>
      <w:r>
        <w:rPr>
          <w:rFonts w:ascii="Times New Roman" w:hAnsi="Times New Roman"/>
          <w:noProof/>
          <w:sz w:val="24"/>
          <w:szCs w:val="24"/>
          <w:u w:val="single"/>
        </w:rPr>
        <w:t>Ползите от по-тясна интеграция</w:t>
      </w:r>
      <w:r>
        <w:rPr>
          <w:rFonts w:ascii="Times New Roman" w:hAnsi="Times New Roman"/>
          <w:noProof/>
          <w:sz w:val="24"/>
          <w:szCs w:val="24"/>
        </w:rPr>
        <w:t xml:space="preserve">, например достъп до програми на ЕС, едностранни отстъпки за пазарен достъп, </w:t>
      </w:r>
      <w:r>
        <w:rPr>
          <w:rFonts w:ascii="Times New Roman" w:hAnsi="Times New Roman"/>
          <w:noProof/>
          <w:sz w:val="24"/>
          <w:szCs w:val="24"/>
          <w:u w:val="single"/>
        </w:rPr>
        <w:t>биха могли да бъдат временно преустановени или оттеглени</w:t>
      </w:r>
      <w:r>
        <w:rPr>
          <w:rFonts w:ascii="Times New Roman" w:hAnsi="Times New Roman"/>
          <w:noProof/>
          <w:sz w:val="24"/>
          <w:szCs w:val="24"/>
        </w:rPr>
        <w:t>.</w:t>
      </w:r>
    </w:p>
    <w:p w:rsidR="00503A2F" w:rsidRDefault="0015791B">
      <w:pPr>
        <w:widowControl w:val="0"/>
        <w:spacing w:after="120" w:line="240" w:lineRule="auto"/>
        <w:jc w:val="both"/>
        <w:rPr>
          <w:rFonts w:ascii="Times New Roman" w:hAnsi="Times New Roman" w:cs="Times New Roman"/>
          <w:noProof/>
          <w:sz w:val="24"/>
          <w:szCs w:val="24"/>
          <w:u w:val="single"/>
        </w:rPr>
      </w:pPr>
      <w:r>
        <w:rPr>
          <w:rFonts w:ascii="Times New Roman" w:hAnsi="Times New Roman"/>
          <w:noProof/>
          <w:sz w:val="24"/>
          <w:szCs w:val="24"/>
        </w:rPr>
        <w:t xml:space="preserve">Предвидимостта и обвързаността с условия ще бъдат засилени чрез </w:t>
      </w:r>
      <w:r>
        <w:rPr>
          <w:rFonts w:ascii="Times New Roman" w:hAnsi="Times New Roman"/>
          <w:b/>
          <w:noProof/>
          <w:sz w:val="24"/>
          <w:szCs w:val="24"/>
        </w:rPr>
        <w:t>по-голяма прозрачност</w:t>
      </w:r>
      <w:r>
        <w:rPr>
          <w:rFonts w:ascii="Times New Roman" w:hAnsi="Times New Roman"/>
          <w:noProof/>
          <w:sz w:val="24"/>
          <w:szCs w:val="24"/>
        </w:rPr>
        <w:t>. За постигането на трайност на реформите и улесняването на мониторинга на изпълнението всички ключови реформи в страните следва да се извършват напълно прозрачно и по при</w:t>
      </w:r>
      <w:r>
        <w:rPr>
          <w:rFonts w:ascii="Times New Roman" w:hAnsi="Times New Roman"/>
          <w:noProof/>
          <w:sz w:val="24"/>
          <w:szCs w:val="24"/>
        </w:rPr>
        <w:t>общаващ начин с участието на ключови заинтересовани лица. От своя страна, Европейският съюз следва да положи усилия за придаването на по-голяма прозрачност на процеса чрез по-широко оповестяване на ключови документи.</w:t>
      </w:r>
      <w:r>
        <w:rPr>
          <w:rFonts w:ascii="Times New Roman" w:hAnsi="Times New Roman"/>
          <w:noProof/>
          <w:sz w:val="24"/>
          <w:szCs w:val="24"/>
          <w:u w:val="single"/>
        </w:rPr>
        <w:t xml:space="preserve"> </w:t>
      </w:r>
    </w:p>
    <w:p w:rsidR="00503A2F" w:rsidRDefault="0015791B">
      <w:pPr>
        <w:pStyle w:val="Briefingtext"/>
        <w:spacing w:after="120"/>
        <w:rPr>
          <w:rFonts w:ascii="Times New Roman" w:eastAsia="Calibri" w:hAnsi="Times New Roman" w:cs="Times New Roman"/>
          <w:noProof/>
          <w:sz w:val="24"/>
        </w:rPr>
      </w:pPr>
      <w:r>
        <w:rPr>
          <w:rFonts w:ascii="Times New Roman" w:hAnsi="Times New Roman"/>
          <w:noProof/>
          <w:sz w:val="24"/>
        </w:rPr>
        <w:t>Също така Комисията ще продължи действ</w:t>
      </w:r>
      <w:r>
        <w:rPr>
          <w:rFonts w:ascii="Times New Roman" w:hAnsi="Times New Roman"/>
          <w:noProof/>
          <w:sz w:val="24"/>
        </w:rPr>
        <w:t>ията си за комуникация и информация, включително в държавите от ЕС, където държавите членки са тези, които на първо място носят отговорност да информират гражданите си и да им предоставят факти за стратегическите възможности и предизвикателства на процеса.</w:t>
      </w:r>
      <w:r>
        <w:rPr>
          <w:rFonts w:ascii="Times New Roman" w:hAnsi="Times New Roman"/>
          <w:noProof/>
          <w:sz w:val="24"/>
        </w:rPr>
        <w:t xml:space="preserve"> </w:t>
      </w:r>
    </w:p>
    <w:p w:rsidR="00503A2F" w:rsidRDefault="0015791B">
      <w:pPr>
        <w:pStyle w:val="Briefingtext"/>
        <w:spacing w:after="120"/>
        <w:rPr>
          <w:rFonts w:ascii="Times New Roman" w:hAnsi="Times New Roman" w:cs="Times New Roman"/>
          <w:noProof/>
          <w:sz w:val="24"/>
        </w:rPr>
      </w:pPr>
      <w:r>
        <w:rPr>
          <w:rFonts w:ascii="Times New Roman" w:hAnsi="Times New Roman"/>
          <w:noProof/>
          <w:sz w:val="24"/>
        </w:rPr>
        <w:t>В приложение се съдържа таблица с предлаганите клъстери от глави. По глава 34 „</w:t>
      </w:r>
      <w:r>
        <w:rPr>
          <w:rFonts w:ascii="Times New Roman" w:hAnsi="Times New Roman"/>
          <w:i/>
          <w:noProof/>
          <w:sz w:val="24"/>
        </w:rPr>
        <w:t>Институции</w:t>
      </w:r>
      <w:r>
        <w:rPr>
          <w:rFonts w:ascii="Times New Roman" w:hAnsi="Times New Roman"/>
          <w:noProof/>
          <w:sz w:val="24"/>
        </w:rPr>
        <w:t>“ и глава 35 „</w:t>
      </w:r>
      <w:r>
        <w:rPr>
          <w:rFonts w:ascii="Times New Roman" w:hAnsi="Times New Roman"/>
          <w:i/>
          <w:noProof/>
          <w:sz w:val="24"/>
        </w:rPr>
        <w:t>Други въпроси</w:t>
      </w:r>
      <w:r>
        <w:rPr>
          <w:rFonts w:ascii="Times New Roman" w:hAnsi="Times New Roman"/>
          <w:noProof/>
          <w:sz w:val="24"/>
        </w:rPr>
        <w:t xml:space="preserve">“ ще се работи поотделно. </w:t>
      </w:r>
      <w:r>
        <w:rPr>
          <w:rFonts w:ascii="Times New Roman" w:hAnsi="Times New Roman"/>
          <w:noProof/>
          <w:sz w:val="24"/>
        </w:rPr>
        <w:br w:type="page"/>
      </w:r>
    </w:p>
    <w:p w:rsidR="00503A2F" w:rsidRDefault="0015791B">
      <w:pPr>
        <w:pageBreakBefore/>
        <w:spacing w:after="120" w:line="240" w:lineRule="auto"/>
        <w:jc w:val="both"/>
        <w:rPr>
          <w:rFonts w:ascii="Times New Roman" w:hAnsi="Times New Roman"/>
          <w:b/>
          <w:noProof/>
          <w:sz w:val="24"/>
          <w:szCs w:val="24"/>
          <w:u w:val="single"/>
        </w:rPr>
      </w:pPr>
      <w:r>
        <w:rPr>
          <w:rFonts w:ascii="Times New Roman" w:hAnsi="Times New Roman"/>
          <w:b/>
          <w:noProof/>
          <w:sz w:val="24"/>
          <w:szCs w:val="24"/>
          <w:u w:val="single"/>
        </w:rPr>
        <w:lastRenderedPageBreak/>
        <w:t>Техническо приложение: клъстери от преговорни глави</w:t>
      </w:r>
    </w:p>
    <w:p w:rsidR="00503A2F" w:rsidRDefault="00503A2F">
      <w:pPr>
        <w:spacing w:after="120" w:line="240" w:lineRule="auto"/>
        <w:jc w:val="both"/>
        <w:rPr>
          <w:rFonts w:ascii="Times New Roman" w:hAnsi="Times New Roman" w:cs="Times New Roman"/>
          <w:b/>
          <w:noProof/>
          <w:sz w:val="24"/>
          <w:szCs w:val="24"/>
          <w:u w:val="single"/>
        </w:rPr>
      </w:pPr>
    </w:p>
    <w:tbl>
      <w:tblPr>
        <w:tblStyle w:val="TableGrid1"/>
        <w:tblW w:w="0" w:type="auto"/>
        <w:tblLook w:val="04A0" w:firstRow="1" w:lastRow="0" w:firstColumn="1" w:lastColumn="0" w:noHBand="0" w:noVBand="1"/>
      </w:tblPr>
      <w:tblGrid>
        <w:gridCol w:w="4656"/>
        <w:gridCol w:w="4630"/>
      </w:tblGrid>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000000" w:themeColor="text1"/>
                <w:sz w:val="24"/>
                <w:szCs w:val="24"/>
              </w:rPr>
            </w:pPr>
            <w:r>
              <w:rPr>
                <w:rFonts w:ascii="Times New Roman" w:hAnsi="Times New Roman"/>
                <w:b/>
                <w:noProof/>
                <w:sz w:val="24"/>
                <w:szCs w:val="24"/>
              </w:rPr>
              <w:t xml:space="preserve">Основни теми </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23 - Съдебна система и основни права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24 - </w:t>
            </w:r>
            <w:r>
              <w:rPr>
                <w:rFonts w:ascii="Times New Roman" w:hAnsi="Times New Roman"/>
                <w:noProof/>
                <w:sz w:val="24"/>
                <w:szCs w:val="24"/>
              </w:rPr>
              <w:t>Правосъдие, свобода и сигурност</w:t>
            </w:r>
          </w:p>
          <w:p w:rsidR="00503A2F" w:rsidRDefault="0015791B">
            <w:pPr>
              <w:rPr>
                <w:rFonts w:ascii="Times New Roman" w:hAnsi="Times New Roman" w:cs="Times New Roman"/>
                <w:noProof/>
                <w:sz w:val="24"/>
                <w:szCs w:val="24"/>
              </w:rPr>
            </w:pPr>
            <w:r>
              <w:rPr>
                <w:rFonts w:ascii="Times New Roman" w:hAnsi="Times New Roman"/>
                <w:noProof/>
                <w:sz w:val="24"/>
                <w:szCs w:val="24"/>
              </w:rPr>
              <w:t>Икономически критерии</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Функциониране на демократичните институции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Реформа на публичната администрация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5 - Възлагане на обществени поръчки </w:t>
            </w:r>
          </w:p>
          <w:p w:rsidR="00503A2F" w:rsidRDefault="0015791B">
            <w:pPr>
              <w:rPr>
                <w:rFonts w:ascii="Times New Roman" w:hAnsi="Times New Roman" w:cs="Times New Roman"/>
                <w:noProof/>
                <w:sz w:val="24"/>
                <w:szCs w:val="24"/>
              </w:rPr>
            </w:pPr>
            <w:r>
              <w:rPr>
                <w:rFonts w:ascii="Times New Roman" w:hAnsi="Times New Roman"/>
                <w:noProof/>
                <w:sz w:val="24"/>
                <w:szCs w:val="24"/>
              </w:rPr>
              <w:t>18 - Статистически данни</w:t>
            </w:r>
          </w:p>
          <w:p w:rsidR="00503A2F" w:rsidRDefault="0015791B">
            <w:pPr>
              <w:rPr>
                <w:rFonts w:ascii="Times New Roman" w:hAnsi="Times New Roman" w:cs="Times New Roman"/>
                <w:noProof/>
                <w:sz w:val="24"/>
                <w:szCs w:val="24"/>
              </w:rPr>
            </w:pPr>
            <w:r>
              <w:rPr>
                <w:rFonts w:ascii="Times New Roman" w:hAnsi="Times New Roman"/>
                <w:noProof/>
                <w:sz w:val="24"/>
                <w:szCs w:val="24"/>
              </w:rPr>
              <w:t>32 - Финансов контрол</w:t>
            </w:r>
          </w:p>
        </w:tc>
      </w:tr>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Вътрешен пазар</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1 - Свободно движение на стоки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2 - Свободно движение на работници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3 - Право на установяване и свободно предоставяне на услуги </w:t>
            </w:r>
          </w:p>
          <w:p w:rsidR="00503A2F" w:rsidRDefault="0015791B">
            <w:pPr>
              <w:rPr>
                <w:rFonts w:ascii="Times New Roman" w:hAnsi="Times New Roman" w:cs="Times New Roman"/>
                <w:noProof/>
                <w:sz w:val="24"/>
                <w:szCs w:val="24"/>
              </w:rPr>
            </w:pPr>
            <w:r>
              <w:rPr>
                <w:rFonts w:ascii="Times New Roman" w:hAnsi="Times New Roman"/>
                <w:noProof/>
                <w:sz w:val="24"/>
                <w:szCs w:val="24"/>
              </w:rPr>
              <w:t>4 - Свободно движение на капитали</w:t>
            </w:r>
          </w:p>
          <w:p w:rsidR="00503A2F" w:rsidRDefault="0015791B">
            <w:pPr>
              <w:rPr>
                <w:rFonts w:ascii="Times New Roman" w:hAnsi="Times New Roman" w:cs="Times New Roman"/>
                <w:noProof/>
                <w:sz w:val="24"/>
                <w:szCs w:val="24"/>
              </w:rPr>
            </w:pPr>
            <w:r>
              <w:rPr>
                <w:rFonts w:ascii="Times New Roman" w:hAnsi="Times New Roman"/>
                <w:noProof/>
                <w:sz w:val="24"/>
                <w:szCs w:val="24"/>
              </w:rPr>
              <w:t>6 - Дружествено право</w:t>
            </w:r>
          </w:p>
          <w:p w:rsidR="00503A2F" w:rsidRDefault="0015791B">
            <w:pPr>
              <w:rPr>
                <w:rFonts w:ascii="Times New Roman" w:hAnsi="Times New Roman" w:cs="Times New Roman"/>
                <w:noProof/>
                <w:sz w:val="24"/>
                <w:szCs w:val="24"/>
              </w:rPr>
            </w:pPr>
            <w:r>
              <w:rPr>
                <w:rFonts w:ascii="Times New Roman" w:hAnsi="Times New Roman"/>
                <w:noProof/>
                <w:sz w:val="24"/>
                <w:szCs w:val="24"/>
              </w:rPr>
              <w:t>7 - Законодателство в областта на интелектуалната собственост</w:t>
            </w:r>
          </w:p>
          <w:p w:rsidR="00503A2F" w:rsidRDefault="0015791B">
            <w:pPr>
              <w:rPr>
                <w:rFonts w:ascii="Times New Roman" w:hAnsi="Times New Roman" w:cs="Times New Roman"/>
                <w:noProof/>
                <w:sz w:val="24"/>
                <w:szCs w:val="24"/>
              </w:rPr>
            </w:pPr>
            <w:r>
              <w:rPr>
                <w:rFonts w:ascii="Times New Roman" w:hAnsi="Times New Roman"/>
                <w:noProof/>
                <w:sz w:val="24"/>
                <w:szCs w:val="24"/>
              </w:rPr>
              <w:t>8 - Полит</w:t>
            </w:r>
            <w:r>
              <w:rPr>
                <w:rFonts w:ascii="Times New Roman" w:hAnsi="Times New Roman"/>
                <w:noProof/>
                <w:sz w:val="24"/>
                <w:szCs w:val="24"/>
              </w:rPr>
              <w:t>ика в областта на конкуренцията</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9 - Финансови услуги </w:t>
            </w:r>
          </w:p>
          <w:p w:rsidR="00503A2F" w:rsidRDefault="0015791B">
            <w:pPr>
              <w:rPr>
                <w:rFonts w:ascii="Times New Roman" w:hAnsi="Times New Roman" w:cs="Times New Roman"/>
                <w:noProof/>
                <w:sz w:val="24"/>
                <w:szCs w:val="24"/>
              </w:rPr>
            </w:pPr>
            <w:r>
              <w:rPr>
                <w:rFonts w:ascii="Times New Roman" w:hAnsi="Times New Roman"/>
                <w:noProof/>
                <w:sz w:val="24"/>
                <w:szCs w:val="24"/>
              </w:rPr>
              <w:t>28 - Защита на потребителите и здравеопазване</w:t>
            </w:r>
          </w:p>
        </w:tc>
      </w:tr>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Конкурентоспособност и приобщаващ растеж</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10 - Информационно общество и медии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16 - Данъчно облагане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17 - Икономическа и парична политика </w:t>
            </w:r>
          </w:p>
          <w:p w:rsidR="00503A2F" w:rsidRDefault="0015791B">
            <w:pPr>
              <w:rPr>
                <w:rFonts w:ascii="Times New Roman" w:hAnsi="Times New Roman" w:cs="Times New Roman"/>
                <w:noProof/>
                <w:sz w:val="24"/>
                <w:szCs w:val="24"/>
              </w:rPr>
            </w:pPr>
            <w:r>
              <w:rPr>
                <w:rFonts w:ascii="Times New Roman" w:hAnsi="Times New Roman"/>
                <w:noProof/>
                <w:sz w:val="24"/>
                <w:szCs w:val="24"/>
              </w:rPr>
              <w:t>19 - Социална по</w:t>
            </w:r>
            <w:r>
              <w:rPr>
                <w:rFonts w:ascii="Times New Roman" w:hAnsi="Times New Roman"/>
                <w:noProof/>
                <w:sz w:val="24"/>
                <w:szCs w:val="24"/>
              </w:rPr>
              <w:t xml:space="preserve">литика и заетост </w:t>
            </w:r>
          </w:p>
          <w:p w:rsidR="00503A2F" w:rsidRDefault="0015791B">
            <w:pPr>
              <w:rPr>
                <w:rFonts w:ascii="Times New Roman" w:hAnsi="Times New Roman" w:cs="Times New Roman"/>
                <w:noProof/>
                <w:sz w:val="24"/>
                <w:szCs w:val="24"/>
              </w:rPr>
            </w:pPr>
            <w:r>
              <w:rPr>
                <w:rFonts w:ascii="Times New Roman" w:hAnsi="Times New Roman"/>
                <w:noProof/>
                <w:sz w:val="24"/>
                <w:szCs w:val="24"/>
              </w:rPr>
              <w:t>20 - Политика за предприятията и промишлена политика</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25 - Наука и изследователска дейност </w:t>
            </w:r>
          </w:p>
          <w:p w:rsidR="00503A2F" w:rsidRDefault="0015791B">
            <w:pPr>
              <w:rPr>
                <w:rFonts w:ascii="Times New Roman" w:hAnsi="Times New Roman" w:cs="Times New Roman"/>
                <w:noProof/>
                <w:sz w:val="24"/>
                <w:szCs w:val="24"/>
              </w:rPr>
            </w:pPr>
            <w:r>
              <w:rPr>
                <w:rFonts w:ascii="Times New Roman" w:hAnsi="Times New Roman"/>
                <w:noProof/>
                <w:sz w:val="24"/>
                <w:szCs w:val="24"/>
              </w:rPr>
              <w:t>26 - Образование и култура</w:t>
            </w:r>
          </w:p>
          <w:p w:rsidR="00503A2F" w:rsidRDefault="0015791B">
            <w:pPr>
              <w:rPr>
                <w:rFonts w:ascii="Times New Roman" w:hAnsi="Times New Roman" w:cs="Times New Roman"/>
                <w:b/>
                <w:noProof/>
                <w:color w:val="C00000"/>
                <w:sz w:val="24"/>
                <w:szCs w:val="24"/>
              </w:rPr>
            </w:pPr>
            <w:r>
              <w:rPr>
                <w:rFonts w:ascii="Times New Roman" w:hAnsi="Times New Roman"/>
                <w:noProof/>
                <w:sz w:val="24"/>
                <w:szCs w:val="24"/>
              </w:rPr>
              <w:t>29 - Митнически съюз</w:t>
            </w:r>
          </w:p>
        </w:tc>
      </w:tr>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Зелена програма и устойчива свързаност</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14 - Транспортна политика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15 - Енергетика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21 - Трансевропейски мрежи </w:t>
            </w:r>
          </w:p>
          <w:p w:rsidR="00503A2F" w:rsidRDefault="0015791B">
            <w:pPr>
              <w:rPr>
                <w:rFonts w:ascii="Times New Roman" w:hAnsi="Times New Roman" w:cs="Times New Roman"/>
                <w:b/>
                <w:noProof/>
                <w:color w:val="C00000"/>
                <w:spacing w:val="-6"/>
                <w:sz w:val="24"/>
                <w:szCs w:val="24"/>
              </w:rPr>
            </w:pPr>
            <w:r>
              <w:rPr>
                <w:rFonts w:ascii="Times New Roman" w:hAnsi="Times New Roman"/>
                <w:noProof/>
                <w:spacing w:val="-6"/>
                <w:sz w:val="24"/>
                <w:szCs w:val="24"/>
              </w:rPr>
              <w:t>27 - Околна среда и изменение на климата</w:t>
            </w:r>
          </w:p>
        </w:tc>
      </w:tr>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Ресурси, селско стопанство и сближаване</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11 - Селско стопанство и развитие на селските райони</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12 - Безопасност на храните, ветеринарна и фитосанитарна политика </w:t>
            </w:r>
          </w:p>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13 - Рибарство </w:t>
            </w:r>
          </w:p>
          <w:p w:rsidR="00503A2F" w:rsidRDefault="0015791B">
            <w:pPr>
              <w:rPr>
                <w:rFonts w:ascii="Times New Roman" w:hAnsi="Times New Roman" w:cs="Times New Roman"/>
                <w:noProof/>
                <w:spacing w:val="-4"/>
                <w:sz w:val="24"/>
                <w:szCs w:val="24"/>
              </w:rPr>
            </w:pPr>
            <w:r>
              <w:rPr>
                <w:rFonts w:ascii="Times New Roman" w:hAnsi="Times New Roman"/>
                <w:noProof/>
                <w:spacing w:val="-4"/>
                <w:sz w:val="24"/>
                <w:szCs w:val="24"/>
              </w:rPr>
              <w:t xml:space="preserve">22 - Регионална политика и координиране на структурните инструменти </w:t>
            </w:r>
          </w:p>
          <w:p w:rsidR="00503A2F" w:rsidRDefault="0015791B">
            <w:pPr>
              <w:rPr>
                <w:rFonts w:ascii="Times New Roman" w:hAnsi="Times New Roman" w:cs="Times New Roman"/>
                <w:b/>
                <w:noProof/>
                <w:color w:val="C00000"/>
                <w:sz w:val="24"/>
                <w:szCs w:val="24"/>
              </w:rPr>
            </w:pPr>
            <w:r>
              <w:rPr>
                <w:rFonts w:ascii="Times New Roman" w:hAnsi="Times New Roman"/>
                <w:noProof/>
                <w:sz w:val="24"/>
                <w:szCs w:val="24"/>
              </w:rPr>
              <w:t>33 - Финансови и бюджетни разпоредби</w:t>
            </w:r>
          </w:p>
        </w:tc>
      </w:tr>
      <w:tr w:rsidR="00503A2F">
        <w:tc>
          <w:tcPr>
            <w:tcW w:w="4656" w:type="dxa"/>
          </w:tcPr>
          <w:p w:rsidR="00503A2F" w:rsidRDefault="0015791B">
            <w:pPr>
              <w:numPr>
                <w:ilvl w:val="0"/>
                <w:numId w:val="20"/>
              </w:numPr>
              <w:spacing w:after="120"/>
              <w:ind w:left="284" w:hanging="284"/>
              <w:rPr>
                <w:rFonts w:ascii="Times New Roman" w:hAnsi="Times New Roman" w:cs="Times New Roman"/>
                <w:b/>
                <w:noProof/>
                <w:color w:val="C00000"/>
                <w:sz w:val="24"/>
                <w:szCs w:val="24"/>
              </w:rPr>
            </w:pPr>
            <w:r>
              <w:rPr>
                <w:rFonts w:ascii="Times New Roman" w:hAnsi="Times New Roman"/>
                <w:b/>
                <w:noProof/>
                <w:sz w:val="24"/>
                <w:szCs w:val="24"/>
              </w:rPr>
              <w:t>Външни отношения</w:t>
            </w:r>
          </w:p>
        </w:tc>
        <w:tc>
          <w:tcPr>
            <w:tcW w:w="4630" w:type="dxa"/>
          </w:tcPr>
          <w:p w:rsidR="00503A2F" w:rsidRDefault="0015791B">
            <w:pPr>
              <w:rPr>
                <w:rFonts w:ascii="Times New Roman" w:hAnsi="Times New Roman" w:cs="Times New Roman"/>
                <w:noProof/>
                <w:sz w:val="24"/>
                <w:szCs w:val="24"/>
              </w:rPr>
            </w:pPr>
            <w:r>
              <w:rPr>
                <w:rFonts w:ascii="Times New Roman" w:hAnsi="Times New Roman"/>
                <w:noProof/>
                <w:sz w:val="24"/>
                <w:szCs w:val="24"/>
              </w:rPr>
              <w:t xml:space="preserve">30 - Външни отношения </w:t>
            </w:r>
          </w:p>
          <w:p w:rsidR="00503A2F" w:rsidRDefault="0015791B">
            <w:pPr>
              <w:rPr>
                <w:rFonts w:ascii="Times New Roman" w:hAnsi="Times New Roman" w:cs="Times New Roman"/>
                <w:b/>
                <w:noProof/>
                <w:color w:val="C00000"/>
                <w:sz w:val="24"/>
                <w:szCs w:val="24"/>
              </w:rPr>
            </w:pPr>
            <w:r>
              <w:rPr>
                <w:rFonts w:ascii="Times New Roman" w:hAnsi="Times New Roman"/>
                <w:noProof/>
                <w:sz w:val="24"/>
                <w:szCs w:val="24"/>
              </w:rPr>
              <w:t>31 - Външна политика и политика на сигурност и отбрана</w:t>
            </w:r>
          </w:p>
        </w:tc>
      </w:tr>
    </w:tbl>
    <w:p w:rsidR="00503A2F" w:rsidRDefault="00503A2F">
      <w:pPr>
        <w:rPr>
          <w:noProof/>
          <w:sz w:val="24"/>
          <w:szCs w:val="24"/>
        </w:rPr>
      </w:pPr>
      <w:bookmarkStart w:id="1" w:name="_GoBack"/>
      <w:bookmarkEnd w:id="1"/>
    </w:p>
    <w:sectPr w:rsidR="00503A2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A2F" w:rsidRDefault="0015791B">
      <w:pPr>
        <w:spacing w:after="0" w:line="240" w:lineRule="auto"/>
      </w:pPr>
      <w:r>
        <w:separator/>
      </w:r>
    </w:p>
  </w:endnote>
  <w:endnote w:type="continuationSeparator" w:id="0">
    <w:p w:rsidR="00503A2F" w:rsidRDefault="0015791B">
      <w:pPr>
        <w:spacing w:after="0" w:line="240" w:lineRule="auto"/>
      </w:pPr>
      <w:r>
        <w:continuationSeparator/>
      </w:r>
    </w:p>
  </w:endnote>
  <w:endnote w:type="continuationNotice" w:id="1">
    <w:p w:rsidR="00503A2F" w:rsidRDefault="00503A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15791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924416"/>
      <w:docPartObj>
        <w:docPartGallery w:val="Page Numbers (Bottom of Page)"/>
        <w:docPartUnique/>
      </w:docPartObj>
    </w:sdtPr>
    <w:sdtEndPr>
      <w:rPr>
        <w:rFonts w:ascii="Times New Roman" w:hAnsi="Times New Roman"/>
      </w:rPr>
    </w:sdtEndPr>
    <w:sdtContent>
      <w:p w:rsidR="00503A2F" w:rsidRDefault="0015791B">
        <w:pPr>
          <w:pStyle w:val="Footer"/>
          <w:jc w:val="center"/>
          <w:rPr>
            <w:rFonts w:ascii="Times New Roman" w:hAnsi="Times New Roman"/>
          </w:rP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8</w:t>
        </w:r>
        <w:r>
          <w:rPr>
            <w:rFonts w:ascii="Times New Roman" w:hAnsi="Times New Roman"/>
          </w:rPr>
          <w:fldChar w:fldCharType="end"/>
        </w:r>
      </w:p>
    </w:sdtContent>
  </w:sdt>
  <w:p w:rsidR="00503A2F" w:rsidRDefault="00503A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A2F" w:rsidRDefault="0015791B">
      <w:pPr>
        <w:spacing w:after="0" w:line="240" w:lineRule="auto"/>
      </w:pPr>
      <w:r>
        <w:separator/>
      </w:r>
    </w:p>
  </w:footnote>
  <w:footnote w:type="continuationSeparator" w:id="0">
    <w:p w:rsidR="00503A2F" w:rsidRDefault="0015791B">
      <w:pPr>
        <w:spacing w:after="0" w:line="240" w:lineRule="auto"/>
      </w:pPr>
      <w:r>
        <w:continuationSeparator/>
      </w:r>
    </w:p>
  </w:footnote>
  <w:footnote w:type="continuationNotice" w:id="1">
    <w:p w:rsidR="00503A2F" w:rsidRDefault="00503A2F">
      <w:pPr>
        <w:spacing w:after="0" w:line="240" w:lineRule="auto"/>
      </w:pPr>
    </w:p>
  </w:footnote>
  <w:footnote w:id="2">
    <w:p w:rsidR="00503A2F" w:rsidRDefault="0015791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„Надеждна перспектива за разширяване и засилен ангажимент на ЕС за Западните Балкани“, COM(2018) 65 final.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A2F" w:rsidRDefault="00503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416E"/>
    <w:multiLevelType w:val="hybridMultilevel"/>
    <w:tmpl w:val="A1EA295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FC7712D"/>
    <w:multiLevelType w:val="hybridMultilevel"/>
    <w:tmpl w:val="87149ED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A52AB7"/>
    <w:multiLevelType w:val="hybridMultilevel"/>
    <w:tmpl w:val="DD4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D110A"/>
    <w:multiLevelType w:val="hybridMultilevel"/>
    <w:tmpl w:val="BD9224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93B20"/>
    <w:multiLevelType w:val="hybridMultilevel"/>
    <w:tmpl w:val="64243D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620FF1"/>
    <w:multiLevelType w:val="hybridMultilevel"/>
    <w:tmpl w:val="45261496"/>
    <w:lvl w:ilvl="0" w:tplc="1D1648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17F54"/>
    <w:multiLevelType w:val="hybridMultilevel"/>
    <w:tmpl w:val="117AE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1763A"/>
    <w:multiLevelType w:val="hybridMultilevel"/>
    <w:tmpl w:val="945C378E"/>
    <w:lvl w:ilvl="0" w:tplc="4ACCDFBA">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D343D"/>
    <w:multiLevelType w:val="hybridMultilevel"/>
    <w:tmpl w:val="50A4FC54"/>
    <w:lvl w:ilvl="0" w:tplc="BA480FE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73514C"/>
    <w:multiLevelType w:val="multilevel"/>
    <w:tmpl w:val="224C142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6345CF"/>
    <w:multiLevelType w:val="hybridMultilevel"/>
    <w:tmpl w:val="D79615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BA2BFA"/>
    <w:multiLevelType w:val="hybridMultilevel"/>
    <w:tmpl w:val="77883D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C4FCB"/>
    <w:multiLevelType w:val="hybridMultilevel"/>
    <w:tmpl w:val="D21C0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9401E6"/>
    <w:multiLevelType w:val="hybridMultilevel"/>
    <w:tmpl w:val="257417F8"/>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F868FC"/>
    <w:multiLevelType w:val="hybridMultilevel"/>
    <w:tmpl w:val="E196F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9E686E"/>
    <w:multiLevelType w:val="hybridMultilevel"/>
    <w:tmpl w:val="CF38284C"/>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C97028"/>
    <w:multiLevelType w:val="hybridMultilevel"/>
    <w:tmpl w:val="91784AC0"/>
    <w:lvl w:ilvl="0" w:tplc="1D164876">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E12096"/>
    <w:multiLevelType w:val="hybridMultilevel"/>
    <w:tmpl w:val="95B81AB6"/>
    <w:lvl w:ilvl="0" w:tplc="1C926838">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E47A4B"/>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7B3521"/>
    <w:multiLevelType w:val="hybridMultilevel"/>
    <w:tmpl w:val="016497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DC2FE5"/>
    <w:multiLevelType w:val="hybridMultilevel"/>
    <w:tmpl w:val="2624B5F2"/>
    <w:lvl w:ilvl="0" w:tplc="3EF0E86C">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D077E"/>
    <w:multiLevelType w:val="hybridMultilevel"/>
    <w:tmpl w:val="D4765D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D17E87"/>
    <w:multiLevelType w:val="hybridMultilevel"/>
    <w:tmpl w:val="14B6008A"/>
    <w:lvl w:ilvl="0" w:tplc="6128C87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E142F"/>
    <w:multiLevelType w:val="hybridMultilevel"/>
    <w:tmpl w:val="A68496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4D2DC3"/>
    <w:multiLevelType w:val="hybridMultilevel"/>
    <w:tmpl w:val="A37C74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5C1E0A"/>
    <w:multiLevelType w:val="hybridMultilevel"/>
    <w:tmpl w:val="219A8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9792E"/>
    <w:multiLevelType w:val="hybridMultilevel"/>
    <w:tmpl w:val="6AA844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B4A79"/>
    <w:multiLevelType w:val="hybridMultilevel"/>
    <w:tmpl w:val="B9A684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15782E"/>
    <w:multiLevelType w:val="hybridMultilevel"/>
    <w:tmpl w:val="8514C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C71342"/>
    <w:multiLevelType w:val="hybridMultilevel"/>
    <w:tmpl w:val="DCFE7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E11540"/>
    <w:multiLevelType w:val="hybridMultilevel"/>
    <w:tmpl w:val="42A8909C"/>
    <w:lvl w:ilvl="0" w:tplc="08090011">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92730A"/>
    <w:multiLevelType w:val="hybridMultilevel"/>
    <w:tmpl w:val="190E7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31"/>
  </w:num>
  <w:num w:numId="4">
    <w:abstractNumId w:val="28"/>
  </w:num>
  <w:num w:numId="5">
    <w:abstractNumId w:val="12"/>
  </w:num>
  <w:num w:numId="6">
    <w:abstractNumId w:val="16"/>
  </w:num>
  <w:num w:numId="7">
    <w:abstractNumId w:val="17"/>
  </w:num>
  <w:num w:numId="8">
    <w:abstractNumId w:val="5"/>
  </w:num>
  <w:num w:numId="9">
    <w:abstractNumId w:val="13"/>
  </w:num>
  <w:num w:numId="10">
    <w:abstractNumId w:val="7"/>
  </w:num>
  <w:num w:numId="11">
    <w:abstractNumId w:val="1"/>
  </w:num>
  <w:num w:numId="12">
    <w:abstractNumId w:val="11"/>
  </w:num>
  <w:num w:numId="13">
    <w:abstractNumId w:val="8"/>
  </w:num>
  <w:num w:numId="14">
    <w:abstractNumId w:val="19"/>
  </w:num>
  <w:num w:numId="15">
    <w:abstractNumId w:val="21"/>
  </w:num>
  <w:num w:numId="16">
    <w:abstractNumId w:val="4"/>
  </w:num>
  <w:num w:numId="17">
    <w:abstractNumId w:val="9"/>
  </w:num>
  <w:num w:numId="18">
    <w:abstractNumId w:val="30"/>
  </w:num>
  <w:num w:numId="19">
    <w:abstractNumId w:val="10"/>
  </w:num>
  <w:num w:numId="20">
    <w:abstractNumId w:val="22"/>
  </w:num>
  <w:num w:numId="21">
    <w:abstractNumId w:val="0"/>
  </w:num>
  <w:num w:numId="22">
    <w:abstractNumId w:val="23"/>
  </w:num>
  <w:num w:numId="23">
    <w:abstractNumId w:val="26"/>
  </w:num>
  <w:num w:numId="24">
    <w:abstractNumId w:val="6"/>
  </w:num>
  <w:num w:numId="25">
    <w:abstractNumId w:val="24"/>
  </w:num>
  <w:num w:numId="26">
    <w:abstractNumId w:val="14"/>
  </w:num>
  <w:num w:numId="27">
    <w:abstractNumId w:val="29"/>
  </w:num>
  <w:num w:numId="28">
    <w:abstractNumId w:val="27"/>
  </w:num>
  <w:num w:numId="29">
    <w:abstractNumId w:val="15"/>
  </w:num>
  <w:num w:numId="30">
    <w:abstractNumId w:val="18"/>
  </w:num>
  <w:num w:numId="31">
    <w:abstractNumId w:val="3"/>
  </w:num>
  <w:num w:numId="32">
    <w:abstractNumId w:val="20"/>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revisionView w:markup="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7A60631-15A1-455E-A2BC-38D0C78EA399"/>
    <w:docVar w:name="LW_COVERPAGE_TYPE" w:val="1"/>
    <w:docVar w:name="LW_CROSSREFERENCE" w:val="&lt;UNUSED&gt;"/>
    <w:docVar w:name="LW_DocType" w:val="NORMAL"/>
    <w:docVar w:name="LW_EMISSION" w:val="5.2.2020"/>
    <w:docVar w:name="LW_EMISSION_ISODATE" w:val="2020-02-05"/>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7?\u1072?\u1089?\u1080?\u1083?\u1074?\u1072?\u1085?\u1077? \u1085?\u1072? \u1087?\u1088?\u1086?\u1094?\u1077?\u1089?\u1072? \u1085?\u1072? \u1088?\u1072?\u1079?\u1096?\u1080?\u1088?\u1103?\u1074?\u1072?\u1085?\u1077? \u8212? \u1085?\u1072?\u1076?\u1077?\u1078?\u1076?\u1085?\u1072? \u1087?\u1077?\u1088?\u1089?\u1087?\u1077?\u1082?\u1090?\u1080?\u1074?\u1072? \u1079?\u1072? \u1095?\u1083?\u1077?\u1085?\u1089?\u1090?\u1074?\u1086? \u1074? \u1045?\u1057? \u1079?\u1072? \u1047?\u1072?\u1087?\u1072?\u1076?\u1085?\u1080?\u1090?\u1077? \u1041?\u1072?\u1083?\u1082?\u1072?\u1085?\u1080?"/>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w:rsids>
    <w:rsidRoot w:val="00503A2F"/>
    <w:rsid w:val="0015791B"/>
    <w:rsid w:val="0050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aliases w:val="Fußnote,Footnote Text Char Char Char,Footnote Text Char Char,single space,Fußnotentextf,Footnote text,fn,Schriftart: 9 pt,Schriftart: 10 pt,Schriftart: 8 pt,WB-Fußnotentext,footnote text Carattere,Geneva 9,Font: Geneva 9"/>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Fußnote Char,Footnote Text Char Char Char Char,Footnote Text Char Char Char1,single space Char,Fußnotentextf Char,Footnote text Char,fn Char,Schriftart: 9 pt Char,Schriftart: 10 pt Char,Schriftart: 8 pt Char,WB-Fußnotentext Char"/>
    <w:basedOn w:val="DefaultParagraphFont"/>
    <w:link w:val="FootnoteText"/>
    <w:uiPriority w:val="99"/>
    <w:rPr>
      <w:sz w:val="20"/>
      <w:szCs w:val="20"/>
    </w:rPr>
  </w:style>
  <w:style w:type="character" w:styleId="FootnoteReference">
    <w:name w:val="footnote reference"/>
    <w:aliases w:val="ftref,BVI fnr,(Footnote Reference), BVI fnr,Footnote symbol,Footnotes refss,Footnote Reference Superscript,SUPERS,Footnote,Footnote reference number,note TESI,EN Footnote Reference,Voetnootverwijzing,Times 10 Point,Ref"/>
    <w:basedOn w:val="DefaultParagraphFont"/>
    <w:uiPriority w:val="99"/>
    <w:unhideWhenUsed/>
    <w:qFormat/>
    <w:rPr>
      <w:vertAlign w:val="superscrip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ingtext">
    <w:name w:val="Briefing text"/>
    <w:basedOn w:val="Normal"/>
    <w:link w:val="BriefingtextChar"/>
    <w:pPr>
      <w:spacing w:after="240" w:line="240" w:lineRule="auto"/>
      <w:jc w:val="both"/>
    </w:pPr>
    <w:rPr>
      <w:rFonts w:ascii="Arial" w:eastAsia="Times New Roman" w:hAnsi="Arial" w:cs="Arial"/>
      <w:szCs w:val="24"/>
    </w:rPr>
  </w:style>
  <w:style w:type="character" w:customStyle="1" w:styleId="BriefingtextChar">
    <w:name w:val="Briefing text Char"/>
    <w:link w:val="Briefingtext"/>
    <w:rPr>
      <w:rFonts w:ascii="Arial" w:eastAsia="Times New Roman" w:hAnsi="Arial" w:cs="Arial"/>
      <w:szCs w:val="24"/>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style>
  <w:style w:type="paragraph" w:styleId="PlainText">
    <w:name w:val="Plain Text"/>
    <w:basedOn w:val="Normal"/>
    <w:link w:val="PlainTextChar"/>
    <w:uiPriority w:val="99"/>
    <w:semiHidden/>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Pr>
      <w:rFonts w:ascii="Calibri" w:hAnsi="Calibri"/>
      <w:szCs w:val="21"/>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FootnoteTextChar1">
    <w:name w:val="Footnote Text Char1"/>
    <w:basedOn w:val="DefaultParagraphFon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3303">
      <w:bodyDiv w:val="1"/>
      <w:marLeft w:val="0"/>
      <w:marRight w:val="0"/>
      <w:marTop w:val="0"/>
      <w:marBottom w:val="0"/>
      <w:divBdr>
        <w:top w:val="none" w:sz="0" w:space="0" w:color="auto"/>
        <w:left w:val="none" w:sz="0" w:space="0" w:color="auto"/>
        <w:bottom w:val="none" w:sz="0" w:space="0" w:color="auto"/>
        <w:right w:val="none" w:sz="0" w:space="0" w:color="auto"/>
      </w:divBdr>
    </w:div>
    <w:div w:id="437482872">
      <w:bodyDiv w:val="1"/>
      <w:marLeft w:val="0"/>
      <w:marRight w:val="0"/>
      <w:marTop w:val="0"/>
      <w:marBottom w:val="0"/>
      <w:divBdr>
        <w:top w:val="none" w:sz="0" w:space="0" w:color="auto"/>
        <w:left w:val="none" w:sz="0" w:space="0" w:color="auto"/>
        <w:bottom w:val="none" w:sz="0" w:space="0" w:color="auto"/>
        <w:right w:val="none" w:sz="0" w:space="0" w:color="auto"/>
      </w:divBdr>
    </w:div>
    <w:div w:id="486939901">
      <w:bodyDiv w:val="1"/>
      <w:marLeft w:val="0"/>
      <w:marRight w:val="0"/>
      <w:marTop w:val="0"/>
      <w:marBottom w:val="0"/>
      <w:divBdr>
        <w:top w:val="none" w:sz="0" w:space="0" w:color="auto"/>
        <w:left w:val="none" w:sz="0" w:space="0" w:color="auto"/>
        <w:bottom w:val="none" w:sz="0" w:space="0" w:color="auto"/>
        <w:right w:val="none" w:sz="0" w:space="0" w:color="auto"/>
      </w:divBdr>
    </w:div>
    <w:div w:id="609237200">
      <w:bodyDiv w:val="1"/>
      <w:marLeft w:val="0"/>
      <w:marRight w:val="0"/>
      <w:marTop w:val="0"/>
      <w:marBottom w:val="0"/>
      <w:divBdr>
        <w:top w:val="none" w:sz="0" w:space="0" w:color="auto"/>
        <w:left w:val="none" w:sz="0" w:space="0" w:color="auto"/>
        <w:bottom w:val="none" w:sz="0" w:space="0" w:color="auto"/>
        <w:right w:val="none" w:sz="0" w:space="0" w:color="auto"/>
      </w:divBdr>
    </w:div>
    <w:div w:id="684552790">
      <w:bodyDiv w:val="1"/>
      <w:marLeft w:val="0"/>
      <w:marRight w:val="0"/>
      <w:marTop w:val="0"/>
      <w:marBottom w:val="0"/>
      <w:divBdr>
        <w:top w:val="none" w:sz="0" w:space="0" w:color="auto"/>
        <w:left w:val="none" w:sz="0" w:space="0" w:color="auto"/>
        <w:bottom w:val="none" w:sz="0" w:space="0" w:color="auto"/>
        <w:right w:val="none" w:sz="0" w:space="0" w:color="auto"/>
      </w:divBdr>
    </w:div>
    <w:div w:id="1092967175">
      <w:bodyDiv w:val="1"/>
      <w:marLeft w:val="0"/>
      <w:marRight w:val="0"/>
      <w:marTop w:val="0"/>
      <w:marBottom w:val="0"/>
      <w:divBdr>
        <w:top w:val="none" w:sz="0" w:space="0" w:color="auto"/>
        <w:left w:val="none" w:sz="0" w:space="0" w:color="auto"/>
        <w:bottom w:val="none" w:sz="0" w:space="0" w:color="auto"/>
        <w:right w:val="none" w:sz="0" w:space="0" w:color="auto"/>
      </w:divBdr>
    </w:div>
    <w:div w:id="1127041799">
      <w:bodyDiv w:val="1"/>
      <w:marLeft w:val="0"/>
      <w:marRight w:val="0"/>
      <w:marTop w:val="0"/>
      <w:marBottom w:val="0"/>
      <w:divBdr>
        <w:top w:val="none" w:sz="0" w:space="0" w:color="auto"/>
        <w:left w:val="none" w:sz="0" w:space="0" w:color="auto"/>
        <w:bottom w:val="none" w:sz="0" w:space="0" w:color="auto"/>
        <w:right w:val="none" w:sz="0" w:space="0" w:color="auto"/>
      </w:divBdr>
    </w:div>
    <w:div w:id="1252397198">
      <w:bodyDiv w:val="1"/>
      <w:marLeft w:val="0"/>
      <w:marRight w:val="0"/>
      <w:marTop w:val="0"/>
      <w:marBottom w:val="0"/>
      <w:divBdr>
        <w:top w:val="none" w:sz="0" w:space="0" w:color="auto"/>
        <w:left w:val="none" w:sz="0" w:space="0" w:color="auto"/>
        <w:bottom w:val="none" w:sz="0" w:space="0" w:color="auto"/>
        <w:right w:val="none" w:sz="0" w:space="0" w:color="auto"/>
      </w:divBdr>
    </w:div>
    <w:div w:id="1329476042">
      <w:bodyDiv w:val="1"/>
      <w:marLeft w:val="0"/>
      <w:marRight w:val="0"/>
      <w:marTop w:val="0"/>
      <w:marBottom w:val="0"/>
      <w:divBdr>
        <w:top w:val="none" w:sz="0" w:space="0" w:color="auto"/>
        <w:left w:val="none" w:sz="0" w:space="0" w:color="auto"/>
        <w:bottom w:val="none" w:sz="0" w:space="0" w:color="auto"/>
        <w:right w:val="none" w:sz="0" w:space="0" w:color="auto"/>
      </w:divBdr>
    </w:div>
    <w:div w:id="1690524797">
      <w:bodyDiv w:val="1"/>
      <w:marLeft w:val="0"/>
      <w:marRight w:val="0"/>
      <w:marTop w:val="0"/>
      <w:marBottom w:val="0"/>
      <w:divBdr>
        <w:top w:val="none" w:sz="0" w:space="0" w:color="auto"/>
        <w:left w:val="none" w:sz="0" w:space="0" w:color="auto"/>
        <w:bottom w:val="none" w:sz="0" w:space="0" w:color="auto"/>
        <w:right w:val="none" w:sz="0" w:space="0" w:color="auto"/>
      </w:divBdr>
    </w:div>
    <w:div w:id="1777023546">
      <w:bodyDiv w:val="1"/>
      <w:marLeft w:val="0"/>
      <w:marRight w:val="0"/>
      <w:marTop w:val="0"/>
      <w:marBottom w:val="0"/>
      <w:divBdr>
        <w:top w:val="none" w:sz="0" w:space="0" w:color="auto"/>
        <w:left w:val="none" w:sz="0" w:space="0" w:color="auto"/>
        <w:bottom w:val="none" w:sz="0" w:space="0" w:color="auto"/>
        <w:right w:val="none" w:sz="0" w:space="0" w:color="auto"/>
      </w:divBdr>
    </w:div>
    <w:div w:id="1976325368">
      <w:bodyDiv w:val="1"/>
      <w:marLeft w:val="0"/>
      <w:marRight w:val="0"/>
      <w:marTop w:val="0"/>
      <w:marBottom w:val="0"/>
      <w:divBdr>
        <w:top w:val="none" w:sz="0" w:space="0" w:color="auto"/>
        <w:left w:val="none" w:sz="0" w:space="0" w:color="auto"/>
        <w:bottom w:val="none" w:sz="0" w:space="0" w:color="auto"/>
        <w:right w:val="none" w:sz="0" w:space="0" w:color="auto"/>
      </w:divBdr>
    </w:div>
    <w:div w:id="2142796223">
      <w:bodyDiv w:val="1"/>
      <w:marLeft w:val="0"/>
      <w:marRight w:val="0"/>
      <w:marTop w:val="0"/>
      <w:marBottom w:val="0"/>
      <w:divBdr>
        <w:top w:val="none" w:sz="0" w:space="0" w:color="auto"/>
        <w:left w:val="none" w:sz="0" w:space="0" w:color="auto"/>
        <w:bottom w:val="none" w:sz="0" w:space="0" w:color="auto"/>
        <w:right w:val="none" w:sz="0" w:space="0" w:color="auto"/>
      </w:divBdr>
    </w:div>
    <w:div w:id="2146852635">
      <w:bodyDiv w:val="1"/>
      <w:marLeft w:val="0"/>
      <w:marRight w:val="0"/>
      <w:marTop w:val="0"/>
      <w:marBottom w:val="0"/>
      <w:divBdr>
        <w:top w:val="none" w:sz="0" w:space="0" w:color="auto"/>
        <w:left w:val="none" w:sz="0" w:space="0" w:color="auto"/>
        <w:bottom w:val="none" w:sz="0" w:space="0" w:color="auto"/>
        <w:right w:val="none" w:sz="0" w:space="0" w:color="auto"/>
      </w:divBdr>
      <w:divsChild>
        <w:div w:id="1120762582">
          <w:marLeft w:val="0"/>
          <w:marRight w:val="0"/>
          <w:marTop w:val="0"/>
          <w:marBottom w:val="0"/>
          <w:divBdr>
            <w:top w:val="none" w:sz="0" w:space="0" w:color="auto"/>
            <w:left w:val="none" w:sz="0" w:space="0" w:color="auto"/>
            <w:bottom w:val="none" w:sz="0" w:space="0" w:color="auto"/>
            <w:right w:val="none" w:sz="0" w:space="0" w:color="auto"/>
          </w:divBdr>
          <w:divsChild>
            <w:div w:id="73501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6BC69-489B-4020-8827-718BA8464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3415</Words>
  <Characters>19807</Characters>
  <Application>Microsoft Office Word</Application>
  <DocSecurity>0</DocSecurity>
  <Lines>373</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2020-02-11T10:40:00Z</dcterms:created>
  <dcterms:modified xsi:type="dcterms:W3CDTF">2020-02-17T10:56:00Z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