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F241CDC-6F33-41AB-A92C-92CF6EB427E0" style="width:455.25pt;height:383.25pt">
            <v:imagedata r:id="rId9" o:title=""/>
          </v:shape>
        </w:pict>
      </w:r>
    </w:p>
    <w:p>
      <w:pPr>
        <w:rPr>
          <w:noProof/>
        </w:rPr>
        <w:sectPr>
          <w:footerReference w:type="default" r:id="rId10"/>
          <w:footnotePr>
            <w:numRestart w:val="eachPage"/>
          </w:footnotePr>
          <w:endnotePr>
            <w:numRestart w:val="eachSect"/>
          </w:endnotePr>
          <w:pgSz w:w="11907" w:h="16839" w:code="9"/>
          <w:pgMar w:top="1134" w:right="1134" w:bottom="1134" w:left="1134" w:header="567" w:footer="567" w:gutter="0"/>
          <w:pgNumType w:start="0"/>
          <w:cols w:space="720"/>
          <w:docGrid w:linePitch="360"/>
        </w:sectPr>
      </w:pPr>
    </w:p>
    <w:p>
      <w:pPr>
        <w:pStyle w:val="Exposdesmotifstitre"/>
        <w:rPr>
          <w:b w:val="0"/>
          <w:noProof/>
          <w:u w:val="none"/>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noProof/>
        </w:rPr>
      </w:pPr>
      <w:r>
        <w:rPr>
          <w:noProof/>
        </w:rPr>
        <w:t>Настоящото предложение се отнася до решение за определяне на позицията, която трябва да се заеме от името на Европейския съюз в Регионалния управителен комитет, създаден съгласно Договора за създаване на Транспортната общност („ДТО“), по отношение на предвиденото приемане от Регионалния управителен комитет на решение за бюджета на Транспортната общност за 2020 г.</w:t>
      </w:r>
    </w:p>
    <w:p>
      <w:pPr>
        <w:pStyle w:val="ManualHeading1"/>
        <w:rPr>
          <w:noProof/>
        </w:rPr>
      </w:pPr>
      <w:r>
        <w:rPr>
          <w:noProof/>
        </w:rPr>
        <w:t>2.</w:t>
      </w:r>
      <w:r>
        <w:rPr>
          <w:noProof/>
        </w:rPr>
        <w:tab/>
        <w:t>КОНТЕКСТ НА ПРЕДЛОЖЕНИЕТО</w:t>
      </w:r>
    </w:p>
    <w:p>
      <w:pPr>
        <w:pStyle w:val="ManualHeading2"/>
        <w:rPr>
          <w:noProof/>
        </w:rPr>
      </w:pPr>
      <w:r>
        <w:rPr>
          <w:noProof/>
          <w:u w:color="000000"/>
          <w:bdr w:val="nil"/>
        </w:rPr>
        <w:t>2.1</w:t>
      </w:r>
      <w:r>
        <w:rPr>
          <w:noProof/>
          <w:u w:color="000000"/>
          <w:bdr w:val="nil"/>
        </w:rPr>
        <w:tab/>
      </w:r>
      <w:r>
        <w:rPr>
          <w:noProof/>
        </w:rPr>
        <w:t>Договор за създаване на Транспортната общност</w:t>
      </w:r>
    </w:p>
    <w:p>
      <w:pPr>
        <w:rPr>
          <w:bCs/>
          <w:noProof/>
          <w:szCs w:val="24"/>
        </w:rPr>
      </w:pPr>
      <w:r>
        <w:rPr>
          <w:noProof/>
        </w:rPr>
        <w:t xml:space="preserve">Европейският съюз е страна по ДТО, който влезе в сила на 1 май 2019 г. С Решение 2019/1 на Регионалния управителен комитет Комисията получи мандат да изпълнява бюджета на Транспортната общност до влизането в сила на назначението на директора на Постоянния секретариат на Транспортната общност. </w:t>
      </w:r>
    </w:p>
    <w:p>
      <w:pPr>
        <w:pStyle w:val="ManualHeading2"/>
        <w:rPr>
          <w:noProof/>
        </w:rPr>
      </w:pPr>
      <w:r>
        <w:rPr>
          <w:noProof/>
          <w:u w:color="000000"/>
          <w:bdr w:val="nil"/>
        </w:rPr>
        <w:t>2.2</w:t>
      </w:r>
      <w:r>
        <w:rPr>
          <w:noProof/>
          <w:u w:color="000000"/>
          <w:bdr w:val="nil"/>
        </w:rPr>
        <w:tab/>
      </w:r>
      <w:r>
        <w:rPr>
          <w:noProof/>
        </w:rPr>
        <w:t>Регионален управителен комитет</w:t>
      </w:r>
    </w:p>
    <w:p>
      <w:pPr>
        <w:pBdr>
          <w:top w:val="nil"/>
          <w:left w:val="nil"/>
          <w:bottom w:val="nil"/>
          <w:right w:val="nil"/>
          <w:between w:val="nil"/>
          <w:bar w:val="nil"/>
        </w:pBdr>
        <w:spacing w:before="0" w:after="240"/>
        <w:rPr>
          <w:noProof/>
        </w:rPr>
      </w:pPr>
      <w:r>
        <w:rPr>
          <w:noProof/>
        </w:rPr>
        <w:t>Регионалният управителен комитет е създаден по силата на член 24 от ДТО, като предназначението му е да отговаря за администрирането на ДТО и да осигурява правилното му прилагане. За тази цел той дава препоръки и взема решения в случаите, предвидени в ДТО. По-конкретно, Регионалният управителен комитет:</w:t>
      </w:r>
    </w:p>
    <w:p>
      <w:pPr>
        <w:spacing w:before="0" w:after="200" w:line="276" w:lineRule="auto"/>
        <w:jc w:val="left"/>
        <w:rPr>
          <w:noProof/>
        </w:rPr>
      </w:pPr>
      <w:r>
        <w:rPr>
          <w:noProof/>
        </w:rPr>
        <w:t>а) подготвя работата на Съвета на министрите;</w:t>
      </w:r>
    </w:p>
    <w:p>
      <w:pPr>
        <w:spacing w:before="0" w:after="200" w:line="276" w:lineRule="auto"/>
        <w:jc w:val="left"/>
        <w:rPr>
          <w:noProof/>
        </w:rPr>
      </w:pPr>
      <w:r>
        <w:rPr>
          <w:noProof/>
        </w:rPr>
        <w:t>б) взема решения относно създаването на технически комитети;</w:t>
      </w:r>
    </w:p>
    <w:p>
      <w:pPr>
        <w:spacing w:before="0" w:after="200" w:line="276" w:lineRule="auto"/>
        <w:jc w:val="left"/>
        <w:rPr>
          <w:noProof/>
        </w:rPr>
      </w:pPr>
      <w:r>
        <w:rPr>
          <w:noProof/>
        </w:rPr>
        <w:t>в) дава препоръки и взема решения в съответствие с ДТО;</w:t>
      </w:r>
    </w:p>
    <w:p>
      <w:pPr>
        <w:spacing w:before="0" w:after="200" w:line="276" w:lineRule="auto"/>
        <w:jc w:val="left"/>
        <w:rPr>
          <w:noProof/>
        </w:rPr>
      </w:pPr>
      <w:r>
        <w:rPr>
          <w:noProof/>
        </w:rPr>
        <w:t>г) предприема съответните действия по отношение на новоприети актове на ЕС, по-специално посредством преразглеждане на приложение I към ДТО;</w:t>
      </w:r>
    </w:p>
    <w:p>
      <w:pPr>
        <w:spacing w:before="0" w:after="200" w:line="276" w:lineRule="auto"/>
        <w:jc w:val="left"/>
        <w:rPr>
          <w:noProof/>
        </w:rPr>
      </w:pPr>
      <w:r>
        <w:rPr>
          <w:noProof/>
        </w:rPr>
        <w:t>д) назначава директора на Постоянния секретариат след консултация със Съвета на министрите;</w:t>
      </w:r>
    </w:p>
    <w:p>
      <w:pPr>
        <w:spacing w:before="0" w:after="200" w:line="276" w:lineRule="auto"/>
        <w:jc w:val="left"/>
        <w:rPr>
          <w:noProof/>
        </w:rPr>
      </w:pPr>
      <w:r>
        <w:rPr>
          <w:noProof/>
        </w:rPr>
        <w:t>е) може да назначи един или повече заместник-директори на Постоянния секретариат;</w:t>
      </w:r>
    </w:p>
    <w:p>
      <w:pPr>
        <w:spacing w:before="0" w:after="200" w:line="276" w:lineRule="auto"/>
        <w:jc w:val="left"/>
        <w:rPr>
          <w:noProof/>
        </w:rPr>
      </w:pPr>
      <w:r>
        <w:rPr>
          <w:noProof/>
        </w:rPr>
        <w:t>ж) определя правилата на Постоянния секретариат;</w:t>
      </w:r>
    </w:p>
    <w:p>
      <w:pPr>
        <w:spacing w:before="0" w:after="200" w:line="276" w:lineRule="auto"/>
        <w:jc w:val="left"/>
        <w:rPr>
          <w:noProof/>
        </w:rPr>
      </w:pPr>
      <w:r>
        <w:rPr>
          <w:noProof/>
        </w:rPr>
        <w:t>з) може да преразгледа, посредством решение, размера на бюджетните вноски;</w:t>
      </w:r>
    </w:p>
    <w:p>
      <w:pPr>
        <w:spacing w:before="0" w:after="200" w:line="276" w:lineRule="auto"/>
        <w:jc w:val="left"/>
        <w:rPr>
          <w:noProof/>
        </w:rPr>
      </w:pPr>
      <w:r>
        <w:rPr>
          <w:noProof/>
        </w:rPr>
        <w:t>и) приема годишния бюджет на ДТО;</w:t>
      </w:r>
    </w:p>
    <w:p>
      <w:pPr>
        <w:spacing w:before="0" w:after="200" w:line="276" w:lineRule="auto"/>
        <w:jc w:val="left"/>
        <w:rPr>
          <w:noProof/>
        </w:rPr>
      </w:pPr>
      <w:r>
        <w:rPr>
          <w:noProof/>
        </w:rPr>
        <w:t>й) приема решение, с което се определят процедурите за изпълнение на бюджета, за представяне и одит на сметките и за извършване на инспекция;</w:t>
      </w:r>
    </w:p>
    <w:p>
      <w:pPr>
        <w:spacing w:before="0" w:after="200" w:line="276" w:lineRule="auto"/>
        <w:jc w:val="left"/>
        <w:rPr>
          <w:noProof/>
        </w:rPr>
      </w:pPr>
      <w:r>
        <w:rPr>
          <w:noProof/>
        </w:rPr>
        <w:t>к) взема решения по спорове, представени от договарящите се страни;</w:t>
      </w:r>
    </w:p>
    <w:p>
      <w:pPr>
        <w:spacing w:before="0" w:after="200" w:line="276" w:lineRule="auto"/>
        <w:jc w:val="left"/>
        <w:rPr>
          <w:noProof/>
        </w:rPr>
      </w:pPr>
      <w:r>
        <w:rPr>
          <w:noProof/>
        </w:rPr>
        <w:t>л) приема общи принципи в областта на достъпа до документи, по отношение на документи, намиращи се в разположение на органи, които са създадени от, или съгласно ДТО;</w:t>
      </w:r>
    </w:p>
    <w:p>
      <w:pPr>
        <w:rPr>
          <w:noProof/>
        </w:rPr>
      </w:pPr>
      <w:r>
        <w:rPr>
          <w:noProof/>
        </w:rPr>
        <w:lastRenderedPageBreak/>
        <w:t>м) приема годишни доклади на вниманието на Съвета на министрите относно изграждането на широкообхватната мрежа;</w:t>
      </w:r>
    </w:p>
    <w:p>
      <w:pPr>
        <w:rPr>
          <w:noProof/>
        </w:rPr>
      </w:pPr>
      <w:r>
        <w:rPr>
          <w:noProof/>
        </w:rPr>
        <w:t>н) по отношение на някои актове на Съюза — установява сроковете и начините за транспониране от договарящите се страни от Югоизточна Европа.</w:t>
      </w:r>
    </w:p>
    <w:p>
      <w:pPr>
        <w:pStyle w:val="ManualHeading2"/>
        <w:rPr>
          <w:noProof/>
        </w:rPr>
      </w:pPr>
      <w:r>
        <w:rPr>
          <w:noProof/>
          <w:u w:color="000000"/>
          <w:bdr w:val="nil"/>
        </w:rPr>
        <w:t>2.3</w:t>
      </w:r>
      <w:r>
        <w:rPr>
          <w:noProof/>
          <w:u w:color="000000"/>
          <w:bdr w:val="nil"/>
        </w:rPr>
        <w:tab/>
      </w:r>
      <w:r>
        <w:rPr>
          <w:noProof/>
        </w:rPr>
        <w:t>Предвидените актове от Регионалния управителен комитет</w:t>
      </w:r>
    </w:p>
    <w:p>
      <w:pPr>
        <w:pBdr>
          <w:top w:val="nil"/>
          <w:left w:val="nil"/>
          <w:bottom w:val="nil"/>
          <w:right w:val="nil"/>
          <w:between w:val="nil"/>
          <w:bar w:val="nil"/>
        </w:pBdr>
        <w:spacing w:before="0" w:after="240"/>
        <w:rPr>
          <w:noProof/>
        </w:rPr>
      </w:pPr>
      <w:r>
        <w:rPr>
          <w:noProof/>
        </w:rPr>
        <w:t>Регионалният управителен комитет трябва да приеме решение относно бюджета на Транспортната общност за 2020 г. Предвиденото решение ще стане правно обвързващо за страните по силата на член 25, параграф 1 от ДТО.</w:t>
      </w:r>
    </w:p>
    <w:p>
      <w:pPr>
        <w:pBdr>
          <w:top w:val="nil"/>
          <w:left w:val="nil"/>
          <w:bottom w:val="nil"/>
          <w:right w:val="nil"/>
          <w:between w:val="nil"/>
          <w:bar w:val="nil"/>
        </w:pBdr>
        <w:spacing w:before="0" w:after="240"/>
        <w:rPr>
          <w:b/>
          <w:noProof/>
        </w:rPr>
      </w:pPr>
      <w:r>
        <w:rPr>
          <w:b/>
          <w:noProof/>
        </w:rPr>
        <w:t>Бюджет</w:t>
      </w:r>
    </w:p>
    <w:p>
      <w:pPr>
        <w:pBdr>
          <w:top w:val="nil"/>
          <w:left w:val="nil"/>
          <w:bottom w:val="nil"/>
          <w:right w:val="nil"/>
          <w:between w:val="nil"/>
          <w:bar w:val="nil"/>
        </w:pBdr>
        <w:spacing w:before="0" w:after="240"/>
        <w:rPr>
          <w:noProof/>
        </w:rPr>
      </w:pPr>
      <w:r>
        <w:rPr>
          <w:noProof/>
        </w:rPr>
        <w:t xml:space="preserve">Вноската към бюджета на Транспортната общност е определена в приложение V към ДТО. Делът на Съюза възлиза на 80 % от бюджета, а останалите 20 % се предоставят от договарящите страни от Югоизточна Европа. </w:t>
      </w:r>
    </w:p>
    <w:p>
      <w:pPr>
        <w:pBdr>
          <w:top w:val="nil"/>
          <w:left w:val="nil"/>
          <w:bottom w:val="nil"/>
          <w:right w:val="nil"/>
          <w:between w:val="nil"/>
          <w:bar w:val="nil"/>
        </w:pBdr>
        <w:spacing w:before="0" w:after="240"/>
        <w:rPr>
          <w:noProof/>
        </w:rPr>
      </w:pPr>
      <w:r>
        <w:rPr>
          <w:noProof/>
        </w:rPr>
        <w:t xml:space="preserve">За 2019 г. общият бюджет възлиза на </w:t>
      </w:r>
      <w:r>
        <w:rPr>
          <w:b/>
          <w:noProof/>
        </w:rPr>
        <w:t>1,630 млн. EUR</w:t>
      </w:r>
      <w:r>
        <w:rPr>
          <w:noProof/>
        </w:rPr>
        <w:t xml:space="preserve">. Приносът на ЕС възлизаше общо на </w:t>
      </w:r>
      <w:r>
        <w:rPr>
          <w:b/>
          <w:noProof/>
        </w:rPr>
        <w:t>1,304 млн. EUR</w:t>
      </w:r>
      <w:r>
        <w:rPr>
          <w:noProof/>
        </w:rPr>
        <w:t>, което съответства на 80 % от общия бюджет на Постоянния секретариат за покриване на текущите разходи за 2019 г.</w:t>
      </w:r>
    </w:p>
    <w:p>
      <w:pPr>
        <w:pBdr>
          <w:top w:val="nil"/>
          <w:left w:val="nil"/>
          <w:bottom w:val="nil"/>
          <w:right w:val="nil"/>
          <w:between w:val="nil"/>
          <w:bar w:val="nil"/>
        </w:pBdr>
        <w:spacing w:before="0" w:after="240"/>
        <w:rPr>
          <w:noProof/>
        </w:rPr>
      </w:pPr>
      <w:r>
        <w:rPr>
          <w:noProof/>
        </w:rPr>
        <w:t xml:space="preserve">В съответствие с член 28, буква а) от ДТО Постоянният секретариат е изготвил проектобюджета за 2020 г., като е взел предвид постепенното назначаване на персонала на Постоянния секретариат, което би му позволило да функционира пълноценно и самостоятелно. Бюджетът възлиза общо на </w:t>
      </w:r>
      <w:r>
        <w:rPr>
          <w:b/>
          <w:noProof/>
        </w:rPr>
        <w:t>3,000 млн. EUR</w:t>
      </w:r>
      <w:r>
        <w:rPr>
          <w:noProof/>
        </w:rPr>
        <w:t xml:space="preserve">, от които </w:t>
      </w:r>
      <w:r>
        <w:rPr>
          <w:b/>
          <w:noProof/>
        </w:rPr>
        <w:t>2,400 млн. EUR</w:t>
      </w:r>
      <w:r>
        <w:rPr>
          <w:noProof/>
        </w:rPr>
        <w:t xml:space="preserve"> (80 %) са от ЕС</w:t>
      </w:r>
      <w:r>
        <w:rPr>
          <w:rStyle w:val="FootnoteReference"/>
          <w:noProof/>
        </w:rPr>
        <w:footnoteReference w:id="1"/>
      </w:r>
      <w:r>
        <w:rPr>
          <w:noProof/>
        </w:rPr>
        <w:t xml:space="preserve">, а </w:t>
      </w:r>
      <w:r>
        <w:rPr>
          <w:b/>
          <w:noProof/>
        </w:rPr>
        <w:t>0,6 млн. EUR</w:t>
      </w:r>
      <w:r>
        <w:rPr>
          <w:noProof/>
        </w:rPr>
        <w:t xml:space="preserve"> са от страните от Югоизточна Европа. </w:t>
      </w:r>
    </w:p>
    <w:p>
      <w:pPr>
        <w:pBdr>
          <w:top w:val="nil"/>
          <w:left w:val="nil"/>
          <w:bottom w:val="nil"/>
          <w:right w:val="nil"/>
          <w:between w:val="nil"/>
          <w:bar w:val="nil"/>
        </w:pBdr>
        <w:spacing w:before="0" w:after="240"/>
        <w:rPr>
          <w:noProof/>
        </w:rPr>
      </w:pPr>
      <w:r>
        <w:rPr>
          <w:noProof/>
        </w:rPr>
        <w:t>Тази сума следва да покрие останалите разходи, свързани със създаването на Постоянния секретариат, както и текущите разходи. Съгласно приложение I към Споразумението за седалището между Транспортната общност и Сърбия, приемащата държава — Сърбия, предоставя безплатно офиси на Постоянния секретариат, както и някое от оборудването и услугите, свързани с тези офиси (мебели, сигурност, електроенергия, вода и почистване).</w:t>
      </w:r>
      <w:r>
        <w:rPr>
          <w:noProof/>
        </w:rPr>
        <w:tab/>
      </w:r>
    </w:p>
    <w:p>
      <w:pPr>
        <w:pStyle w:val="ManualHeading1"/>
        <w:rPr>
          <w:noProof/>
        </w:rPr>
      </w:pPr>
      <w:r>
        <w:rPr>
          <w:noProof/>
        </w:rPr>
        <w:t>3.</w:t>
      </w:r>
      <w:r>
        <w:rPr>
          <w:noProof/>
        </w:rPr>
        <w:tab/>
        <w:t>ПОЗИЦИЯ, КОЯТО ТРЯБВА ДА СЕ ЗАЕМЕ ОТ ИМЕТО НА СЪЮЗА</w:t>
      </w:r>
    </w:p>
    <w:p>
      <w:pPr>
        <w:rPr>
          <w:bCs/>
          <w:noProof/>
          <w:szCs w:val="24"/>
        </w:rPr>
      </w:pPr>
      <w:r>
        <w:rPr>
          <w:noProof/>
        </w:rPr>
        <w:t>Приемането на настоящото решение от Регионалния управителен комитет е необходимо за прилагането на ДТО и за функционирането на Постоянния секретариат. Тъй като Съюзът е страна по ДТО, е необходимо да се установи позиция на Съюза по отношение на бюджета на организацията.</w:t>
      </w:r>
    </w:p>
    <w:p>
      <w:pPr>
        <w:pStyle w:val="ManualHeading1"/>
        <w:rPr>
          <w:noProof/>
        </w:rPr>
      </w:pPr>
      <w:r>
        <w:rPr>
          <w:noProof/>
        </w:rPr>
        <w:t>4.</w:t>
      </w:r>
      <w:r>
        <w:rPr>
          <w:noProof/>
        </w:rPr>
        <w:tab/>
        <w:t>ПРАВНО ОСНОВАНИЕ</w:t>
      </w:r>
      <w:r>
        <w:rPr>
          <w:noProof/>
        </w:rPr>
        <w:tab/>
      </w:r>
    </w:p>
    <w:p>
      <w:pPr>
        <w:pStyle w:val="ManualHeading2"/>
        <w:rPr>
          <w:noProof/>
          <w:u w:color="000000"/>
          <w:bdr w:val="nil"/>
        </w:rPr>
      </w:pPr>
      <w:r>
        <w:rPr>
          <w:noProof/>
          <w:u w:color="000000"/>
          <w:bdr w:val="nil"/>
        </w:rPr>
        <w:t>4.1</w:t>
      </w:r>
      <w:r>
        <w:rPr>
          <w:noProof/>
          <w:u w:color="000000"/>
          <w:bdr w:val="nil"/>
        </w:rPr>
        <w:tab/>
        <w:t>Процесуалноправно основание</w:t>
      </w:r>
    </w:p>
    <w:p>
      <w:pPr>
        <w:pStyle w:val="ManualHeading3"/>
        <w:rPr>
          <w:noProof/>
        </w:rPr>
      </w:pPr>
      <w:r>
        <w:rPr>
          <w:noProof/>
        </w:rPr>
        <w:t>4.1.1 Принципи</w:t>
      </w:r>
    </w:p>
    <w:p>
      <w:pPr>
        <w:pBdr>
          <w:top w:val="nil"/>
          <w:left w:val="nil"/>
          <w:bottom w:val="nil"/>
          <w:right w:val="nil"/>
          <w:between w:val="nil"/>
          <w:bar w:val="nil"/>
        </w:pBdr>
        <w:spacing w:before="0" w:after="240"/>
        <w:rPr>
          <w:noProof/>
        </w:rPr>
      </w:pPr>
      <w:r>
        <w:rPr>
          <w:noProof/>
        </w:rPr>
        <w:t>В член 218, параграф 9 от Договора за функционирането на Европейския съюз („ДФЕС“) се предвижда приемането на решения на Съвета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pBdr>
          <w:top w:val="nil"/>
          <w:left w:val="nil"/>
          <w:bottom w:val="nil"/>
          <w:right w:val="nil"/>
          <w:between w:val="nil"/>
          <w:bar w:val="nil"/>
        </w:pBdr>
        <w:spacing w:before="0" w:after="240"/>
        <w:rPr>
          <w:noProof/>
        </w:rPr>
      </w:pPr>
      <w:r>
        <w:rPr>
          <w:noProof/>
        </w:rPr>
        <w:lastRenderedPageBreak/>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дейността на въпросния орган. То включва също така инструментите,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2"/>
      </w:r>
      <w:r>
        <w:rPr>
          <w:noProof/>
        </w:rPr>
        <w:t>.</w:t>
      </w:r>
    </w:p>
    <w:p>
      <w:pPr>
        <w:pStyle w:val="ManualHeading3"/>
        <w:rPr>
          <w:noProof/>
        </w:rPr>
      </w:pPr>
      <w:r>
        <w:rPr>
          <w:noProof/>
        </w:rPr>
        <w:t>4.1.2 Прилагане в конкретния случай</w:t>
      </w:r>
    </w:p>
    <w:p>
      <w:pPr>
        <w:rPr>
          <w:noProof/>
        </w:rPr>
      </w:pPr>
      <w:r>
        <w:rPr>
          <w:noProof/>
        </w:rPr>
        <w:t>Регионалният управителен комитет е орган, създаден по силата на споразумение, а именно ДТО.</w:t>
      </w:r>
    </w:p>
    <w:p>
      <w:pPr>
        <w:rPr>
          <w:noProof/>
        </w:rPr>
      </w:pPr>
      <w:r>
        <w:rPr>
          <w:noProof/>
        </w:rPr>
        <w:t xml:space="preserve">Актът, който Регионалният управителен комитет има за задача да приеме, представлява акт с правно действие. Съгласно член 35 от ДТО Регионалният управителен комитет е оправомощен да приема бюджета на Транспортната общност. По своята същност и по силата на международното право, уреждащо дейността на Регионалния управителен комитет, този акт съдържа елементи, които засягат правната позиция на страните по ДТО, поради това и на Съюза. В следствие на това, за него трябва да се приеме, че има правно действие. </w:t>
      </w:r>
    </w:p>
    <w:p>
      <w:pPr>
        <w:rPr>
          <w:noProof/>
        </w:rPr>
      </w:pPr>
      <w:r>
        <w:rPr>
          <w:noProof/>
        </w:rPr>
        <w:t>Предвиденият акт не допълва, нито изменя институционалната рамка на ДТО.</w:t>
      </w:r>
    </w:p>
    <w:p>
      <w:pPr>
        <w:rPr>
          <w:rFonts w:eastAsia="Arial Unicode MS"/>
          <w:noProof/>
        </w:rPr>
      </w:pPr>
      <w:r>
        <w:rPr>
          <w:noProof/>
        </w:rPr>
        <w:t>Поради това процесуалноправното основание за предложеното решение е член 218, параграф 9 от ДФЕС.</w:t>
      </w:r>
    </w:p>
    <w:p>
      <w:pPr>
        <w:pStyle w:val="ManualHeading2"/>
        <w:rPr>
          <w:noProof/>
          <w:u w:color="000000"/>
          <w:bdr w:val="nil"/>
        </w:rPr>
      </w:pPr>
      <w:r>
        <w:rPr>
          <w:noProof/>
          <w:u w:color="000000"/>
          <w:bdr w:val="nil"/>
        </w:rPr>
        <w:t>4.2</w:t>
      </w:r>
      <w:r>
        <w:rPr>
          <w:noProof/>
          <w:u w:color="000000"/>
          <w:bdr w:val="nil"/>
        </w:rPr>
        <w:tab/>
        <w:t>Материалноправно основание</w:t>
      </w:r>
    </w:p>
    <w:p>
      <w:pPr>
        <w:pStyle w:val="ManualHeading3"/>
        <w:rPr>
          <w:noProof/>
          <w:u w:color="000000"/>
          <w:bdr w:val="nil"/>
        </w:rPr>
      </w:pPr>
      <w:r>
        <w:rPr>
          <w:noProof/>
          <w:u w:color="000000"/>
          <w:bdr w:val="nil"/>
        </w:rPr>
        <w:t>4.2.1.</w:t>
      </w:r>
      <w:r>
        <w:rPr>
          <w:noProof/>
          <w:u w:color="000000"/>
          <w:bdr w:val="nil"/>
        </w:rPr>
        <w:tab/>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по отношение на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u w:color="000000"/>
          <w:bdr w:val="nil"/>
        </w:rPr>
      </w:pPr>
      <w:r>
        <w:rPr>
          <w:noProof/>
          <w:u w:color="000000"/>
          <w:bdr w:val="nil"/>
        </w:rPr>
        <w:t>4.2.2.</w:t>
      </w:r>
      <w:r>
        <w:rPr>
          <w:noProof/>
          <w:u w:color="000000"/>
          <w:bdr w:val="nil"/>
        </w:rPr>
        <w:tab/>
        <w:t>Приложение в конкретния случай</w:t>
      </w:r>
    </w:p>
    <w:p>
      <w:pPr>
        <w:rPr>
          <w:noProof/>
        </w:rPr>
      </w:pPr>
      <w:r>
        <w:rPr>
          <w:noProof/>
        </w:rPr>
        <w:t>Предвиденият акт е необходим за правилното функциониране на Транспортната общност. От своя страна ДТО преследва цели и съдържа части, засягащи областите на автомобилния и железопътния транспорт, както и транспорта по вътрешните водни пътища, които са видове транспорт, обхванати от член 91 от ДФЕС, както и в областта на морския транспорт — вид транспорт, обхванат от член 100, параграф 2 от ДФЕС. Поради хоризонталния си характер, предвиденият акт се отнася до всички тези елементи.</w:t>
      </w:r>
    </w:p>
    <w:p>
      <w:pPr>
        <w:pBdr>
          <w:top w:val="nil"/>
          <w:left w:val="nil"/>
          <w:bottom w:val="nil"/>
          <w:right w:val="nil"/>
          <w:between w:val="nil"/>
          <w:bar w:val="nil"/>
        </w:pBdr>
        <w:spacing w:before="0" w:after="240"/>
        <w:rPr>
          <w:noProof/>
        </w:rPr>
      </w:pPr>
      <w:r>
        <w:rPr>
          <w:noProof/>
        </w:rPr>
        <w:t>Поради това материалноправното основание за предложеното решение включва следните разпоредби: член 91 и член 100, параграф 2 от ДФЕС.</w:t>
      </w:r>
    </w:p>
    <w:p>
      <w:pPr>
        <w:pStyle w:val="ManualHeading2"/>
        <w:rPr>
          <w:noProof/>
        </w:rPr>
      </w:pPr>
      <w:r>
        <w:rPr>
          <w:noProof/>
        </w:rPr>
        <w:t>4.3</w:t>
      </w:r>
      <w:r>
        <w:rPr>
          <w:noProof/>
        </w:rPr>
        <w:tab/>
        <w:t>Заключение</w:t>
      </w:r>
    </w:p>
    <w:p>
      <w:pPr>
        <w:pBdr>
          <w:top w:val="nil"/>
          <w:left w:val="nil"/>
          <w:bottom w:val="nil"/>
          <w:right w:val="nil"/>
          <w:between w:val="nil"/>
          <w:bar w:val="nil"/>
        </w:pBdr>
        <w:spacing w:before="0" w:after="240"/>
        <w:rPr>
          <w:noProof/>
        </w:rPr>
      </w:pPr>
      <w:r>
        <w:rPr>
          <w:noProof/>
        </w:rPr>
        <w:t>Правното основание за предложеното решение следва да бъдат член 91 и член 100, параграф 2 от ДФЕС във връзка с член 218, параграф 9 от ДФЕС.</w:t>
      </w:r>
    </w:p>
    <w:p>
      <w:pPr>
        <w:rPr>
          <w:noProof/>
        </w:rPr>
      </w:pPr>
      <w:r>
        <w:rPr>
          <w:noProof/>
        </w:rPr>
        <w:t>5. ПУБЛИКУВАНЕ НА ПРЕДВИДЕНИЯ АКТ</w:t>
      </w:r>
    </w:p>
    <w:p>
      <w:pPr>
        <w:rPr>
          <w:noProof/>
        </w:rPr>
      </w:pPr>
      <w:r>
        <w:rPr>
          <w:noProof/>
        </w:rPr>
        <w:t xml:space="preserve">В съответствие с член 25, параграф 2 от ДТО, решенията на Регионалния управителен комитет се публикуват в </w:t>
      </w:r>
      <w:r>
        <w:rPr>
          <w:i/>
          <w:iCs/>
          <w:noProof/>
        </w:rPr>
        <w:t>Официален вестник на Европейския съюз</w:t>
      </w:r>
      <w:r>
        <w:rPr>
          <w:noProof/>
        </w:rPr>
        <w:t>.</w:t>
      </w:r>
    </w:p>
    <w:p>
      <w:pPr>
        <w:spacing w:before="0" w:after="200" w:line="276" w:lineRule="auto"/>
        <w:jc w:val="left"/>
        <w:rPr>
          <w:bCs/>
          <w:noProof/>
          <w:szCs w:val="24"/>
        </w:rPr>
      </w:pPr>
      <w:r>
        <w:rPr>
          <w:noProof/>
        </w:rPr>
        <w:lastRenderedPageBreak/>
        <w:br w:type="page"/>
      </w:r>
    </w:p>
    <w:p>
      <w:pPr>
        <w:pStyle w:val="Rfrenceinterinstitutionnelle"/>
        <w:rPr>
          <w:noProof/>
        </w:rPr>
      </w:pPr>
      <w:r>
        <w:rPr>
          <w:noProof/>
        </w:rPr>
        <w:lastRenderedPageBreak/>
        <w:t>2020/0028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Регионалния управителен комитет на Транспортната общност по отношение на някои бюджетни въпроси във връзка с изпълнението на Договора за създаване на Транспортната общност</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и член 100, параграф 2, във връзка с член 218, параграф 9 от него,</w:t>
      </w:r>
    </w:p>
    <w:p>
      <w:pPr>
        <w:spacing w:line="360" w:lineRule="auto"/>
        <w:jc w:val="left"/>
        <w:rPr>
          <w:noProof/>
        </w:rPr>
      </w:pPr>
      <w:r>
        <w:rPr>
          <w:noProof/>
        </w:rPr>
        <w:t>като взе предвид предложението на Европейската комисия,</w:t>
      </w:r>
    </w:p>
    <w:p>
      <w:pPr>
        <w:spacing w:line="360" w:lineRule="auto"/>
        <w:jc w:val="left"/>
        <w:rPr>
          <w:noProof/>
        </w:rPr>
      </w:pPr>
      <w:r>
        <w:rPr>
          <w:noProof/>
        </w:rPr>
        <w:t>като има предвид, че:</w:t>
      </w:r>
    </w:p>
    <w:p>
      <w:pPr>
        <w:pStyle w:val="ManualConsidrant"/>
        <w:rPr>
          <w:noProof/>
        </w:rPr>
      </w:pPr>
      <w:r>
        <w:t>(1)</w:t>
      </w:r>
      <w:r>
        <w:tab/>
      </w:r>
      <w:r>
        <w:rPr>
          <w:noProof/>
        </w:rPr>
        <w:t>Договорът за създаване на Транспортната общност („ДТО“) беше подписан от Съюза в съответствие с Решение (ЕС) 2017/1937 на Съвета</w:t>
      </w:r>
      <w:r>
        <w:rPr>
          <w:rStyle w:val="FootnoteReference"/>
          <w:noProof/>
        </w:rPr>
        <w:footnoteReference w:id="3"/>
      </w:r>
      <w:r>
        <w:rPr>
          <w:noProof/>
        </w:rPr>
        <w:t>. Одобрен е от името на Европейския съюз на 4 март 2019 г.</w:t>
      </w:r>
      <w:r>
        <w:rPr>
          <w:rStyle w:val="FootnoteReference"/>
          <w:noProof/>
        </w:rPr>
        <w:footnoteReference w:id="4"/>
      </w:r>
      <w:r>
        <w:rPr>
          <w:noProof/>
        </w:rPr>
        <w:t xml:space="preserve"> и влезе в сила на 1 май 2019 г.</w:t>
      </w:r>
    </w:p>
    <w:p>
      <w:pPr>
        <w:pStyle w:val="ManualConsidrant"/>
        <w:rPr>
          <w:noProof/>
        </w:rPr>
      </w:pPr>
      <w:r>
        <w:t>(2)</w:t>
      </w:r>
      <w:r>
        <w:tab/>
      </w:r>
      <w:r>
        <w:rPr>
          <w:noProof/>
        </w:rPr>
        <w:t>Съгласно член 35 от ДТО Регионалният управителен комитет („Управителният комитет“) ежегодно приема бюджета на Транспортната общност.</w:t>
      </w:r>
    </w:p>
    <w:p>
      <w:pPr>
        <w:pStyle w:val="ManualConsidrant"/>
        <w:rPr>
          <w:noProof/>
        </w:rPr>
      </w:pPr>
      <w:r>
        <w:t>(3)</w:t>
      </w:r>
      <w:r>
        <w:tab/>
      </w:r>
      <w:r>
        <w:rPr>
          <w:noProof/>
        </w:rPr>
        <w:t>Регионалният управителен комитет на Транспортната общност трябва да приеме решение относно бюджета на Транспортната общност за 2020 г., за да се осигури, че ДТО се изпълнява.</w:t>
      </w:r>
    </w:p>
    <w:p>
      <w:pPr>
        <w:pStyle w:val="ManualConsidrant"/>
        <w:rPr>
          <w:noProof/>
        </w:rPr>
      </w:pPr>
      <w:r>
        <w:t>(4)</w:t>
      </w:r>
      <w:r>
        <w:tab/>
      </w:r>
      <w:r>
        <w:rPr>
          <w:noProof/>
        </w:rPr>
        <w:t>Целесъобразно е да се установи позицията, която да се заеме от името на Съюза в рамките на Управителния комитет, тъй като такова решение е необходимо за функционирането на Постоянния секретариат на Транспортната общност и ще има правно действие по отношение на Съюза.</w:t>
      </w:r>
    </w:p>
    <w:p>
      <w:pPr>
        <w:pStyle w:val="ManualConsidrant"/>
        <w:rPr>
          <w:noProof/>
        </w:rPr>
      </w:pPr>
      <w:r>
        <w:t>(5)</w:t>
      </w:r>
      <w:r>
        <w:tab/>
      </w:r>
      <w:r>
        <w:rPr>
          <w:noProof/>
        </w:rPr>
        <w:t>Оправомощаването на Комисията да изпълнява временно бюджета на Транспортната общност не променя съществения характер на правомощията, възложени на тази институция от Договора за Европейския съюз и Договора за функционирането на Европейския съюз,</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Позицията, която трябва да се заеме от името на Съюза в рамките на Регионалния управителен комитет на Транспортната общност по отношение на бюджета на </w:t>
      </w:r>
      <w:r>
        <w:rPr>
          <w:noProof/>
        </w:rPr>
        <w:lastRenderedPageBreak/>
        <w:t>Транспортната общност за 2020 г., се основава на проекторешението на Регионалния управителен комитет, приложено към настоящото решение.</w:t>
      </w:r>
    </w:p>
    <w:p>
      <w:pPr>
        <w:pStyle w:val="Titrearticle"/>
        <w:rPr>
          <w:noProof/>
        </w:rPr>
      </w:pPr>
      <w:r>
        <w:rPr>
          <w:noProof/>
        </w:rPr>
        <w:t>Член 2</w:t>
      </w:r>
    </w:p>
    <w:p>
      <w:pPr>
        <w:spacing w:line="360" w:lineRule="auto"/>
        <w:jc w:val="left"/>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footnotePr>
        <w:numRestart w:val="eachPage"/>
      </w:footnotePr>
      <w:endnotePr>
        <w:numRestart w:val="eachSect"/>
      </w:endnotePr>
      <w:pgSz w:w="11907" w:h="16839"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за изпълнение на Комисията от 19.7.2019 г., C(2019) 5515.</w:t>
      </w:r>
    </w:p>
  </w:footnote>
  <w:footnote w:id="2">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3">
    <w:p>
      <w:pPr>
        <w:pStyle w:val="FootnoteText"/>
      </w:pPr>
      <w:r>
        <w:rPr>
          <w:rStyle w:val="FootnoteReference"/>
        </w:rPr>
        <w:footnoteRef/>
      </w:r>
      <w:r>
        <w:tab/>
        <w:t>Решение (ЕС) 2017/1937 на Съвета от 11 юли 2017 г. за подписване, от името на Европейския съюз, и временно прилагане на Договора за създаване на Транспортната общност (ОВ L 278, 27.10.2017 г., стр. 1).</w:t>
      </w:r>
    </w:p>
  </w:footnote>
  <w:footnote w:id="4">
    <w:p>
      <w:pPr>
        <w:pStyle w:val="FootnoteText"/>
      </w:pPr>
      <w:r>
        <w:rPr>
          <w:rStyle w:val="FootnoteReference"/>
        </w:rPr>
        <w:footnoteRef/>
      </w:r>
      <w:r>
        <w:tab/>
        <w:t>Решение (ЕС) 2019/392 на Съвета от 4 март 2019 г. за сключване, от името на Европейския съюз, на Договора за създаване на Транспортната общност.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2A84C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0B486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C21D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A6F6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86EF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A4AA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8E71DC"/>
    <w:lvl w:ilvl="0">
      <w:start w:val="1"/>
      <w:numFmt w:val="decimal"/>
      <w:pStyle w:val="ListNumber"/>
      <w:lvlText w:val="%1."/>
      <w:lvlJc w:val="left"/>
      <w:pPr>
        <w:tabs>
          <w:tab w:val="num" w:pos="360"/>
        </w:tabs>
        <w:ind w:left="360" w:hanging="360"/>
      </w:pPr>
    </w:lvl>
  </w:abstractNum>
  <w:abstractNum w:abstractNumId="7">
    <w:nsid w:val="FFFFFF89"/>
    <w:multiLevelType w:val="singleLevel"/>
    <w:tmpl w:val="AA54C8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30721"/>
  </w:hdrShapeDefaults>
  <w:footnotePr>
    <w:numRestart w:val="eachPage"/>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2-18 12:39:0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F241CDC-6F33-41AB-A92C-92CF6EB427E0"/>
    <w:docVar w:name="LW_COVERPAGE_TYPE" w:val="1"/>
    <w:docVar w:name="LW_CROSSREFERENCE" w:val="&lt;UNUSED&gt;"/>
    <w:docVar w:name="LW_DocType" w:val="COM"/>
    <w:docVar w:name="LW_EMISSION" w:val="18.2.2020"/>
    <w:docVar w:name="LW_EMISSION_ISODATE" w:val="2020-02-1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28"/>
    <w:docVar w:name="LW_REF.II.NEW.CP_YEAR" w:val="2020"/>
    <w:docVar w:name="LW_REF.INST.NEW" w:val="COM"/>
    <w:docVar w:name="LW_REF.INST.NEW_ADOPTED" w:val="final"/>
    <w:docVar w:name="LW_REF.INST.NEW_TEXT" w:val="(2020) 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6?\u1077?\u1075?\u1080?\u1086?\u1085?\u1072?\u1083?\u1085?\u1080?\u1103? \u1091?\u1087?\u1088?\u1072?\u1074?\u1080?\u1090?\u1077?\u1083?\u1077?\u1085? \u1082?\u1086?\u1084?\u1080?\u1090?\u1077?\u1090? \u1085?\u1072? \u1058?\u1088?\u1072?\u1085?\u1089?\u1087?\u1086?\u1088?\u1090?\u1085?\u1072?\u1090?\u1072? \u1086?\u1073?\u1097?\u1085?\u1086?\u1089?\u1090? \u1087?\u1086? \u1086?\u1090?\u1085?\u1086?\u1096?\u1077?\u1085?\u1080?\u1077? \u1085?\u1072? \u1085?\u1103?\u1082?\u1086?\u1080? \u1073?\u1102?\u1076?\u1078?\u1077?\u1090?\u1085?\u1080? \u1074?\u1098?\u1087?\u1088?\u1086?\u1089?\u1080? \u1074?\u1098?\u1074? \u1074?\u1088?\u1098?\u1079?\u1082?\u1072? \u1089? \u1080?\u1079?\u1087?\u1098?\u1083?\u1085?\u1077?\u1085?\u1080?\u1077?\u1090?\u1086? \u1085?\u1072? \u1044?\u1086?\u1075?\u1086?\u1074?\u1086?\u1088?\u1072? \u1079?\u1072? \u1089?\u1098?\u1079?\u1076?\u1072?\u1074?\u1072?\u1085?\u1077? \u1085?\u1072? \u1058?\u1088?\u1072?\u1085?\u1089?\u1087?\u1086?\u1088?\u1090?\u1085?\u1072?\u1090?\u1072? \u1086?\u1073?\u1097?\u1085?\u1086?\u1089?\u109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682099">
      <w:bodyDiv w:val="1"/>
      <w:marLeft w:val="0"/>
      <w:marRight w:val="0"/>
      <w:marTop w:val="0"/>
      <w:marBottom w:val="0"/>
      <w:divBdr>
        <w:top w:val="none" w:sz="0" w:space="0" w:color="auto"/>
        <w:left w:val="none" w:sz="0" w:space="0" w:color="auto"/>
        <w:bottom w:val="none" w:sz="0" w:space="0" w:color="auto"/>
        <w:right w:val="none" w:sz="0" w:space="0" w:color="auto"/>
      </w:divBdr>
    </w:div>
    <w:div w:id="16773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2AA22-B21F-4236-91DB-8E896002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1439</Words>
  <Characters>8133</Characters>
  <Application>Microsoft Office Word</Application>
  <DocSecurity>0</DocSecurity>
  <Lines>156</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2019-12-03T11:55:00Z</cp:lastPrinted>
  <dcterms:created xsi:type="dcterms:W3CDTF">2020-02-12T10:26:00Z</dcterms:created>
  <dcterms:modified xsi:type="dcterms:W3CDTF">2020-02-18T11:39:00Z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