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50BC1BB-C081-4DC0-9615-38B680EB38E5" style="width:450.4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spacing w:before="360" w:after="0" w:line="360" w:lineRule="auto"/>
        <w:jc w:val="center"/>
        <w:rPr>
          <w:noProof/>
        </w:rPr>
      </w:pPr>
      <w:r>
        <w:rPr>
          <w:noProof/>
        </w:rPr>
        <w:t>PROJET</w:t>
      </w:r>
    </w:p>
    <w:p>
      <w:pPr>
        <w:spacing w:before="360" w:after="0" w:line="360" w:lineRule="auto"/>
        <w:jc w:val="center"/>
        <w:rPr>
          <w:b/>
          <w:noProof/>
        </w:rPr>
      </w:pPr>
      <w:r>
        <w:rPr>
          <w:b/>
          <w:noProof/>
        </w:rPr>
        <w:t>DÉCISION 2020/</w:t>
      </w:r>
      <w:r>
        <w:rPr>
          <w:b/>
          <w:noProof/>
        </w:rPr>
        <w:br/>
        <w:t>DU COMITÉ DE DIRECTION RÉGIONAL DE LA COMMUNAUTÉ DES TRANSPORTS</w:t>
      </w:r>
    </w:p>
    <w:p>
      <w:pPr>
        <w:spacing w:before="360" w:after="0" w:line="360" w:lineRule="auto"/>
        <w:jc w:val="center"/>
        <w:rPr>
          <w:b/>
          <w:noProof/>
          <w:szCs w:val="24"/>
        </w:rPr>
      </w:pPr>
      <w:r>
        <w:rPr>
          <w:b/>
          <w:noProof/>
        </w:rPr>
        <w:t>du...</w:t>
      </w:r>
    </w:p>
    <w:p>
      <w:pPr>
        <w:spacing w:before="0" w:after="200" w:line="276" w:lineRule="auto"/>
        <w:jc w:val="center"/>
        <w:rPr>
          <w:b/>
          <w:noProof/>
          <w:szCs w:val="24"/>
        </w:rPr>
      </w:pPr>
      <w:r>
        <w:rPr>
          <w:b/>
          <w:noProof/>
        </w:rPr>
        <w:t>relative à l’adoption du budget de la Communauté des transports pour l’année 2020</w:t>
      </w:r>
    </w:p>
    <w:p>
      <w:pPr>
        <w:keepNext/>
        <w:spacing w:before="600" w:line="360" w:lineRule="auto"/>
        <w:jc w:val="left"/>
        <w:rPr>
          <w:noProof/>
        </w:rPr>
      </w:pPr>
      <w:r>
        <w:rPr>
          <w:noProof/>
        </w:rPr>
        <w:t>LE COMITÉ DE DIRECTION RÉGIONAL DE LA COMMUNAUTÉ DES TRANSPORTS,</w:t>
      </w:r>
    </w:p>
    <w:p>
      <w:pPr>
        <w:spacing w:line="360" w:lineRule="auto"/>
        <w:jc w:val="left"/>
        <w:rPr>
          <w:noProof/>
        </w:rPr>
      </w:pPr>
      <w:r>
        <w:rPr>
          <w:noProof/>
        </w:rPr>
        <w:t>vu le traité instituant la Communauté des transports, et notamment son article 24, paragraphe 1, et son article 35,</w:t>
      </w:r>
    </w:p>
    <w:p>
      <w:pPr>
        <w:keepNext/>
        <w:spacing w:line="360" w:lineRule="auto"/>
        <w:jc w:val="left"/>
        <w:rPr>
          <w:noProof/>
        </w:rPr>
      </w:pPr>
      <w:r>
        <w:rPr>
          <w:noProof/>
        </w:rPr>
        <w:t>DÉCIDE:</w:t>
      </w:r>
    </w:p>
    <w:p>
      <w:pPr>
        <w:pStyle w:val="Titrearticle"/>
        <w:rPr>
          <w:noProof/>
        </w:rPr>
      </w:pPr>
      <w:r>
        <w:rPr>
          <w:noProof/>
        </w:rPr>
        <w:t>Article premier</w:t>
      </w:r>
    </w:p>
    <w:p>
      <w:pPr>
        <w:spacing w:line="360" w:lineRule="auto"/>
        <w:jc w:val="left"/>
        <w:rPr>
          <w:noProof/>
        </w:rPr>
      </w:pPr>
      <w:r>
        <w:rPr>
          <w:noProof/>
        </w:rPr>
        <w:t>Le budget de la Communauté des transports pour l’année 2020, joint à la présente décision sous forme de l’annexe I, est adopté.</w:t>
      </w:r>
    </w:p>
    <w:p>
      <w:pPr>
        <w:pStyle w:val="Titrearticle"/>
        <w:rPr>
          <w:noProof/>
        </w:rPr>
      </w:pPr>
      <w:r>
        <w:rPr>
          <w:noProof/>
        </w:rPr>
        <w:t>Article 2</w:t>
      </w:r>
    </w:p>
    <w:p>
      <w:pPr>
        <w:spacing w:line="360" w:lineRule="auto"/>
        <w:jc w:val="left"/>
        <w:rPr>
          <w:noProof/>
        </w:rPr>
      </w:pPr>
      <w:r>
        <w:rPr>
          <w:noProof/>
        </w:rPr>
        <w:t xml:space="preserve">Sans préjudice des articles 2 et 3 de la décision 2019/1 du comité de direction régional, la Commission européenne est chargée de l’exécution du budget de la Communauté des transports conformément à l’article 3. </w:t>
      </w:r>
    </w:p>
    <w:p>
      <w:pPr>
        <w:pStyle w:val="Titrearticle"/>
        <w:rPr>
          <w:noProof/>
        </w:rPr>
      </w:pPr>
      <w:r>
        <w:rPr>
          <w:noProof/>
        </w:rPr>
        <w:t>Article 3</w:t>
      </w:r>
    </w:p>
    <w:p>
      <w:pPr>
        <w:keepNext/>
        <w:spacing w:after="0" w:line="360" w:lineRule="auto"/>
        <w:jc w:val="left"/>
        <w:rPr>
          <w:noProof/>
        </w:rPr>
      </w:pPr>
      <w:r>
        <w:rPr>
          <w:noProof/>
        </w:rPr>
        <w:t>L’article 2 cesse de s'appliquer le jour qui précède celui où la nomination du directeur permanent du secrétariat permanent prend effet.</w:t>
      </w:r>
    </w:p>
    <w:p>
      <w:pPr>
        <w:keepNext/>
        <w:spacing w:after="0" w:line="360" w:lineRule="auto"/>
        <w:jc w:val="left"/>
        <w:rPr>
          <w:noProof/>
        </w:rPr>
      </w:pPr>
      <w:r>
        <w:rPr>
          <w:noProof/>
        </w:rPr>
        <w:t>Fait à ..., le ... 2020</w:t>
      </w:r>
    </w:p>
    <w:p>
      <w:pPr>
        <w:keepNext/>
        <w:tabs>
          <w:tab w:val="left" w:pos="5669"/>
        </w:tabs>
        <w:spacing w:before="720" w:after="0" w:line="360" w:lineRule="auto"/>
        <w:jc w:val="left"/>
        <w:rPr>
          <w:i/>
          <w:noProof/>
        </w:rPr>
      </w:pPr>
      <w:r>
        <w:rPr>
          <w:i/>
          <w:noProof/>
        </w:rPr>
        <w:t>Par le comité de direction régional</w:t>
      </w:r>
    </w:p>
    <w:p>
      <w:pPr>
        <w:tabs>
          <w:tab w:val="left" w:pos="5669"/>
        </w:tabs>
        <w:spacing w:before="0" w:after="0" w:line="360" w:lineRule="auto"/>
        <w:jc w:val="left"/>
        <w:rPr>
          <w:i/>
          <w:noProof/>
        </w:rPr>
        <w:sectPr>
          <w:footerReference w:type="default" r:id="rId15"/>
          <w:footerReference w:type="first" r:id="rId16"/>
          <w:pgSz w:w="11907" w:h="16839"/>
          <w:pgMar w:top="1134" w:right="1417" w:bottom="1134" w:left="1417" w:header="709" w:footer="709" w:gutter="0"/>
          <w:cols w:space="720"/>
          <w:docGrid w:linePitch="360"/>
        </w:sectPr>
      </w:pPr>
      <w:r>
        <w:rPr>
          <w:i/>
          <w:noProof/>
        </w:rPr>
        <w:t>Le président</w:t>
      </w:r>
    </w:p>
    <w:p>
      <w:pPr>
        <w:rPr>
          <w:rFonts w:asciiTheme="minorHAnsi" w:hAnsiTheme="minorHAnsi" w:cstheme="minorBidi"/>
          <w:noProof/>
          <w:szCs w:val="24"/>
          <w:u w:val="single"/>
        </w:rPr>
      </w:pPr>
      <w:r>
        <w:rPr>
          <w:b/>
          <w:noProof/>
        </w:rPr>
        <w:lastRenderedPageBreak/>
        <w:t>ANNEXE I: Budget de la Communauté des transports pour l'année 2020</w:t>
      </w:r>
    </w:p>
    <w:tbl>
      <w:tblPr>
        <w:tblW w:w="9209" w:type="dxa"/>
        <w:tblInd w:w="113" w:type="dxa"/>
        <w:tblLook w:val="04A0" w:firstRow="1" w:lastRow="0" w:firstColumn="1" w:lastColumn="0" w:noHBand="0" w:noVBand="1"/>
      </w:tblPr>
      <w:tblGrid>
        <w:gridCol w:w="7650"/>
        <w:gridCol w:w="1559"/>
      </w:tblGrid>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rPr>
            </w:pPr>
            <w:r>
              <w:rPr>
                <w:rFonts w:ascii="Calibri" w:hAnsi="Calibri"/>
                <w:b/>
                <w:bCs/>
                <w:noProof/>
                <w:sz w:val="22"/>
              </w:rPr>
              <w:t>FRAIS DE FONCTIONNEMENT DU SECRÉTARIAT PERMANENT</w:t>
            </w:r>
          </w:p>
          <w:p>
            <w:pPr>
              <w:spacing w:before="0" w:after="0"/>
              <w:jc w:val="left"/>
              <w:rPr>
                <w:rFonts w:ascii="Calibri" w:eastAsia="Times New Roman" w:hAnsi="Calibri" w:cs="Calibri"/>
                <w:b/>
                <w:bCs/>
                <w:noProof/>
                <w:color w:val="000000"/>
                <w:sz w:val="22"/>
              </w:rPr>
            </w:pPr>
            <w:r>
              <w:rPr>
                <w:rFonts w:ascii="Calibri" w:hAnsi="Calibri"/>
                <w:noProof/>
                <w:sz w:val="22"/>
              </w:rPr>
              <w:t>(y compris les dépenses fixes/la comptabilité/les activités de communication/l’organisation de réunions)</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noProof/>
                <w:color w:val="000000"/>
                <w:sz w:val="22"/>
              </w:rPr>
            </w:pPr>
            <w:r>
              <w:rPr>
                <w:rFonts w:ascii="Calibri" w:hAnsi="Calibri"/>
                <w:b/>
                <w:bCs/>
                <w:noProof/>
                <w:sz w:val="22"/>
              </w:rPr>
              <w:t>396 900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rPr>
            </w:pPr>
            <w:r>
              <w:rPr>
                <w:rFonts w:ascii="Calibri" w:hAnsi="Calibri"/>
                <w:b/>
                <w:bCs/>
                <w:noProof/>
                <w:sz w:val="22"/>
              </w:rPr>
              <w:t>ÉQUIPEMENTS ET MEUBLES DE BUREAU DU SECRÉTARIAT PERMANENT</w:t>
            </w:r>
          </w:p>
        </w:tc>
        <w:tc>
          <w:tcPr>
            <w:tcW w:w="155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rPr>
            </w:pPr>
            <w:r>
              <w:rPr>
                <w:rFonts w:ascii="Calibri" w:hAnsi="Calibri"/>
                <w:b/>
                <w:bCs/>
                <w:noProof/>
                <w:sz w:val="22"/>
              </w:rPr>
              <w:t>60 000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b/>
                <w:bCs/>
                <w:noProof/>
                <w:sz w:val="22"/>
              </w:rPr>
              <w:t>PERSONNEL</w:t>
            </w:r>
            <w:r>
              <w:rPr>
                <w:rFonts w:ascii="Calibri" w:hAnsi="Calibri"/>
                <w:noProof/>
                <w:sz w:val="22"/>
              </w:rPr>
              <w:t xml:space="preserve"> </w:t>
            </w:r>
          </w:p>
          <w:p>
            <w:pPr>
              <w:spacing w:before="0" w:after="0"/>
              <w:jc w:val="left"/>
              <w:rPr>
                <w:rFonts w:ascii="Calibri" w:eastAsia="Times New Roman" w:hAnsi="Calibri" w:cs="Calibri"/>
                <w:b/>
                <w:bCs/>
                <w:noProof/>
                <w:color w:val="000000"/>
                <w:sz w:val="22"/>
              </w:rPr>
            </w:pPr>
            <w:r>
              <w:rPr>
                <w:rFonts w:ascii="Calibri" w:hAnsi="Calibri"/>
                <w:noProof/>
                <w:sz w:val="22"/>
              </w:rPr>
              <w:t>(y compris salaires, allocations, recrutement, déplacements, cotisations aux régimes de santé et de pensions)</w:t>
            </w:r>
          </w:p>
        </w:tc>
        <w:tc>
          <w:tcPr>
            <w:tcW w:w="155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noProof/>
                <w:color w:val="000000"/>
                <w:sz w:val="22"/>
              </w:rPr>
            </w:pPr>
            <w:r>
              <w:rPr>
                <w:rFonts w:ascii="Calibri" w:hAnsi="Calibri"/>
                <w:b/>
                <w:noProof/>
                <w:sz w:val="22"/>
              </w:rPr>
              <w:t>1 461 500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rPr>
            </w:pPr>
            <w:r>
              <w:rPr>
                <w:rFonts w:ascii="Calibri" w:hAnsi="Calibri"/>
                <w:b/>
                <w:bCs/>
                <w:noProof/>
                <w:sz w:val="22"/>
              </w:rPr>
              <w:t>ÉTUDES, ASSISTANCE TECHNIQUE à diriger par le secrétariat permanent</w:t>
            </w:r>
          </w:p>
        </w:tc>
        <w:tc>
          <w:tcPr>
            <w:tcW w:w="155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b/>
                <w:bCs/>
                <w:noProof/>
                <w:color w:val="000000"/>
                <w:sz w:val="22"/>
              </w:rPr>
            </w:pPr>
            <w:r>
              <w:rPr>
                <w:rFonts w:ascii="Calibri" w:hAnsi="Calibri"/>
                <w:b/>
                <w:bCs/>
                <w:noProof/>
                <w:sz w:val="22"/>
              </w:rPr>
              <w:t>800 000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rPr>
            </w:pPr>
            <w:r>
              <w:rPr>
                <w:rFonts w:ascii="Calibri" w:hAnsi="Calibri"/>
                <w:b/>
                <w:bCs/>
                <w:noProof/>
                <w:sz w:val="22"/>
              </w:rPr>
              <w:t>TOTAL</w:t>
            </w:r>
          </w:p>
        </w:tc>
        <w:tc>
          <w:tcPr>
            <w:tcW w:w="155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noProof/>
                <w:color w:val="000000"/>
                <w:sz w:val="22"/>
              </w:rPr>
            </w:pPr>
            <w:r>
              <w:rPr>
                <w:rFonts w:ascii="Calibri" w:hAnsi="Calibri"/>
                <w:b/>
                <w:bCs/>
                <w:noProof/>
                <w:sz w:val="22"/>
              </w:rPr>
              <w:t>2 718 400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rPr>
            </w:pPr>
            <w:r>
              <w:rPr>
                <w:rFonts w:ascii="Calibri" w:hAnsi="Calibri"/>
                <w:b/>
                <w:bCs/>
                <w:noProof/>
                <w:sz w:val="22"/>
              </w:rPr>
              <w:t>RÉSERVE (environ 9,4 %)</w:t>
            </w:r>
          </w:p>
        </w:tc>
        <w:tc>
          <w:tcPr>
            <w:tcW w:w="155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b/>
                <w:noProof/>
                <w:color w:val="000000"/>
                <w:sz w:val="22"/>
              </w:rPr>
            </w:pPr>
            <w:r>
              <w:rPr>
                <w:rFonts w:ascii="Calibri" w:hAnsi="Calibri"/>
                <w:b/>
                <w:noProof/>
                <w:sz w:val="22"/>
              </w:rPr>
              <w:t>281 600</w:t>
            </w:r>
          </w:p>
        </w:tc>
      </w:tr>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rPr>
            </w:pPr>
            <w:r>
              <w:rPr>
                <w:rFonts w:ascii="Calibri" w:hAnsi="Calibri"/>
                <w:b/>
                <w:bCs/>
                <w:noProof/>
                <w:sz w:val="22"/>
              </w:rPr>
              <w:t>TOTAL GÉNÉRAL</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rPr>
            </w:pPr>
            <w:r>
              <w:rPr>
                <w:rFonts w:ascii="Calibri" w:hAnsi="Calibri"/>
                <w:b/>
                <w:bCs/>
                <w:noProof/>
                <w:sz w:val="22"/>
              </w:rPr>
              <w:t>3 000 000</w:t>
            </w:r>
          </w:p>
        </w:tc>
      </w:tr>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rPr>
            </w:pPr>
            <w:r>
              <w:rPr>
                <w:rFonts w:ascii="Calibri" w:hAnsi="Calibri"/>
                <w:b/>
                <w:bCs/>
                <w:noProof/>
                <w:sz w:val="22"/>
              </w:rPr>
              <w:t>Dont: Contribution UE (80 %)</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rPr>
            </w:pPr>
            <w:r>
              <w:rPr>
                <w:rFonts w:ascii="Calibri" w:hAnsi="Calibri"/>
                <w:b/>
                <w:bCs/>
                <w:noProof/>
                <w:sz w:val="22"/>
              </w:rPr>
              <w:t>2 400 000</w:t>
            </w:r>
          </w:p>
        </w:tc>
      </w:tr>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rPr>
            </w:pPr>
            <w:r>
              <w:rPr>
                <w:rFonts w:ascii="Calibri" w:hAnsi="Calibri"/>
                <w:b/>
                <w:bCs/>
                <w:noProof/>
                <w:sz w:val="22"/>
              </w:rPr>
              <w:t>Contribution des Parties de l’Europe du Sud-Est (20 %: l’annexe V du TCT donne la répartition par pays).</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rPr>
            </w:pPr>
            <w:r>
              <w:rPr>
                <w:rFonts w:ascii="Calibri" w:hAnsi="Calibri"/>
                <w:b/>
                <w:bCs/>
                <w:noProof/>
                <w:sz w:val="22"/>
              </w:rPr>
              <w:t>600 000</w:t>
            </w:r>
          </w:p>
        </w:tc>
      </w:tr>
    </w:tbl>
    <w:p>
      <w:pPr>
        <w:spacing w:before="0" w:after="200" w:line="276" w:lineRule="auto"/>
        <w:jc w:val="left"/>
        <w:rPr>
          <w:rFonts w:eastAsia="Times New Roman"/>
          <w:noProof/>
          <w:szCs w:val="24"/>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226A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D446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A0DA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CC5D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2F3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D06F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F2399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00F9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8 12:41: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050BC1BB-C081-4DC0-9615-38B680EB38E5"/>
    <w:docVar w:name="LW_COVERPAGE_TYPE" w:val="1"/>
    <w:docVar w:name="LW_CROSSREFERENCE" w:val="&lt;UNUSED&gt;"/>
    <w:docVar w:name="LW_DocType" w:val="ANNEX"/>
    <w:docVar w:name="LW_EMISSION" w:val="18.2.2020"/>
    <w:docVar w:name="LW_EMISSION_ISODATE" w:val="2020-02-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de direction régional de la Communauté des transports en ce qui concerne certaines questions budgétaires en lien avec la mise en \u339?uvre du traité instituant la Communauté des transports"/>
    <w:docVar w:name="LW_OBJETACTEPRINCIPAL.CP" w:val="relative à la position à prendre, au nom de l'Union européenne, au sein du comité de direction régional de la Communauté des transports en ce qui concerne certaines questions budgétaires en lien avec la mise en \u339?uvre du traité instituant la Communauté des transports"/>
    <w:docVar w:name="LW_PART_NBR" w:val="1"/>
    <w:docVar w:name="LW_PART_NBR_TOTAL" w:val="1"/>
    <w:docVar w:name="LW_REF.INST.NEW" w:val="COM"/>
    <w:docVar w:name="LW_REF.INST.NEW_ADOPTED" w:val="final"/>
    <w:docVar w:name="LW_REF.INST.NEW_TEXT" w:val="(2020) 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270</Words>
  <Characters>1427</Characters>
  <Application>Microsoft Office Word</Application>
  <DocSecurity>0</DocSecurity>
  <Lines>52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BORDONADO-MUNOZ Antonia (MOVE)</dc:creator>
  <cp:keywords/>
  <dc:description/>
  <cp:lastModifiedBy>WES PDFC Administrator</cp:lastModifiedBy>
  <cp:revision>9</cp:revision>
  <dcterms:created xsi:type="dcterms:W3CDTF">2020-01-29T12:32:00Z</dcterms:created>
  <dcterms:modified xsi:type="dcterms:W3CDTF">2020-02-18T11:41:00Z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