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6B26418-C8A0-42CD-91AD-9BD9288F1128" style="width:450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 1</w:t>
      </w:r>
    </w:p>
    <w:p>
      <w:pPr>
        <w:spacing w:before="360" w:after="0" w:line="360" w:lineRule="auto"/>
        <w:jc w:val="center"/>
        <w:rPr>
          <w:noProof/>
        </w:rPr>
      </w:pPr>
      <w:r>
        <w:rPr>
          <w:noProof/>
        </w:rPr>
        <w:t>DRAFT</w:t>
      </w:r>
    </w:p>
    <w:p>
      <w:pPr>
        <w:spacing w:before="360" w:after="0" w:line="360" w:lineRule="auto"/>
        <w:jc w:val="center"/>
        <w:rPr>
          <w:b/>
          <w:noProof/>
        </w:rPr>
      </w:pPr>
      <w:r>
        <w:rPr>
          <w:b/>
          <w:noProof/>
        </w:rPr>
        <w:t>DECISION No 2020/</w:t>
      </w:r>
      <w:r>
        <w:rPr>
          <w:b/>
          <w:noProof/>
        </w:rPr>
        <w:br/>
        <w:t>OF THE REGIONAL STEERING COMMITTEE OF THE TRANSPORT COMMUNITY</w:t>
      </w:r>
    </w:p>
    <w:p>
      <w:pPr>
        <w:spacing w:before="360" w:after="0" w:line="360" w:lineRule="auto"/>
        <w:jc w:val="center"/>
        <w:rPr>
          <w:b/>
          <w:noProof/>
          <w:szCs w:val="24"/>
        </w:rPr>
      </w:pPr>
      <w:r>
        <w:rPr>
          <w:b/>
          <w:noProof/>
          <w:szCs w:val="24"/>
        </w:rPr>
        <w:t>of …</w:t>
      </w:r>
    </w:p>
    <w:p>
      <w:pPr>
        <w:spacing w:before="0" w:after="200" w:line="276" w:lineRule="auto"/>
        <w:jc w:val="center"/>
        <w:rPr>
          <w:b/>
          <w:noProof/>
          <w:szCs w:val="24"/>
        </w:rPr>
      </w:pPr>
      <w:r>
        <w:rPr>
          <w:b/>
          <w:noProof/>
          <w:szCs w:val="24"/>
        </w:rPr>
        <w:t>on the adoption of the budget of the Transport Community for the year of 2020</w:t>
      </w:r>
    </w:p>
    <w:p>
      <w:pPr>
        <w:keepNext/>
        <w:spacing w:before="600" w:line="360" w:lineRule="auto"/>
        <w:jc w:val="left"/>
        <w:rPr>
          <w:noProof/>
        </w:rPr>
      </w:pPr>
      <w:r>
        <w:rPr>
          <w:noProof/>
        </w:rPr>
        <w:t>THE REGIONAL STEERING COMMITTEE OF THE TRANSPORT COMMUNITY,</w:t>
      </w:r>
    </w:p>
    <w:p>
      <w:pPr>
        <w:spacing w:line="360" w:lineRule="auto"/>
        <w:jc w:val="left"/>
        <w:rPr>
          <w:noProof/>
        </w:rPr>
      </w:pPr>
      <w:r>
        <w:rPr>
          <w:noProof/>
        </w:rPr>
        <w:t>Having regard to the Treaty establishing the Transport Community, and in particular Articles 24(1) and 35 thereof,</w:t>
      </w:r>
    </w:p>
    <w:p>
      <w:pPr>
        <w:keepNext/>
        <w:spacing w:line="360" w:lineRule="auto"/>
        <w:jc w:val="left"/>
        <w:rPr>
          <w:noProof/>
        </w:rPr>
      </w:pPr>
      <w:r>
        <w:rPr>
          <w:noProof/>
        </w:rPr>
        <w:t>HAS DECIDED AS FOLLOWS:</w:t>
      </w:r>
    </w:p>
    <w:p>
      <w:pPr>
        <w:pStyle w:val="Titrearticle"/>
        <w:rPr>
          <w:noProof/>
        </w:rPr>
      </w:pPr>
      <w:r>
        <w:rPr>
          <w:noProof/>
        </w:rPr>
        <w:t>Article 1</w:t>
      </w:r>
    </w:p>
    <w:p>
      <w:pPr>
        <w:spacing w:line="360" w:lineRule="auto"/>
        <w:jc w:val="left"/>
        <w:rPr>
          <w:noProof/>
        </w:rPr>
      </w:pPr>
      <w:r>
        <w:rPr>
          <w:noProof/>
        </w:rPr>
        <w:t>The budget of the Transport Community for the year of 2020, attached to this Decision as Annex I, is hereby adopted.</w:t>
      </w:r>
    </w:p>
    <w:p>
      <w:pPr>
        <w:pStyle w:val="Titrearticle"/>
        <w:rPr>
          <w:noProof/>
        </w:rPr>
      </w:pPr>
      <w:r>
        <w:rPr>
          <w:noProof/>
        </w:rPr>
        <w:t>Article 2</w:t>
      </w:r>
    </w:p>
    <w:p>
      <w:pPr>
        <w:spacing w:line="360" w:lineRule="auto"/>
        <w:jc w:val="left"/>
        <w:rPr>
          <w:noProof/>
        </w:rPr>
      </w:pPr>
      <w:r>
        <w:rPr>
          <w:noProof/>
        </w:rPr>
        <w:t xml:space="preserve">Without prejudice to Articles 2 and 3 of Decision 2019/1 of the Regional Steering Committee, the European Commission shall be in charge of implementing the budget of the Transport Community in accordance with Article 3. </w:t>
      </w:r>
    </w:p>
    <w:p>
      <w:pPr>
        <w:pStyle w:val="Titrearticle"/>
        <w:rPr>
          <w:noProof/>
        </w:rPr>
      </w:pPr>
      <w:r>
        <w:rPr>
          <w:noProof/>
        </w:rPr>
        <w:t>Article 3</w:t>
      </w:r>
    </w:p>
    <w:p>
      <w:pPr>
        <w:keepNext/>
        <w:spacing w:after="0" w:line="360" w:lineRule="auto"/>
        <w:jc w:val="left"/>
        <w:rPr>
          <w:noProof/>
        </w:rPr>
      </w:pPr>
      <w:r>
        <w:rPr>
          <w:noProof/>
        </w:rPr>
        <w:t>Article 2 shall cease to apply on the day prior to that on which the appointment of the permanent Director of the Permanent Secretariat becomes effective.</w:t>
      </w:r>
    </w:p>
    <w:p>
      <w:pPr>
        <w:keepNext/>
        <w:spacing w:after="0" w:line="360" w:lineRule="auto"/>
        <w:jc w:val="left"/>
        <w:rPr>
          <w:noProof/>
        </w:rPr>
      </w:pPr>
      <w:r>
        <w:rPr>
          <w:noProof/>
        </w:rPr>
        <w:t>Done in …, on … 2020.</w:t>
      </w:r>
    </w:p>
    <w:p>
      <w:pPr>
        <w:keepNext/>
        <w:tabs>
          <w:tab w:val="left" w:pos="5669"/>
        </w:tabs>
        <w:spacing w:before="720" w:after="0" w:line="360" w:lineRule="auto"/>
        <w:jc w:val="left"/>
        <w:rPr>
          <w:i/>
          <w:noProof/>
        </w:rPr>
      </w:pPr>
      <w:r>
        <w:rPr>
          <w:i/>
          <w:noProof/>
        </w:rPr>
        <w:t>For the Regional Steering Committee</w:t>
      </w:r>
    </w:p>
    <w:p>
      <w:pPr>
        <w:tabs>
          <w:tab w:val="left" w:pos="5669"/>
        </w:tabs>
        <w:spacing w:before="0" w:after="0" w:line="360" w:lineRule="auto"/>
        <w:jc w:val="left"/>
        <w:rPr>
          <w:i/>
          <w:noProof/>
        </w:rPr>
        <w:sectPr>
          <w:footerReference w:type="default" r:id="rId15"/>
          <w:footerReference w:type="first" r:id="rId16"/>
          <w:pgSz w:w="11907" w:h="16839"/>
          <w:pgMar w:top="1134" w:right="1417" w:bottom="1134" w:left="1417" w:header="709" w:footer="709" w:gutter="0"/>
          <w:cols w:space="720"/>
          <w:docGrid w:linePitch="360"/>
        </w:sectPr>
      </w:pPr>
      <w:r>
        <w:rPr>
          <w:i/>
          <w:noProof/>
        </w:rPr>
        <w:t>The President</w:t>
      </w:r>
    </w:p>
    <w:p>
      <w:pPr>
        <w:rPr>
          <w:rFonts w:asciiTheme="minorHAnsi" w:hAnsiTheme="minorHAnsi" w:cstheme="minorBidi"/>
          <w:noProof/>
          <w:szCs w:val="24"/>
          <w:u w:val="single"/>
        </w:rPr>
      </w:pPr>
      <w:r>
        <w:rPr>
          <w:b/>
          <w:noProof/>
          <w:szCs w:val="24"/>
        </w:rPr>
        <w:lastRenderedPageBreak/>
        <w:t>ANNEX I: Budget of the Transport Community for the year 2020</w:t>
      </w:r>
    </w:p>
    <w:tbl>
      <w:tblPr>
        <w:tblW w:w="9209" w:type="dxa"/>
        <w:tblInd w:w="113" w:type="dxa"/>
        <w:tblLook w:val="04A0" w:firstRow="1" w:lastRow="0" w:firstColumn="1" w:lastColumn="0" w:noHBand="0" w:noVBand="1"/>
      </w:tblPr>
      <w:tblGrid>
        <w:gridCol w:w="7650"/>
        <w:gridCol w:w="1559"/>
      </w:tblGrid>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RUNNING COSTS OF THE PERMANENT SECRETARIAT</w:t>
            </w:r>
          </w:p>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noProof/>
                <w:color w:val="000000"/>
                <w:sz w:val="22"/>
                <w:lang w:eastAsia="en-GB"/>
              </w:rPr>
              <w:t>(including fixed expenditure / accountancy / communication activities / meeting organization)</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noProof/>
                <w:color w:val="000000"/>
                <w:sz w:val="22"/>
                <w:lang w:eastAsia="en-GB"/>
              </w:rPr>
            </w:pPr>
            <w:r>
              <w:rPr>
                <w:rFonts w:ascii="Calibri" w:eastAsia="Times New Roman" w:hAnsi="Calibri" w:cs="Calibri"/>
                <w:b/>
                <w:bCs/>
                <w:noProof/>
                <w:color w:val="000000"/>
                <w:sz w:val="22"/>
                <w:lang w:eastAsia="en-GB"/>
              </w:rPr>
              <w:t>396,900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OFFICE EQUIPMENT AND FURNITURE OF THE PERMANENT SECRETARIAT</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60,000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noProof/>
                <w:color w:val="000000"/>
                <w:sz w:val="22"/>
                <w:lang w:eastAsia="en-GB"/>
              </w:rPr>
            </w:pPr>
            <w:r>
              <w:rPr>
                <w:rFonts w:ascii="Calibri" w:eastAsia="Times New Roman" w:hAnsi="Calibri" w:cs="Calibri"/>
                <w:b/>
                <w:bCs/>
                <w:noProof/>
                <w:color w:val="000000"/>
                <w:sz w:val="22"/>
                <w:lang w:eastAsia="en-GB"/>
              </w:rPr>
              <w:t>STAFF</w:t>
            </w:r>
            <w:r>
              <w:rPr>
                <w:rFonts w:ascii="Calibri" w:eastAsia="Times New Roman" w:hAnsi="Calibri" w:cs="Calibri"/>
                <w:noProof/>
                <w:color w:val="000000"/>
                <w:sz w:val="22"/>
                <w:lang w:eastAsia="en-GB"/>
              </w:rPr>
              <w:t xml:space="preserve"> </w:t>
            </w:r>
          </w:p>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noProof/>
                <w:color w:val="000000"/>
                <w:sz w:val="22"/>
                <w:lang w:eastAsia="en-GB"/>
              </w:rPr>
              <w:t>(including salaries, allowances, recruitment, travel, contribution to health scheme/pensions)</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noProof/>
                <w:color w:val="000000"/>
                <w:sz w:val="22"/>
                <w:lang w:eastAsia="en-GB"/>
              </w:rPr>
            </w:pPr>
            <w:r>
              <w:rPr>
                <w:rFonts w:ascii="Calibri" w:eastAsia="Times New Roman" w:hAnsi="Calibri" w:cs="Calibri"/>
                <w:b/>
                <w:noProof/>
                <w:color w:val="000000"/>
                <w:sz w:val="22"/>
                <w:lang w:eastAsia="en-GB"/>
              </w:rPr>
              <w:t>1,461,500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STUDIES, TECHNICAL ASSISTANCE to be steered by the Permanent Secretariat</w:t>
            </w:r>
          </w:p>
        </w:tc>
        <w:tc>
          <w:tcPr>
            <w:tcW w:w="155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800,000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TOTAL</w:t>
            </w:r>
          </w:p>
        </w:tc>
        <w:tc>
          <w:tcPr>
            <w:tcW w:w="1559" w:type="dxa"/>
            <w:tcBorders>
              <w:top w:val="nil"/>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noProof/>
                <w:color w:val="000000"/>
                <w:sz w:val="22"/>
                <w:lang w:eastAsia="en-GB"/>
              </w:rPr>
            </w:pPr>
            <w:r>
              <w:rPr>
                <w:rFonts w:ascii="Calibri" w:eastAsia="Times New Roman" w:hAnsi="Calibri" w:cs="Calibri"/>
                <w:b/>
                <w:bCs/>
                <w:noProof/>
                <w:color w:val="000000"/>
                <w:sz w:val="22"/>
                <w:lang w:eastAsia="en-GB"/>
              </w:rPr>
              <w:t>2,718,400</w:t>
            </w:r>
          </w:p>
        </w:tc>
      </w:tr>
      <w:tr>
        <w:trPr>
          <w:trHeight w:val="290"/>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RESERVE (approximately 9,4%)</w:t>
            </w:r>
          </w:p>
        </w:tc>
        <w:tc>
          <w:tcPr>
            <w:tcW w:w="1559"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cs="Calibri"/>
                <w:b/>
                <w:noProof/>
                <w:color w:val="000000"/>
                <w:sz w:val="22"/>
                <w:lang w:eastAsia="en-GB"/>
              </w:rPr>
            </w:pPr>
            <w:r>
              <w:rPr>
                <w:rFonts w:ascii="Calibri" w:eastAsia="Times New Roman" w:hAnsi="Calibri" w:cs="Calibri"/>
                <w:b/>
                <w:noProof/>
                <w:color w:val="000000"/>
                <w:sz w:val="22"/>
                <w:lang w:eastAsia="en-GB"/>
              </w:rPr>
              <w:t>281,600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GRAND TOTAL</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3,000,000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Of which: EU contribution (80 %)</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2,400,000</w:t>
            </w:r>
          </w:p>
        </w:tc>
      </w:tr>
      <w:tr>
        <w:trPr>
          <w:trHeight w:val="290"/>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before="0" w:after="0"/>
              <w:jc w:val="lef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South East European Parties’ contribution (20 %: Annex V of the TCT provides the distribution per country)</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before="0" w:after="0"/>
              <w:jc w:val="right"/>
              <w:rPr>
                <w:rFonts w:ascii="Calibri" w:eastAsia="Times New Roman" w:hAnsi="Calibri" w:cs="Calibri"/>
                <w:b/>
                <w:bCs/>
                <w:noProof/>
                <w:color w:val="000000"/>
                <w:sz w:val="22"/>
                <w:lang w:eastAsia="en-GB"/>
              </w:rPr>
            </w:pPr>
            <w:r>
              <w:rPr>
                <w:rFonts w:ascii="Calibri" w:eastAsia="Times New Roman" w:hAnsi="Calibri" w:cs="Calibri"/>
                <w:b/>
                <w:bCs/>
                <w:noProof/>
                <w:color w:val="000000"/>
                <w:sz w:val="22"/>
                <w:lang w:eastAsia="en-GB"/>
              </w:rPr>
              <w:t>600,000</w:t>
            </w:r>
          </w:p>
        </w:tc>
      </w:tr>
    </w:tbl>
    <w:p>
      <w:pPr>
        <w:spacing w:before="0" w:after="200" w:line="276" w:lineRule="auto"/>
        <w:jc w:val="left"/>
        <w:rPr>
          <w:rFonts w:eastAsia="Times New Roman"/>
          <w:noProof/>
          <w:szCs w:val="24"/>
          <w:lang w:eastAsia="en-GB"/>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226A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D446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7A0DA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CC5D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242F3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5D06F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0F23994"/>
    <w:lvl w:ilvl="0">
      <w:start w:val="1"/>
      <w:numFmt w:val="decimal"/>
      <w:pStyle w:val="ListNumber"/>
      <w:lvlText w:val="%1."/>
      <w:lvlJc w:val="left"/>
      <w:pPr>
        <w:tabs>
          <w:tab w:val="num" w:pos="360"/>
        </w:tabs>
        <w:ind w:left="360" w:hanging="360"/>
      </w:pPr>
    </w:lvl>
  </w:abstractNum>
  <w:abstractNum w:abstractNumId="7">
    <w:nsid w:val="FFFFFF89"/>
    <w:multiLevelType w:val="singleLevel"/>
    <w:tmpl w:val="C700F9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2-18 12:40:0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16B26418-C8A0-42CD-91AD-9BD9288F1128"/>
    <w:docVar w:name="LW_COVERPAGE_TYPE" w:val="1"/>
    <w:docVar w:name="LW_CROSSREFERENCE" w:val="&lt;UNUSED&gt;"/>
    <w:docVar w:name="LW_DocType" w:val="ANNEX"/>
    <w:docVar w:name="LW_EMISSION" w:val="18.2.2020"/>
    <w:docVar w:name="LW_EMISSION_ISODATE" w:val="2020-02-18"/>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Regional Steering Committee of the Transport Community as regards certain budgetary matters in relation to the implementation of the Treaty establishing the Transport Community"/>
    <w:docVar w:name="LW_OBJETACTEPRINCIPAL.CP" w:val="on the position to be taken on behalf of the European Union within the Regional Steering Committee of the Transport Community as regards certain budgetary matters in relation to the implementation of the Treaty establishing the Transport Community"/>
    <w:docVar w:name="LW_PART_NBR" w:val="1"/>
    <w:docVar w:name="LW_PART_NBR_TOTAL" w:val="1"/>
    <w:docVar w:name="LW_REF.INST.NEW" w:val="COM"/>
    <w:docVar w:name="LW_REF.INST.NEW_ADOPTED" w:val="final"/>
    <w:docVar w:name="LW_REF.INST.NEW_TEXT" w:val="(2020) 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258</Words>
  <Characters>1424</Characters>
  <Application>Microsoft Office Word</Application>
  <DocSecurity>0</DocSecurity>
  <Lines>52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BORDONADO-MUNOZ Antonia (MOVE)</dc:creator>
  <cp:keywords/>
  <dc:description/>
  <cp:lastModifiedBy>WES PDFC Administrator</cp:lastModifiedBy>
  <cp:revision>9</cp:revision>
  <dcterms:created xsi:type="dcterms:W3CDTF">2020-01-22T13:40:00Z</dcterms:created>
  <dcterms:modified xsi:type="dcterms:W3CDTF">2020-02-18T11:40:00Z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