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7DAC251A-61DF-45E2-8265-B58A5BB80983" style="width:450.75pt;height:393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1" w:name="_GoBack"/>
      <w:bookmarkEnd w:id="1"/>
      <w:r>
        <w:rPr>
          <w:rFonts w:ascii="Times New Roman" w:hAnsi="Times New Roman"/>
          <w:b/>
          <w:noProof/>
          <w:u w:val="single"/>
        </w:rPr>
        <w:lastRenderedPageBreak/>
        <w:t>Annexe I</w:t>
      </w:r>
      <w:r>
        <w:rPr>
          <w:rFonts w:ascii="Times New Roman" w:hAnsi="Times New Roman"/>
          <w:b/>
          <w:noProof/>
          <w:u w:val="single"/>
        </w:rPr>
        <w:br/>
        <w:t>Évolution du nombre de contrôles, de cas de non-conformité et d’infractions de catégorie I</w:t>
      </w:r>
    </w:p>
    <w:p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 tableau au point 7 du rapport.</w:t>
      </w:r>
    </w:p>
    <w:tbl>
      <w:tblPr>
        <w:tblW w:w="9007" w:type="dxa"/>
        <w:tblInd w:w="93" w:type="dxa"/>
        <w:tblLook w:val="04A0" w:firstRow="1" w:lastRow="0" w:firstColumn="1" w:lastColumn="0" w:noHBand="0" w:noVBand="1"/>
      </w:tblPr>
      <w:tblGrid>
        <w:gridCol w:w="741"/>
        <w:gridCol w:w="1634"/>
        <w:gridCol w:w="1035"/>
        <w:gridCol w:w="1135"/>
        <w:gridCol w:w="1135"/>
        <w:gridCol w:w="1135"/>
        <w:gridCol w:w="1096"/>
        <w:gridCol w:w="1096"/>
      </w:tblGrid>
      <w:tr>
        <w:trPr>
          <w:trHeight w:val="315"/>
          <w:tblHeader/>
        </w:trPr>
        <w:tc>
          <w:tcPr>
            <w:tcW w:w="2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PAYS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2016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2017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4 095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7 231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1 623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28,90 %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28,22 %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42,26 %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20,64 %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5 424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3 212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2 772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2 444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2 108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1,06 %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0,72 %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1,90 %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84,38 %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25,81 %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1 932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1 743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1 913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1 524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12,62 %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13,77 %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30,92 %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49,37 %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41,45 %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40,98 %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35,58 %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72,22 %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55 195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55 344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45 961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40 956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25,52 %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50,97 %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43,59 %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76,47 %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58,82 %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33,73 %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10,42 %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20 870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0,17 %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ES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9 480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10 382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9 635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6 025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7 917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47,19 %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38,88 %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67,07 %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7 345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7 746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7 528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7 161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7 450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8,28 %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7,32 %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38,17 %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352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24,15 %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16,36 %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16,83 %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15,29 %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6 235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4 789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1 215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5,21 %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7,41 %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CY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5,56 %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 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 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 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LV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16,10 %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15,31 %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54,05 %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59,18 %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9,60 %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 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 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52,25 %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41,99 %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6 184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6 588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9 692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7 609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6,46 %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30,85 %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44,75 %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MT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81,94 %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72,97 %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38,98 %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9,26 %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4 023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3 451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2 956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2 751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2 314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14,14 %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97,49 %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132,41 %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353,11 %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61,43 %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11 966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11 676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12 927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11 951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11 065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30,32 %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19 940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23 607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22 838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16 047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16 236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8,09 %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50,70 %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49,92 %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49,74 %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44,61 %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RO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2 417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4 528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5 516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4 890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5 059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3,34 %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2,85 %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1 548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1 878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1 494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1 282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46,15 %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51,80 %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3 518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0,13 %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2,10 %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6,58 %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3 073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2 434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2 076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2 130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2 000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27,15 %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29,91 %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12,35 %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6 903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7 147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5 332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4 724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4 949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5 903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21,40 %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31,29 %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23,90 %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2 962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2 765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3 744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3 377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2 871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24,80 %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153 362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157 455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150 348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136 966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133 360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144 056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22,12 %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17,07 %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40,24 %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36,64 %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Nbre de contrôles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1 018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non-conformités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34,70 %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40,86 %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de risques de catégorie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24,76 %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418" w:bottom="1134" w:left="1418" w:header="720" w:footer="720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Annexe II</w:t>
      </w:r>
      <w:r>
        <w:rPr>
          <w:rFonts w:ascii="Times New Roman" w:hAnsi="Times New Roman"/>
          <w:b/>
          <w:noProof/>
          <w:u w:val="single"/>
        </w:rPr>
        <w:br/>
        <w:t>Fréquence des contrôles par million de tonnes-kilomètres</w:t>
      </w:r>
    </w:p>
    <w:p>
      <w:pPr>
        <w:spacing w:before="120" w:after="120" w:line="240" w:lineRule="auto"/>
        <w:rPr>
          <w:noProof/>
        </w:rPr>
      </w:pPr>
      <w:r>
        <w:rPr>
          <w:rFonts w:ascii="Times New Roman" w:hAnsi="Times New Roman"/>
          <w:noProof/>
        </w:rPr>
        <w:t>On trouvera des précisions concernant ces tableaux au point 8.1 du rapport.</w:t>
      </w:r>
      <w:r>
        <w:rPr>
          <w:noProof/>
        </w:rPr>
        <w:t xml:space="preserve"> 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noProof/>
          <w:u w:val="single"/>
        </w:rPr>
      </w:pPr>
      <w:r>
        <w:rPr>
          <w:rFonts w:ascii="Times New Roman" w:hAnsi="Times New Roman"/>
          <w:b/>
          <w:noProof/>
          <w:u w:val="single"/>
        </w:rPr>
        <w:br w:type="page"/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Annexe III – Répartition des contrôles en fonction du lieu d’origine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ces tableaux au point 8.2 du rapport.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5094B27" id="Rectangle 9" o:spid="_x0000_s1026" style="position:absolute;margin-left:-.3pt;margin-top:3.7pt;width:12.6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pXQIAANkEAAAOAAAAZHJzL2Uyb0RvYy54bWysVE1v2zAMvQ/YfxB0X20HadcEdYosQYYB&#10;RVu0HXpmZMk2IEsapcTpfv0o2U0/tsMw7KKQJsWPp/dycXnoNNtL9K01JS9Ocs6kEbZqTV3y7w+b&#10;T+ec+QCmAm2NLPmT9Pxy8fHDRe/mcmIbqyuJjIoYP+9dyZsQ3DzLvGhkB/7EOmkoqCx2EMjFOqsQ&#10;eqre6WyS52dZb7FyaIX0nr6uhyBfpPpKSRFulPIyMF1ymi2kE9O5jWe2uIB5jeCaVoxjwD9M0UFr&#10;qOmx1BoCsB22v5XqWoHWWxVOhO0yq1QrZNqBtinyd9vcN+Bk2oXA8e4Ik/9/ZcX1/hZZW5V8xpmB&#10;jp7ojkADU2vJZhGe3vk5Zd27Wxw9T2bc9aCwi7+0BTskSJ+OkMpDYII+Fmd5PiHgBYWKSTEjm6pk&#10;L5cd+vBV2o5Fo+RIzROQsL/yYUh9Tom9vNVttWm1Tg7W25VGtgd63enmvPiyHqu/SdOG9SWfnE7z&#10;OAgQy5SGQGbnaG9vas5A10RfETD1fnPb/12TOOQafDMMkyqMs2gTZ5WJjONOEdMBxWhtbfVEj4B2&#10;YKd3YtNStSvw4RaQ6Ehjk8TCDR1KW9rFjhZnjcWff/oe84klFOWsJ3rTnj92gJIz/c0Qf2bFdBr1&#10;kJzp6ef4Rvg6sn0dMbtuZQnjgsTsRDJjftDPpkLbPZISl7ErhcAI6j0gOjqrMMiOtCzkcpnSSAMO&#10;wpW5dyIWjzhFHB8Oj4BuZEQgKl3bZynA/B0xhtx409jlLljVJta84Epsiw7pJ/Fu1HoU6Gs/Zb38&#10;Iy1+AQ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3dAipXQIAANk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6761FAE" id="Rectangle 14" o:spid="_x0000_s1026" style="position:absolute;margin-left:-3.7pt;margin-top:3.7pt;width:12.6pt;height:9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I3XAIAANsEAAAOAAAAZHJzL2Uyb0RvYy54bWysVE1v2zAMvQ/YfxB0X20HabcGdYogQYcB&#10;RVu0HXpmZMk2oK9RSpzu14+S3c/tMAy7KKRIP5JPjzk7PxjN9hJD72zNq6OSM2mFa3rb1vz7/cWn&#10;L5yFCLYB7ays+aMM/Hz58cPZ4Bdy5jqnG4mMQGxYDL7mXYx+URRBdNJAOHJeWgoqhwYiudgWDcJA&#10;6EYXs7I8KQaHjUcnZAh0uxmDfJnxlZIiXisVZGS65tRbzCfmc5vOYnkGixbBd72Y2oB/6MJAb6no&#10;M9QGIrAd9r9BmV6gC07FI+FM4ZTqhcwz0DRV+W6auw68zLMQOcE/0xT+H6y42t8g6xt6uzlnFgy9&#10;0S2xBrbVktEdETT4sKC8O3+DkxfITNMeFJr0S3OwQyb18ZlUeYhM0GV1UpYzol5QqJpVp2QTSvHy&#10;sccQv0pnWDJqjlQ9Uwn7yxDH1KeUVCs43TcXvdbZwXa71sj2QO+7Lo/L+WZCf5OmLRtqPjuel6kR&#10;IJ0pDZFM42nyYFvOQLckYBEx137zdfi7IqnJDYRubCYjTL1om3qVWY7TTInTkcVkbV3zSM+AbtRn&#10;8OKiJ7RLCPEGkARJbdOSxWs6lHY0i5sszjqHP/90n/JJJxTlbCCB05w/doCSM/3NkoJOq/k8bUR2&#10;5sef0xvh68j2dcTuzNoRxxWtsxfZTPlRP5kKnXmgXVylqhQCK6j2yOjkrOO4eLTNQq5WOY22wEO8&#10;tHdeJPDEU+Lx/vAA6CdFRJLSlXtaBli8E8aYm760brWLTvVZNS+8ktqSQxuUdTdte1rR137OevlP&#10;Wv4C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GOrSN1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UE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E0E9A89" id="Rectangle 15" o:spid="_x0000_s1026" style="position:absolute;margin-left:-4.8pt;margin-top:3.7pt;width:12.6pt;height:9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TXQIAANsEAAAOAAAAZHJzL2Uyb0RvYy54bWysVE1v2zAMvQ/YfxB0X20HSbcEdYq0RYcB&#10;RVusHXZmZMk2oK9RSpzu14+S3c/tMAy7KKRIP5JPjzk5PRjN9hJD72zNq6OSM2mFa3rb1vzb/eWH&#10;T5yFCLYB7ays+YMM/HT9/t3J4Fdy5jqnG4mMQGxYDb7mXYx+VRRBdNJAOHJeWgoqhwYiudgWDcJA&#10;6EYXs7I8LgaHjUcnZAh0ezEG+TrjKyVFvFEqyMh0zam3mE/M5zadxfoEVi2C73oxtQH/0IWB3lLR&#10;J6gLiMB22P8GZXqBLjgVj4QzhVOqFzLPQNNU5Ztp7jrwMs9C5AT/RFP4f7Dien+LrG/o7RacWTD0&#10;Rl+JNbCtlozuiKDBhxXl3flbnLxAZpr2oNCkX5qDHTKpD0+kykNkgi6r47KcEfWCQtWsWpJNKMXz&#10;xx5D/CydYcmoOVL1TCXsr0IcUx9TUq3gdN9c9lpnB9vtuUa2B3rf5dnZ2WI5ob9K05YNNZ8t5mVq&#10;BEhnSkMk03iaPNiWM9AtCVhEzLVffR3+rkhq8gJCNzaTEaZetE29yizHaabE6chisraueaBnQDfq&#10;M3hx2RPaFYR4C0iCpLZpyeINHUo7msVNFmedw59/uk/5pBOKcjaQwGnOHztAyZn+YklBy2o+TxuR&#10;nfniY3ojfBnZvozYnTl3xHFF6+xFNlN+1I+mQme+0y5uUlUKgRVUe2R0cs7juHi0zUJuNjmNtsBD&#10;vLJ3XiTwxFPi8f7wHdBPiogkpWv3uAyweiOMMTd9ad1mF53qs2qeeSW1JYc2KOtu2va0oi/9nPX8&#10;n7T+BQ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TlXd01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Non UE</w:t>
            </w:r>
          </w:p>
        </w:tc>
      </w:tr>
    </w:tbl>
    <w:p>
      <w:pPr>
        <w:spacing w:before="120" w:after="12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6000" cy="1368000"/>
            <wp:effectExtent l="0" t="0" r="254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u w:val="single"/>
        </w:rPr>
        <w:t>Annexe IV</w:t>
      </w:r>
      <w:r>
        <w:rPr>
          <w:rFonts w:ascii="Times New Roman" w:hAnsi="Times New Roman"/>
          <w:b/>
          <w:noProof/>
          <w:u w:val="single"/>
        </w:rPr>
        <w:br/>
        <w:t>Proportion des unités de transport non conformes aux dispositions de l’ADR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ces tableaux au point 8.3 du rapport.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3200" cy="1461600"/>
            <wp:effectExtent l="0" t="0" r="0" b="571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rFonts w:ascii="Times New Roman" w:hAnsi="Times New Roman"/>
          <w:b/>
          <w:noProof/>
          <w:u w:val="single"/>
        </w:rPr>
        <w:t>Annexe V – Répartition des unités de transport non conformes aux dispositions de l’ADR en fonction de leur lieu d’origine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ces tableaux au point 8.4 du rapport.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CF67B70" id="Rectangle 22" o:spid="_x0000_s1026" style="position:absolute;margin-left:-.3pt;margin-top:3.7pt;width:12.6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U3NZzPOLBh6&#10;o2/EGthWS0Z3RNDgw4Lybv0NTl4gM017UGjSL83BDpnUhydS5SEyQZfVSVnOiHpBoWpWnZJNKMXz&#10;xx5D/CKdYcmoOVL1TCXsL0McUx9TUq3gdN9seq2zg+32QiPbA73vfPOp+rye0F+lacsGmvB4XqZG&#10;gHSmNEQyjafJg205A92SgEXEXPvV1+HviqQm1xC6sZmMMPWibepVZjlOMyVORxaTtXXNAz0DulGf&#10;wYtNT2iXEOINIAmS2qYli9d0KO1oFjdZnHUOf/7pPuWTTijK2UACpzl/7AAlZ/qrJQWdVvN52ojs&#10;zI8/pjfCl5Hty4jdmQtHHFe0zl5kM+VH/WgqdOaednGVqlIIrKDaI6OTcxHHxaNtFnK1ymm0BR7i&#10;pb31IoEnnhKPd4d7QD8pIpKUrtzjMsDijTDG3PSldatddKrPqnnmldSWHNqgrLtp29OKvvRz1vN/&#10;0vIX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sNBbW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2926EA9" id="Rectangle 23" o:spid="_x0000_s1026" style="position:absolute;margin-left:-3.7pt;margin-top:3.7pt;width:12.6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16XAIAANsEAAAOAAAAZHJzL2Uyb0RvYy54bWysVE1v2zAMvQ/YfxB0X21nabcGdYogQYcB&#10;RVusHXpmZMk2oK9RSpzu14+S3c/tMAy7KKRIP5JPjzk7PxjN9hJD72zNq6OSM2mFa3rb1vz73cWH&#10;z5yFCLYB7ays+YMM/Hz5/t3Z4Bdy5jqnG4mMQGxYDL7mXYx+URRBdNJAOHJeWgoqhwYiudgWDcJA&#10;6EYXs7I8KQaHjUcnZAh0uxmDfJnxlZIiXisVZGS65tRbzCfmc5vOYnkGixbBd72Y2oB/6MJAb6no&#10;E9QGIrAd9r9BmV6gC07FI+FM4ZTqhcwz0DRV+Waa2w68zLMQOcE/0RT+H6y42t8g65uazz5yZsHQ&#10;G30j1sC2WjK6I4IGHxaUd+tvcPICmWnag0KTfmkOdsikPjyRKg+RCbqsTspyRtQLClWz6pRsQime&#10;P/YY4hfpDEtGzZGqZyphfxnimPqYkmoFp/vmotc6O9hu1xrZHuh91+VxOd9M6K/StGUDTXg8L1Mj&#10;QDpTGiKZxtPkwbacgW5JwCJirv3q6/B3RVKTGwjd2ExGmHrRNvUqsxynmRKnI4vJ2rrmgZ4B3ajP&#10;4MVFT2iXEOINIAmS2qYli9d0KO1oFjdZnHUOf/7pPuWTTijK2UACpzl/7AAlZ/qrJQWdVvN52ojs&#10;zI8/pTfCl5Hty4jdmbUjjitaZy+ymfKjfjQVOnNPu7hKVSkEVlDtkdHJWcdx8WibhVytchptgYd4&#10;aW+9SOCJp8Tj3eEe0E+KiCSlK/e4DLB4I4wxN31p3WoXneqzap55JbUlhzYo627a9rSiL/2c9fy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7gb9el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UE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D9EAF96" id="Rectangle 27" o:spid="_x0000_s1026" style="position:absolute;margin-left:-4.8pt;margin-top:3.7pt;width:12.6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8IXQIAANsEAAAOAAAAZHJzL2Uyb0RvYy54bWysVE1v2zAMvQ/YfxB0X20HabsEdYq0RYcB&#10;RVusHXpmZMk2oK9RSpzu14+S3c/tMAy7KKRIP5JPjzk53RvNdhJD72zNq4OSM2mFa3rb1vz7/eWn&#10;z5yFCLYB7ays+aMM/HT18cPJ4Jdy5jqnG4mMQGxYDr7mXYx+WRRBdNJAOHBeWgoqhwYiudgWDcJA&#10;6EYXs7I8KgaHjUcnZAh0ezEG+SrjKyVFvFEqyMh0zam3mE/M5yadxeoEli2C73oxtQH/0IWB3lLR&#10;Z6gLiMC22P8GZXqBLjgVD4QzhVOqFzLPQNNU5btp7jrwMs9C5AT/TFP4f7DieneLrG9qPjvmzIKh&#10;N/pGrIFttWR0RwQNPiwp787f4uQFMtO0e4Um/dIcbJ9JfXwmVe4jE3RZHZXljKgXFKpm1YJsQile&#10;PvYY4hfpDEtGzZGqZyphdxXimPqUkmoFp/vmstc6O9huzjWyHdD7Ls7Ozg4XE/qbNG3ZQBMezsvU&#10;CJDOlIZIpvE0ebAtZ6BbErCImGu/+Tr8XZHU5AWEbmwmI0y9aJt6lVmO00yJ05HFZG1c80jPgG7U&#10;Z/Disie0KwjxFpAESW3TksUbOpR2NIubLM46hz//dJ/ySScU5WwggdOcP7aAkjP91ZKCFtV8njYi&#10;O/PD4/RG+DqyeR2xW3PuiOOK1tmLbKb8qJ9Mhc480C6uU1UKgRVUe2R0cs7juHi0zUKu1zmNtsBD&#10;vLJ3XiTwxFPi8X7/AOgnRUSS0rV7WgZYvhPGmJu+tG69jU71WTUvvJLakkMblHU3bXta0dd+znr5&#10;T1r9Ag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CyOfC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Non UE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45200" cy="1476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Annexe VI</w:t>
      </w:r>
      <w:r>
        <w:rPr>
          <w:rFonts w:ascii="Times New Roman" w:hAnsi="Times New Roman"/>
          <w:b/>
          <w:noProof/>
          <w:u w:val="single"/>
        </w:rPr>
        <w:br/>
        <w:t>Taux d’immobilisation des unités de transport non conformes aux dispositions de l’ADR</w:t>
      </w:r>
    </w:p>
    <w:p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On trouvera des précisions concernant ces tableaux au point 8.5 du rapport.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69600" cy="1476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73200" cy="1476000"/>
            <wp:effectExtent l="0" t="0" r="8890" b="1016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77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73200" cy="14760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>Annexe VII</w:t>
      </w:r>
      <w:r>
        <w:rPr>
          <w:rFonts w:ascii="Times New Roman" w:hAnsi="Times New Roman"/>
          <w:b/>
          <w:noProof/>
          <w:u w:val="single"/>
        </w:rPr>
        <w:br/>
        <w:t>Ventilation par catégorie de risques</w:t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ces tableaux au point 8.6 du rapport.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85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4507F3F" id="Rectangle 19" o:spid="_x0000_s1026" style="position:absolute;margin-left:-.3pt;margin-top:3.7pt;width:12.6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qI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S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Df+NqI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8D1FABE" id="Rectangle 20" o:spid="_x0000_s1026" style="position:absolute;margin-left:-3.7pt;margin-top:3.7pt;width:12.6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kIXQIAANsEAAAOAAAAZHJzL2Uyb0RvYy54bWysVE1v2zAMvQ/YfxB0X20HabcGdYogQYcB&#10;RVu0HXpmZMk2oK9RSpzu14+S3c/tMAy7KKRIPZLPjzk7PxjN9hJD72zNq6OSM2mFa3rb1vz7/cWn&#10;L5yFCLYB7ays+aMM/Hz58cPZ4Bdy5jqnG4mMQGxYDL7mXYx+URRBdNJAOHJeWgoqhwYiudgWDcJA&#10;6EYXs7I8KQaHjUcnZAh0uxmDfJnxlZIiXisVZGS65tRbzCfmc5vOYnkGixbBd72Y2oB/6MJAb6no&#10;M9QGIrAd9r9BmV6gC07FI+FM4ZTqhcwz0DRV+W6auw68zLMQOcE/0xT+H6y42t8g65uaz4geC4a+&#10;0S2xBrbVktEdETT4sKC8O3+DkxfITNMeFJr0S3OwQyb18ZlUeYhM0GV1UpYJW1ComlWnI2bx8thj&#10;iF+lMywZNUeqnqmE/WWIVJBSn1JSreB031z0WmcH2+1aI9sDfd91eVzON6ljevImTVs20ITH8zI1&#10;AqQzpSGSaTxNHmzLGeiWBCwi5tpvXoe/K5Ka3EDoxmYywtSLtqlXmeU4zZQ4HVlM1tY1j/QZ0I36&#10;DF5c9IR2CSHeAJIgqW1asnhNh9KOZnGTxVnn8Oef7lM+6YSinA0kcJrzxw5Qcqa/WVLQaTWfE2zM&#10;zvz4c/pG+DqyfR2xO7N2xHFF6+xFNlN+1E+mQmceaBdXqSqFwAqqPTI6Oes4Lh5ts5CrVU6jLfAQ&#10;L+2dFwk88ZR4vD88APpJEZGkdOWelgEW74Qx5qaX1q120ak+q+aFV9JDcmiDsjKmbU8r+trPWS//&#10;SctfAAAA//8DAFBLAwQUAAYACAAAACEAC4VOPNsAAAAGAQAADwAAAGRycy9kb3ducmV2LnhtbEyP&#10;wU7DMBBE70j8g7VIvbUOEUrTkE1VIXGgcKHlwHFrL0lEbEe224a/xznBabSa0czbejuZQVzYh95Z&#10;hPtVBoKtcrq3LcLH8XlZggiRrKbBWUb44QDb5vampkq7q33nyyG2IpXYUBFCF+NYSRlUx4bCyo1s&#10;k/flvKGYTt9K7emays0g8ywrpKHepoWORn7qWH0fzgah3O1L3rwc6ZPz4tUP6m0TvUJc3E27RxCR&#10;p/gXhhk/oUOTmE7ubHUQA8Jy/ZCSCLPM9jo9ckLIiwJkU8v/+M0vAAAA//8DAFBLAQItABQABgAI&#10;AAAAIQC2gziS/gAAAOEBAAATAAAAAAAAAAAAAAAAAAAAAABbQ29udGVudF9UeXBlc10ueG1sUEsB&#10;Ai0AFAAGAAgAAAAhADj9If/WAAAAlAEAAAsAAAAAAAAAAAAAAAAALwEAAF9yZWxzLy5yZWxzUEsB&#10;Ai0AFAAGAAgAAAAhAH+P2QhdAgAA2wQAAA4AAAAAAAAAAAAAAAAALgIAAGRycy9lMm9Eb2MueG1s&#10;UEsBAi0AFAAGAAgAAAAhAAuFTjzbAAAABgEAAA8AAAAAAAAAAAAAAAAAtwQAAGRycy9kb3ducmV2&#10;LnhtbFBLBQYAAAAABAAEAPMAAAC/BQAAAAA=&#10;" fillcolor="#c0504d" strokecolor="#c0504d" strokeweight="2pt"/>
                  </w:pict>
                </mc:Fallback>
              </mc:AlternateContent>
            </w:r>
          </w:p>
        </w:tc>
        <w:tc>
          <w:tcPr>
            <w:tcW w:w="585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53DCCD7" id="Rectangle 21" o:spid="_x0000_s1026" style="position:absolute;margin-left:-4.8pt;margin-top:3.7pt;width:12.6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bsXQIAANsEAAAOAAAAZHJzL2Uyb0RvYy54bWysVE1v2zAMvQ/YfxB0X20HabcEdYq0RYcB&#10;RVu0HXpmZMk2oK9RSpzu14+S3c/tMAy7KKRIP5JPjzk+2RvNdhJD72zNq4OSM2mFa3rb1vz7/cWn&#10;L5yFCLYB7ays+aMM/GT18cPx4Jdy5jqnG4mMQGxYDr7mXYx+WRRBdNJAOHBeWgoqhwYiudgWDcJA&#10;6EYXs7I8KgaHjUcnZAh0ez4G+SrjKyVFvFYqyMh0zam3mE/M5yadxeoYli2C73oxtQH/0IWB3lLR&#10;Z6hziMC22P8GZXqBLjgVD4QzhVOqFzLPQNNU5btp7jrwMs9C5AT/TFP4f7DianeDrG9qPqs4s2Do&#10;jW6JNbCtlozuiKDBhyXl3fkbnLxAZpp2r9CkX5qD7TOpj8+kyn1kgi6ro7KcEfWCQtWsWpBNKMXL&#10;xx5D/CqdYcmoOVL1TCXsLkMcU59SUq3gdN9c9FpnB9vNmUa2A3rfxenp6eFiQn+Tpi0baMLDeZka&#10;AdKZ0hDJNJ4mD7blDHRLAhYRc+03X4e/K5KaPIfQjc1khKkXbVOvMstxmilxOrKYrI1rHukZ0I36&#10;DF5c9IR2CSHeAJIgqW1asnhNh9KOZnGTxVnn8Oef7lM+6YSinA0kcJrzxxZQcqa/WVLQoprP00Zk&#10;Z374Ob0Rvo5sXkfs1pw54phEQt1lM+VH/WQqdOaBdnGdqlIIrKDaI6OTcxbHxaNtFnK9zmm0BR7i&#10;pb3zIoEnnhKP9/sHQD8pIpKUrtzTMsDynTDG3PSldettdKrPqnnhldSWHNqgrLtp29OKvvZz1st/&#10;0uoX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KTDW7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Cat.III</w:t>
            </w:r>
          </w:p>
        </w:tc>
      </w:tr>
    </w:tbl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0000" cy="1440000"/>
            <wp:effectExtent l="0" t="0" r="0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u w:val="single"/>
        </w:rPr>
        <w:t xml:space="preserve">Annexe VIII – Ventilation par type de sanctions </w:t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On trouvera des précisions concernant ces tableaux au point 8.7 du rapport.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141"/>
        <w:gridCol w:w="508"/>
        <w:gridCol w:w="759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5645236" id="Rectangle 16" o:spid="_x0000_s1026" style="position:absolute;margin-left:-.3pt;margin-top:3.7pt;width:12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3p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Q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BLUR3p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Avertissement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227FE9D" id="Rectangle 17" o:spid="_x0000_s1026" style="position:absolute;margin-left:-3.7pt;margin-top:3.7pt;width:12.6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ZFXAIAANsEAAAOAAAAZHJzL2Uyb0RvYy54bWysVE1v2zAMvQ/YfxB0X20HabsGdYogQYcB&#10;RVusHXpmZMk2oK9RSpzu14+S3c/tMAy7KKRIP5JPjzm/OBjN9hJD72zNq6OSM2mFa3rb1vz7/eWn&#10;z5yFCLYB7ays+aMM/GL58cP54Bdy5jqnG4mMQGxYDL7mXYx+URRBdNJAOHJeWgoqhwYiudgWDcJA&#10;6EYXs7I8KQaHjUcnZAh0uxmDfJnxlZIi3igVZGS65tRbzCfmc5vOYnkOixbBd72Y2oB/6MJAb6no&#10;M9QGIrAd9r9BmV6gC07FI+FM4ZTqhcwz0DRV+W6auw68zLMQOcE/0xT+H6y43t8i6xt6u1POLBh6&#10;o2/EGthWS0Z3RNDgw4Ly7vwtTl4gM017UGjSL83BDpnUx2dS5SEyQZfVSVnOiHpBoWpWnZFNKMXL&#10;xx5D/CKdYcmoOVL1TCXsr0IcU59SUq3gdN9c9lpnB9vtWiPbA73vujwu55sJ/U2atmyo+ex4XqZG&#10;gHSmNEQyjafJg205A92SgEXEXPvN1+HviqQmNxC6sZmMMPWibepVZjlOMyVORxaTtXXNIz0DulGf&#10;wYvLntCuIMRbQBIktU1LFm/oUNrRLG6yOOsc/vzTfconnVCUs4EETnP+2AFKzvRXSwo6q+bztBHZ&#10;mR+fpjfC15Ht64jdmbUjjitaZy+ymfKjfjIVOvNAu7hKVSkEVlDtkdHJWcdx8WibhVytchptgYd4&#10;Ze+8SOCJp8Tj/eEB0E+KiCSla/e0DLB4J4wxN31p3WoXneqzal54JbUlhzYo627a9rSir/2c9fK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iWP2RV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Amende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C2FC938" id="Rectangle 18" o:spid="_x0000_s1026" style="position:absolute;margin-left:-4.8pt;margin-top:3.7pt;width:12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uXQIAANsEAAAOAAAAZHJzL2Uyb0RvYy54bWysVEtv2zAMvg/YfxB0X20HabcEdYq0RYcB&#10;RVu0HXpmZMk2oNcoJU7360fJ7nM7DMMuMilSfHz86OOTvdFsJzH0zta8Oig5k1a4prdtzb/fX3z6&#10;wlmIYBvQzsqaP8rAT1YfPxwPfilnrnO6kcgoiA3Lwde8i9EviyKIThoIB85LS0bl0EAkFduiQRgo&#10;utHFrCyPisFh49EJGQLdno9GvsrxlZIiXisVZGS65lRbzCfmc5POYnUMyxbBd72YyoB/qMJAbynp&#10;c6hziMC22P8WyvQCXXAqHghnCqdUL2Tugbqpynfd3HXgZe6FwAn+Gabw/8KKq90Nsr6h2dGkLBia&#10;0S2hBrbVktEdATT4sCS/O3+DkxZITN3uFZr0pT7YPoP6+Ayq3Ecm6LI6KssZQS/IVM2qBckUpXh5&#10;7DHEr9IZloSaI2XPUMLuMsTR9ckl5QpO981Fr3VWsN2caWQ7oPkuTk9PDxdT9Ddu2rKh5rPDeZkK&#10;AeKZ0hBJNJ46D7blDHRLBBYRc+43r8PfJUlFnkPoxmJyhKkWbVOtMtNx6ilhOqKYpI1rHmkM6EZ+&#10;Bi8ueop2CSHeABIhqWxasnhNh9KOenGTxFnn8Oef7pM/8YSsnA1EcOrzxxZQcqa/WWLQoprP00Zk&#10;ZX74Oc0IX1s2ry12a84cYVzROnuRxeQf9ZOo0JkH2sV1ykomsIJyj4hOylkcF4+2Wcj1OrvRFniI&#10;l/bOixQ84ZRwvN8/APqJEZGodOWelgGW74gx+qaX1q230ak+s+YFV2JbUmiDMu+mbU8r+lrPXi//&#10;pNUv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xA0i7l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Autre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34425" cy="12422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3" cy="1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35695" cy="1613140"/>
            <wp:effectExtent l="0" t="0" r="8255" b="63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7" w:orient="landscape" w:code="9"/>
          <w:pgMar w:top="540" w:right="1134" w:bottom="1078" w:left="1134" w:header="720" w:footer="720" w:gutter="0"/>
          <w:cols w:space="720"/>
          <w:docGrid w:linePitch="326"/>
        </w:sectPr>
      </w:pPr>
      <w:r>
        <w:rPr>
          <w:rFonts w:ascii="Times New Roman" w:hAnsi="Times New Roman"/>
          <w:noProof/>
          <w:lang w:val="en-GB" w:eastAsia="en-GB"/>
        </w:rPr>
        <w:drawing>
          <wp:inline distT="0" distB="0" distL="0" distR="0">
            <wp:extent cx="8772525" cy="1397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24" cy="141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hAnsi="Times New Roman"/>
          <w:b/>
          <w:noProof/>
          <w:u w:val="single"/>
        </w:rPr>
      </w:pPr>
      <w:r>
        <w:rPr>
          <w:rFonts w:ascii="Times New Roman" w:hAnsi="Times New Roman"/>
          <w:b/>
          <w:noProof/>
          <w:u w:val="single"/>
        </w:rPr>
        <w:t>Annexe IX</w:t>
      </w:r>
      <w:r>
        <w:rPr>
          <w:rFonts w:ascii="Times New Roman" w:hAnsi="Times New Roman"/>
          <w:b/>
          <w:noProof/>
          <w:u w:val="single"/>
        </w:rPr>
        <w:br/>
        <w:t>Transport annuel de marchandises dangereuses par route, en millions de tonnes-kilomètres</w:t>
      </w:r>
    </w:p>
    <w:p>
      <w:pPr>
        <w:spacing w:before="120" w:after="120" w:line="240" w:lineRule="auto"/>
        <w:rPr>
          <w:rFonts w:ascii="Times New Roman" w:hAnsi="Times New Roman"/>
          <w:b/>
          <w:noProof/>
          <w:u w:val="single"/>
        </w:rPr>
      </w:pPr>
      <w:r>
        <w:rPr>
          <w:rFonts w:ascii="Times New Roman" w:hAnsi="Times New Roman"/>
          <w:noProof/>
        </w:rPr>
        <w:t>On trouvera des précisions concernant ce tableau au point 6 du rapport.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2607"/>
        <w:gridCol w:w="1061"/>
        <w:gridCol w:w="1061"/>
        <w:gridCol w:w="1061"/>
        <w:gridCol w:w="1061"/>
        <w:gridCol w:w="1061"/>
        <w:gridCol w:w="1061"/>
      </w:tblGrid>
      <w:tr>
        <w:trPr>
          <w:trHeight w:val="28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Arial" w:hAnsi="Arial"/>
                <w:noProof/>
              </w:rPr>
              <w:t> 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2013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2014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2016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2017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EU-28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80 803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73 945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75 024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80 522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80 985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82 519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EU-27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73 462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74 523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80 454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81 938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BE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1 985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1 694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3 353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4 070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3 838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BG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684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CZ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1 567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1 895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DK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690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DE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12 912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12 934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172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208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355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1 010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1 451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ES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11 833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10 626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11 718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12 269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11 538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12 735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FR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7 976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9 747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9 737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HR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501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IT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8 313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7 358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6 942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6 635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7 918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CY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147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LV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227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534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LU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839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503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HU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1 273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MT (1)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: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NL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957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AT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933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1 033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PL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6 801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7 024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8 778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9 174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8 785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PT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946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RO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1 704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1 664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2 326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2 490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637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552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724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398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496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FI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1 909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1 888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2 122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1 794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1 983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UK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12 653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9 017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8 583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9 601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9 015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7 121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1 029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1 286</w:t>
            </w:r>
          </w:p>
        </w:tc>
      </w:tr>
    </w:tbl>
    <w:p>
      <w:pPr>
        <w:rPr>
          <w:noProof/>
          <w:sz w:val="24"/>
          <w:szCs w:val="24"/>
        </w:rPr>
      </w:pP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 (1) Malte: dérogation en application du règlement (UE) nº 70/2012</w:t>
      </w:r>
    </w:p>
    <w:p>
      <w:pPr>
        <w:rPr>
          <w:noProof/>
        </w:rPr>
      </w:pPr>
      <w:r>
        <w:rPr>
          <w:rFonts w:ascii="Times New Roman" w:hAnsi="Times New Roman"/>
          <w:i/>
          <w:iCs/>
          <w:noProof/>
        </w:rPr>
        <w:t>Source:</w:t>
      </w:r>
      <w:r>
        <w:rPr>
          <w:rFonts w:ascii="Times New Roman" w:hAnsi="Times New Roman"/>
          <w:noProof/>
        </w:rPr>
        <w:t xml:space="preserve"> Eurostat (code des données en ligne: road_go_ta_dg)</w:t>
      </w: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6780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084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72758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andscap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5C1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5AFB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B4D31BD"/>
    <w:multiLevelType w:val="hybridMultilevel"/>
    <w:tmpl w:val="C0AAB8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1AA5"/>
    <w:multiLevelType w:val="multilevel"/>
    <w:tmpl w:val="5922F586"/>
    <w:name w:val="List Number 2"/>
    <w:lvl w:ilvl="0">
      <w:start w:val="1"/>
      <w:numFmt w:val="decimal"/>
      <w:lvlRestart w:val="0"/>
      <w:pStyle w:val="ListNumber2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59361D7"/>
    <w:multiLevelType w:val="singleLevel"/>
    <w:tmpl w:val="0A7C9778"/>
    <w:name w:val="List Bullet 2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5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6">
    <w:nsid w:val="1D062CAF"/>
    <w:multiLevelType w:val="hybridMultilevel"/>
    <w:tmpl w:val="8968D31C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>
    <w:nsid w:val="1E346EC6"/>
    <w:multiLevelType w:val="singleLevel"/>
    <w:tmpl w:val="C14C2BE2"/>
    <w:name w:val="List 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B63F4D"/>
    <w:multiLevelType w:val="hybridMultilevel"/>
    <w:tmpl w:val="607620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3065B"/>
    <w:multiLevelType w:val="singleLevel"/>
    <w:tmpl w:val="F328E826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1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2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3">
    <w:nsid w:val="422E10EC"/>
    <w:multiLevelType w:val="singleLevel"/>
    <w:tmpl w:val="A62C8844"/>
    <w:name w:val="List Dash 3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4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6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7">
    <w:nsid w:val="4C6F0385"/>
    <w:multiLevelType w:val="singleLevel"/>
    <w:tmpl w:val="1D28D466"/>
    <w:name w:val="List Dash 4"/>
    <w:lvl w:ilvl="0">
      <w:start w:val="1"/>
      <w:numFmt w:val="bullet"/>
      <w:lvlRestart w:val="0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8">
    <w:nsid w:val="4E945993"/>
    <w:multiLevelType w:val="singleLevel"/>
    <w:tmpl w:val="83F27BC6"/>
    <w:name w:val="List Dash 1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9">
    <w:nsid w:val="4EB37838"/>
    <w:multiLevelType w:val="multilevel"/>
    <w:tmpl w:val="604479CE"/>
    <w:name w:val="List Number 3"/>
    <w:lvl w:ilvl="0">
      <w:start w:val="1"/>
      <w:numFmt w:val="decimal"/>
      <w:lvlRestart w:val="0"/>
      <w:pStyle w:val="ListNumber3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1">
    <w:nsid w:val="5B2C7A7C"/>
    <w:multiLevelType w:val="multilevel"/>
    <w:tmpl w:val="5900DFD6"/>
    <w:name w:val="List Number 1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3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F4B4EDC"/>
    <w:multiLevelType w:val="singleLevel"/>
    <w:tmpl w:val="B3484502"/>
    <w:name w:val="List Dash 2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8">
    <w:nsid w:val="73B83116"/>
    <w:multiLevelType w:val="singleLevel"/>
    <w:tmpl w:val="406E2D7E"/>
    <w:name w:val="List Bullet 3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29">
    <w:nsid w:val="73C65461"/>
    <w:multiLevelType w:val="multilevel"/>
    <w:tmpl w:val="C358ABEA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744D6F2F"/>
    <w:multiLevelType w:val="singleLevel"/>
    <w:tmpl w:val="FCE2108C"/>
    <w:name w:val="List Bullet 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1">
    <w:nsid w:val="75C26F71"/>
    <w:multiLevelType w:val="multilevel"/>
    <w:tmpl w:val="A460784C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B153198"/>
    <w:multiLevelType w:val="multilevel"/>
    <w:tmpl w:val="A4A6E136"/>
    <w:name w:val="List Number 4"/>
    <w:lvl w:ilvl="0">
      <w:start w:val="1"/>
      <w:numFmt w:val="decimal"/>
      <w:lvlRestart w:val="0"/>
      <w:pStyle w:val="ListNumber4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CB17551"/>
    <w:multiLevelType w:val="singleLevel"/>
    <w:tmpl w:val="CCDE1F8A"/>
    <w:name w:val="List Bullet 4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4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6"/>
  </w:num>
  <w:num w:numId="5">
    <w:abstractNumId w:val="12"/>
  </w:num>
  <w:num w:numId="6">
    <w:abstractNumId w:val="15"/>
  </w:num>
  <w:num w:numId="7">
    <w:abstractNumId w:val="8"/>
  </w:num>
  <w:num w:numId="8">
    <w:abstractNumId w:val="25"/>
  </w:num>
  <w:num w:numId="9">
    <w:abstractNumId w:val="5"/>
  </w:num>
  <w:num w:numId="10">
    <w:abstractNumId w:val="16"/>
  </w:num>
  <w:num w:numId="11">
    <w:abstractNumId w:val="22"/>
  </w:num>
  <w:num w:numId="12">
    <w:abstractNumId w:val="23"/>
  </w:num>
  <w:num w:numId="13">
    <w:abstractNumId w:val="11"/>
  </w:num>
  <w:num w:numId="14">
    <w:abstractNumId w:val="20"/>
  </w:num>
  <w:num w:numId="15">
    <w:abstractNumId w:val="34"/>
  </w:num>
  <w:num w:numId="16">
    <w:abstractNumId w:val="7"/>
  </w:num>
  <w:num w:numId="17">
    <w:abstractNumId w:val="30"/>
  </w:num>
  <w:num w:numId="18">
    <w:abstractNumId w:val="4"/>
  </w:num>
  <w:num w:numId="19">
    <w:abstractNumId w:val="28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13"/>
  </w:num>
  <w:num w:numId="25">
    <w:abstractNumId w:val="17"/>
  </w:num>
  <w:num w:numId="26">
    <w:abstractNumId w:val="29"/>
  </w:num>
  <w:num w:numId="27">
    <w:abstractNumId w:val="21"/>
  </w:num>
  <w:num w:numId="28">
    <w:abstractNumId w:val="3"/>
  </w:num>
  <w:num w:numId="29">
    <w:abstractNumId w:val="19"/>
  </w:num>
  <w:num w:numId="30">
    <w:abstractNumId w:val="32"/>
  </w:num>
  <w:num w:numId="31">
    <w:abstractNumId w:val="1"/>
  </w:num>
  <w:num w:numId="32">
    <w:abstractNumId w:val="0"/>
  </w:num>
  <w:num w:numId="33">
    <w:abstractNumId w:val="6"/>
  </w:num>
  <w:num w:numId="34">
    <w:abstractNumId w:val="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u"/>
    <w:docVar w:name="LW_ANNEX_NBR_FIRST" w:val="1"/>
    <w:docVar w:name="LW_ANNEX_NBR_LAST" w:val="9"/>
    <w:docVar w:name="LW_ANNEX_UNIQUE" w:val="0"/>
    <w:docVar w:name="LW_CORRIGENDUM" w:val="&lt;UNUSED&gt;"/>
    <w:docVar w:name="LW_COVERPAGE_EXISTS" w:val="True"/>
    <w:docVar w:name="LW_COVERPAGE_GUID" w:val="7DAC251A-61DF-45E2-8265-B58A5BB80983"/>
    <w:docVar w:name="LW_COVERPAGE_TYPE" w:val="1"/>
    <w:docVar w:name="LW_CROSSREFERENCE" w:val="&lt;UNUSED&gt;"/>
    <w:docVar w:name="LW_DocType" w:val="NORMAL"/>
    <w:docVar w:name="LW_EMISSION" w:val="26.2.2020"/>
    <w:docVar w:name="LW_EMISSION_ISODATE" w:val="2020-02-26"/>
    <w:docVar w:name="LW_EMISSION_LOCATION" w:val="BRX"/>
    <w:docVar w:name="LW_EMISSION_PREFIX" w:val="Bruxelles, le "/>
    <w:docVar w:name="LW_EMISSION_SUFFIX" w:val=" 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sur l'application par les États membres de la directive 95/50/CE du Conseil concernant des procédures uniformes en matière de contrôle des transports de marchandises dangereuses par route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20) 69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S_x000b_"/>
    <w:docVar w:name="LW_TYPEACTEPRINCIPAL.CP" w:val="RAPPORT DE LA COMMISSION AU PARLEMENT EUROPÉEN ET AU CONSEIL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image" Target="media/image13.png"/><Relationship Id="rId21" Type="http://schemas.openxmlformats.org/officeDocument/2006/relationships/footer" Target="footer6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chart" Target="charts/chart3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4.png"/><Relationship Id="rId41" Type="http://schemas.openxmlformats.org/officeDocument/2006/relationships/chart" Target="charts/chart7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8.xml"/><Relationship Id="rId53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6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chart" Target="charts/chart6.xml"/><Relationship Id="rId43" Type="http://schemas.openxmlformats.org/officeDocument/2006/relationships/header" Target="header8.xm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Workin%20copy%20Calculations%20for%20CION%20report%202013%20SC%20upd%20msv%202015%202017%20CH%20excluded%202016cor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7498021657215723E-2"/>
          <c:y val="0.19092133191047103"/>
          <c:w val="0.92460207633738023"/>
          <c:h val="0.65140532631464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II'!$C$4:$C$33</c:f>
              <c:numCache>
                <c:formatCode>0.00</c:formatCode>
                <c:ptCount val="30"/>
                <c:pt idx="0">
                  <c:v>1.2394870265433939</c:v>
                </c:pt>
                <c:pt idx="1">
                  <c:v>3.1322033898305084</c:v>
                </c:pt>
                <c:pt idx="2">
                  <c:v>1.0257372654155497</c:v>
                </c:pt>
                <c:pt idx="3">
                  <c:v>0.71130221130221127</c:v>
                </c:pt>
                <c:pt idx="4">
                  <c:v>3.6990744466800805</c:v>
                </c:pt>
                <c:pt idx="5">
                  <c:v>0.26712328767123289</c:v>
                </c:pt>
                <c:pt idx="6">
                  <c:v>0.55907780979827093</c:v>
                </c:pt>
                <c:pt idx="7">
                  <c:v>0.23529411764705882</c:v>
                </c:pt>
                <c:pt idx="8">
                  <c:v>0.62303366207514876</c:v>
                </c:pt>
                <c:pt idx="9">
                  <c:v>0.90906895302499702</c:v>
                </c:pt>
                <c:pt idx="10">
                  <c:v>1.1384615384615384</c:v>
                </c:pt>
                <c:pt idx="11">
                  <c:v>0.17502160760587726</c:v>
                </c:pt>
                <c:pt idx="12">
                  <c:v>0.20289855072463769</c:v>
                </c:pt>
                <c:pt idx="13">
                  <c:v>0.92063492063492058</c:v>
                </c:pt>
                <c:pt idx="14">
                  <c:v>1.1782786885245902</c:v>
                </c:pt>
                <c:pt idx="15">
                  <c:v>6.1674008810572688E-2</c:v>
                </c:pt>
                <c:pt idx="16">
                  <c:v>5.6882255389718077</c:v>
                </c:pt>
                <c:pt idx="17">
                  <c:v>0</c:v>
                </c:pt>
                <c:pt idx="18">
                  <c:v>2.349274124679761</c:v>
                </c:pt>
                <c:pt idx="19">
                  <c:v>13.944983818770227</c:v>
                </c:pt>
                <c:pt idx="20">
                  <c:v>2.2320688903422718</c:v>
                </c:pt>
                <c:pt idx="21">
                  <c:v>0.53195164075993095</c:v>
                </c:pt>
                <c:pt idx="22">
                  <c:v>3.0129390018484288</c:v>
                </c:pt>
                <c:pt idx="23">
                  <c:v>1.0840336134453781</c:v>
                </c:pt>
                <c:pt idx="24">
                  <c:v>9.0384615384615383</c:v>
                </c:pt>
                <c:pt idx="25">
                  <c:v>1.0874803562074384</c:v>
                </c:pt>
                <c:pt idx="26">
                  <c:v>2.226201696512724</c:v>
                </c:pt>
                <c:pt idx="27">
                  <c:v>0.38995937923133006</c:v>
                </c:pt>
                <c:pt idx="28">
                  <c:v>1.7009761307468767</c:v>
                </c:pt>
                <c:pt idx="29">
                  <c:v>0.64666166541635406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157-A961-3DB3C520A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622784"/>
        <c:axId val="109624320"/>
      </c:barChart>
      <c:catAx>
        <c:axId val="10962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624320"/>
        <c:crosses val="autoZero"/>
        <c:auto val="1"/>
        <c:lblAlgn val="ctr"/>
        <c:lblOffset val="100"/>
        <c:noMultiLvlLbl val="0"/>
      </c:catAx>
      <c:valAx>
        <c:axId val="109624320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622784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2016</a:t>
            </a:r>
          </a:p>
        </c:rich>
      </c:tx>
      <c:layout>
        <c:manualLayout>
          <c:xMode val="edge"/>
          <c:yMode val="edge"/>
          <c:x val="0.47260994263862338"/>
          <c:y val="4.73653049141503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796683767030559E-2"/>
          <c:y val="0.19010327022375215"/>
          <c:w val="0.93338963020651744"/>
          <c:h val="0.610255871630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II'!$D$4:$D$33</c:f>
              <c:numCache>
                <c:formatCode>0.00</c:formatCode>
                <c:ptCount val="30"/>
                <c:pt idx="0">
                  <c:v>1.7766584766584768</c:v>
                </c:pt>
                <c:pt idx="1">
                  <c:v>5.2110874200426442</c:v>
                </c:pt>
                <c:pt idx="2">
                  <c:v>0.78057553956834536</c:v>
                </c:pt>
                <c:pt idx="3">
                  <c:v>0.38054363376251787</c:v>
                </c:pt>
                <c:pt idx="4">
                  <c:v>3.2447937131630646</c:v>
                </c:pt>
                <c:pt idx="5">
                  <c:v>0.26896551724137929</c:v>
                </c:pt>
                <c:pt idx="6">
                  <c:v>0.48366013071895425</c:v>
                </c:pt>
                <c:pt idx="7">
                  <c:v>7.8822055137844611</c:v>
                </c:pt>
                <c:pt idx="8">
                  <c:v>0.52218755416883345</c:v>
                </c:pt>
                <c:pt idx="9">
                  <c:v>0.73468759618344104</c:v>
                </c:pt>
                <c:pt idx="10">
                  <c:v>0.85310734463276838</c:v>
                </c:pt>
                <c:pt idx="11">
                  <c:v>0.12825923134890732</c:v>
                </c:pt>
                <c:pt idx="12">
                  <c:v>0.23030303030303031</c:v>
                </c:pt>
                <c:pt idx="13">
                  <c:v>0.79701492537313434</c:v>
                </c:pt>
                <c:pt idx="14">
                  <c:v>1.0372250423011844</c:v>
                </c:pt>
                <c:pt idx="15">
                  <c:v>0.32365145228215769</c:v>
                </c:pt>
                <c:pt idx="16">
                  <c:v>5.8357414448669198</c:v>
                </c:pt>
                <c:pt idx="17">
                  <c:v>0</c:v>
                </c:pt>
                <c:pt idx="18">
                  <c:v>2.8128704487722271</c:v>
                </c:pt>
                <c:pt idx="19">
                  <c:v>11.832673267326733</c:v>
                </c:pt>
                <c:pt idx="20">
                  <c:v>1.9004026527711986</c:v>
                </c:pt>
                <c:pt idx="21">
                  <c:v>0.50762970498474058</c:v>
                </c:pt>
                <c:pt idx="22">
                  <c:v>1.7785898538263112</c:v>
                </c:pt>
                <c:pt idx="23">
                  <c:v>0.99533255542590426</c:v>
                </c:pt>
                <c:pt idx="24">
                  <c:v>8.3869346733668344</c:v>
                </c:pt>
                <c:pt idx="25">
                  <c:v>0.967741935483871</c:v>
                </c:pt>
                <c:pt idx="26">
                  <c:v>2.758639910813824</c:v>
                </c:pt>
                <c:pt idx="27">
                  <c:v>0.37459789240155295</c:v>
                </c:pt>
                <c:pt idx="28">
                  <c:v>1.6467247021053282</c:v>
                </c:pt>
                <c:pt idx="29">
                  <c:v>0.74041095890410957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8-4758-A151-00BB197F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005248"/>
        <c:axId val="110011136"/>
      </c:barChart>
      <c:catAx>
        <c:axId val="11000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011136"/>
        <c:crosses val="autoZero"/>
        <c:auto val="1"/>
        <c:lblAlgn val="ctr"/>
        <c:lblOffset val="100"/>
        <c:noMultiLvlLbl val="0"/>
      </c:catAx>
      <c:valAx>
        <c:axId val="11001113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005248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III'!$C$3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III'!$C$4:$C$33</c:f>
              <c:numCache>
                <c:formatCode>0</c:formatCode>
                <c:ptCount val="30"/>
                <c:pt idx="0">
                  <c:v>1725</c:v>
                </c:pt>
                <c:pt idx="1">
                  <c:v>2075</c:v>
                </c:pt>
                <c:pt idx="2">
                  <c:v>1279</c:v>
                </c:pt>
                <c:pt idx="3">
                  <c:v>470</c:v>
                </c:pt>
                <c:pt idx="4">
                  <c:v>23762</c:v>
                </c:pt>
                <c:pt idx="5">
                  <c:v>33</c:v>
                </c:pt>
                <c:pt idx="6">
                  <c:v>184</c:v>
                </c:pt>
                <c:pt idx="7">
                  <c:v>303</c:v>
                </c:pt>
                <c:pt idx="8">
                  <c:v>7185</c:v>
                </c:pt>
                <c:pt idx="9">
                  <c:v>4162</c:v>
                </c:pt>
                <c:pt idx="10">
                  <c:v>335</c:v>
                </c:pt>
                <c:pt idx="11">
                  <c:v>1175</c:v>
                </c:pt>
                <c:pt idx="12">
                  <c:v>28</c:v>
                </c:pt>
                <c:pt idx="13">
                  <c:v>164</c:v>
                </c:pt>
                <c:pt idx="14">
                  <c:v>226</c:v>
                </c:pt>
                <c:pt idx="15">
                  <c:v>5</c:v>
                </c:pt>
                <c:pt idx="16">
                  <c:v>4860</c:v>
                </c:pt>
                <c:pt idx="17">
                  <c:v>73</c:v>
                </c:pt>
                <c:pt idx="18">
                  <c:v>1731</c:v>
                </c:pt>
                <c:pt idx="19">
                  <c:v>6053</c:v>
                </c:pt>
                <c:pt idx="20">
                  <c:v>16568</c:v>
                </c:pt>
                <c:pt idx="21">
                  <c:v>600</c:v>
                </c:pt>
                <c:pt idx="22">
                  <c:v>4415</c:v>
                </c:pt>
                <c:pt idx="23">
                  <c:v>481</c:v>
                </c:pt>
                <c:pt idx="24">
                  <c:v>569</c:v>
                </c:pt>
                <c:pt idx="25">
                  <c:v>1635</c:v>
                </c:pt>
                <c:pt idx="26">
                  <c:v>3271</c:v>
                </c:pt>
                <c:pt idx="27">
                  <c:v>2417</c:v>
                </c:pt>
                <c:pt idx="28">
                  <c:v>85784</c:v>
                </c:pt>
                <c:pt idx="29">
                  <c:v>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39-4A34-95BB-52A35EF6DBD8}"/>
            </c:ext>
          </c:extLst>
        </c:ser>
        <c:ser>
          <c:idx val="1"/>
          <c:order val="1"/>
          <c:tx>
            <c:strRef>
              <c:f>'ANNEX III'!$D$3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III'!$D$4:$D$33</c:f>
              <c:numCache>
                <c:formatCode>0</c:formatCode>
                <c:ptCount val="30"/>
                <c:pt idx="0">
                  <c:v>2358</c:v>
                </c:pt>
                <c:pt idx="1">
                  <c:v>467</c:v>
                </c:pt>
                <c:pt idx="2">
                  <c:v>602</c:v>
                </c:pt>
                <c:pt idx="3">
                  <c:v>109</c:v>
                </c:pt>
                <c:pt idx="4">
                  <c:v>20784</c:v>
                </c:pt>
                <c:pt idx="5">
                  <c:v>6</c:v>
                </c:pt>
                <c:pt idx="6">
                  <c:v>10</c:v>
                </c:pt>
                <c:pt idx="7">
                  <c:v>20</c:v>
                </c:pt>
                <c:pt idx="8">
                  <c:v>440</c:v>
                </c:pt>
                <c:pt idx="9">
                  <c:v>3279</c:v>
                </c:pt>
                <c:pt idx="10">
                  <c:v>37</c:v>
                </c:pt>
                <c:pt idx="11">
                  <c:v>38</c:v>
                </c:pt>
                <c:pt idx="12">
                  <c:v>0</c:v>
                </c:pt>
                <c:pt idx="13">
                  <c:v>119</c:v>
                </c:pt>
                <c:pt idx="14">
                  <c:v>249</c:v>
                </c:pt>
                <c:pt idx="15">
                  <c:v>23</c:v>
                </c:pt>
                <c:pt idx="16">
                  <c:v>1787</c:v>
                </c:pt>
                <c:pt idx="17">
                  <c:v>0</c:v>
                </c:pt>
                <c:pt idx="18">
                  <c:v>808</c:v>
                </c:pt>
                <c:pt idx="19">
                  <c:v>6555</c:v>
                </c:pt>
                <c:pt idx="20">
                  <c:v>2135</c:v>
                </c:pt>
                <c:pt idx="21">
                  <c:v>16</c:v>
                </c:pt>
                <c:pt idx="22">
                  <c:v>270</c:v>
                </c:pt>
                <c:pt idx="23">
                  <c:v>245</c:v>
                </c:pt>
                <c:pt idx="24">
                  <c:v>815</c:v>
                </c:pt>
                <c:pt idx="25">
                  <c:v>319</c:v>
                </c:pt>
                <c:pt idx="26">
                  <c:v>1276</c:v>
                </c:pt>
                <c:pt idx="27">
                  <c:v>1273</c:v>
                </c:pt>
                <c:pt idx="28">
                  <c:v>44040</c:v>
                </c:pt>
                <c:pt idx="29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39-4A34-95BB-52A35EF6DBD8}"/>
            </c:ext>
          </c:extLst>
        </c:ser>
        <c:ser>
          <c:idx val="2"/>
          <c:order val="2"/>
          <c:tx>
            <c:strRef>
              <c:f>'ANNEX III'!$E$3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III'!$E$4:$E$33</c:f>
              <c:numCache>
                <c:formatCode>0</c:formatCode>
                <c:ptCount val="30"/>
                <c:pt idx="0">
                  <c:v>73</c:v>
                </c:pt>
                <c:pt idx="1">
                  <c:v>230</c:v>
                </c:pt>
                <c:pt idx="2">
                  <c:v>32</c:v>
                </c:pt>
                <c:pt idx="3">
                  <c:v>0</c:v>
                </c:pt>
                <c:pt idx="4">
                  <c:v>1415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19</c:v>
                </c:pt>
                <c:pt idx="9">
                  <c:v>87</c:v>
                </c:pt>
                <c:pt idx="10">
                  <c:v>146</c:v>
                </c:pt>
                <c:pt idx="11">
                  <c:v>2</c:v>
                </c:pt>
                <c:pt idx="12">
                  <c:v>0</c:v>
                </c:pt>
                <c:pt idx="13">
                  <c:v>7</c:v>
                </c:pt>
                <c:pt idx="14">
                  <c:v>100</c:v>
                </c:pt>
                <c:pt idx="15">
                  <c:v>0</c:v>
                </c:pt>
                <c:pt idx="16">
                  <c:v>213</c:v>
                </c:pt>
                <c:pt idx="17">
                  <c:v>0</c:v>
                </c:pt>
                <c:pt idx="18">
                  <c:v>212</c:v>
                </c:pt>
                <c:pt idx="19">
                  <c:v>319</c:v>
                </c:pt>
                <c:pt idx="20">
                  <c:v>1774</c:v>
                </c:pt>
                <c:pt idx="21">
                  <c:v>0</c:v>
                </c:pt>
                <c:pt idx="22">
                  <c:v>205</c:v>
                </c:pt>
                <c:pt idx="23">
                  <c:v>48</c:v>
                </c:pt>
                <c:pt idx="24">
                  <c:v>1906</c:v>
                </c:pt>
                <c:pt idx="25">
                  <c:v>122</c:v>
                </c:pt>
                <c:pt idx="26">
                  <c:v>177</c:v>
                </c:pt>
                <c:pt idx="27">
                  <c:v>54</c:v>
                </c:pt>
                <c:pt idx="28">
                  <c:v>7142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39-4A34-95BB-52A35EF6D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0454272"/>
        <c:axId val="110455808"/>
      </c:barChart>
      <c:catAx>
        <c:axId val="11045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455808"/>
        <c:crosses val="autoZero"/>
        <c:auto val="1"/>
        <c:lblAlgn val="ctr"/>
        <c:lblOffset val="100"/>
        <c:noMultiLvlLbl val="0"/>
      </c:catAx>
      <c:valAx>
        <c:axId val="11045580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045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III'!$G$3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III'!$G$4:$G$33</c:f>
              <c:numCache>
                <c:formatCode>0</c:formatCode>
                <c:ptCount val="30"/>
                <c:pt idx="0">
                  <c:v>3547</c:v>
                </c:pt>
                <c:pt idx="1">
                  <c:v>2142</c:v>
                </c:pt>
                <c:pt idx="2">
                  <c:v>1118</c:v>
                </c:pt>
                <c:pt idx="3">
                  <c:v>215</c:v>
                </c:pt>
                <c:pt idx="4">
                  <c:v>21701</c:v>
                </c:pt>
                <c:pt idx="5">
                  <c:v>32</c:v>
                </c:pt>
                <c:pt idx="6">
                  <c:v>144</c:v>
                </c:pt>
                <c:pt idx="7">
                  <c:v>5038</c:v>
                </c:pt>
                <c:pt idx="8">
                  <c:v>5703</c:v>
                </c:pt>
                <c:pt idx="9">
                  <c:v>3739</c:v>
                </c:pt>
                <c:pt idx="10">
                  <c:v>320</c:v>
                </c:pt>
                <c:pt idx="11">
                  <c:v>793</c:v>
                </c:pt>
                <c:pt idx="12">
                  <c:v>38</c:v>
                </c:pt>
                <c:pt idx="13">
                  <c:v>130</c:v>
                </c:pt>
                <c:pt idx="14">
                  <c:v>265</c:v>
                </c:pt>
                <c:pt idx="15">
                  <c:v>58</c:v>
                </c:pt>
                <c:pt idx="16">
                  <c:v>5468</c:v>
                </c:pt>
                <c:pt idx="17">
                  <c:v>75</c:v>
                </c:pt>
                <c:pt idx="18">
                  <c:v>2018</c:v>
                </c:pt>
                <c:pt idx="19">
                  <c:v>5420</c:v>
                </c:pt>
                <c:pt idx="20">
                  <c:v>11931</c:v>
                </c:pt>
                <c:pt idx="21">
                  <c:v>480</c:v>
                </c:pt>
                <c:pt idx="22">
                  <c:v>3757</c:v>
                </c:pt>
                <c:pt idx="23">
                  <c:v>351</c:v>
                </c:pt>
                <c:pt idx="24">
                  <c:v>1202</c:v>
                </c:pt>
                <c:pt idx="25">
                  <c:v>1594</c:v>
                </c:pt>
                <c:pt idx="26">
                  <c:v>3332</c:v>
                </c:pt>
                <c:pt idx="27">
                  <c:v>2032</c:v>
                </c:pt>
                <c:pt idx="28">
                  <c:v>82643</c:v>
                </c:pt>
                <c:pt idx="29">
                  <c:v>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C-4529-953C-5AE92201B448}"/>
            </c:ext>
          </c:extLst>
        </c:ser>
        <c:ser>
          <c:idx val="1"/>
          <c:order val="1"/>
          <c:tx>
            <c:strRef>
              <c:f>'ANNEX III'!$H$3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III'!$H$4:$H$33</c:f>
              <c:numCache>
                <c:formatCode>0</c:formatCode>
                <c:ptCount val="30"/>
                <c:pt idx="0">
                  <c:v>2827</c:v>
                </c:pt>
                <c:pt idx="1">
                  <c:v>199</c:v>
                </c:pt>
                <c:pt idx="2">
                  <c:v>572</c:v>
                </c:pt>
                <c:pt idx="3">
                  <c:v>51</c:v>
                </c:pt>
                <c:pt idx="4">
                  <c:v>18306</c:v>
                </c:pt>
                <c:pt idx="5">
                  <c:v>5</c:v>
                </c:pt>
                <c:pt idx="6">
                  <c:v>4</c:v>
                </c:pt>
                <c:pt idx="7">
                  <c:v>670</c:v>
                </c:pt>
                <c:pt idx="8">
                  <c:v>313</c:v>
                </c:pt>
                <c:pt idx="9">
                  <c:v>3336</c:v>
                </c:pt>
                <c:pt idx="10">
                  <c:v>47</c:v>
                </c:pt>
                <c:pt idx="11">
                  <c:v>58</c:v>
                </c:pt>
                <c:pt idx="12">
                  <c:v>0</c:v>
                </c:pt>
                <c:pt idx="13">
                  <c:v>127</c:v>
                </c:pt>
                <c:pt idx="14">
                  <c:v>210</c:v>
                </c:pt>
                <c:pt idx="15">
                  <c:v>93</c:v>
                </c:pt>
                <c:pt idx="16">
                  <c:v>1946</c:v>
                </c:pt>
                <c:pt idx="17">
                  <c:v>0</c:v>
                </c:pt>
                <c:pt idx="18">
                  <c:v>1117</c:v>
                </c:pt>
                <c:pt idx="19">
                  <c:v>6255</c:v>
                </c:pt>
                <c:pt idx="20">
                  <c:v>2234</c:v>
                </c:pt>
                <c:pt idx="21">
                  <c:v>19</c:v>
                </c:pt>
                <c:pt idx="22">
                  <c:v>154</c:v>
                </c:pt>
                <c:pt idx="23">
                  <c:v>324</c:v>
                </c:pt>
                <c:pt idx="24">
                  <c:v>710</c:v>
                </c:pt>
                <c:pt idx="25">
                  <c:v>317</c:v>
                </c:pt>
                <c:pt idx="26">
                  <c:v>1443</c:v>
                </c:pt>
                <c:pt idx="27">
                  <c:v>1295</c:v>
                </c:pt>
                <c:pt idx="28">
                  <c:v>42632</c:v>
                </c:pt>
                <c:pt idx="29">
                  <c:v>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2C-4529-953C-5AE92201B448}"/>
            </c:ext>
          </c:extLst>
        </c:ser>
        <c:ser>
          <c:idx val="2"/>
          <c:order val="2"/>
          <c:tx>
            <c:strRef>
              <c:f>'ANNEX III'!$I$3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III'!$I$4:$I$33</c:f>
              <c:numCache>
                <c:formatCode>0</c:formatCode>
                <c:ptCount val="30"/>
                <c:pt idx="0">
                  <c:v>857</c:v>
                </c:pt>
                <c:pt idx="1">
                  <c:v>103</c:v>
                </c:pt>
                <c:pt idx="2">
                  <c:v>46</c:v>
                </c:pt>
                <c:pt idx="3">
                  <c:v>0</c:v>
                </c:pt>
                <c:pt idx="4">
                  <c:v>1283</c:v>
                </c:pt>
                <c:pt idx="5">
                  <c:v>2</c:v>
                </c:pt>
                <c:pt idx="6">
                  <c:v>0</c:v>
                </c:pt>
                <c:pt idx="7">
                  <c:v>582</c:v>
                </c:pt>
                <c:pt idx="8">
                  <c:v>9</c:v>
                </c:pt>
                <c:pt idx="9">
                  <c:v>86</c:v>
                </c:pt>
                <c:pt idx="10">
                  <c:v>86</c:v>
                </c:pt>
                <c:pt idx="11">
                  <c:v>0</c:v>
                </c:pt>
                <c:pt idx="12">
                  <c:v>0</c:v>
                </c:pt>
                <c:pt idx="13">
                  <c:v>10</c:v>
                </c:pt>
                <c:pt idx="14">
                  <c:v>138</c:v>
                </c:pt>
                <c:pt idx="15">
                  <c:v>5</c:v>
                </c:pt>
                <c:pt idx="16">
                  <c:v>260</c:v>
                </c:pt>
                <c:pt idx="17">
                  <c:v>0</c:v>
                </c:pt>
                <c:pt idx="18">
                  <c:v>187</c:v>
                </c:pt>
                <c:pt idx="19">
                  <c:v>276</c:v>
                </c:pt>
                <c:pt idx="20">
                  <c:v>1882</c:v>
                </c:pt>
                <c:pt idx="21">
                  <c:v>0</c:v>
                </c:pt>
                <c:pt idx="22">
                  <c:v>226</c:v>
                </c:pt>
                <c:pt idx="23">
                  <c:v>178</c:v>
                </c:pt>
                <c:pt idx="24">
                  <c:v>1426</c:v>
                </c:pt>
                <c:pt idx="25">
                  <c:v>219</c:v>
                </c:pt>
                <c:pt idx="26">
                  <c:v>174</c:v>
                </c:pt>
                <c:pt idx="27">
                  <c:v>50</c:v>
                </c:pt>
                <c:pt idx="28">
                  <c:v>8085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2C-4529-953C-5AE92201B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399872"/>
        <c:axId val="112401408"/>
      </c:barChart>
      <c:catAx>
        <c:axId val="11239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401408"/>
        <c:crosses val="autoZero"/>
        <c:auto val="1"/>
        <c:lblAlgn val="ctr"/>
        <c:lblOffset val="100"/>
        <c:noMultiLvlLbl val="0"/>
      </c:catAx>
      <c:valAx>
        <c:axId val="11240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9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III'!$K$3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III'!$K$4:$K$33</c:f>
              <c:numCache>
                <c:formatCode>0</c:formatCode>
                <c:ptCount val="30"/>
                <c:pt idx="0">
                  <c:v>914</c:v>
                </c:pt>
                <c:pt idx="1">
                  <c:v>1844</c:v>
                </c:pt>
                <c:pt idx="2">
                  <c:v>980</c:v>
                </c:pt>
                <c:pt idx="3">
                  <c:v>248</c:v>
                </c:pt>
                <c:pt idx="4">
                  <c:v>20619</c:v>
                </c:pt>
                <c:pt idx="5">
                  <c:v>127</c:v>
                </c:pt>
                <c:pt idx="6">
                  <c:v>246</c:v>
                </c:pt>
                <c:pt idx="7">
                  <c:v>18656</c:v>
                </c:pt>
                <c:pt idx="8">
                  <c:v>7331</c:v>
                </c:pt>
                <c:pt idx="9">
                  <c:v>4156</c:v>
                </c:pt>
                <c:pt idx="10">
                  <c:v>196</c:v>
                </c:pt>
                <c:pt idx="11">
                  <c:v>790</c:v>
                </c:pt>
                <c:pt idx="12">
                  <c:v>32</c:v>
                </c:pt>
                <c:pt idx="13">
                  <c:v>147</c:v>
                </c:pt>
                <c:pt idx="14">
                  <c:v>302</c:v>
                </c:pt>
                <c:pt idx="15">
                  <c:v>71</c:v>
                </c:pt>
                <c:pt idx="16">
                  <c:v>5351</c:v>
                </c:pt>
                <c:pt idx="17">
                  <c:v>74</c:v>
                </c:pt>
                <c:pt idx="18">
                  <c:v>1356</c:v>
                </c:pt>
                <c:pt idx="19">
                  <c:v>4656</c:v>
                </c:pt>
                <c:pt idx="20">
                  <c:v>11893</c:v>
                </c:pt>
                <c:pt idx="21">
                  <c:v>640</c:v>
                </c:pt>
                <c:pt idx="22">
                  <c:v>4585</c:v>
                </c:pt>
                <c:pt idx="23">
                  <c:v>529</c:v>
                </c:pt>
                <c:pt idx="24">
                  <c:v>1471</c:v>
                </c:pt>
                <c:pt idx="25">
                  <c:v>1479</c:v>
                </c:pt>
                <c:pt idx="26">
                  <c:v>3653</c:v>
                </c:pt>
                <c:pt idx="27">
                  <c:v>1423</c:v>
                </c:pt>
                <c:pt idx="28">
                  <c:v>93769</c:v>
                </c:pt>
                <c:pt idx="29">
                  <c:v>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A1-4CBD-B46E-5522FF4632F6}"/>
            </c:ext>
          </c:extLst>
        </c:ser>
        <c:ser>
          <c:idx val="1"/>
          <c:order val="1"/>
          <c:tx>
            <c:strRef>
              <c:f>'ANNEX III'!$L$3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III'!$L$4:$L$33</c:f>
              <c:numCache>
                <c:formatCode>0</c:formatCode>
                <c:ptCount val="30"/>
                <c:pt idx="0">
                  <c:v>696</c:v>
                </c:pt>
                <c:pt idx="1">
                  <c:v>165</c:v>
                </c:pt>
                <c:pt idx="2">
                  <c:v>509</c:v>
                </c:pt>
                <c:pt idx="3">
                  <c:v>45</c:v>
                </c:pt>
                <c:pt idx="4">
                  <c:v>18914</c:v>
                </c:pt>
                <c:pt idx="5">
                  <c:v>20</c:v>
                </c:pt>
                <c:pt idx="6">
                  <c:v>9</c:v>
                </c:pt>
                <c:pt idx="7">
                  <c:v>1506</c:v>
                </c:pt>
                <c:pt idx="8">
                  <c:v>562</c:v>
                </c:pt>
                <c:pt idx="9">
                  <c:v>3201</c:v>
                </c:pt>
                <c:pt idx="10">
                  <c:v>34</c:v>
                </c:pt>
                <c:pt idx="11">
                  <c:v>54</c:v>
                </c:pt>
                <c:pt idx="12">
                  <c:v>0</c:v>
                </c:pt>
                <c:pt idx="13">
                  <c:v>132</c:v>
                </c:pt>
                <c:pt idx="14">
                  <c:v>208</c:v>
                </c:pt>
                <c:pt idx="15">
                  <c:v>104</c:v>
                </c:pt>
                <c:pt idx="16">
                  <c:v>1839</c:v>
                </c:pt>
                <c:pt idx="17">
                  <c:v>0</c:v>
                </c:pt>
                <c:pt idx="18">
                  <c:v>730</c:v>
                </c:pt>
                <c:pt idx="19">
                  <c:v>6137</c:v>
                </c:pt>
                <c:pt idx="20">
                  <c:v>2242</c:v>
                </c:pt>
                <c:pt idx="21">
                  <c:v>21</c:v>
                </c:pt>
                <c:pt idx="22">
                  <c:v>198</c:v>
                </c:pt>
                <c:pt idx="23">
                  <c:v>492</c:v>
                </c:pt>
                <c:pt idx="24">
                  <c:v>793</c:v>
                </c:pt>
                <c:pt idx="25">
                  <c:v>370</c:v>
                </c:pt>
                <c:pt idx="26">
                  <c:v>2060</c:v>
                </c:pt>
                <c:pt idx="27">
                  <c:v>1420</c:v>
                </c:pt>
                <c:pt idx="28">
                  <c:v>42461</c:v>
                </c:pt>
                <c:pt idx="29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A1-4CBD-B46E-5522FF4632F6}"/>
            </c:ext>
          </c:extLst>
        </c:ser>
        <c:ser>
          <c:idx val="2"/>
          <c:order val="2"/>
          <c:tx>
            <c:strRef>
              <c:f>'ANNEX III'!$M$3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III'!$M$4:$M$33</c:f>
              <c:numCache>
                <c:formatCode>0</c:formatCode>
                <c:ptCount val="30"/>
                <c:pt idx="0">
                  <c:v>13</c:v>
                </c:pt>
                <c:pt idx="1">
                  <c:v>99</c:v>
                </c:pt>
                <c:pt idx="2">
                  <c:v>35</c:v>
                </c:pt>
                <c:pt idx="3">
                  <c:v>1</c:v>
                </c:pt>
                <c:pt idx="4">
                  <c:v>1423</c:v>
                </c:pt>
                <c:pt idx="5">
                  <c:v>2</c:v>
                </c:pt>
                <c:pt idx="6">
                  <c:v>0</c:v>
                </c:pt>
                <c:pt idx="7">
                  <c:v>708</c:v>
                </c:pt>
                <c:pt idx="8">
                  <c:v>24</c:v>
                </c:pt>
                <c:pt idx="9">
                  <c:v>93</c:v>
                </c:pt>
                <c:pt idx="10">
                  <c:v>122</c:v>
                </c:pt>
                <c:pt idx="11">
                  <c:v>6</c:v>
                </c:pt>
                <c:pt idx="12">
                  <c:v>0</c:v>
                </c:pt>
                <c:pt idx="13">
                  <c:v>41</c:v>
                </c:pt>
                <c:pt idx="14">
                  <c:v>73</c:v>
                </c:pt>
                <c:pt idx="15">
                  <c:v>6</c:v>
                </c:pt>
                <c:pt idx="16">
                  <c:v>419</c:v>
                </c:pt>
                <c:pt idx="17">
                  <c:v>0</c:v>
                </c:pt>
                <c:pt idx="18">
                  <c:v>228</c:v>
                </c:pt>
                <c:pt idx="19">
                  <c:v>272</c:v>
                </c:pt>
                <c:pt idx="20">
                  <c:v>2101</c:v>
                </c:pt>
                <c:pt idx="21">
                  <c:v>0</c:v>
                </c:pt>
                <c:pt idx="22">
                  <c:v>276</c:v>
                </c:pt>
                <c:pt idx="23">
                  <c:v>261</c:v>
                </c:pt>
                <c:pt idx="24">
                  <c:v>1254</c:v>
                </c:pt>
                <c:pt idx="25">
                  <c:v>151</c:v>
                </c:pt>
                <c:pt idx="26">
                  <c:v>190</c:v>
                </c:pt>
                <c:pt idx="27">
                  <c:v>28</c:v>
                </c:pt>
                <c:pt idx="28">
                  <c:v>7826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A1-4CBD-B46E-5522FF463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2420352"/>
        <c:axId val="112421888"/>
      </c:barChart>
      <c:catAx>
        <c:axId val="11242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421888"/>
        <c:crosses val="autoZero"/>
        <c:auto val="1"/>
        <c:lblAlgn val="ctr"/>
        <c:lblOffset val="100"/>
        <c:noMultiLvlLbl val="0"/>
      </c:catAx>
      <c:valAx>
        <c:axId val="112421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420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14031888168001E-2"/>
          <c:y val="0.21592082616179001"/>
          <c:w val="0.93346240123285107"/>
          <c:h val="0.58443831569246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VI'!$D$3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'ANNEX VI'!$A$4:$A$33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VI'!$D$4:$D$33</c:f>
              <c:numCache>
                <c:formatCode>0.00%</c:formatCode>
                <c:ptCount val="30"/>
                <c:pt idx="0">
                  <c:v>0.13526071244192051</c:v>
                </c:pt>
                <c:pt idx="1">
                  <c:v>0.25806451612903225</c:v>
                </c:pt>
                <c:pt idx="2">
                  <c:v>8.7866108786610872E-2</c:v>
                </c:pt>
                <c:pt idx="3">
                  <c:v>0</c:v>
                </c:pt>
                <c:pt idx="4">
                  <c:v>0.42641644967226361</c:v>
                </c:pt>
                <c:pt idx="5">
                  <c:v>0</c:v>
                </c:pt>
                <c:pt idx="6">
                  <c:v>0.10256410256410256</c:v>
                </c:pt>
                <c:pt idx="7">
                  <c:v>0.10256410256410256</c:v>
                </c:pt>
                <c:pt idx="8">
                  <c:v>0</c:v>
                </c:pt>
                <c:pt idx="9">
                  <c:v>0.26526315789473687</c:v>
                </c:pt>
                <c:pt idx="10">
                  <c:v>0.10638297872340426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0.27058823529411763</c:v>
                </c:pt>
                <c:pt idx="15">
                  <c:v>0.2807017543859649</c:v>
                </c:pt>
                <c:pt idx="16">
                  <c:v>0.14717741935483872</c:v>
                </c:pt>
                <c:pt idx="17">
                  <c:v>0.1</c:v>
                </c:pt>
                <c:pt idx="18">
                  <c:v>0.68518518518518523</c:v>
                </c:pt>
                <c:pt idx="19">
                  <c:v>0.22150931866788878</c:v>
                </c:pt>
                <c:pt idx="20">
                  <c:v>2.0149253731343283E-2</c:v>
                </c:pt>
                <c:pt idx="21">
                  <c:v>0</c:v>
                </c:pt>
                <c:pt idx="22">
                  <c:v>0.29710144927536231</c:v>
                </c:pt>
                <c:pt idx="23">
                  <c:v>0.38709677419354838</c:v>
                </c:pt>
                <c:pt idx="24">
                  <c:v>1.2048192771084338E-2</c:v>
                </c:pt>
                <c:pt idx="25">
                  <c:v>4.0816326530612242E-2</c:v>
                </c:pt>
                <c:pt idx="26">
                  <c:v>0.3210431654676259</c:v>
                </c:pt>
                <c:pt idx="27">
                  <c:v>0.24368378158109211</c:v>
                </c:pt>
                <c:pt idx="28">
                  <c:v>0.27467843536645165</c:v>
                </c:pt>
                <c:pt idx="29">
                  <c:v>0.69711538461538458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B2-4FC2-B7F4-4160282D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2755072"/>
        <c:axId val="112756608"/>
      </c:barChart>
      <c:catAx>
        <c:axId val="11275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756608"/>
        <c:crosses val="autoZero"/>
        <c:auto val="1"/>
        <c:lblAlgn val="ctr"/>
        <c:lblOffset val="100"/>
        <c:noMultiLvlLbl val="0"/>
      </c:catAx>
      <c:valAx>
        <c:axId val="112756608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75507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'ANNEX VIII'!$G$3</c:f>
              <c:strCache>
                <c:ptCount val="1"/>
                <c:pt idx="0">
                  <c:v>Caution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VIII'!$G$40:$G$69</c:f>
              <c:numCache>
                <c:formatCode>0%</c:formatCode>
                <c:ptCount val="30"/>
                <c:pt idx="0">
                  <c:v>0.1088011088011088</c:v>
                </c:pt>
                <c:pt idx="1">
                  <c:v>0</c:v>
                </c:pt>
                <c:pt idx="2">
                  <c:v>0</c:v>
                </c:pt>
                <c:pt idx="3">
                  <c:v>0.33944954128440369</c:v>
                </c:pt>
                <c:pt idx="4">
                  <c:v>8.9460119370591423E-2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8.4745762711864403E-2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8.6206896551724144E-2</c:v>
                </c:pt>
                <c:pt idx="16">
                  <c:v>0</c:v>
                </c:pt>
                <c:pt idx="17">
                  <c:v>0.359375</c:v>
                </c:pt>
                <c:pt idx="18">
                  <c:v>0.7415730337078652</c:v>
                </c:pt>
                <c:pt idx="19">
                  <c:v>0.2578653337253749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0.57611940298507458</c:v>
                </c:pt>
                <c:pt idx="26">
                  <c:v>0</c:v>
                </c:pt>
                <c:pt idx="27">
                  <c:v>0.5158924205378973</c:v>
                </c:pt>
                <c:pt idx="28">
                  <c:v>0.14647970382989878</c:v>
                </c:pt>
                <c:pt idx="29">
                  <c:v>0.23896103896103896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B-41EA-926D-BA2520263771}"/>
            </c:ext>
          </c:extLst>
        </c:ser>
        <c:ser>
          <c:idx val="1"/>
          <c:order val="1"/>
          <c:tx>
            <c:strRef>
              <c:f>'ANNEX VIII'!$H$3</c:f>
              <c:strCache>
                <c:ptCount val="1"/>
                <c:pt idx="0">
                  <c:v>Fine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VIII'!$H$40:$H$69</c:f>
              <c:numCache>
                <c:formatCode>0%</c:formatCode>
                <c:ptCount val="30"/>
                <c:pt idx="0">
                  <c:v>0.89119889119889117</c:v>
                </c:pt>
                <c:pt idx="1">
                  <c:v>1</c:v>
                </c:pt>
                <c:pt idx="2">
                  <c:v>0.54811715481171552</c:v>
                </c:pt>
                <c:pt idx="3">
                  <c:v>0.66055045871559637</c:v>
                </c:pt>
                <c:pt idx="4">
                  <c:v>0.79612045577862178</c:v>
                </c:pt>
                <c:pt idx="5">
                  <c:v>0.9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0.74576271186440679</c:v>
                </c:pt>
                <c:pt idx="11">
                  <c:v>0.90909090909090906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0.89655172413793105</c:v>
                </c:pt>
                <c:pt idx="16">
                  <c:v>1</c:v>
                </c:pt>
                <c:pt idx="17">
                  <c:v>0.15625</c:v>
                </c:pt>
                <c:pt idx="18">
                  <c:v>0.25842696629213485</c:v>
                </c:pt>
                <c:pt idx="19">
                  <c:v>0.7044986768597471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0.8928571428571429</c:v>
                </c:pt>
                <c:pt idx="25">
                  <c:v>0.40597014925373132</c:v>
                </c:pt>
                <c:pt idx="26">
                  <c:v>0.61600719424460426</c:v>
                </c:pt>
                <c:pt idx="27">
                  <c:v>0</c:v>
                </c:pt>
                <c:pt idx="28">
                  <c:v>0.74242374602758576</c:v>
                </c:pt>
                <c:pt idx="29">
                  <c:v>0.23636363636363636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B-41EA-926D-BA2520263771}"/>
            </c:ext>
          </c:extLst>
        </c:ser>
        <c:ser>
          <c:idx val="2"/>
          <c:order val="2"/>
          <c:tx>
            <c:strRef>
              <c:f>'ANNEX VIII'!$I$3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VIII'!$I$40:$I$69</c:f>
              <c:numCache>
                <c:formatCode>0%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0.45188284518828453</c:v>
                </c:pt>
                <c:pt idx="3">
                  <c:v>0</c:v>
                </c:pt>
                <c:pt idx="4">
                  <c:v>0.11441942485078677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0.16949152542372881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1.7241379310344827E-2</c:v>
                </c:pt>
                <c:pt idx="16">
                  <c:v>0</c:v>
                </c:pt>
                <c:pt idx="17">
                  <c:v>0.484375</c:v>
                </c:pt>
                <c:pt idx="18">
                  <c:v>0</c:v>
                </c:pt>
                <c:pt idx="19">
                  <c:v>3.7635989414877974E-2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0.10714285714285714</c:v>
                </c:pt>
                <c:pt idx="25">
                  <c:v>1.7910447761194031E-2</c:v>
                </c:pt>
                <c:pt idx="26">
                  <c:v>0.38399280575539568</c:v>
                </c:pt>
                <c:pt idx="27">
                  <c:v>0.4841075794621027</c:v>
                </c:pt>
                <c:pt idx="28">
                  <c:v>0.11109655014251547</c:v>
                </c:pt>
                <c:pt idx="29">
                  <c:v>0.52467532467532463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B-41EA-926D-BA2520263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563712"/>
        <c:axId val="112565248"/>
      </c:barChart>
      <c:catAx>
        <c:axId val="11256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565248"/>
        <c:crosses val="autoZero"/>
        <c:auto val="1"/>
        <c:lblAlgn val="ctr"/>
        <c:lblOffset val="100"/>
        <c:noMultiLvlLbl val="0"/>
      </c:catAx>
      <c:valAx>
        <c:axId val="11256524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56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89814-064C-46B5-86B2-3BA6A911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2048</Words>
  <Characters>6844</Characters>
  <Application>Microsoft Office Word</Application>
  <DocSecurity>0</DocSecurity>
  <Lines>1368</Lines>
  <Paragraphs>1111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STANCIU Monica (MOVE)</dc:creator>
  <cp:lastModifiedBy>WES PDFC Administrator</cp:lastModifiedBy>
  <cp:revision>11</cp:revision>
  <cp:lastPrinted>2019-11-06T08:42:00Z</cp:lastPrinted>
  <dcterms:created xsi:type="dcterms:W3CDTF">2020-01-28T16:46:00Z</dcterms:created>
  <dcterms:modified xsi:type="dcterms:W3CDTF">2020-02-19T09:21:00Z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st annex">
    <vt:lpwstr>1</vt:lpwstr>
  </property>
  <property fmtid="{D5CDD505-2E9C-101B-9397-08002B2CF9AE}" pid="3" name="Last annex">
    <vt:lpwstr>9</vt:lpwstr>
  </property>
  <property fmtid="{D5CDD505-2E9C-101B-9397-08002B2CF9AE}" pid="4" name="Part">
    <vt:lpwstr>&lt;UNUSED&gt;</vt:lpwstr>
  </property>
  <property fmtid="{D5CDD505-2E9C-101B-9397-08002B2CF9AE}" pid="5" name="Total parts">
    <vt:lpwstr>&lt;UNUSED&gt;</vt:lpwstr>
  </property>
  <property fmtid="{D5CDD505-2E9C-101B-9397-08002B2CF9AE}" pid="6" name="DocStatus">
    <vt:lpwstr>Green</vt:lpwstr>
  </property>
  <property fmtid="{D5CDD505-2E9C-101B-9397-08002B2CF9AE}" pid="7" name="Level of sensitivity">
    <vt:lpwstr>Standard treatment</vt:lpwstr>
  </property>
  <property fmtid="{D5CDD505-2E9C-101B-9397-08002B2CF9AE}" pid="8" name="Last edited using">
    <vt:lpwstr>LW 7.0, Build 20190717</vt:lpwstr>
  </property>
  <property fmtid="{D5CDD505-2E9C-101B-9397-08002B2CF9AE}" pid="9" name="Unique annex">
    <vt:lpwstr>0</vt:lpwstr>
  </property>
  <property fmtid="{D5CDD505-2E9C-101B-9397-08002B2CF9AE}" pid="10" name="CPTemplateID">
    <vt:lpwstr>CP-039</vt:lpwstr>
  </property>
</Properties>
</file>