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harts/colors1.xml" ContentType="application/vnd.ms-office.chartcolorstyle+xml"/>
  <Override PartName="/word/charts/style1.xml" ContentType="application/vnd.ms-office.chartstyle+xml"/>
  <Override PartName="/word/charts/colors2.xml" ContentType="application/vnd.ms-office.chartcolorstyle+xml"/>
  <Override PartName="/word/charts/style2.xml" ContentType="application/vnd.ms-office.chartstyle+xml"/>
  <Override PartName="/word/charts/colors3.xml" ContentType="application/vnd.ms-office.chartcolorstyle+xml"/>
  <Override PartName="/word/charts/style3.xml" ContentType="application/vnd.ms-office.chartstyle+xml"/>
  <Override PartName="/word/charts/colors4.xml" ContentType="application/vnd.ms-office.chartcolorstyle+xml"/>
  <Override PartName="/word/charts/style4.xml" ContentType="application/vnd.ms-office.chartstyle+xml"/>
  <Override PartName="/word/charts/colors5.xml" ContentType="application/vnd.ms-office.chartcolorstyle+xml"/>
  <Override PartName="/word/charts/style5.xml" ContentType="application/vnd.ms-office.chartstyle+xml"/>
  <Override PartName="/word/charts/colors6.xml" ContentType="application/vnd.ms-office.chartcolorstyle+xml"/>
  <Override PartName="/word/charts/style6.xml" ContentType="application/vnd.ms-office.chartstyle+xml"/>
  <Override PartName="/word/charts/colors7.xml" ContentType="application/vnd.ms-office.chartcolorstyle+xml"/>
  <Override PartName="/word/charts/style7.xml" ContentType="application/vnd.ms-office.chartsty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Pagedecouverture"/>
        <w:rPr>
          <w:noProof/>
        </w:rPr>
      </w:pPr>
      <w:bookmarkStart w:id="0" w:name="LW_BM_COVERPAGE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alt="6AB2E180-ABE3-430B-BB83-D9CBBF726CF9" style="width:450.75pt;height:393pt">
            <v:imagedata r:id="rId9" o:title=""/>
          </v:shape>
        </w:pict>
      </w:r>
    </w:p>
    <w:bookmarkEnd w:id="0"/>
    <w:p>
      <w:pPr>
        <w:rPr>
          <w:noProof/>
        </w:rPr>
        <w:sectPr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7" w:h="16840" w:code="9"/>
          <w:pgMar w:top="1134" w:right="1417" w:bottom="1134" w:left="1417" w:header="709" w:footer="709" w:gutter="0"/>
          <w:pgNumType w:start="1"/>
          <w:cols w:space="720"/>
          <w:docGrid w:linePitch="326"/>
        </w:sectPr>
      </w:pPr>
    </w:p>
    <w:p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</w:pPr>
      <w:bookmarkStart w:id="1" w:name="_GoBack"/>
      <w:bookmarkEnd w:id="1"/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  <w:lastRenderedPageBreak/>
        <w:t>Annex I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  <w:br/>
        <w:t>Evolution of the number of checks, non-conformity and category I infringements</w:t>
      </w:r>
    </w:p>
    <w:p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>Further information on this table is provided in § 7 of the report.</w:t>
      </w:r>
    </w:p>
    <w:tbl>
      <w:tblPr>
        <w:tblW w:w="9007" w:type="dxa"/>
        <w:tblInd w:w="93" w:type="dxa"/>
        <w:tblLook w:val="04A0" w:firstRow="1" w:lastRow="0" w:firstColumn="1" w:lastColumn="0" w:noHBand="0" w:noVBand="1"/>
      </w:tblPr>
      <w:tblGrid>
        <w:gridCol w:w="741"/>
        <w:gridCol w:w="1634"/>
        <w:gridCol w:w="1035"/>
        <w:gridCol w:w="1135"/>
        <w:gridCol w:w="1135"/>
        <w:gridCol w:w="1135"/>
        <w:gridCol w:w="1096"/>
        <w:gridCol w:w="1096"/>
      </w:tblGrid>
      <w:tr>
        <w:trPr>
          <w:trHeight w:val="315"/>
          <w:tblHeader/>
        </w:trPr>
        <w:tc>
          <w:tcPr>
            <w:tcW w:w="237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COUNTRY</w:t>
            </w:r>
          </w:p>
        </w:tc>
        <w:tc>
          <w:tcPr>
            <w:tcW w:w="10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2012</w:t>
            </w:r>
          </w:p>
        </w:tc>
        <w:tc>
          <w:tcPr>
            <w:tcW w:w="1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2013</w:t>
            </w:r>
          </w:p>
        </w:tc>
        <w:tc>
          <w:tcPr>
            <w:tcW w:w="1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2014</w:t>
            </w:r>
          </w:p>
        </w:tc>
        <w:tc>
          <w:tcPr>
            <w:tcW w:w="1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2015</w:t>
            </w:r>
          </w:p>
        </w:tc>
        <w:tc>
          <w:tcPr>
            <w:tcW w:w="10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2016</w:t>
            </w:r>
          </w:p>
        </w:tc>
        <w:tc>
          <w:tcPr>
            <w:tcW w:w="10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2017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BE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No of Checks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4504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4001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4095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4156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7231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1623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% Non-conform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17.94%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19.80%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19.88%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28.90%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26.79%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28.22%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% Risk Cat. 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48.51%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42.93%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42.26%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43.97%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44.03%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20.64%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BG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No of Checks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5424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4237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3212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2772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2444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2108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% Non-conform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0.59%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tabs>
                <w:tab w:val="left" w:pos="43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1.06%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0.72%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2.31%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1.27%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1.90%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% Risk Cat. 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84.38%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31.11%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30.43%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18.75%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25.81%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27.50%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CZ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No of Checks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1932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1743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1640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1913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1736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1524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% Non-conform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11.39%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10.27%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12.62%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7.89%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13.77%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10.37%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% Risk Cat. 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25.00%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21.79%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30.92%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35.33%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39.33%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49.37%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DK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No of Checks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531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323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675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579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266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294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% Non-conform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50.28%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0.31%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34.67%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41.45%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40.98%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48.64%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% Risk Cat. 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35.58%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83.00%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71.79%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71.88%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72.22%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73.50%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DE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No of Checks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55195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55344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49851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45961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41290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40956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% Non-conform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25.52%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24.44%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  <w:t>26.23%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25.13%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26.97%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25.46%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% Risk Cat. 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47.65%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48.65%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50.97%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50.26%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50.80%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48.36%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EE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No of Checks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73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34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39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39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149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% Non-conform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17.81%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42.86%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50.00%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43.59%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25.64%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5.37%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% Risk Cat. 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53.85%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66.67%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76.47%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58.82%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22.58%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62.50%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IE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No of Checks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437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370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296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194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148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255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% Non-conform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21.28%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25.68%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23.31%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21.13%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26.35%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33.73%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% Risk Cat. 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35.48%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23.16%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37.68%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10.42%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10.53%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15.85%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EL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No of Checks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757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596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437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324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6290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20870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% Non-conform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0.53%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0.17%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0.23%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0.31%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0.62%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0.20%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% Risk Cat. 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75.00%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100.00%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100.00%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100.00%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94.87%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66.67%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ES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No of Checks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9480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10382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9635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7644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6025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7917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% Non-conform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67.90%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56.88%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49.77%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51.53%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47.19%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38.88%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% Risk Cat. 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67.07%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58.54%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46.24%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39.27%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35.39%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37.33%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FR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No of Checks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7546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7345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7746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7528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7161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7450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% Non-conform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13.86%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13.41%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13.16%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8.28%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6.63%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7.32%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% Risk Cat. 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28.30%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27.31%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26.50%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26.48%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38.32%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38.17%</w:t>
            </w:r>
          </w:p>
        </w:tc>
      </w:tr>
      <w:tr>
        <w:trPr>
          <w:trHeight w:val="315"/>
        </w:trPr>
        <w:tc>
          <w:tcPr>
            <w:tcW w:w="74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No of Checks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243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394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484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518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453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352</w:t>
            </w:r>
          </w:p>
        </w:tc>
      </w:tr>
      <w:tr>
        <w:trPr>
          <w:trHeight w:val="315"/>
        </w:trPr>
        <w:tc>
          <w:tcPr>
            <w:tcW w:w="74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HR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% Non-conform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22.22%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13.96%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20.87%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18.53%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20.75%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24.15%</w:t>
            </w:r>
          </w:p>
        </w:tc>
      </w:tr>
      <w:tr>
        <w:trPr>
          <w:trHeight w:val="315"/>
        </w:trPr>
        <w:tc>
          <w:tcPr>
            <w:tcW w:w="74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% Risk Cat. 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12.96%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16.36%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16.83%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12.50%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9.57%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15.29%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IT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No of Checks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6235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4789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3120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1215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851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850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% Non-conform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5.21%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4.34%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5.00%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7.41%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0.00%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0.00%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% Risk Cat. 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26.77%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25.96%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29.49%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6.67%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42.11%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36.36%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CY</w:t>
            </w: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No of Checks</w:t>
            </w: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88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42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28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38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32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% Non-conform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2.27%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22.50%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28.57%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0.00%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0.00%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0.00%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% Risk Cat. 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0.00%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5.56%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0.00%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#N/A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#N/A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#N/A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LV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No of Checks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197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182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259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290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267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320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% Non-conform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19.29%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20.88%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10.81%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12.76%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16.10%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15.31%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% Risk Cat. 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60.53%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63.16%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53.57%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54.05%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63.27%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59.18%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LT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No of Checks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531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577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610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575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613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583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% Non-conform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9.60%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13.00%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13.61%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28.35%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13.87%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13.89%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% Risk Cat. 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21.57%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10.67%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26.51%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56.06%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#N/A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#N/A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LU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No of Checks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222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186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98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28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156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181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% Non-conform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52.25%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37.10%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46.94%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17.86%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36.54%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41.99%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% Risk Cat. 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3.45%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2.90%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4.35%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0.00%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3.03%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1.22%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HU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No of Checks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6184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6588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9692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6860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7674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7609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% Non-conform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22.93%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6.27%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3.96%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5.93%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6.46%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7.25%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% Risk Cat. 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4.51%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32.20%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42.45%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27.92%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30.85%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44.75%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MT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No of Checks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77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78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72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73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75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74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% Non-conform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63.64%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51.28%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81.94%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67.12%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66.67%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72.97%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% Risk Cat. 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12.24%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15.00%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38.98%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26.53%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26.00%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9.26%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NL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No of Checks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4023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3451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2956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2751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3322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2314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% Non-conform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30.75%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30.48%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14.14%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18.97%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21.13%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26.58%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% Risk Cat. 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97.49%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132.41%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353.11%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55.57%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66.92%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61.43%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AT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No of Checks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11966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11676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13851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12927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11951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11065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% Non-conform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30.32%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30.44%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27.10%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26.30%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27.39%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29.42%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% Risk Cat. 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19.38%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17.45%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16.49%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14.97%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13.66%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13.03%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PL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No of Checks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19940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23607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22838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20477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16047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16236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% Non-conform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3.08%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3.81%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4.22%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4.87%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8.35%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8.09%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% Risk Cat. 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36.59%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36.89%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35.41%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40.48%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28.88%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20.62%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PT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No of Checks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657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834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633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616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499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661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% Non-conform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29.68%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27.82%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44.39%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50.32%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50.70%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49.92%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% Risk Cat. 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49.74%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61.64%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45.20%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55.48%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58.50%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44.61%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RO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No of Checks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2417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4528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5516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4890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4137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5059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% Non-conform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4.43%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5.96%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4.82%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4.76%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3.34%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2.85%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% Risk Cat. 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16.82%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23.70%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27.44%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23.18%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29.71%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22.45%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SI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No of Checks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1548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1878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1494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774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853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1282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% Non-conform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2.45%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2.29%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3.48%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4.13%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7.27%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10.84%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% Risk Cat. 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57.89%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46.51%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46.15%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25.00%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38.71%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51.80%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SK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No of Checks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217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2302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3531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3290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3338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3518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% Non-conform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1.38%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0.13%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0.08%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0.36%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2.49%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2.10%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% Risk Cat. 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0.00%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0.00%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0.00%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11.11%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7.89%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6.58%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FI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No of Checks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3073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2302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2434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2076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2130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2000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% Non-conform</w:t>
            </w: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27.43%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27.15%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25.43%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26.01%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29.91%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25.00%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% Risk Cat. 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12.22%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17.44%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17.61%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15.92%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17.80%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12.35%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SE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No of Checks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6903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7147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5332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4724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4949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5903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% Non-conform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15.89%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15.49%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21.85%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21.40%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22.47%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27.51%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% Risk Cat. 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19.78%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17.89%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23.78%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22.06%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31.29%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23.90%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UK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No of Checks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2962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3217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2765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3744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3377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2871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% Non-conform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37.31%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25.46%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58.34%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31.12%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36.33%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24.80%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% Risk Cat. 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22.35%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20.51%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11.41%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24.64%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23.88%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14.95%</w:t>
            </w:r>
          </w:p>
        </w:tc>
      </w:tr>
      <w:tr>
        <w:trPr>
          <w:trHeight w:val="315"/>
        </w:trPr>
        <w:tc>
          <w:tcPr>
            <w:tcW w:w="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0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auto" w:fill="auto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auto" w:fill="auto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auto" w:fill="auto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auto" w:fill="auto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0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auto" w:fill="auto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0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auto" w:fill="auto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EU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No of Checks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153362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157455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150348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136966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133360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144056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% Non-conform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22.12%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20.08%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20.80%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19.64%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19.88%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17.07%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% Risk Cat. 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44.15%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45.00%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42.65%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40.24%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39.62%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36.64%</w:t>
            </w:r>
          </w:p>
        </w:tc>
      </w:tr>
      <w:tr>
        <w:trPr>
          <w:trHeight w:val="315"/>
        </w:trPr>
        <w:tc>
          <w:tcPr>
            <w:tcW w:w="741" w:type="dxa"/>
            <w:tcBorders>
              <w:top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auto" w:fill="auto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auto" w:fill="auto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auto" w:fill="auto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auto" w:fill="auto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auto" w:fill="auto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auto" w:fill="auto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NO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No of Checks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563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755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793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862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1081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1018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% Non-conform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25.75%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34.70%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35.31%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31.79%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38.48%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40.86%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  <w:t>% Risk Cat. 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26.90%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25.19%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25.00%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31.71%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26.92%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24.76%</w:t>
            </w:r>
          </w:p>
        </w:tc>
      </w:tr>
    </w:tbl>
    <w:p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  <w:sectPr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7" w:h="16840" w:code="9"/>
          <w:pgMar w:top="1134" w:right="1418" w:bottom="1134" w:left="1418" w:header="720" w:footer="720" w:gutter="0"/>
          <w:pgNumType w:start="1"/>
          <w:cols w:space="720"/>
          <w:docGrid w:linePitch="326"/>
        </w:sectPr>
      </w:pPr>
    </w:p>
    <w:p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</w:pPr>
      <w:bookmarkStart w:id="2" w:name="_Toc366159183"/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  <w:t>Annex II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  <w:br/>
        <w:t>Frequency of checks per million tonne-kilometre</w:t>
      </w:r>
      <w:bookmarkEnd w:id="2"/>
    </w:p>
    <w:p>
      <w:pPr>
        <w:spacing w:before="120" w:after="120" w:line="240" w:lineRule="auto"/>
        <w:rPr>
          <w:noProof/>
          <w:lang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>Further information on these graphs is provided in § 8.1 of the report.</w:t>
      </w:r>
      <w:r>
        <w:rPr>
          <w:noProof/>
          <w:lang w:eastAsia="en-GB"/>
        </w:rPr>
        <w:t xml:space="preserve"> </w:t>
      </w:r>
    </w:p>
    <w:p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8834400" cy="1501200"/>
            <wp:effectExtent l="0" t="0" r="5080" b="381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8834400" cy="1501200"/>
            <wp:effectExtent l="0" t="0" r="5080" b="381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8834400" cy="1501200"/>
            <wp:effectExtent l="0" t="0" r="5080" b="3810"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4400" cy="150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</w:pPr>
      <w:bookmarkStart w:id="3" w:name="_Toc366159184"/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  <w:t>Annex III - Breakdown of checks by place of origin</w:t>
      </w:r>
      <w:bookmarkEnd w:id="3"/>
    </w:p>
    <w:p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>Further information on these graphs is provided in § 8.2 of the report.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767"/>
        <w:gridCol w:w="508"/>
        <w:gridCol w:w="572"/>
        <w:gridCol w:w="421"/>
        <w:gridCol w:w="850"/>
      </w:tblGrid>
      <w:tr>
        <w:trPr>
          <w:trHeight w:val="299"/>
        </w:trPr>
        <w:tc>
          <w:tcPr>
            <w:tcW w:w="534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46990</wp:posOffset>
                      </wp:positionV>
                      <wp:extent cx="160020" cy="121920"/>
                      <wp:effectExtent l="0" t="0" r="11430" b="1143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0D1C5D2C" id="Rectangle 9" o:spid="_x0000_s1026" style="position:absolute;margin-left:-.3pt;margin-top:3.7pt;width:12.6pt;height:9.6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" fillcolor="#4f81bd" strokecolor="#4f81bd" strokeweight="2pt"/>
                  </w:pict>
                </mc:Fallback>
              </mc:AlternateContent>
            </w:r>
          </w:p>
        </w:tc>
        <w:tc>
          <w:tcPr>
            <w:tcW w:w="767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National</w:t>
            </w:r>
          </w:p>
        </w:tc>
        <w:tc>
          <w:tcPr>
            <w:tcW w:w="508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46990</wp:posOffset>
                      </wp:positionV>
                      <wp:extent cx="160020" cy="121920"/>
                      <wp:effectExtent l="0" t="0" r="11430" b="11430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504D"/>
                              </a:solidFill>
                              <a:ln w="25400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3BF12E9E" id="Rectangle 14" o:spid="_x0000_s1026" style="position:absolute;margin-left:-3.7pt;margin-top:3.7pt;width:12.6pt;height:9.6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" fillcolor="#c0504d" strokecolor="#c0504d" strokeweight="2pt"/>
                  </w:pict>
                </mc:Fallback>
              </mc:AlternateContent>
            </w:r>
          </w:p>
        </w:tc>
        <w:tc>
          <w:tcPr>
            <w:tcW w:w="572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EU</w:t>
            </w:r>
          </w:p>
        </w:tc>
        <w:tc>
          <w:tcPr>
            <w:tcW w:w="421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46990</wp:posOffset>
                      </wp:positionV>
                      <wp:extent cx="160020" cy="121920"/>
                      <wp:effectExtent l="0" t="0" r="11430" b="1143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/>
                              </a:solidFill>
                              <a:ln w="25400" cap="flat" cmpd="sng" algn="ctr">
                                <a:solidFill>
                                  <a:srgbClr val="9BBB5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33DF09E2" id="Rectangle 15" o:spid="_x0000_s1026" style="position:absolute;margin-left:-4.8pt;margin-top:3.7pt;width:12.6pt;height:9.6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" fillcolor="#9bbb59" strokecolor="#9bbb59" strokeweight="2pt"/>
                  </w:pict>
                </mc:Fallback>
              </mc:AlternateContent>
            </w:r>
          </w:p>
        </w:tc>
        <w:tc>
          <w:tcPr>
            <w:tcW w:w="850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Non EU</w:t>
            </w:r>
          </w:p>
        </w:tc>
      </w:tr>
    </w:tbl>
    <w:p>
      <w:pPr>
        <w:spacing w:before="120" w:after="120" w:line="240" w:lineRule="auto"/>
        <w:ind w:right="652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>
            <wp:extent cx="8859600" cy="1368000"/>
            <wp:effectExtent l="0" t="0" r="17780" b="3810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>
            <wp:extent cx="8859600" cy="1368000"/>
            <wp:effectExtent l="0" t="0" r="17780" b="3810"/>
            <wp:docPr id="25" name="Chart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bookmarkStart w:id="4" w:name="_Toc366159185"/>
      <w:r>
        <w:rPr>
          <w:noProof/>
          <w:lang w:eastAsia="en-GB"/>
        </w:rPr>
        <w:drawing>
          <wp:inline distT="0" distB="0" distL="0" distR="0">
            <wp:extent cx="8856000" cy="1368000"/>
            <wp:effectExtent l="0" t="0" r="2540" b="3810"/>
            <wp:docPr id="28" name="Chart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>
      <w:pPr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noProof/>
        </w:rPr>
        <w:br w:type="page"/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  <w:t>Annex IV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  <w:br/>
        <w:t xml:space="preserve">Proportion of transport units not conforming to </w:t>
      </w:r>
      <w:bookmarkEnd w:id="4"/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  <w:t>provisions</w:t>
      </w:r>
    </w:p>
    <w:p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>Further information on these graphs is provided in § 8.3 of the report.</w:t>
      </w:r>
    </w:p>
    <w:p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>
      <w:pPr>
        <w:ind w:right="652"/>
        <w:jc w:val="both"/>
        <w:rPr>
          <w:noProof/>
        </w:rPr>
      </w:pPr>
      <w:bookmarkStart w:id="5" w:name="_Toc366159186"/>
      <w:r>
        <w:rPr>
          <w:noProof/>
          <w:lang w:eastAsia="en-GB"/>
        </w:rPr>
        <w:drawing>
          <wp:inline distT="0" distB="0" distL="0" distR="0">
            <wp:extent cx="8866800" cy="1461600"/>
            <wp:effectExtent l="0" t="0" r="0" b="5715"/>
            <wp:docPr id="32" name="Pictur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6800" cy="146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ind w:right="652"/>
        <w:jc w:val="both"/>
        <w:rPr>
          <w:noProof/>
        </w:rPr>
      </w:pPr>
      <w:r>
        <w:rPr>
          <w:noProof/>
          <w:lang w:eastAsia="en-GB"/>
        </w:rPr>
        <w:drawing>
          <wp:inline distT="0" distB="0" distL="0" distR="0">
            <wp:extent cx="8863200" cy="1461600"/>
            <wp:effectExtent l="0" t="0" r="0" b="5715"/>
            <wp:docPr id="33" name="Pictur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200" cy="146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ind w:right="652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>
            <wp:extent cx="8866800" cy="1461600"/>
            <wp:effectExtent l="0" t="0" r="0" b="5715"/>
            <wp:docPr id="34" name="Pictur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6800" cy="146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  <w:t>Annex V - Breakdown of transport units not conforming to the provisions by place of origin</w:t>
      </w:r>
      <w:bookmarkEnd w:id="5"/>
    </w:p>
    <w:p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>Further information on these graphs is provided in § 8.4 of the report.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767"/>
        <w:gridCol w:w="508"/>
        <w:gridCol w:w="572"/>
        <w:gridCol w:w="421"/>
        <w:gridCol w:w="850"/>
      </w:tblGrid>
      <w:tr>
        <w:trPr>
          <w:trHeight w:val="299"/>
        </w:trPr>
        <w:tc>
          <w:tcPr>
            <w:tcW w:w="534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46990</wp:posOffset>
                      </wp:positionV>
                      <wp:extent cx="160020" cy="121920"/>
                      <wp:effectExtent l="0" t="0" r="11430" b="11430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68CFE1DE" id="Rectangle 22" o:spid="_x0000_s1026" style="position:absolute;margin-left:-.3pt;margin-top:3.7pt;width:12.6pt;height:9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" fillcolor="#4f81bd" strokecolor="#4f81bd" strokeweight="2pt"/>
                  </w:pict>
                </mc:Fallback>
              </mc:AlternateContent>
            </w:r>
          </w:p>
        </w:tc>
        <w:tc>
          <w:tcPr>
            <w:tcW w:w="767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National</w:t>
            </w:r>
          </w:p>
        </w:tc>
        <w:tc>
          <w:tcPr>
            <w:tcW w:w="508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46990</wp:posOffset>
                      </wp:positionV>
                      <wp:extent cx="160020" cy="121920"/>
                      <wp:effectExtent l="0" t="0" r="11430" b="11430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504D"/>
                              </a:solidFill>
                              <a:ln w="25400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4CD6EC48" id="Rectangle 23" o:spid="_x0000_s1026" style="position:absolute;margin-left:-3.7pt;margin-top:3.7pt;width:12.6pt;height:9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" fillcolor="#c0504d" strokecolor="#c0504d" strokeweight="2pt"/>
                  </w:pict>
                </mc:Fallback>
              </mc:AlternateContent>
            </w:r>
          </w:p>
        </w:tc>
        <w:tc>
          <w:tcPr>
            <w:tcW w:w="572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EU</w:t>
            </w:r>
          </w:p>
        </w:tc>
        <w:tc>
          <w:tcPr>
            <w:tcW w:w="421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46990</wp:posOffset>
                      </wp:positionV>
                      <wp:extent cx="160020" cy="121920"/>
                      <wp:effectExtent l="0" t="0" r="11430" b="11430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/>
                              </a:solidFill>
                              <a:ln w="25400" cap="flat" cmpd="sng" algn="ctr">
                                <a:solidFill>
                                  <a:srgbClr val="9BBB5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2324B3F1" id="Rectangle 27" o:spid="_x0000_s1026" style="position:absolute;margin-left:-4.8pt;margin-top:3.7pt;width:12.6pt;height:9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" fillcolor="#9bbb59" strokecolor="#9bbb59" strokeweight="2pt"/>
                  </w:pict>
                </mc:Fallback>
              </mc:AlternateContent>
            </w:r>
          </w:p>
        </w:tc>
        <w:tc>
          <w:tcPr>
            <w:tcW w:w="850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Non EU</w:t>
            </w:r>
          </w:p>
        </w:tc>
      </w:tr>
    </w:tbl>
    <w:p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8856000" cy="1476000"/>
            <wp:effectExtent l="0" t="0" r="2540" b="0"/>
            <wp:docPr id="49" name="Pictur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6000" cy="147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8845200" cy="1476000"/>
            <wp:effectExtent l="0" t="0" r="0" b="0"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200" cy="147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8856000" cy="1476000"/>
            <wp:effectExtent l="0" t="0" r="2540" b="0"/>
            <wp:docPr id="52" name="Pictur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6000" cy="147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</w:pPr>
      <w:bookmarkStart w:id="6" w:name="_Toc366159187"/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  <w:t>Annex VI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  <w:br/>
        <w:t xml:space="preserve">Frequency of immobilisation of transport units not conforming to </w:t>
      </w:r>
      <w:bookmarkEnd w:id="6"/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  <w:t>provisions</w:t>
      </w:r>
    </w:p>
    <w:p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>Further information on these graphs is provided in § 8.5 of the report.</w:t>
      </w:r>
      <w:bookmarkStart w:id="7" w:name="_Toc366159188"/>
    </w:p>
    <w:p>
      <w:pPr>
        <w:spacing w:after="0" w:line="240" w:lineRule="auto"/>
        <w:ind w:right="652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8769600" cy="1476000"/>
            <wp:effectExtent l="0" t="0" r="0" b="0"/>
            <wp:docPr id="68" name="Pictur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600" cy="147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ind w:right="652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>
      <w:pPr>
        <w:spacing w:after="0" w:line="240" w:lineRule="auto"/>
        <w:ind w:right="652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>
            <wp:extent cx="8773200" cy="1476000"/>
            <wp:effectExtent l="0" t="0" r="8890" b="10160"/>
            <wp:docPr id="69" name="Chart 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>
      <w:pPr>
        <w:spacing w:after="0" w:line="240" w:lineRule="auto"/>
        <w:ind w:right="652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>
      <w:pPr>
        <w:spacing w:after="0" w:line="240" w:lineRule="auto"/>
        <w:ind w:right="772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8773200" cy="1476000"/>
            <wp:effectExtent l="0" t="0" r="0" b="0"/>
            <wp:docPr id="73" name="Pictur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3200" cy="147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  <w:t>Annex VII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  <w:br/>
        <w:t>Breakdown by risk categories</w:t>
      </w:r>
      <w:bookmarkEnd w:id="7"/>
    </w:p>
    <w:p>
      <w:pPr>
        <w:spacing w:after="12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>Further information on these graphs is provided in § 8.6 of the report.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767"/>
        <w:gridCol w:w="508"/>
        <w:gridCol w:w="585"/>
        <w:gridCol w:w="421"/>
        <w:gridCol w:w="850"/>
      </w:tblGrid>
      <w:tr>
        <w:trPr>
          <w:trHeight w:val="299"/>
        </w:trPr>
        <w:tc>
          <w:tcPr>
            <w:tcW w:w="534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46990</wp:posOffset>
                      </wp:positionV>
                      <wp:extent cx="160020" cy="121920"/>
                      <wp:effectExtent l="0" t="0" r="11430" b="1143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0FF37AB1" id="Rectangle 19" o:spid="_x0000_s1026" style="position:absolute;margin-left:-.3pt;margin-top:3.7pt;width:12.6pt;height:9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" fillcolor="#4f81bd" strokecolor="#4f81bd" strokeweight="2pt"/>
                  </w:pict>
                </mc:Fallback>
              </mc:AlternateContent>
            </w:r>
          </w:p>
        </w:tc>
        <w:tc>
          <w:tcPr>
            <w:tcW w:w="767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Cat.I</w:t>
            </w:r>
          </w:p>
        </w:tc>
        <w:tc>
          <w:tcPr>
            <w:tcW w:w="508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46990</wp:posOffset>
                      </wp:positionV>
                      <wp:extent cx="160020" cy="121920"/>
                      <wp:effectExtent l="0" t="0" r="11430" b="11430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504D"/>
                              </a:solidFill>
                              <a:ln w="25400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2AB8F269" id="Rectangle 20" o:spid="_x0000_s1026" style="position:absolute;margin-left:-3.7pt;margin-top:3.7pt;width:12.6pt;height:9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" fillcolor="#c0504d" strokecolor="#c0504d" strokeweight="2pt"/>
                  </w:pict>
                </mc:Fallback>
              </mc:AlternateContent>
            </w:r>
          </w:p>
        </w:tc>
        <w:tc>
          <w:tcPr>
            <w:tcW w:w="585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Cat.II</w:t>
            </w:r>
          </w:p>
        </w:tc>
        <w:tc>
          <w:tcPr>
            <w:tcW w:w="421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46990</wp:posOffset>
                      </wp:positionV>
                      <wp:extent cx="160020" cy="121920"/>
                      <wp:effectExtent l="0" t="0" r="11430" b="1143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/>
                              </a:solidFill>
                              <a:ln w="25400" cap="flat" cmpd="sng" algn="ctr">
                                <a:solidFill>
                                  <a:srgbClr val="9BBB5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45CDE269" id="Rectangle 21" o:spid="_x0000_s1026" style="position:absolute;margin-left:-4.8pt;margin-top:3.7pt;width:12.6pt;height:9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" fillcolor="#9bbb59" strokecolor="#9bbb59" strokeweight="2pt"/>
                  </w:pict>
                </mc:Fallback>
              </mc:AlternateContent>
            </w:r>
          </w:p>
        </w:tc>
        <w:tc>
          <w:tcPr>
            <w:tcW w:w="850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Cat.III</w:t>
            </w:r>
          </w:p>
        </w:tc>
      </w:tr>
    </w:tbl>
    <w:p>
      <w:pPr>
        <w:spacing w:after="120" w:line="240" w:lineRule="auto"/>
        <w:ind w:right="1372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8730000" cy="1440000"/>
            <wp:effectExtent l="0" t="0" r="0" b="8255"/>
            <wp:docPr id="40" name="Pictur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00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after="120" w:line="240" w:lineRule="auto"/>
        <w:ind w:right="1372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8733600" cy="1440000"/>
            <wp:effectExtent l="0" t="0" r="0" b="8255"/>
            <wp:docPr id="24" name="Pictur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36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after="12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8733600" cy="1440000"/>
            <wp:effectExtent l="0" t="0" r="0" b="8255"/>
            <wp:docPr id="26" name="Pictur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36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after="12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</w:pPr>
      <w:bookmarkStart w:id="8" w:name="_Toc366159189"/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  <w:t xml:space="preserve">Annex VIII – Breakdown per types of penalties </w:t>
      </w:r>
      <w:bookmarkEnd w:id="8"/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>Further information on these graphs is provided in § 8.7 of the report.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767"/>
        <w:gridCol w:w="508"/>
        <w:gridCol w:w="572"/>
        <w:gridCol w:w="421"/>
        <w:gridCol w:w="850"/>
      </w:tblGrid>
      <w:tr>
        <w:trPr>
          <w:trHeight w:val="299"/>
        </w:trPr>
        <w:tc>
          <w:tcPr>
            <w:tcW w:w="534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46990</wp:posOffset>
                      </wp:positionV>
                      <wp:extent cx="160020" cy="121920"/>
                      <wp:effectExtent l="0" t="0" r="11430" b="1143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3C7DE3C2" id="Rectangle 16" o:spid="_x0000_s1026" style="position:absolute;margin-left:-.3pt;margin-top:3.7pt;width:12.6pt;height:9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" fillcolor="#4f81bd" strokecolor="#4f81bd" strokeweight="2pt"/>
                  </w:pict>
                </mc:Fallback>
              </mc:AlternateContent>
            </w:r>
          </w:p>
        </w:tc>
        <w:tc>
          <w:tcPr>
            <w:tcW w:w="767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Caution</w:t>
            </w:r>
          </w:p>
        </w:tc>
        <w:tc>
          <w:tcPr>
            <w:tcW w:w="508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46990</wp:posOffset>
                      </wp:positionV>
                      <wp:extent cx="160020" cy="121920"/>
                      <wp:effectExtent l="0" t="0" r="11430" b="1143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504D"/>
                              </a:solidFill>
                              <a:ln w="25400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273202A6" id="Rectangle 17" o:spid="_x0000_s1026" style="position:absolute;margin-left:-3.7pt;margin-top:3.7pt;width:12.6pt;height:9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" fillcolor="#c0504d" strokecolor="#c0504d" strokeweight="2pt"/>
                  </w:pict>
                </mc:Fallback>
              </mc:AlternateContent>
            </w:r>
          </w:p>
        </w:tc>
        <w:tc>
          <w:tcPr>
            <w:tcW w:w="572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Fine</w:t>
            </w:r>
          </w:p>
        </w:tc>
        <w:tc>
          <w:tcPr>
            <w:tcW w:w="421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46990</wp:posOffset>
                      </wp:positionV>
                      <wp:extent cx="160020" cy="121920"/>
                      <wp:effectExtent l="0" t="0" r="11430" b="1143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/>
                              </a:solidFill>
                              <a:ln w="25400" cap="flat" cmpd="sng" algn="ctr">
                                <a:solidFill>
                                  <a:srgbClr val="9BBB5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0925BBAF" id="Rectangle 18" o:spid="_x0000_s1026" style="position:absolute;margin-left:-4.8pt;margin-top:3.7pt;width:12.6pt;height:9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" fillcolor="#9bbb59" strokecolor="#9bbb59" strokeweight="2pt"/>
                  </w:pict>
                </mc:Fallback>
              </mc:AlternateContent>
            </w:r>
          </w:p>
        </w:tc>
        <w:tc>
          <w:tcPr>
            <w:tcW w:w="850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Other</w:t>
            </w:r>
          </w:p>
        </w:tc>
      </w:tr>
    </w:tbl>
    <w:p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8734425" cy="1242203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5543" cy="1246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>
            <wp:extent cx="8735695" cy="1613140"/>
            <wp:effectExtent l="0" t="0" r="8255" b="6350"/>
            <wp:docPr id="37" name="Chart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  <w:sectPr>
          <w:headerReference w:type="even" r:id="rId42"/>
          <w:headerReference w:type="default" r:id="rId43"/>
          <w:footerReference w:type="even" r:id="rId44"/>
          <w:footerReference w:type="default" r:id="rId45"/>
          <w:headerReference w:type="first" r:id="rId46"/>
          <w:footerReference w:type="first" r:id="rId47"/>
          <w:pgSz w:w="16840" w:h="11907" w:orient="landscape" w:code="9"/>
          <w:pgMar w:top="540" w:right="1134" w:bottom="1078" w:left="1134" w:header="720" w:footer="720" w:gutter="0"/>
          <w:cols w:space="720"/>
          <w:docGrid w:linePitch="326"/>
        </w:sect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8772525" cy="1397000"/>
            <wp:effectExtent l="0" t="0" r="952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5924" cy="14102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</w:pPr>
      <w:bookmarkStart w:id="9" w:name="_Toc366159190"/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  <w:t>Annex IX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  <w:br/>
        <w:t>Annual road freight transport of dangerous goods in million tonne-kilometres</w:t>
      </w:r>
      <w:bookmarkEnd w:id="9"/>
    </w:p>
    <w:tbl>
      <w:tblPr>
        <w:tblW w:w="8973" w:type="dxa"/>
        <w:tblInd w:w="93" w:type="dxa"/>
        <w:tblLook w:val="04A0" w:firstRow="1" w:lastRow="0" w:firstColumn="1" w:lastColumn="0" w:noHBand="0" w:noVBand="1"/>
      </w:tblPr>
      <w:tblGrid>
        <w:gridCol w:w="2607"/>
        <w:gridCol w:w="1061"/>
        <w:gridCol w:w="1061"/>
        <w:gridCol w:w="1061"/>
        <w:gridCol w:w="1061"/>
        <w:gridCol w:w="1061"/>
        <w:gridCol w:w="1061"/>
      </w:tblGrid>
      <w:tr>
        <w:trPr>
          <w:trHeight w:val="285"/>
        </w:trPr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Further information on this table is provided in § 6 of the report</w:t>
            </w:r>
            <w:bookmarkStart w:id="10" w:name="_CopyToNewDocument_"/>
            <w:bookmarkEnd w:id="10"/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.</w:t>
            </w:r>
            <w:r>
              <w:rPr>
                <w:rFonts w:ascii="Arial" w:eastAsia="Times New Roman" w:hAnsi="Arial" w:cs="Arial"/>
                <w:noProof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1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2012</w:t>
            </w:r>
          </w:p>
        </w:tc>
        <w:tc>
          <w:tcPr>
            <w:tcW w:w="1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2013</w:t>
            </w:r>
          </w:p>
        </w:tc>
        <w:tc>
          <w:tcPr>
            <w:tcW w:w="1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2014</w:t>
            </w:r>
          </w:p>
        </w:tc>
        <w:tc>
          <w:tcPr>
            <w:tcW w:w="1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2015</w:t>
            </w:r>
          </w:p>
        </w:tc>
        <w:tc>
          <w:tcPr>
            <w:tcW w:w="1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2016</w:t>
            </w:r>
          </w:p>
        </w:tc>
        <w:tc>
          <w:tcPr>
            <w:tcW w:w="1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2017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EU-28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80,803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73,945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75,024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80,522</w:t>
            </w:r>
          </w:p>
        </w:tc>
        <w:tc>
          <w:tcPr>
            <w:tcW w:w="1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80,985</w:t>
            </w:r>
          </w:p>
        </w:tc>
        <w:tc>
          <w:tcPr>
            <w:tcW w:w="1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82,519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EU-27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80,292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73,462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74,523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80,067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80,454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81,938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BE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1,985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2,124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1,694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3,353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4,070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3,838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BG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928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958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684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885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469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591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CZ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1,393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1,281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1,567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1,865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2,224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1,895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DK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767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760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690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814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699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621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DE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12,773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12,958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12,912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12,425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12,725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12,934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EE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133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163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172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146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145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208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IE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443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476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355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347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306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146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EL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2,268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1,169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1,010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1,377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798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1,451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ES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11,833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10,626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11,718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12,269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11,538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12,735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FR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8,900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8,158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7,976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8,281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9,747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9,737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HR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511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483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501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455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531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582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IT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8,313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8,037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7,358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6,942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6,635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7,918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CY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167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181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147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138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165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193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LV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219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213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227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315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335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282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LT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392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386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534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488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591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593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LU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581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700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839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454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482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503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HU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883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997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1,023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1,206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1,315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1,273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MT (1)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: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: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: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: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NL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2,232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1,342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957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1,171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1,181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1,296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AT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928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946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933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927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1,010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1,033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PL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6,801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7,024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8,778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9,174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8,444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8,785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PT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715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973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946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1,158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983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1,035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RO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1,453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1,704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1,664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1,623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2,326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2,490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SI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637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552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724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714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857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890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SK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289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228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329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364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398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496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FI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1,357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1,426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1,423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1,909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2,201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1,888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SE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1,251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1,064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1,283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2,122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1,794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1,983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UK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12,653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9,017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8,583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9,601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9,015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7,121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NO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1,319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1,141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t>1,029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1,333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1,460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1,286</w:t>
            </w:r>
          </w:p>
        </w:tc>
      </w:tr>
    </w:tbl>
    <w:p>
      <w:pPr>
        <w:rPr>
          <w:noProof/>
          <w:sz w:val="24"/>
          <w:szCs w:val="24"/>
        </w:rPr>
      </w:pPr>
    </w:p>
    <w:p>
      <w:pPr>
        <w:spacing w:after="12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(1) Malta: Derogation under Regulation (EU) No. 70/2012</w:t>
      </w:r>
    </w:p>
    <w:p>
      <w:pPr>
        <w:rPr>
          <w:noProof/>
        </w:rPr>
      </w:pP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</w:rPr>
        <w:t>Source: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Eurostat (online data code: road_go_ta_dg)</w:t>
      </w:r>
    </w:p>
    <w:sectPr>
      <w:headerReference w:type="even" r:id="rId49"/>
      <w:headerReference w:type="default" r:id="rId50"/>
      <w:footerReference w:type="even" r:id="rId51"/>
      <w:footerReference w:type="default" r:id="rId52"/>
      <w:headerReference w:type="first" r:id="rId53"/>
      <w:footerReference w:type="first" r:id="rId54"/>
      <w:pgSz w:w="11906" w:h="16838"/>
      <w:pgMar w:top="1417" w:right="1417" w:bottom="1417" w:left="1417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92678089"/>
      <w:docPartObj>
        <w:docPartGallery w:val="Page Numbers (Bottom of Page)"/>
        <w:docPartUnique/>
      </w:docPartObj>
    </w:sdtPr>
    <w:sdtEndPr>
      <w:rPr>
        <w:noProof/>
      </w:rPr>
    </w:sdtEndPr>
    <w:sdtContent>
      <w:p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>
    <w:pPr>
      <w:pStyle w:val="Footer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CoverPage"/>
      <w:rPr>
        <w:rFonts w:ascii="Arial" w:hAnsi="Arial" w:cs="Arial"/>
        <w:b/>
        <w:sz w:val="48"/>
      </w:rPr>
    </w:pPr>
    <w:r>
      <w:rPr>
        <w:rFonts w:ascii="Arial" w:hAnsi="Arial" w:cs="Arial"/>
        <w:b/>
        <w:sz w:val="48"/>
      </w:rPr>
      <w:t>EN</w:t>
    </w:r>
    <w:r>
      <w:rPr>
        <w:rFonts w:ascii="Arial" w:hAnsi="Arial" w:cs="Arial"/>
        <w:b/>
        <w:sz w:val="48"/>
      </w:rPr>
      <w:tab/>
    </w:r>
    <w:r>
      <w:rPr>
        <w:rFonts w:ascii="Arial" w:hAnsi="Arial" w:cs="Arial"/>
        <w:b/>
        <w:sz w:val="48"/>
      </w:rPr>
      <w:tab/>
    </w:r>
    <w:r>
      <w:tab/>
    </w:r>
    <w:r>
      <w:rPr>
        <w:rFonts w:ascii="Arial" w:hAnsi="Arial" w:cs="Arial"/>
        <w:b/>
        <w:sz w:val="48"/>
      </w:rPr>
      <w:t>EN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CoverPag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0008431"/>
      <w:docPartObj>
        <w:docPartGallery w:val="Page Numbers (Bottom of Page)"/>
        <w:docPartUnique/>
      </w:docPartObj>
    </w:sdtPr>
    <w:sdtEndPr>
      <w:rPr>
        <w:noProof/>
      </w:rPr>
    </w:sdtEndPr>
    <w:sdtContent>
      <w:p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68727583"/>
      <w:docPartObj>
        <w:docPartGallery w:val="Page Numbers (Bottom of Page)"/>
        <w:docPartUnique/>
      </w:docPartObj>
    </w:sdtPr>
    <w:sdtEndPr>
      <w:rPr>
        <w:noProof/>
      </w:rPr>
    </w:sdtEndPr>
    <w:sdtContent>
      <w:p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>
    <w:pPr>
      <w:pStyle w:val="Footer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Landscap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CoverPag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CoverPag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Landscape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Landscap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B5C17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80"/>
    <w:multiLevelType w:val="singleLevel"/>
    <w:tmpl w:val="E75AFBB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>
    <w:nsid w:val="0B4D31BD"/>
    <w:multiLevelType w:val="hybridMultilevel"/>
    <w:tmpl w:val="C0AAB8C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0F1AA5"/>
    <w:multiLevelType w:val="multilevel"/>
    <w:tmpl w:val="5922F586"/>
    <w:name w:val="List Number 2"/>
    <w:lvl w:ilvl="0">
      <w:start w:val="1"/>
      <w:numFmt w:val="decimal"/>
      <w:lvlRestart w:val="0"/>
      <w:pStyle w:val="ListNumber2"/>
      <w:lvlText w:val="(%1)"/>
      <w:lvlJc w:val="left"/>
      <w:pPr>
        <w:tabs>
          <w:tab w:val="num" w:pos="1560"/>
        </w:tabs>
        <w:ind w:left="1560" w:hanging="709"/>
      </w:pPr>
      <w:rPr>
        <w:rFonts w:cs="Times New Roman"/>
      </w:rPr>
    </w:lvl>
    <w:lvl w:ilvl="1">
      <w:start w:val="1"/>
      <w:numFmt w:val="lowerLetter"/>
      <w:pStyle w:val="ListNumber2Level2"/>
      <w:lvlText w:val="(%2)"/>
      <w:lvlJc w:val="left"/>
      <w:pPr>
        <w:tabs>
          <w:tab w:val="num" w:pos="2268"/>
        </w:tabs>
        <w:ind w:left="2268" w:hanging="708"/>
      </w:pPr>
      <w:rPr>
        <w:rFonts w:cs="Times New Roman"/>
      </w:rPr>
    </w:lvl>
    <w:lvl w:ilvl="2">
      <w:start w:val="1"/>
      <w:numFmt w:val="bullet"/>
      <w:pStyle w:val="ListNumber2Level3"/>
      <w:lvlText w:val="–"/>
      <w:lvlJc w:val="left"/>
      <w:pPr>
        <w:tabs>
          <w:tab w:val="num" w:pos="2977"/>
        </w:tabs>
        <w:ind w:left="2977" w:hanging="709"/>
      </w:pPr>
      <w:rPr>
        <w:rFonts w:ascii="Times New Roman" w:hAnsi="Times New Roman"/>
      </w:rPr>
    </w:lvl>
    <w:lvl w:ilvl="3">
      <w:start w:val="1"/>
      <w:numFmt w:val="bullet"/>
      <w:pStyle w:val="ListNumber2Level4"/>
      <w:lvlText w:val=""/>
      <w:lvlJc w:val="left"/>
      <w:pPr>
        <w:tabs>
          <w:tab w:val="num" w:pos="3686"/>
        </w:tabs>
        <w:ind w:left="3686" w:hanging="709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4">
    <w:nsid w:val="159361D7"/>
    <w:multiLevelType w:val="singleLevel"/>
    <w:tmpl w:val="0A7C9778"/>
    <w:name w:val="List Bullet 2"/>
    <w:lvl w:ilvl="0">
      <w:start w:val="1"/>
      <w:numFmt w:val="bullet"/>
      <w:lvlRestart w:val="0"/>
      <w:pStyle w:val="ListBullet2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</w:abstractNum>
  <w:abstractNum w:abstractNumId="5">
    <w:nsid w:val="1B3C78B8"/>
    <w:multiLevelType w:val="multilevel"/>
    <w:tmpl w:val="2ED4F4D0"/>
    <w:name w:val="Point"/>
    <w:lvl w:ilvl="0">
      <w:start w:val="1"/>
      <w:numFmt w:val="decimal"/>
      <w:lvlRestart w:val="0"/>
      <w:pStyle w:val="Point0number"/>
      <w:lvlText w:val="(%1)"/>
      <w:lvlJc w:val="left"/>
      <w:pPr>
        <w:tabs>
          <w:tab w:val="num" w:pos="850"/>
        </w:tabs>
        <w:ind w:left="850" w:hanging="850"/>
      </w:pPr>
    </w:lvl>
    <w:lvl w:ilvl="1">
      <w:start w:val="1"/>
      <w:numFmt w:val="lowerLetter"/>
      <w:pStyle w:val="Point0letter"/>
      <w:lvlText w:val="(%2)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Point1number"/>
      <w:lvlText w:val="(%3)"/>
      <w:lvlJc w:val="left"/>
      <w:pPr>
        <w:tabs>
          <w:tab w:val="num" w:pos="1417"/>
        </w:tabs>
        <w:ind w:left="1417" w:hanging="567"/>
      </w:pPr>
    </w:lvl>
    <w:lvl w:ilvl="3">
      <w:start w:val="1"/>
      <w:numFmt w:val="lowerLetter"/>
      <w:pStyle w:val="Point1letter"/>
      <w:lvlText w:val="(%4)"/>
      <w:lvlJc w:val="left"/>
      <w:pPr>
        <w:tabs>
          <w:tab w:val="num" w:pos="1417"/>
        </w:tabs>
        <w:ind w:left="1417" w:hanging="567"/>
      </w:pPr>
    </w:lvl>
    <w:lvl w:ilvl="4">
      <w:start w:val="1"/>
      <w:numFmt w:val="decimal"/>
      <w:pStyle w:val="Point2number"/>
      <w:lvlText w:val="(%5)"/>
      <w:lvlJc w:val="left"/>
      <w:pPr>
        <w:tabs>
          <w:tab w:val="num" w:pos="1984"/>
        </w:tabs>
        <w:ind w:left="1984" w:hanging="567"/>
      </w:pPr>
    </w:lvl>
    <w:lvl w:ilvl="5">
      <w:start w:val="1"/>
      <w:numFmt w:val="lowerLetter"/>
      <w:pStyle w:val="Point2letter"/>
      <w:lvlText w:val="(%6)"/>
      <w:lvlJc w:val="left"/>
      <w:pPr>
        <w:tabs>
          <w:tab w:val="num" w:pos="1984"/>
        </w:tabs>
        <w:ind w:left="1984" w:hanging="567"/>
      </w:pPr>
    </w:lvl>
    <w:lvl w:ilvl="6">
      <w:start w:val="1"/>
      <w:numFmt w:val="decimal"/>
      <w:pStyle w:val="Point3number"/>
      <w:lvlText w:val="(%7)"/>
      <w:lvlJc w:val="left"/>
      <w:pPr>
        <w:tabs>
          <w:tab w:val="num" w:pos="2551"/>
        </w:tabs>
        <w:ind w:left="2551" w:hanging="567"/>
      </w:pPr>
    </w:lvl>
    <w:lvl w:ilvl="7">
      <w:start w:val="1"/>
      <w:numFmt w:val="lowerLetter"/>
      <w:pStyle w:val="Point3letter"/>
      <w:lvlText w:val="(%8)"/>
      <w:lvlJc w:val="left"/>
      <w:pPr>
        <w:tabs>
          <w:tab w:val="num" w:pos="2551"/>
        </w:tabs>
        <w:ind w:left="2551" w:hanging="567"/>
      </w:pPr>
    </w:lvl>
    <w:lvl w:ilvl="8">
      <w:start w:val="1"/>
      <w:numFmt w:val="lowerLetter"/>
      <w:pStyle w:val="Point4letter"/>
      <w:lvlText w:val="(%9)"/>
      <w:lvlJc w:val="left"/>
      <w:pPr>
        <w:tabs>
          <w:tab w:val="num" w:pos="3118"/>
        </w:tabs>
        <w:ind w:left="3118" w:hanging="567"/>
      </w:pPr>
    </w:lvl>
  </w:abstractNum>
  <w:abstractNum w:abstractNumId="6">
    <w:nsid w:val="1D062CAF"/>
    <w:multiLevelType w:val="hybridMultilevel"/>
    <w:tmpl w:val="8968D31C"/>
    <w:lvl w:ilvl="0" w:tplc="08090001">
      <w:start w:val="1"/>
      <w:numFmt w:val="bullet"/>
      <w:lvlText w:val=""/>
      <w:lvlJc w:val="left"/>
      <w:pPr>
        <w:ind w:left="12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62" w:hanging="360"/>
      </w:pPr>
      <w:rPr>
        <w:rFonts w:ascii="Wingdings" w:hAnsi="Wingdings" w:hint="default"/>
      </w:rPr>
    </w:lvl>
  </w:abstractNum>
  <w:abstractNum w:abstractNumId="7">
    <w:nsid w:val="1E346EC6"/>
    <w:multiLevelType w:val="singleLevel"/>
    <w:tmpl w:val="C14C2BE2"/>
    <w:name w:val="List Bullet"/>
    <w:lvl w:ilvl="0">
      <w:start w:val="1"/>
      <w:numFmt w:val="bullet"/>
      <w:lvlRestart w:val="0"/>
      <w:pStyle w:val="List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 w:hint="default"/>
      </w:rPr>
    </w:lvl>
  </w:abstractNum>
  <w:abstractNum w:abstractNumId="8">
    <w:nsid w:val="22E44180"/>
    <w:multiLevelType w:val="multilevel"/>
    <w:tmpl w:val="DFC88CEC"/>
    <w:name w:val="NumPar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>
    <w:nsid w:val="26B63F4D"/>
    <w:multiLevelType w:val="hybridMultilevel"/>
    <w:tmpl w:val="6076208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33065B"/>
    <w:multiLevelType w:val="singleLevel"/>
    <w:tmpl w:val="F328E826"/>
    <w:name w:val="List Dash"/>
    <w:lvl w:ilvl="0">
      <w:start w:val="1"/>
      <w:numFmt w:val="bullet"/>
      <w:lvlRestart w:val="0"/>
      <w:pStyle w:val="ListDash"/>
      <w:lvlText w:val="–"/>
      <w:lvlJc w:val="left"/>
      <w:pPr>
        <w:tabs>
          <w:tab w:val="num" w:pos="283"/>
        </w:tabs>
        <w:ind w:left="283" w:hanging="283"/>
      </w:pPr>
      <w:rPr>
        <w:rFonts w:ascii="Times New Roman" w:hAnsi="Times New Roman"/>
      </w:rPr>
    </w:lvl>
  </w:abstractNum>
  <w:abstractNum w:abstractNumId="11">
    <w:nsid w:val="2CB72C6E"/>
    <w:multiLevelType w:val="singleLevel"/>
    <w:tmpl w:val="10ACD464"/>
    <w:name w:val="Bullet 3"/>
    <w:lvl w:ilvl="0">
      <w:start w:val="1"/>
      <w:numFmt w:val="bullet"/>
      <w:lvlRestart w:val="0"/>
      <w:pStyle w:val="Bullet3"/>
      <w:lvlText w:val=""/>
      <w:lvlJc w:val="left"/>
      <w:pPr>
        <w:tabs>
          <w:tab w:val="num" w:pos="2551"/>
        </w:tabs>
        <w:ind w:left="2551" w:hanging="567"/>
      </w:pPr>
      <w:rPr>
        <w:rFonts w:ascii="Symbol" w:hAnsi="Symbol" w:hint="default"/>
      </w:rPr>
    </w:lvl>
  </w:abstractNum>
  <w:abstractNum w:abstractNumId="12">
    <w:nsid w:val="2CE9221F"/>
    <w:multiLevelType w:val="singleLevel"/>
    <w:tmpl w:val="9B4AFB48"/>
    <w:name w:val="Tiret 3"/>
    <w:lvl w:ilvl="0">
      <w:start w:val="1"/>
      <w:numFmt w:val="bullet"/>
      <w:lvlRestart w:val="0"/>
      <w:pStyle w:val="Tiret3"/>
      <w:lvlText w:val="–"/>
      <w:lvlJc w:val="left"/>
      <w:pPr>
        <w:tabs>
          <w:tab w:val="num" w:pos="2551"/>
        </w:tabs>
        <w:ind w:left="2551" w:hanging="567"/>
      </w:pPr>
    </w:lvl>
  </w:abstractNum>
  <w:abstractNum w:abstractNumId="13">
    <w:nsid w:val="422E10EC"/>
    <w:multiLevelType w:val="singleLevel"/>
    <w:tmpl w:val="A62C8844"/>
    <w:name w:val="List Dash 3"/>
    <w:lvl w:ilvl="0">
      <w:start w:val="1"/>
      <w:numFmt w:val="bullet"/>
      <w:lvlRestart w:val="0"/>
      <w:pStyle w:val="ListDash3"/>
      <w:lvlText w:val="–"/>
      <w:lvlJc w:val="left"/>
      <w:pPr>
        <w:tabs>
          <w:tab w:val="num" w:pos="1134"/>
        </w:tabs>
        <w:ind w:left="1134" w:hanging="283"/>
      </w:pPr>
      <w:rPr>
        <w:rFonts w:ascii="Times New Roman" w:hAnsi="Times New Roman"/>
      </w:rPr>
    </w:lvl>
  </w:abstractNum>
  <w:abstractNum w:abstractNumId="14">
    <w:nsid w:val="42713452"/>
    <w:multiLevelType w:val="singleLevel"/>
    <w:tmpl w:val="3B8CC7EA"/>
    <w:name w:val="Tiret 1"/>
    <w:lvl w:ilvl="0">
      <w:start w:val="1"/>
      <w:numFmt w:val="bullet"/>
      <w:lvlRestart w:val="0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15">
    <w:nsid w:val="42FC0772"/>
    <w:multiLevelType w:val="singleLevel"/>
    <w:tmpl w:val="4128FCF8"/>
    <w:name w:val="Tiret 4"/>
    <w:lvl w:ilvl="0">
      <w:start w:val="1"/>
      <w:numFmt w:val="bullet"/>
      <w:lvlRestart w:val="0"/>
      <w:pStyle w:val="Tiret4"/>
      <w:lvlText w:val="–"/>
      <w:lvlJc w:val="left"/>
      <w:pPr>
        <w:tabs>
          <w:tab w:val="num" w:pos="3118"/>
        </w:tabs>
        <w:ind w:left="3118" w:hanging="567"/>
      </w:pPr>
    </w:lvl>
  </w:abstractNum>
  <w:abstractNum w:abstractNumId="16">
    <w:nsid w:val="4552127F"/>
    <w:multiLevelType w:val="singleLevel"/>
    <w:tmpl w:val="057A5296"/>
    <w:name w:val="Bullet 0"/>
    <w:lvl w:ilvl="0">
      <w:start w:val="1"/>
      <w:numFmt w:val="bullet"/>
      <w:lvlRestart w:val="0"/>
      <w:pStyle w:val="Bullet0"/>
      <w:lvlText w:val=""/>
      <w:lvlJc w:val="left"/>
      <w:pPr>
        <w:tabs>
          <w:tab w:val="num" w:pos="850"/>
        </w:tabs>
        <w:ind w:left="850" w:hanging="850"/>
      </w:pPr>
      <w:rPr>
        <w:rFonts w:ascii="Symbol" w:hAnsi="Symbol" w:hint="default"/>
      </w:rPr>
    </w:lvl>
  </w:abstractNum>
  <w:abstractNum w:abstractNumId="17">
    <w:nsid w:val="4C6F0385"/>
    <w:multiLevelType w:val="singleLevel"/>
    <w:tmpl w:val="1D28D466"/>
    <w:name w:val="List Dash 4"/>
    <w:lvl w:ilvl="0">
      <w:start w:val="1"/>
      <w:numFmt w:val="bullet"/>
      <w:lvlRestart w:val="0"/>
      <w:pStyle w:val="ListDash4"/>
      <w:lvlText w:val="–"/>
      <w:lvlJc w:val="left"/>
      <w:pPr>
        <w:tabs>
          <w:tab w:val="num" w:pos="1134"/>
        </w:tabs>
        <w:ind w:left="1134" w:hanging="283"/>
      </w:pPr>
      <w:rPr>
        <w:rFonts w:ascii="Times New Roman" w:hAnsi="Times New Roman"/>
      </w:rPr>
    </w:lvl>
  </w:abstractNum>
  <w:abstractNum w:abstractNumId="18">
    <w:nsid w:val="4E945993"/>
    <w:multiLevelType w:val="singleLevel"/>
    <w:tmpl w:val="83F27BC6"/>
    <w:name w:val="List Dash 1"/>
    <w:lvl w:ilvl="0">
      <w:start w:val="1"/>
      <w:numFmt w:val="bullet"/>
      <w:lvlRestart w:val="0"/>
      <w:pStyle w:val="ListDash1"/>
      <w:lvlText w:val="–"/>
      <w:lvlJc w:val="left"/>
      <w:pPr>
        <w:tabs>
          <w:tab w:val="num" w:pos="1134"/>
        </w:tabs>
        <w:ind w:left="1134" w:hanging="283"/>
      </w:pPr>
      <w:rPr>
        <w:rFonts w:ascii="Times New Roman" w:hAnsi="Times New Roman"/>
      </w:rPr>
    </w:lvl>
  </w:abstractNum>
  <w:abstractNum w:abstractNumId="19">
    <w:nsid w:val="4EB37838"/>
    <w:multiLevelType w:val="multilevel"/>
    <w:tmpl w:val="604479CE"/>
    <w:name w:val="List Number 3"/>
    <w:lvl w:ilvl="0">
      <w:start w:val="1"/>
      <w:numFmt w:val="decimal"/>
      <w:lvlRestart w:val="0"/>
      <w:pStyle w:val="ListNumber3"/>
      <w:lvlText w:val="(%1)"/>
      <w:lvlJc w:val="left"/>
      <w:pPr>
        <w:tabs>
          <w:tab w:val="num" w:pos="1560"/>
        </w:tabs>
        <w:ind w:left="1560" w:hanging="709"/>
      </w:pPr>
      <w:rPr>
        <w:rFonts w:cs="Times New Roman"/>
      </w:rPr>
    </w:lvl>
    <w:lvl w:ilvl="1">
      <w:start w:val="1"/>
      <w:numFmt w:val="lowerLetter"/>
      <w:pStyle w:val="ListNumber3Level2"/>
      <w:lvlText w:val="(%2)"/>
      <w:lvlJc w:val="left"/>
      <w:pPr>
        <w:tabs>
          <w:tab w:val="num" w:pos="2268"/>
        </w:tabs>
        <w:ind w:left="2268" w:hanging="708"/>
      </w:pPr>
      <w:rPr>
        <w:rFonts w:cs="Times New Roman"/>
      </w:rPr>
    </w:lvl>
    <w:lvl w:ilvl="2">
      <w:start w:val="1"/>
      <w:numFmt w:val="bullet"/>
      <w:pStyle w:val="ListNumber3Level3"/>
      <w:lvlText w:val="–"/>
      <w:lvlJc w:val="left"/>
      <w:pPr>
        <w:tabs>
          <w:tab w:val="num" w:pos="2977"/>
        </w:tabs>
        <w:ind w:left="2977" w:hanging="709"/>
      </w:pPr>
      <w:rPr>
        <w:rFonts w:ascii="Times New Roman" w:hAnsi="Times New Roman"/>
      </w:rPr>
    </w:lvl>
    <w:lvl w:ilvl="3">
      <w:start w:val="1"/>
      <w:numFmt w:val="bullet"/>
      <w:pStyle w:val="ListNumber3Level4"/>
      <w:lvlText w:val=""/>
      <w:lvlJc w:val="left"/>
      <w:pPr>
        <w:tabs>
          <w:tab w:val="num" w:pos="3686"/>
        </w:tabs>
        <w:ind w:left="3686" w:hanging="709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0">
    <w:nsid w:val="556E1D63"/>
    <w:multiLevelType w:val="singleLevel"/>
    <w:tmpl w:val="493AAFF0"/>
    <w:name w:val="Bullet 4"/>
    <w:lvl w:ilvl="0">
      <w:start w:val="1"/>
      <w:numFmt w:val="bullet"/>
      <w:lvlRestart w:val="0"/>
      <w:pStyle w:val="Bullet4"/>
      <w:lvlText w:val=""/>
      <w:lvlJc w:val="left"/>
      <w:pPr>
        <w:tabs>
          <w:tab w:val="num" w:pos="3118"/>
        </w:tabs>
        <w:ind w:left="3118" w:hanging="567"/>
      </w:pPr>
      <w:rPr>
        <w:rFonts w:ascii="Symbol" w:hAnsi="Symbol" w:hint="default"/>
      </w:rPr>
    </w:lvl>
  </w:abstractNum>
  <w:abstractNum w:abstractNumId="21">
    <w:nsid w:val="5B2C7A7C"/>
    <w:multiLevelType w:val="multilevel"/>
    <w:tmpl w:val="5900DFD6"/>
    <w:name w:val="List Number 1"/>
    <w:lvl w:ilvl="0">
      <w:start w:val="1"/>
      <w:numFmt w:val="decimal"/>
      <w:lvlRestart w:val="0"/>
      <w:pStyle w:val="ListNumber1"/>
      <w:lvlText w:val="(%1)"/>
      <w:lvlJc w:val="left"/>
      <w:pPr>
        <w:tabs>
          <w:tab w:val="num" w:pos="1560"/>
        </w:tabs>
        <w:ind w:left="1560" w:hanging="709"/>
      </w:pPr>
      <w:rPr>
        <w:rFonts w:cs="Times New Roman"/>
      </w:rPr>
    </w:lvl>
    <w:lvl w:ilvl="1">
      <w:start w:val="1"/>
      <w:numFmt w:val="lowerLetter"/>
      <w:pStyle w:val="ListNumber1Level2"/>
      <w:lvlText w:val="(%2)"/>
      <w:lvlJc w:val="left"/>
      <w:pPr>
        <w:tabs>
          <w:tab w:val="num" w:pos="2268"/>
        </w:tabs>
        <w:ind w:left="2268" w:hanging="708"/>
      </w:pPr>
      <w:rPr>
        <w:rFonts w:cs="Times New Roman"/>
      </w:rPr>
    </w:lvl>
    <w:lvl w:ilvl="2">
      <w:start w:val="1"/>
      <w:numFmt w:val="bullet"/>
      <w:pStyle w:val="ListNumber1Level3"/>
      <w:lvlText w:val="–"/>
      <w:lvlJc w:val="left"/>
      <w:pPr>
        <w:tabs>
          <w:tab w:val="num" w:pos="2977"/>
        </w:tabs>
        <w:ind w:left="2977" w:hanging="709"/>
      </w:pPr>
      <w:rPr>
        <w:rFonts w:ascii="Times New Roman" w:hAnsi="Times New Roman"/>
      </w:rPr>
    </w:lvl>
    <w:lvl w:ilvl="3">
      <w:start w:val="1"/>
      <w:numFmt w:val="bullet"/>
      <w:pStyle w:val="ListNumber1Level4"/>
      <w:lvlText w:val=""/>
      <w:lvlJc w:val="left"/>
      <w:pPr>
        <w:tabs>
          <w:tab w:val="num" w:pos="3686"/>
        </w:tabs>
        <w:ind w:left="3686" w:hanging="709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2">
    <w:nsid w:val="5B395AAA"/>
    <w:multiLevelType w:val="singleLevel"/>
    <w:tmpl w:val="96D02E8A"/>
    <w:name w:val="Bullet 1"/>
    <w:lvl w:ilvl="0">
      <w:start w:val="1"/>
      <w:numFmt w:val="bullet"/>
      <w:lvlRestart w:val="0"/>
      <w:pStyle w:val="Bullet1"/>
      <w:lvlText w:val=""/>
      <w:lvlJc w:val="left"/>
      <w:pPr>
        <w:tabs>
          <w:tab w:val="num" w:pos="1417"/>
        </w:tabs>
        <w:ind w:left="1417" w:hanging="567"/>
      </w:pPr>
      <w:rPr>
        <w:rFonts w:ascii="Symbol" w:hAnsi="Symbol" w:hint="default"/>
      </w:rPr>
    </w:lvl>
  </w:abstractNum>
  <w:abstractNum w:abstractNumId="23">
    <w:nsid w:val="5C056EE5"/>
    <w:multiLevelType w:val="singleLevel"/>
    <w:tmpl w:val="3378D27C"/>
    <w:name w:val="Bullet 2"/>
    <w:lvl w:ilvl="0">
      <w:start w:val="1"/>
      <w:numFmt w:val="bullet"/>
      <w:lvlRestart w:val="0"/>
      <w:pStyle w:val="Bullet2"/>
      <w:lvlText w:val=""/>
      <w:lvlJc w:val="left"/>
      <w:pPr>
        <w:tabs>
          <w:tab w:val="num" w:pos="1984"/>
        </w:tabs>
        <w:ind w:left="1984" w:hanging="567"/>
      </w:pPr>
      <w:rPr>
        <w:rFonts w:ascii="Symbol" w:hAnsi="Symbol" w:hint="default"/>
      </w:rPr>
    </w:lvl>
  </w:abstractNum>
  <w:abstractNum w:abstractNumId="24">
    <w:nsid w:val="5CA31A15"/>
    <w:multiLevelType w:val="singleLevel"/>
    <w:tmpl w:val="CB981644"/>
    <w:name w:val="Tiret 0"/>
    <w:lvl w:ilvl="0">
      <w:start w:val="1"/>
      <w:numFmt w:val="bullet"/>
      <w:lvlRestart w:val="0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25">
    <w:nsid w:val="64A12FA4"/>
    <w:multiLevelType w:val="multilevel"/>
    <w:tmpl w:val="428ECF3E"/>
    <w:name w:val="Heading"/>
    <w:lvl w:ilvl="0">
      <w:start w:val="1"/>
      <w:numFmt w:val="decimal"/>
      <w:lvlRestart w:val="0"/>
      <w:pStyle w:val="Heading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Heading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Heading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Heading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>
    <w:nsid w:val="67B856F6"/>
    <w:multiLevelType w:val="singleLevel"/>
    <w:tmpl w:val="0AB28E9C"/>
    <w:name w:val="Tiret 2"/>
    <w:lvl w:ilvl="0">
      <w:start w:val="1"/>
      <w:numFmt w:val="bullet"/>
      <w:lvlRestart w:val="0"/>
      <w:pStyle w:val="Tiret2"/>
      <w:lvlText w:val="–"/>
      <w:lvlJc w:val="left"/>
      <w:pPr>
        <w:tabs>
          <w:tab w:val="num" w:pos="1984"/>
        </w:tabs>
        <w:ind w:left="1984" w:hanging="567"/>
      </w:pPr>
    </w:lvl>
  </w:abstractNum>
  <w:abstractNum w:abstractNumId="27">
    <w:nsid w:val="6F4B4EDC"/>
    <w:multiLevelType w:val="singleLevel"/>
    <w:tmpl w:val="B3484502"/>
    <w:name w:val="List Dash 2"/>
    <w:lvl w:ilvl="0">
      <w:start w:val="1"/>
      <w:numFmt w:val="bullet"/>
      <w:lvlRestart w:val="0"/>
      <w:pStyle w:val="ListDash2"/>
      <w:lvlText w:val="–"/>
      <w:lvlJc w:val="left"/>
      <w:pPr>
        <w:tabs>
          <w:tab w:val="num" w:pos="1134"/>
        </w:tabs>
        <w:ind w:left="1134" w:hanging="283"/>
      </w:pPr>
      <w:rPr>
        <w:rFonts w:ascii="Times New Roman" w:hAnsi="Times New Roman"/>
      </w:rPr>
    </w:lvl>
  </w:abstractNum>
  <w:abstractNum w:abstractNumId="28">
    <w:nsid w:val="73B83116"/>
    <w:multiLevelType w:val="singleLevel"/>
    <w:tmpl w:val="406E2D7E"/>
    <w:name w:val="List Bullet 3"/>
    <w:lvl w:ilvl="0">
      <w:start w:val="1"/>
      <w:numFmt w:val="bullet"/>
      <w:lvlRestart w:val="0"/>
      <w:pStyle w:val="ListBullet3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</w:abstractNum>
  <w:abstractNum w:abstractNumId="29">
    <w:nsid w:val="73C65461"/>
    <w:multiLevelType w:val="multilevel"/>
    <w:tmpl w:val="C358ABEA"/>
    <w:name w:val="List Number"/>
    <w:lvl w:ilvl="0">
      <w:start w:val="1"/>
      <w:numFmt w:val="decimal"/>
      <w:lvlRestart w:val="0"/>
      <w:pStyle w:val="ListNumber"/>
      <w:lvlText w:val="(%1)"/>
      <w:lvlJc w:val="left"/>
      <w:pPr>
        <w:tabs>
          <w:tab w:val="num" w:pos="709"/>
        </w:tabs>
        <w:ind w:left="709" w:hanging="709"/>
      </w:pPr>
      <w:rPr>
        <w:rFonts w:cs="Times New Roman"/>
      </w:rPr>
    </w:lvl>
    <w:lvl w:ilvl="1">
      <w:start w:val="1"/>
      <w:numFmt w:val="lowerLetter"/>
      <w:pStyle w:val="ListNumberLevel2"/>
      <w:lvlText w:val="(%2)"/>
      <w:lvlJc w:val="left"/>
      <w:pPr>
        <w:tabs>
          <w:tab w:val="num" w:pos="1417"/>
        </w:tabs>
        <w:ind w:left="1417" w:hanging="708"/>
      </w:pPr>
      <w:rPr>
        <w:rFonts w:cs="Times New Roman"/>
      </w:rPr>
    </w:lvl>
    <w:lvl w:ilvl="2">
      <w:start w:val="1"/>
      <w:numFmt w:val="bullet"/>
      <w:pStyle w:val="ListNumberLevel3"/>
      <w:lvlText w:val="–"/>
      <w:lvlJc w:val="left"/>
      <w:pPr>
        <w:tabs>
          <w:tab w:val="num" w:pos="2126"/>
        </w:tabs>
        <w:ind w:left="2126" w:hanging="709"/>
      </w:pPr>
      <w:rPr>
        <w:rFonts w:ascii="Times New Roman" w:hAnsi="Times New Roman"/>
      </w:rPr>
    </w:lvl>
    <w:lvl w:ilvl="3">
      <w:start w:val="1"/>
      <w:numFmt w:val="bullet"/>
      <w:pStyle w:val="ListNumberLevel4"/>
      <w:lvlText w:val=""/>
      <w:lvlJc w:val="left"/>
      <w:pPr>
        <w:tabs>
          <w:tab w:val="num" w:pos="2835"/>
        </w:tabs>
        <w:ind w:left="2835" w:hanging="709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30">
    <w:nsid w:val="744D6F2F"/>
    <w:multiLevelType w:val="singleLevel"/>
    <w:tmpl w:val="FCE2108C"/>
    <w:name w:val="List Bullet 1"/>
    <w:lvl w:ilvl="0">
      <w:start w:val="1"/>
      <w:numFmt w:val="bullet"/>
      <w:lvlRestart w:val="0"/>
      <w:pStyle w:val="ListBullet1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</w:abstractNum>
  <w:abstractNum w:abstractNumId="31">
    <w:nsid w:val="75C26F71"/>
    <w:multiLevelType w:val="multilevel"/>
    <w:tmpl w:val="A460784C"/>
    <w:lvl w:ilvl="0">
      <w:start w:val="1"/>
      <w:numFmt w:val="decimal"/>
      <w:lvlRestart w:val="0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2">
    <w:nsid w:val="7B153198"/>
    <w:multiLevelType w:val="multilevel"/>
    <w:tmpl w:val="A4A6E136"/>
    <w:name w:val="List Number 4"/>
    <w:lvl w:ilvl="0">
      <w:start w:val="1"/>
      <w:numFmt w:val="decimal"/>
      <w:lvlRestart w:val="0"/>
      <w:pStyle w:val="ListNumber4"/>
      <w:lvlText w:val="(%1)"/>
      <w:lvlJc w:val="left"/>
      <w:pPr>
        <w:tabs>
          <w:tab w:val="num" w:pos="1560"/>
        </w:tabs>
        <w:ind w:left="1560" w:hanging="709"/>
      </w:pPr>
      <w:rPr>
        <w:rFonts w:cs="Times New Roman"/>
      </w:rPr>
    </w:lvl>
    <w:lvl w:ilvl="1">
      <w:start w:val="1"/>
      <w:numFmt w:val="lowerLetter"/>
      <w:pStyle w:val="ListNumber4Level2"/>
      <w:lvlText w:val="(%2)"/>
      <w:lvlJc w:val="left"/>
      <w:pPr>
        <w:tabs>
          <w:tab w:val="num" w:pos="2268"/>
        </w:tabs>
        <w:ind w:left="2268" w:hanging="708"/>
      </w:pPr>
      <w:rPr>
        <w:rFonts w:cs="Times New Roman"/>
      </w:rPr>
    </w:lvl>
    <w:lvl w:ilvl="2">
      <w:start w:val="1"/>
      <w:numFmt w:val="bullet"/>
      <w:pStyle w:val="ListNumber4Level3"/>
      <w:lvlText w:val="–"/>
      <w:lvlJc w:val="left"/>
      <w:pPr>
        <w:tabs>
          <w:tab w:val="num" w:pos="2977"/>
        </w:tabs>
        <w:ind w:left="2977" w:hanging="709"/>
      </w:pPr>
      <w:rPr>
        <w:rFonts w:ascii="Times New Roman" w:hAnsi="Times New Roman"/>
      </w:rPr>
    </w:lvl>
    <w:lvl w:ilvl="3">
      <w:start w:val="1"/>
      <w:numFmt w:val="bullet"/>
      <w:pStyle w:val="ListNumber4Level4"/>
      <w:lvlText w:val=""/>
      <w:lvlJc w:val="left"/>
      <w:pPr>
        <w:tabs>
          <w:tab w:val="num" w:pos="3686"/>
        </w:tabs>
        <w:ind w:left="3686" w:hanging="709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33">
    <w:nsid w:val="7CB17551"/>
    <w:multiLevelType w:val="singleLevel"/>
    <w:tmpl w:val="CCDE1F8A"/>
    <w:name w:val="List Bullet 4"/>
    <w:lvl w:ilvl="0">
      <w:start w:val="1"/>
      <w:numFmt w:val="bullet"/>
      <w:lvlRestart w:val="0"/>
      <w:pStyle w:val="ListBullet4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</w:abstractNum>
  <w:abstractNum w:abstractNumId="34">
    <w:nsid w:val="7CBE4812"/>
    <w:multiLevelType w:val="singleLevel"/>
    <w:tmpl w:val="23C821E4"/>
    <w:name w:val="Considérant"/>
    <w:lvl w:ilvl="0">
      <w:start w:val="1"/>
      <w:numFmt w:val="decimal"/>
      <w:lvlRestart w:val="0"/>
      <w:pStyle w:val="Considrant"/>
      <w:lvlText w:val="(%1)"/>
      <w:lvlJc w:val="left"/>
      <w:pPr>
        <w:tabs>
          <w:tab w:val="num" w:pos="709"/>
        </w:tabs>
        <w:ind w:left="709" w:hanging="709"/>
      </w:pPr>
    </w:lvl>
  </w:abstractNum>
  <w:num w:numId="1">
    <w:abstractNumId w:val="31"/>
  </w:num>
  <w:num w:numId="2">
    <w:abstractNumId w:val="24"/>
  </w:num>
  <w:num w:numId="3">
    <w:abstractNumId w:val="14"/>
  </w:num>
  <w:num w:numId="4">
    <w:abstractNumId w:val="26"/>
  </w:num>
  <w:num w:numId="5">
    <w:abstractNumId w:val="12"/>
  </w:num>
  <w:num w:numId="6">
    <w:abstractNumId w:val="15"/>
  </w:num>
  <w:num w:numId="7">
    <w:abstractNumId w:val="8"/>
  </w:num>
  <w:num w:numId="8">
    <w:abstractNumId w:val="25"/>
  </w:num>
  <w:num w:numId="9">
    <w:abstractNumId w:val="5"/>
  </w:num>
  <w:num w:numId="10">
    <w:abstractNumId w:val="16"/>
  </w:num>
  <w:num w:numId="11">
    <w:abstractNumId w:val="22"/>
  </w:num>
  <w:num w:numId="12">
    <w:abstractNumId w:val="23"/>
  </w:num>
  <w:num w:numId="13">
    <w:abstractNumId w:val="11"/>
  </w:num>
  <w:num w:numId="14">
    <w:abstractNumId w:val="20"/>
  </w:num>
  <w:num w:numId="15">
    <w:abstractNumId w:val="34"/>
  </w:num>
  <w:num w:numId="16">
    <w:abstractNumId w:val="7"/>
  </w:num>
  <w:num w:numId="17">
    <w:abstractNumId w:val="30"/>
  </w:num>
  <w:num w:numId="18">
    <w:abstractNumId w:val="4"/>
  </w:num>
  <w:num w:numId="19">
    <w:abstractNumId w:val="28"/>
  </w:num>
  <w:num w:numId="20">
    <w:abstractNumId w:val="33"/>
  </w:num>
  <w:num w:numId="21">
    <w:abstractNumId w:val="10"/>
  </w:num>
  <w:num w:numId="22">
    <w:abstractNumId w:val="18"/>
  </w:num>
  <w:num w:numId="23">
    <w:abstractNumId w:val="27"/>
  </w:num>
  <w:num w:numId="24">
    <w:abstractNumId w:val="13"/>
  </w:num>
  <w:num w:numId="25">
    <w:abstractNumId w:val="17"/>
  </w:num>
  <w:num w:numId="26">
    <w:abstractNumId w:val="29"/>
  </w:num>
  <w:num w:numId="27">
    <w:abstractNumId w:val="21"/>
  </w:num>
  <w:num w:numId="28">
    <w:abstractNumId w:val="3"/>
  </w:num>
  <w:num w:numId="29">
    <w:abstractNumId w:val="19"/>
  </w:num>
  <w:num w:numId="30">
    <w:abstractNumId w:val="32"/>
  </w:num>
  <w:num w:numId="31">
    <w:abstractNumId w:val="1"/>
  </w:num>
  <w:num w:numId="32">
    <w:abstractNumId w:val="0"/>
  </w:num>
  <w:num w:numId="33">
    <w:abstractNumId w:val="6"/>
  </w:num>
  <w:num w:numId="34">
    <w:abstractNumId w:val="9"/>
  </w:num>
  <w:num w:numId="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revisionView w:markup="0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ocStatus" w:val="Green"/>
    <w:docVar w:name="LW_ACCOMPAGNANT.CP" w:val="to the "/>
    <w:docVar w:name="LW_ANNEX_NBR_FIRST" w:val="1"/>
    <w:docVar w:name="LW_ANNEX_NBR_LAST" w:val="9"/>
    <w:docVar w:name="LW_ANNEX_UNIQUE" w:val="0"/>
    <w:docVar w:name="LW_CORRIGENDUM" w:val="&lt;UNUSED&gt;"/>
    <w:docVar w:name="LW_COVERPAGE_EXISTS" w:val="True"/>
    <w:docVar w:name="LW_COVERPAGE_GUID" w:val="6AB2E180-ABE3-430B-BB83-D9CBBF726CF9"/>
    <w:docVar w:name="LW_COVERPAGE_TYPE" w:val="1"/>
    <w:docVar w:name="LW_CROSSREFERENCE" w:val="&lt;UNUSED&gt;"/>
    <w:docVar w:name="LW_DocType" w:val="NORMAL"/>
    <w:docVar w:name="LW_EMISSION" w:val="26.2.2020"/>
    <w:docVar w:name="LW_EMISSION_ISODATE" w:val="2020-02-26"/>
    <w:docVar w:name="LW_EMISSION_LOCATION" w:val="BRX"/>
    <w:docVar w:name="LW_EMISSION_PREFIX" w:val="Brussels, "/>
    <w:docVar w:name="LW_EMISSION_SUFFIX" w:val=" "/>
    <w:docVar w:name="LW_ID_DOCTYPE_NONLW" w:val="CP-039"/>
    <w:docVar w:name="LW_LANGUE" w:val="EN"/>
    <w:docVar w:name="LW_LEVEL_OF_SENSITIVITY" w:val="Standard treatment"/>
    <w:docVar w:name="LW_NOM.INST" w:val="EUROPEAN COMMISSION"/>
    <w:docVar w:name="LW_NOM.INST_JOINTDOC" w:val="&lt;EMPTY&gt;"/>
    <w:docVar w:name="LW_OBJETACTEPRINCIPAL.CP" w:val="on the application by the Member States of Council Directive 95/50/EC on uniform procedures for checks on the transport of dangerous goods by road"/>
    <w:docVar w:name="LW_PART_NBR" w:val="&lt;UNUSED&gt;"/>
    <w:docVar w:name="LW_PART_NBR_TOTAL" w:val="&lt;UNUSED&gt;"/>
    <w:docVar w:name="LW_REF.INST.NEW" w:val="COM"/>
    <w:docVar w:name="LW_REF.INST.NEW_ADOPTED" w:val="final"/>
    <w:docVar w:name="LW_REF.INST.NEW_TEXT" w:val="(2020) 69"/>
    <w:docVar w:name="LW_REF.INTERNE" w:val="&lt;UNUSED&gt;"/>
    <w:docVar w:name="LW_SENSITIVITY" w:val="&lt;?xml version=&quot;1.0&quot; encoding=&quot;utf-8&quot;?&gt;_x000d__x000a_&lt;SensitivityLevel xmlns:xsi=&quot;http://www.w3.org/2001/XMLSchema-instance&quot; xmlns:xsd=&quot;http://www.w3.org/2001/XMLSchema&quot; id=&quot;standard&quot;&gt;_x000d__x000a_  &lt;nicename EN=&quot;Standard treatment&quot; FR=&quot;Traitement standard&quot; /&gt;_x000d__x000a_  &lt;documentProperty&gt;Standard treatment&lt;/documentProperty&gt;_x000d__x000a_  &lt;markingConfig isAvailable=&quot;false&quot; isMandatory=&quot;false&quot; sensitiveMarkingMandatory=&quot;false&quot; specialMarkingMandatory=&quot;true&quot; isOptionDisplayInHeaderAvailable=&quot;true&quot; sensitiveMarkingListSee=&quot;SensitiveMarkings&quot; specialMarkingListSee=&quot;SpecialMarkings&quot; sensitiveFootnoteTextSee=&quot;sensitiveFootnote&quot; specialFootnoteTextSee=&quot;specialFootnote&quot; /&gt;_x000d__x000a_  &lt;chosenMainMarking xsi:nil=&quot;true&quot; /&gt;_x000d__x000a_  &lt;dateMarking xsi:nil=&quot;true&quot; /&gt;_x000d__x000a_  &lt;releasableToConfig isAvailable=&quot;false&quot; institutionListSee=&quot;DefaultInstitutions&quot; /&gt;_x000d__x000a_  &lt;chosenReleasableTo xsi:nil=&quot;true&quot; /&gt;_x000d__x000a_  &lt;detached xsi:nil=&quot;true&quot; /&gt;_x000d__x000a_  &lt;declassify xsi:nil=&quot;true&quot; /&gt;_x000d__x000a_  &lt;headerTexts xsi:nil=&quot;true&quot; /&gt;_x000d__x000a_  &lt;footerTexts xsi:nil=&quot;true&quot; /&gt;_x000d__x000a_  &lt;isRestricted&gt;false&lt;/isRestricted&gt;_x000d__x000a_&lt;/SensitivityLevel&gt;"/>
    <w:docVar w:name="LW_SUPERTITRE" w:val="&lt;UNUSED&gt;"/>
    <w:docVar w:name="LW_TYPE.DOC.CP" w:val="ANNEXES_x000b_"/>
    <w:docVar w:name="LW_TYPEACTEPRINCIPAL.CP" w:val="REPORT FROM THE COMMISSION TO THE EUROPEAN PARLIAMENT AND THE COUNCIL"/>
  </w:docVar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0"/>
    <w:lsdException w:name="toc 4" w:uiPriority="0"/>
    <w:lsdException w:name="toc 5" w:uiPriority="39"/>
    <w:lsdException w:name="toc 6" w:uiPriority="0"/>
    <w:lsdException w:name="toc 7" w:uiPriority="0"/>
    <w:lsdException w:name="toc 8" w:uiPriority="0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table of figures" w:uiPriority="0"/>
    <w:lsdException w:name="footnote reference" w:uiPriority="0"/>
    <w:lsdException w:name="annotation reference" w:uiPriority="0"/>
    <w:lsdException w:name="page number" w:uiPriority="0"/>
    <w:lsdException w:name="toa heading" w:uiPriority="0"/>
    <w:lsdException w:name="List Bullet" w:uiPriority="0"/>
    <w:lsdException w:name="List Number" w:uiPriority="0"/>
    <w:lsdException w:name="List Bullet 2" w:uiPriority="0"/>
    <w:lsdException w:name="List Bullet 3" w:uiPriority="0"/>
    <w:lsdException w:name="List Bullet 4" w:uiPriority="0"/>
    <w:lsdException w:name="List Number 2" w:uiPriority="0"/>
    <w:lsdException w:name="List Number 3" w:uiPriority="0"/>
    <w:lsdException w:name="List Number 4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Text1"/>
    <w:link w:val="Heading1Char"/>
    <w:qFormat/>
    <w:pPr>
      <w:keepNext/>
      <w:numPr>
        <w:numId w:val="8"/>
      </w:numPr>
      <w:spacing w:before="360" w:after="12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mallCaps/>
      <w:sz w:val="24"/>
      <w:szCs w:val="32"/>
    </w:rPr>
  </w:style>
  <w:style w:type="paragraph" w:styleId="Heading2">
    <w:name w:val="heading 2"/>
    <w:basedOn w:val="Normal"/>
    <w:next w:val="Text1"/>
    <w:link w:val="Heading2Char"/>
    <w:qFormat/>
    <w:pPr>
      <w:keepNext/>
      <w:numPr>
        <w:ilvl w:val="1"/>
        <w:numId w:val="8"/>
      </w:numPr>
      <w:spacing w:before="120" w:after="120" w:line="240" w:lineRule="auto"/>
      <w:jc w:val="both"/>
      <w:outlineLvl w:val="1"/>
    </w:pPr>
    <w:rPr>
      <w:rFonts w:ascii="Times New Roman" w:eastAsia="Times New Roman" w:hAnsi="Times New Roman" w:cs="Times New Roman"/>
      <w:b/>
      <w:bCs/>
      <w:iCs/>
      <w:sz w:val="24"/>
      <w:szCs w:val="28"/>
    </w:rPr>
  </w:style>
  <w:style w:type="paragraph" w:styleId="Heading3">
    <w:name w:val="heading 3"/>
    <w:basedOn w:val="Normal"/>
    <w:next w:val="Text1"/>
    <w:link w:val="Heading3Char"/>
    <w:qFormat/>
    <w:pPr>
      <w:keepNext/>
      <w:numPr>
        <w:ilvl w:val="2"/>
        <w:numId w:val="8"/>
      </w:numPr>
      <w:spacing w:before="120" w:after="120" w:line="240" w:lineRule="auto"/>
      <w:jc w:val="both"/>
      <w:outlineLvl w:val="2"/>
    </w:pPr>
    <w:rPr>
      <w:rFonts w:ascii="Times New Roman" w:eastAsia="Times New Roman" w:hAnsi="Times New Roman" w:cs="Times New Roman"/>
      <w:bCs/>
      <w:i/>
      <w:sz w:val="24"/>
      <w:szCs w:val="26"/>
    </w:rPr>
  </w:style>
  <w:style w:type="paragraph" w:styleId="Heading4">
    <w:name w:val="heading 4"/>
    <w:basedOn w:val="Normal"/>
    <w:next w:val="Text1"/>
    <w:link w:val="Heading4Char"/>
    <w:qFormat/>
    <w:pPr>
      <w:keepNext/>
      <w:numPr>
        <w:ilvl w:val="3"/>
        <w:numId w:val="8"/>
      </w:numPr>
      <w:spacing w:before="120" w:after="120" w:line="240" w:lineRule="auto"/>
      <w:jc w:val="both"/>
      <w:outlineLvl w:val="3"/>
    </w:pPr>
    <w:rPr>
      <w:rFonts w:ascii="Times New Roman" w:eastAsia="Times New Roman" w:hAnsi="Times New Roman" w:cs="Times New Roman"/>
      <w:bCs/>
      <w:sz w:val="24"/>
      <w:szCs w:val="28"/>
    </w:rPr>
  </w:style>
  <w:style w:type="paragraph" w:styleId="Heading5">
    <w:name w:val="heading 5"/>
    <w:basedOn w:val="Normal"/>
    <w:next w:val="Normal"/>
    <w:link w:val="Heading5Char"/>
    <w:qFormat/>
    <w:pPr>
      <w:spacing w:before="240" w:after="60" w:line="240" w:lineRule="auto"/>
      <w:jc w:val="both"/>
      <w:outlineLvl w:val="4"/>
    </w:pPr>
    <w:rPr>
      <w:rFonts w:ascii="Arial" w:eastAsia="Times New Roman" w:hAnsi="Arial" w:cs="Times New Roman"/>
      <w:szCs w:val="20"/>
      <w:lang w:eastAsia="en-GB"/>
    </w:rPr>
  </w:style>
  <w:style w:type="paragraph" w:styleId="Heading6">
    <w:name w:val="heading 6"/>
    <w:basedOn w:val="Normal"/>
    <w:next w:val="Normal"/>
    <w:link w:val="Heading6Char"/>
    <w:qFormat/>
    <w:pPr>
      <w:spacing w:before="240" w:after="60" w:line="240" w:lineRule="auto"/>
      <w:jc w:val="both"/>
      <w:outlineLvl w:val="5"/>
    </w:pPr>
    <w:rPr>
      <w:rFonts w:ascii="Arial" w:eastAsia="Times New Roman" w:hAnsi="Arial" w:cs="Times New Roman"/>
      <w:i/>
      <w:szCs w:val="20"/>
      <w:lang w:eastAsia="en-GB"/>
    </w:rPr>
  </w:style>
  <w:style w:type="paragraph" w:styleId="Heading7">
    <w:name w:val="heading 7"/>
    <w:basedOn w:val="Normal"/>
    <w:next w:val="Normal"/>
    <w:link w:val="Heading7Char"/>
    <w:qFormat/>
    <w:pPr>
      <w:spacing w:before="240" w:after="60" w:line="240" w:lineRule="auto"/>
      <w:jc w:val="both"/>
      <w:outlineLvl w:val="6"/>
    </w:pPr>
    <w:rPr>
      <w:rFonts w:ascii="Arial" w:eastAsia="Times New Roman" w:hAnsi="Arial" w:cs="Times New Roman"/>
      <w:sz w:val="20"/>
      <w:szCs w:val="20"/>
      <w:lang w:eastAsia="en-GB"/>
    </w:rPr>
  </w:style>
  <w:style w:type="paragraph" w:styleId="Heading8">
    <w:name w:val="heading 8"/>
    <w:basedOn w:val="Normal"/>
    <w:next w:val="Normal"/>
    <w:link w:val="Heading8Char"/>
    <w:qFormat/>
    <w:pPr>
      <w:spacing w:before="240" w:after="60" w:line="240" w:lineRule="auto"/>
      <w:jc w:val="both"/>
      <w:outlineLvl w:val="7"/>
    </w:pPr>
    <w:rPr>
      <w:rFonts w:ascii="Arial" w:eastAsia="Times New Roman" w:hAnsi="Arial" w:cs="Times New Roman"/>
      <w:i/>
      <w:sz w:val="20"/>
      <w:szCs w:val="20"/>
      <w:lang w:eastAsia="en-GB"/>
    </w:rPr>
  </w:style>
  <w:style w:type="paragraph" w:styleId="Heading9">
    <w:name w:val="heading 9"/>
    <w:basedOn w:val="Normal"/>
    <w:next w:val="Normal"/>
    <w:link w:val="Heading9Char"/>
    <w:qFormat/>
    <w:pPr>
      <w:spacing w:before="240" w:after="60" w:line="240" w:lineRule="auto"/>
      <w:jc w:val="both"/>
      <w:outlineLvl w:val="8"/>
    </w:pPr>
    <w:rPr>
      <w:rFonts w:ascii="Arial" w:eastAsia="Times New Roman" w:hAnsi="Arial" w:cs="Times New Roman"/>
      <w:i/>
      <w:sz w:val="18"/>
      <w:szCs w:val="20"/>
      <w:lang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Pr>
      <w:rFonts w:ascii="Times New Roman" w:eastAsia="Times New Roman" w:hAnsi="Times New Roman" w:cs="Times New Roman"/>
      <w:b/>
      <w:bCs/>
      <w:smallCaps/>
      <w:sz w:val="24"/>
      <w:szCs w:val="32"/>
    </w:rPr>
  </w:style>
  <w:style w:type="character" w:customStyle="1" w:styleId="Heading2Char">
    <w:name w:val="Heading 2 Char"/>
    <w:basedOn w:val="DefaultParagraphFont"/>
    <w:link w:val="Heading2"/>
    <w:rPr>
      <w:rFonts w:ascii="Times New Roman" w:eastAsia="Times New Roman" w:hAnsi="Times New Roman" w:cs="Times New Roman"/>
      <w:b/>
      <w:bCs/>
      <w:iCs/>
      <w:sz w:val="24"/>
      <w:szCs w:val="28"/>
    </w:rPr>
  </w:style>
  <w:style w:type="character" w:customStyle="1" w:styleId="Heading3Char">
    <w:name w:val="Heading 3 Char"/>
    <w:basedOn w:val="DefaultParagraphFont"/>
    <w:link w:val="Heading3"/>
    <w:rPr>
      <w:rFonts w:ascii="Times New Roman" w:eastAsia="Times New Roman" w:hAnsi="Times New Roman" w:cs="Times New Roman"/>
      <w:bCs/>
      <w:i/>
      <w:sz w:val="24"/>
      <w:szCs w:val="26"/>
    </w:rPr>
  </w:style>
  <w:style w:type="character" w:customStyle="1" w:styleId="Heading4Char">
    <w:name w:val="Heading 4 Char"/>
    <w:basedOn w:val="DefaultParagraphFont"/>
    <w:link w:val="Heading4"/>
    <w:rPr>
      <w:rFonts w:ascii="Times New Roman" w:eastAsia="Times New Roman" w:hAnsi="Times New Roman" w:cs="Times New Roman"/>
      <w:bCs/>
      <w:sz w:val="24"/>
      <w:szCs w:val="28"/>
    </w:rPr>
  </w:style>
  <w:style w:type="character" w:customStyle="1" w:styleId="Heading5Char">
    <w:name w:val="Heading 5 Char"/>
    <w:basedOn w:val="DefaultParagraphFont"/>
    <w:link w:val="Heading5"/>
    <w:rPr>
      <w:rFonts w:ascii="Arial" w:eastAsia="Times New Roman" w:hAnsi="Arial" w:cs="Times New Roman"/>
      <w:szCs w:val="20"/>
      <w:lang w:eastAsia="en-GB"/>
    </w:rPr>
  </w:style>
  <w:style w:type="character" w:customStyle="1" w:styleId="Heading6Char">
    <w:name w:val="Heading 6 Char"/>
    <w:basedOn w:val="DefaultParagraphFont"/>
    <w:link w:val="Heading6"/>
    <w:rPr>
      <w:rFonts w:ascii="Arial" w:eastAsia="Times New Roman" w:hAnsi="Arial" w:cs="Times New Roman"/>
      <w:i/>
      <w:szCs w:val="20"/>
      <w:lang w:eastAsia="en-GB"/>
    </w:rPr>
  </w:style>
  <w:style w:type="character" w:customStyle="1" w:styleId="Heading7Char">
    <w:name w:val="Heading 7 Char"/>
    <w:basedOn w:val="DefaultParagraphFont"/>
    <w:link w:val="Heading7"/>
    <w:rPr>
      <w:rFonts w:ascii="Arial" w:eastAsia="Times New Roman" w:hAnsi="Arial" w:cs="Times New Roman"/>
      <w:sz w:val="20"/>
      <w:szCs w:val="20"/>
      <w:lang w:eastAsia="en-GB"/>
    </w:rPr>
  </w:style>
  <w:style w:type="character" w:customStyle="1" w:styleId="Heading8Char">
    <w:name w:val="Heading 8 Char"/>
    <w:basedOn w:val="DefaultParagraphFont"/>
    <w:link w:val="Heading8"/>
    <w:rPr>
      <w:rFonts w:ascii="Arial" w:eastAsia="Times New Roman" w:hAnsi="Arial" w:cs="Times New Roman"/>
      <w:i/>
      <w:sz w:val="20"/>
      <w:szCs w:val="20"/>
      <w:lang w:eastAsia="en-GB"/>
    </w:rPr>
  </w:style>
  <w:style w:type="character" w:customStyle="1" w:styleId="Heading9Char">
    <w:name w:val="Heading 9 Char"/>
    <w:basedOn w:val="DefaultParagraphFont"/>
    <w:link w:val="Heading9"/>
    <w:rPr>
      <w:rFonts w:ascii="Arial" w:eastAsia="Times New Roman" w:hAnsi="Arial" w:cs="Times New Roman"/>
      <w:i/>
      <w:sz w:val="18"/>
      <w:szCs w:val="20"/>
      <w:lang w:eastAsia="en-GB"/>
    </w:rPr>
  </w:style>
  <w:style w:type="character" w:customStyle="1" w:styleId="Marker">
    <w:name w:val="Marker"/>
    <w:basedOn w:val="DefaultParagraphFont"/>
    <w:rPr>
      <w:color w:val="0000FF"/>
      <w:shd w:val="clear" w:color="auto" w:fill="auto"/>
    </w:rPr>
  </w:style>
  <w:style w:type="paragraph" w:customStyle="1" w:styleId="Pagedecouverture">
    <w:name w:val="Page de couverture"/>
    <w:basedOn w:val="Normal"/>
    <w:next w:val="Normal"/>
    <w:pPr>
      <w:spacing w:after="0" w:line="240" w:lineRule="auto"/>
      <w:jc w:val="both"/>
    </w:pPr>
    <w:rPr>
      <w:rFonts w:ascii="Times New Roman" w:hAnsi="Times New Roman" w:cs="Times New Roman"/>
      <w:sz w:val="24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35"/>
        <w:tab w:val="right" w:pos="9071"/>
      </w:tabs>
      <w:spacing w:after="120" w:line="240" w:lineRule="auto"/>
      <w:jc w:val="both"/>
    </w:pPr>
    <w:rPr>
      <w:rFonts w:ascii="Times New Roman" w:hAnsi="Times New Roman" w:cs="Times New Roman"/>
      <w:sz w:val="24"/>
    </w:rPr>
  </w:style>
  <w:style w:type="character" w:customStyle="1" w:styleId="HeaderChar">
    <w:name w:val="Header Char"/>
    <w:basedOn w:val="DefaultParagraphFont"/>
    <w:link w:val="Header"/>
    <w:uiPriority w:val="99"/>
    <w:rPr>
      <w:rFonts w:ascii="Times New Roman" w:hAnsi="Times New Roman" w:cs="Times New Roman"/>
      <w:sz w:val="24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35"/>
        <w:tab w:val="right" w:pos="9071"/>
        <w:tab w:val="right" w:pos="9921"/>
      </w:tabs>
      <w:spacing w:before="360" w:after="0" w:line="240" w:lineRule="auto"/>
      <w:ind w:left="-850" w:right="-850"/>
    </w:pPr>
    <w:rPr>
      <w:rFonts w:ascii="Times New Roman" w:hAnsi="Times New Roman" w:cs="Times New Roman"/>
      <w:sz w:val="24"/>
    </w:rPr>
  </w:style>
  <w:style w:type="character" w:customStyle="1" w:styleId="FooterChar">
    <w:name w:val="Footer Char"/>
    <w:basedOn w:val="DefaultParagraphFont"/>
    <w:link w:val="Footer"/>
    <w:uiPriority w:val="99"/>
    <w:rPr>
      <w:rFonts w:ascii="Times New Roman" w:hAnsi="Times New Roman" w:cs="Times New Roman"/>
      <w:sz w:val="24"/>
    </w:rPr>
  </w:style>
  <w:style w:type="paragraph" w:customStyle="1" w:styleId="FooterCoverPage">
    <w:name w:val="Footer Cover Page"/>
    <w:basedOn w:val="Normal"/>
    <w:link w:val="FooterCoverPageChar"/>
    <w:pPr>
      <w:tabs>
        <w:tab w:val="center" w:pos="4535"/>
        <w:tab w:val="right" w:pos="9071"/>
        <w:tab w:val="right" w:pos="9921"/>
      </w:tabs>
      <w:spacing w:before="360" w:after="0" w:line="240" w:lineRule="auto"/>
      <w:ind w:left="-850" w:right="-850"/>
    </w:pPr>
    <w:rPr>
      <w:rFonts w:ascii="Times New Roman" w:hAnsi="Times New Roman" w:cs="Times New Roman"/>
      <w:sz w:val="24"/>
    </w:rPr>
  </w:style>
  <w:style w:type="character" w:customStyle="1" w:styleId="FooterCoverPageChar">
    <w:name w:val="Footer Cover Page Char"/>
    <w:basedOn w:val="DefaultParagraphFont"/>
    <w:link w:val="FooterCoverPage"/>
    <w:rPr>
      <w:rFonts w:ascii="Times New Roman" w:hAnsi="Times New Roman" w:cs="Times New Roman"/>
      <w:sz w:val="24"/>
    </w:rPr>
  </w:style>
  <w:style w:type="paragraph" w:customStyle="1" w:styleId="HeaderCoverPage">
    <w:name w:val="Header Cover Page"/>
    <w:basedOn w:val="Normal"/>
    <w:link w:val="HeaderCoverPageChar"/>
    <w:pPr>
      <w:tabs>
        <w:tab w:val="center" w:pos="4535"/>
        <w:tab w:val="right" w:pos="9071"/>
      </w:tabs>
      <w:spacing w:after="120" w:line="240" w:lineRule="auto"/>
      <w:jc w:val="both"/>
    </w:pPr>
    <w:rPr>
      <w:rFonts w:ascii="Times New Roman" w:hAnsi="Times New Roman" w:cs="Times New Roman"/>
      <w:sz w:val="24"/>
    </w:rPr>
  </w:style>
  <w:style w:type="character" w:customStyle="1" w:styleId="HeaderCoverPageChar">
    <w:name w:val="Header Cover Page Char"/>
    <w:basedOn w:val="DefaultParagraphFont"/>
    <w:link w:val="HeaderCoverPage"/>
    <w:rPr>
      <w:rFonts w:ascii="Times New Roman" w:hAnsi="Times New Roman" w:cs="Times New Roman"/>
      <w:sz w:val="24"/>
    </w:rPr>
  </w:style>
  <w:style w:type="numbering" w:customStyle="1" w:styleId="NoList1">
    <w:name w:val="No List1"/>
    <w:next w:val="NoList"/>
    <w:uiPriority w:val="99"/>
    <w:semiHidden/>
    <w:unhideWhenUsed/>
  </w:style>
  <w:style w:type="paragraph" w:styleId="FootnoteText">
    <w:name w:val="footnote text"/>
    <w:basedOn w:val="Normal"/>
    <w:link w:val="FootnoteTextChar"/>
    <w:semiHidden/>
    <w:pPr>
      <w:spacing w:after="0" w:line="240" w:lineRule="auto"/>
      <w:ind w:left="720" w:hanging="720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Pr>
      <w:rFonts w:ascii="Times New Roman" w:eastAsia="Times New Roman" w:hAnsi="Times New Roman" w:cs="Times New Roman"/>
      <w:sz w:val="20"/>
      <w:szCs w:val="20"/>
    </w:rPr>
  </w:style>
  <w:style w:type="paragraph" w:styleId="TOC1">
    <w:name w:val="toc 1"/>
    <w:basedOn w:val="Normal"/>
    <w:next w:val="Normal"/>
    <w:uiPriority w:val="39"/>
    <w:pPr>
      <w:tabs>
        <w:tab w:val="right" w:leader="dot" w:pos="9071"/>
      </w:tabs>
      <w:spacing w:before="60" w:after="120" w:line="240" w:lineRule="auto"/>
      <w:ind w:left="850" w:hanging="850"/>
    </w:pPr>
    <w:rPr>
      <w:rFonts w:ascii="Times New Roman" w:eastAsia="Times New Roman" w:hAnsi="Times New Roman" w:cs="Times New Roman"/>
      <w:sz w:val="24"/>
      <w:szCs w:val="24"/>
    </w:rPr>
  </w:style>
  <w:style w:type="paragraph" w:styleId="TOC2">
    <w:name w:val="toc 2"/>
    <w:basedOn w:val="Normal"/>
    <w:next w:val="Normal"/>
    <w:uiPriority w:val="39"/>
    <w:pPr>
      <w:tabs>
        <w:tab w:val="right" w:leader="dot" w:pos="9071"/>
      </w:tabs>
      <w:spacing w:before="60" w:after="120" w:line="240" w:lineRule="auto"/>
      <w:ind w:left="850" w:hanging="850"/>
    </w:pPr>
    <w:rPr>
      <w:rFonts w:ascii="Times New Roman" w:eastAsia="Times New Roman" w:hAnsi="Times New Roman" w:cs="Times New Roman"/>
      <w:sz w:val="24"/>
      <w:szCs w:val="24"/>
    </w:rPr>
  </w:style>
  <w:style w:type="paragraph" w:styleId="TOC3">
    <w:name w:val="toc 3"/>
    <w:basedOn w:val="Normal"/>
    <w:next w:val="Normal"/>
    <w:semiHidden/>
    <w:pPr>
      <w:tabs>
        <w:tab w:val="right" w:leader="dot" w:pos="9071"/>
      </w:tabs>
      <w:spacing w:before="60" w:after="120" w:line="240" w:lineRule="auto"/>
      <w:ind w:left="850" w:hanging="850"/>
    </w:pPr>
    <w:rPr>
      <w:rFonts w:ascii="Times New Roman" w:eastAsia="Times New Roman" w:hAnsi="Times New Roman" w:cs="Times New Roman"/>
      <w:sz w:val="24"/>
      <w:szCs w:val="24"/>
    </w:rPr>
  </w:style>
  <w:style w:type="paragraph" w:styleId="TOC4">
    <w:name w:val="toc 4"/>
    <w:basedOn w:val="Normal"/>
    <w:next w:val="Normal"/>
    <w:semiHidden/>
    <w:pPr>
      <w:tabs>
        <w:tab w:val="right" w:leader="dot" w:pos="9071"/>
      </w:tabs>
      <w:spacing w:before="60" w:after="120" w:line="240" w:lineRule="auto"/>
      <w:ind w:left="850" w:hanging="850"/>
    </w:pPr>
    <w:rPr>
      <w:rFonts w:ascii="Times New Roman" w:eastAsia="Times New Roman" w:hAnsi="Times New Roman" w:cs="Times New Roman"/>
      <w:sz w:val="24"/>
      <w:szCs w:val="24"/>
    </w:rPr>
  </w:style>
  <w:style w:type="paragraph" w:styleId="TOC5">
    <w:name w:val="toc 5"/>
    <w:basedOn w:val="Normal"/>
    <w:next w:val="Normal"/>
    <w:uiPriority w:val="39"/>
    <w:pPr>
      <w:tabs>
        <w:tab w:val="right" w:leader="dot" w:pos="9071"/>
      </w:tabs>
      <w:spacing w:before="30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OC6">
    <w:name w:val="toc 6"/>
    <w:basedOn w:val="Normal"/>
    <w:next w:val="Normal"/>
    <w:semiHidden/>
    <w:pPr>
      <w:tabs>
        <w:tab w:val="right" w:leader="dot" w:pos="9071"/>
      </w:tabs>
      <w:spacing w:before="24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OC7">
    <w:name w:val="toc 7"/>
    <w:basedOn w:val="Normal"/>
    <w:next w:val="Normal"/>
    <w:semiHidden/>
    <w:pPr>
      <w:tabs>
        <w:tab w:val="right" w:leader="dot" w:pos="9071"/>
      </w:tabs>
      <w:spacing w:before="18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OC8">
    <w:name w:val="toc 8"/>
    <w:basedOn w:val="Normal"/>
    <w:next w:val="Normal"/>
    <w:semiHidden/>
    <w:pPr>
      <w:tabs>
        <w:tab w:val="right" w:leader="dot" w:pos="9071"/>
      </w:tabs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OC9">
    <w:name w:val="toc 9"/>
    <w:basedOn w:val="Normal"/>
    <w:next w:val="Normal"/>
    <w:uiPriority w:val="39"/>
    <w:pPr>
      <w:tabs>
        <w:tab w:val="right" w:leader="dot" w:pos="9071"/>
      </w:tabs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Landscape">
    <w:name w:val="HeaderLandscape"/>
    <w:basedOn w:val="Normal"/>
    <w:pPr>
      <w:tabs>
        <w:tab w:val="center" w:pos="7285"/>
        <w:tab w:val="right" w:pos="14003"/>
      </w:tabs>
      <w:spacing w:after="120" w:line="240" w:lineRule="auto"/>
      <w:jc w:val="both"/>
    </w:pPr>
    <w:rPr>
      <w:rFonts w:ascii="Times New Roman" w:hAnsi="Times New Roman" w:cs="Times New Roman"/>
      <w:sz w:val="24"/>
    </w:rPr>
  </w:style>
  <w:style w:type="paragraph" w:customStyle="1" w:styleId="FooterLandscape">
    <w:name w:val="FooterLandscape"/>
    <w:basedOn w:val="Normal"/>
    <w:pPr>
      <w:tabs>
        <w:tab w:val="center" w:pos="7285"/>
        <w:tab w:val="center" w:pos="10913"/>
        <w:tab w:val="right" w:pos="15137"/>
      </w:tabs>
      <w:spacing w:before="360" w:after="0" w:line="240" w:lineRule="auto"/>
      <w:ind w:left="-567" w:right="-567"/>
    </w:pPr>
    <w:rPr>
      <w:rFonts w:ascii="Times New Roman" w:hAnsi="Times New Roman" w:cs="Times New Roman"/>
      <w:sz w:val="24"/>
    </w:rPr>
  </w:style>
  <w:style w:type="character" w:styleId="FootnoteReference">
    <w:name w:val="footnote reference"/>
    <w:semiHidden/>
    <w:rPr>
      <w:shd w:val="clear" w:color="auto" w:fill="auto"/>
      <w:vertAlign w:val="superscript"/>
    </w:rPr>
  </w:style>
  <w:style w:type="paragraph" w:customStyle="1" w:styleId="Text1">
    <w:name w:val="Text 1"/>
    <w:basedOn w:val="Normal"/>
    <w:pPr>
      <w:spacing w:before="120" w:after="120" w:line="240" w:lineRule="auto"/>
      <w:ind w:left="85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2">
    <w:name w:val="Text 2"/>
    <w:basedOn w:val="Normal"/>
    <w:pPr>
      <w:spacing w:before="120" w:after="120" w:line="240" w:lineRule="auto"/>
      <w:ind w:left="141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3">
    <w:name w:val="Text 3"/>
    <w:basedOn w:val="Normal"/>
    <w:pPr>
      <w:spacing w:before="120" w:after="120" w:line="240" w:lineRule="auto"/>
      <w:ind w:left="198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4">
    <w:name w:val="Text 4"/>
    <w:basedOn w:val="Normal"/>
    <w:pPr>
      <w:spacing w:before="120" w:after="120" w:line="240" w:lineRule="auto"/>
      <w:ind w:left="255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Centered">
    <w:name w:val="Normal Centered"/>
    <w:basedOn w:val="Normal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Left">
    <w:name w:val="Normal Left"/>
    <w:basedOn w:val="Normal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Right">
    <w:name w:val="Normal Right"/>
    <w:basedOn w:val="Normal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QuotedText">
    <w:name w:val="Quoted Text"/>
    <w:basedOn w:val="Normal"/>
    <w:pPr>
      <w:spacing w:before="120" w:after="120" w:line="240" w:lineRule="auto"/>
      <w:ind w:left="141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0">
    <w:name w:val="Point 0"/>
    <w:basedOn w:val="Normal"/>
    <w:pPr>
      <w:spacing w:before="120" w:after="120" w:line="240" w:lineRule="auto"/>
      <w:ind w:left="850" w:hanging="85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1">
    <w:name w:val="Point 1"/>
    <w:basedOn w:val="Normal"/>
    <w:pPr>
      <w:spacing w:before="120" w:after="120" w:line="240" w:lineRule="auto"/>
      <w:ind w:left="1417" w:hanging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2">
    <w:name w:val="Point 2"/>
    <w:basedOn w:val="Normal"/>
    <w:pPr>
      <w:spacing w:before="120" w:after="120" w:line="240" w:lineRule="auto"/>
      <w:ind w:left="1984" w:hanging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3">
    <w:name w:val="Point 3"/>
    <w:basedOn w:val="Normal"/>
    <w:pPr>
      <w:spacing w:before="120" w:after="120" w:line="240" w:lineRule="auto"/>
      <w:ind w:left="2551" w:hanging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4">
    <w:name w:val="Point 4"/>
    <w:basedOn w:val="Normal"/>
    <w:pPr>
      <w:spacing w:before="120" w:after="120" w:line="240" w:lineRule="auto"/>
      <w:ind w:left="3118" w:hanging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ret0">
    <w:name w:val="Tiret 0"/>
    <w:basedOn w:val="Point0"/>
    <w:pPr>
      <w:numPr>
        <w:numId w:val="2"/>
      </w:numPr>
    </w:pPr>
  </w:style>
  <w:style w:type="paragraph" w:customStyle="1" w:styleId="Tiret1">
    <w:name w:val="Tiret 1"/>
    <w:basedOn w:val="Point1"/>
    <w:pPr>
      <w:numPr>
        <w:numId w:val="3"/>
      </w:numPr>
    </w:pPr>
  </w:style>
  <w:style w:type="paragraph" w:customStyle="1" w:styleId="Tiret2">
    <w:name w:val="Tiret 2"/>
    <w:basedOn w:val="Point2"/>
    <w:pPr>
      <w:numPr>
        <w:numId w:val="4"/>
      </w:numPr>
    </w:pPr>
  </w:style>
  <w:style w:type="paragraph" w:customStyle="1" w:styleId="Tiret3">
    <w:name w:val="Tiret 3"/>
    <w:basedOn w:val="Point3"/>
    <w:pPr>
      <w:numPr>
        <w:numId w:val="5"/>
      </w:numPr>
    </w:pPr>
  </w:style>
  <w:style w:type="paragraph" w:customStyle="1" w:styleId="Tiret4">
    <w:name w:val="Tiret 4"/>
    <w:basedOn w:val="Point4"/>
    <w:pPr>
      <w:numPr>
        <w:numId w:val="6"/>
      </w:numPr>
    </w:pPr>
  </w:style>
  <w:style w:type="paragraph" w:customStyle="1" w:styleId="PointDouble0">
    <w:name w:val="PointDouble 0"/>
    <w:basedOn w:val="Normal"/>
    <w:pPr>
      <w:tabs>
        <w:tab w:val="left" w:pos="850"/>
      </w:tabs>
      <w:spacing w:before="120" w:after="120" w:line="240" w:lineRule="auto"/>
      <w:ind w:left="1417" w:hanging="141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Double1">
    <w:name w:val="PointDouble 1"/>
    <w:basedOn w:val="Normal"/>
    <w:pPr>
      <w:tabs>
        <w:tab w:val="left" w:pos="1417"/>
      </w:tabs>
      <w:spacing w:before="120" w:after="120" w:line="240" w:lineRule="auto"/>
      <w:ind w:left="1984" w:hanging="113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Double2">
    <w:name w:val="PointDouble 2"/>
    <w:basedOn w:val="Normal"/>
    <w:pPr>
      <w:tabs>
        <w:tab w:val="left" w:pos="1984"/>
      </w:tabs>
      <w:spacing w:before="120" w:after="120" w:line="240" w:lineRule="auto"/>
      <w:ind w:left="2551" w:hanging="113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Double3">
    <w:name w:val="PointDouble 3"/>
    <w:basedOn w:val="Normal"/>
    <w:pPr>
      <w:tabs>
        <w:tab w:val="left" w:pos="2551"/>
      </w:tabs>
      <w:spacing w:before="120" w:after="120" w:line="240" w:lineRule="auto"/>
      <w:ind w:left="3118" w:hanging="113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Double4">
    <w:name w:val="PointDouble 4"/>
    <w:basedOn w:val="Normal"/>
    <w:pPr>
      <w:tabs>
        <w:tab w:val="left" w:pos="3118"/>
      </w:tabs>
      <w:spacing w:before="120" w:after="120" w:line="240" w:lineRule="auto"/>
      <w:ind w:left="3685" w:hanging="113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Triple0">
    <w:name w:val="PointTriple 0"/>
    <w:basedOn w:val="Normal"/>
    <w:pPr>
      <w:tabs>
        <w:tab w:val="left" w:pos="850"/>
        <w:tab w:val="left" w:pos="1417"/>
      </w:tabs>
      <w:spacing w:before="120" w:after="120" w:line="240" w:lineRule="auto"/>
      <w:ind w:left="1984" w:hanging="198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Triple1">
    <w:name w:val="PointTriple 1"/>
    <w:basedOn w:val="Normal"/>
    <w:pPr>
      <w:tabs>
        <w:tab w:val="left" w:pos="1417"/>
        <w:tab w:val="left" w:pos="1984"/>
      </w:tabs>
      <w:spacing w:before="120" w:after="120" w:line="240" w:lineRule="auto"/>
      <w:ind w:left="2551" w:hanging="170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Triple2">
    <w:name w:val="PointTriple 2"/>
    <w:basedOn w:val="Normal"/>
    <w:pPr>
      <w:tabs>
        <w:tab w:val="left" w:pos="1984"/>
        <w:tab w:val="left" w:pos="2551"/>
      </w:tabs>
      <w:spacing w:before="120" w:after="120" w:line="240" w:lineRule="auto"/>
      <w:ind w:left="3118" w:hanging="170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Triple3">
    <w:name w:val="PointTriple 3"/>
    <w:basedOn w:val="Normal"/>
    <w:pPr>
      <w:tabs>
        <w:tab w:val="left" w:pos="2551"/>
        <w:tab w:val="left" w:pos="3118"/>
      </w:tabs>
      <w:spacing w:before="120" w:after="120" w:line="240" w:lineRule="auto"/>
      <w:ind w:left="3685" w:hanging="170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Triple4">
    <w:name w:val="PointTriple 4"/>
    <w:basedOn w:val="Normal"/>
    <w:pPr>
      <w:tabs>
        <w:tab w:val="left" w:pos="3118"/>
        <w:tab w:val="left" w:pos="3685"/>
      </w:tabs>
      <w:spacing w:before="120" w:after="120" w:line="240" w:lineRule="auto"/>
      <w:ind w:left="4252" w:hanging="170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umPar1">
    <w:name w:val="NumPar 1"/>
    <w:basedOn w:val="Normal"/>
    <w:next w:val="Text1"/>
    <w:pPr>
      <w:numPr>
        <w:numId w:val="7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umPar2">
    <w:name w:val="NumPar 2"/>
    <w:basedOn w:val="Normal"/>
    <w:next w:val="Text1"/>
    <w:pPr>
      <w:numPr>
        <w:ilvl w:val="1"/>
        <w:numId w:val="7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umPar3">
    <w:name w:val="NumPar 3"/>
    <w:basedOn w:val="Normal"/>
    <w:next w:val="Text1"/>
    <w:pPr>
      <w:numPr>
        <w:ilvl w:val="2"/>
        <w:numId w:val="7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umPar4">
    <w:name w:val="NumPar 4"/>
    <w:basedOn w:val="Normal"/>
    <w:next w:val="Text1"/>
    <w:pPr>
      <w:numPr>
        <w:ilvl w:val="3"/>
        <w:numId w:val="7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nualNumPar1">
    <w:name w:val="Manual NumPar 1"/>
    <w:basedOn w:val="Normal"/>
    <w:next w:val="Text1"/>
    <w:pPr>
      <w:spacing w:before="120" w:after="120" w:line="240" w:lineRule="auto"/>
      <w:ind w:left="850" w:hanging="85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nualNumPar2">
    <w:name w:val="Manual NumPar 2"/>
    <w:basedOn w:val="Normal"/>
    <w:next w:val="Text1"/>
    <w:pPr>
      <w:spacing w:before="120" w:after="120" w:line="240" w:lineRule="auto"/>
      <w:ind w:left="850" w:hanging="85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nualNumPar3">
    <w:name w:val="Manual NumPar 3"/>
    <w:basedOn w:val="Normal"/>
    <w:next w:val="Text1"/>
    <w:pPr>
      <w:spacing w:before="120" w:after="120" w:line="240" w:lineRule="auto"/>
      <w:ind w:left="850" w:hanging="85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nualNumPar4">
    <w:name w:val="Manual NumPar 4"/>
    <w:basedOn w:val="Normal"/>
    <w:next w:val="Text1"/>
    <w:pPr>
      <w:spacing w:before="120" w:after="120" w:line="240" w:lineRule="auto"/>
      <w:ind w:left="850" w:hanging="85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QuotedNumPar">
    <w:name w:val="Quoted NumPar"/>
    <w:basedOn w:val="Normal"/>
    <w:pPr>
      <w:spacing w:before="120" w:after="120" w:line="240" w:lineRule="auto"/>
      <w:ind w:left="1417" w:hanging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nualHeading1">
    <w:name w:val="Manual Heading 1"/>
    <w:basedOn w:val="Normal"/>
    <w:next w:val="Text1"/>
    <w:pPr>
      <w:keepNext/>
      <w:tabs>
        <w:tab w:val="left" w:pos="850"/>
      </w:tabs>
      <w:spacing w:before="360" w:after="120" w:line="240" w:lineRule="auto"/>
      <w:ind w:left="850" w:hanging="850"/>
      <w:jc w:val="both"/>
      <w:outlineLvl w:val="0"/>
    </w:pPr>
    <w:rPr>
      <w:rFonts w:ascii="Times New Roman" w:eastAsia="Times New Roman" w:hAnsi="Times New Roman" w:cs="Times New Roman"/>
      <w:b/>
      <w:smallCaps/>
      <w:sz w:val="24"/>
      <w:szCs w:val="24"/>
    </w:rPr>
  </w:style>
  <w:style w:type="paragraph" w:customStyle="1" w:styleId="ManualHeading2">
    <w:name w:val="Manual Heading 2"/>
    <w:basedOn w:val="Normal"/>
    <w:next w:val="Text1"/>
    <w:pPr>
      <w:keepNext/>
      <w:tabs>
        <w:tab w:val="left" w:pos="850"/>
      </w:tabs>
      <w:spacing w:before="120" w:after="120" w:line="240" w:lineRule="auto"/>
      <w:ind w:left="850" w:hanging="850"/>
      <w:jc w:val="both"/>
      <w:outlineLvl w:val="1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ManualHeading3">
    <w:name w:val="Manual Heading 3"/>
    <w:basedOn w:val="Normal"/>
    <w:next w:val="Text1"/>
    <w:pPr>
      <w:keepNext/>
      <w:tabs>
        <w:tab w:val="left" w:pos="850"/>
      </w:tabs>
      <w:spacing w:before="120" w:after="120" w:line="240" w:lineRule="auto"/>
      <w:ind w:left="850" w:hanging="850"/>
      <w:jc w:val="both"/>
      <w:outlineLvl w:val="2"/>
    </w:pPr>
    <w:rPr>
      <w:rFonts w:ascii="Times New Roman" w:eastAsia="Times New Roman" w:hAnsi="Times New Roman" w:cs="Times New Roman"/>
      <w:i/>
      <w:sz w:val="24"/>
      <w:szCs w:val="24"/>
    </w:rPr>
  </w:style>
  <w:style w:type="paragraph" w:customStyle="1" w:styleId="ManualHeading4">
    <w:name w:val="Manual Heading 4"/>
    <w:basedOn w:val="Normal"/>
    <w:next w:val="Text1"/>
    <w:pPr>
      <w:keepNext/>
      <w:tabs>
        <w:tab w:val="left" w:pos="850"/>
      </w:tabs>
      <w:spacing w:before="120" w:after="120" w:line="240" w:lineRule="auto"/>
      <w:ind w:left="850" w:hanging="850"/>
      <w:jc w:val="both"/>
      <w:outlineLvl w:val="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apterTitle">
    <w:name w:val="ChapterTitle"/>
    <w:basedOn w:val="Normal"/>
    <w:next w:val="Normal"/>
    <w:pPr>
      <w:keepNext/>
      <w:spacing w:before="120" w:after="360" w:line="240" w:lineRule="auto"/>
      <w:jc w:val="center"/>
    </w:pPr>
    <w:rPr>
      <w:rFonts w:ascii="Times New Roman" w:eastAsia="Times New Roman" w:hAnsi="Times New Roman" w:cs="Times New Roman"/>
      <w:b/>
      <w:sz w:val="32"/>
      <w:szCs w:val="24"/>
    </w:rPr>
  </w:style>
  <w:style w:type="paragraph" w:customStyle="1" w:styleId="PartTitle">
    <w:name w:val="PartTitle"/>
    <w:basedOn w:val="Normal"/>
    <w:next w:val="ChapterTitle"/>
    <w:pPr>
      <w:keepNext/>
      <w:pageBreakBefore/>
      <w:spacing w:before="120" w:after="360" w:line="240" w:lineRule="auto"/>
      <w:jc w:val="center"/>
    </w:pPr>
    <w:rPr>
      <w:rFonts w:ascii="Times New Roman" w:eastAsia="Times New Roman" w:hAnsi="Times New Roman" w:cs="Times New Roman"/>
      <w:b/>
      <w:sz w:val="36"/>
      <w:szCs w:val="24"/>
    </w:rPr>
  </w:style>
  <w:style w:type="paragraph" w:customStyle="1" w:styleId="SectionTitle">
    <w:name w:val="SectionTitle"/>
    <w:basedOn w:val="Normal"/>
    <w:next w:val="Heading1"/>
    <w:pPr>
      <w:keepNext/>
      <w:spacing w:before="120" w:after="360" w:line="240" w:lineRule="auto"/>
      <w:jc w:val="center"/>
    </w:pPr>
    <w:rPr>
      <w:rFonts w:ascii="Times New Roman" w:eastAsia="Times New Roman" w:hAnsi="Times New Roman" w:cs="Times New Roman"/>
      <w:b/>
      <w:smallCaps/>
      <w:sz w:val="28"/>
      <w:szCs w:val="24"/>
    </w:rPr>
  </w:style>
  <w:style w:type="paragraph" w:customStyle="1" w:styleId="TableTitle">
    <w:name w:val="Table Title"/>
    <w:basedOn w:val="Normal"/>
    <w:next w:val="Normal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Marker1">
    <w:name w:val="Marker1"/>
    <w:rPr>
      <w:color w:val="008000"/>
      <w:shd w:val="clear" w:color="auto" w:fill="auto"/>
    </w:rPr>
  </w:style>
  <w:style w:type="character" w:customStyle="1" w:styleId="Marker2">
    <w:name w:val="Marker2"/>
    <w:rPr>
      <w:color w:val="FF0000"/>
      <w:shd w:val="clear" w:color="auto" w:fill="auto"/>
    </w:rPr>
  </w:style>
  <w:style w:type="paragraph" w:styleId="TOCHeading">
    <w:name w:val="TOC Heading"/>
    <w:basedOn w:val="Normal"/>
    <w:next w:val="Normal"/>
    <w:qFormat/>
    <w:pPr>
      <w:spacing w:before="120" w:after="24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</w:rPr>
  </w:style>
  <w:style w:type="paragraph" w:customStyle="1" w:styleId="Point0number">
    <w:name w:val="Point 0 (number)"/>
    <w:basedOn w:val="Normal"/>
    <w:pPr>
      <w:numPr>
        <w:numId w:val="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1number">
    <w:name w:val="Point 1 (number)"/>
    <w:basedOn w:val="Normal"/>
    <w:pPr>
      <w:numPr>
        <w:ilvl w:val="2"/>
        <w:numId w:val="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2number">
    <w:name w:val="Point 2 (number)"/>
    <w:basedOn w:val="Normal"/>
    <w:pPr>
      <w:numPr>
        <w:ilvl w:val="4"/>
        <w:numId w:val="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3number">
    <w:name w:val="Point 3 (number)"/>
    <w:basedOn w:val="Normal"/>
    <w:pPr>
      <w:numPr>
        <w:ilvl w:val="6"/>
        <w:numId w:val="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0letter">
    <w:name w:val="Point 0 (letter)"/>
    <w:basedOn w:val="Normal"/>
    <w:pPr>
      <w:numPr>
        <w:ilvl w:val="1"/>
        <w:numId w:val="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1letter">
    <w:name w:val="Point 1 (letter)"/>
    <w:basedOn w:val="Normal"/>
    <w:pPr>
      <w:numPr>
        <w:ilvl w:val="3"/>
        <w:numId w:val="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2letter">
    <w:name w:val="Point 2 (letter)"/>
    <w:basedOn w:val="Normal"/>
    <w:pPr>
      <w:numPr>
        <w:ilvl w:val="5"/>
        <w:numId w:val="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3letter">
    <w:name w:val="Point 3 (letter)"/>
    <w:basedOn w:val="Normal"/>
    <w:pPr>
      <w:numPr>
        <w:ilvl w:val="7"/>
        <w:numId w:val="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4letter">
    <w:name w:val="Point 4 (letter)"/>
    <w:basedOn w:val="Normal"/>
    <w:pPr>
      <w:numPr>
        <w:ilvl w:val="8"/>
        <w:numId w:val="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ullet0">
    <w:name w:val="Bullet 0"/>
    <w:basedOn w:val="Normal"/>
    <w:pPr>
      <w:numPr>
        <w:numId w:val="10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ullet1">
    <w:name w:val="Bullet 1"/>
    <w:basedOn w:val="Normal"/>
    <w:pPr>
      <w:numPr>
        <w:numId w:val="11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ullet2">
    <w:name w:val="Bullet 2"/>
    <w:basedOn w:val="Normal"/>
    <w:pPr>
      <w:numPr>
        <w:numId w:val="12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ullet3">
    <w:name w:val="Bullet 3"/>
    <w:basedOn w:val="Normal"/>
    <w:pPr>
      <w:numPr>
        <w:numId w:val="13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ullet4">
    <w:name w:val="Bullet 4"/>
    <w:basedOn w:val="Normal"/>
    <w:pPr>
      <w:numPr>
        <w:numId w:val="14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nnexetitreexpos">
    <w:name w:val="Annexe titre (exposé)"/>
    <w:basedOn w:val="Normal"/>
    <w:next w:val="Normal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u w:val="single"/>
    </w:rPr>
  </w:style>
  <w:style w:type="paragraph" w:customStyle="1" w:styleId="Annexetitre">
    <w:name w:val="Annexe titre"/>
    <w:basedOn w:val="Normal"/>
    <w:next w:val="Normal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u w:val="single"/>
    </w:rPr>
  </w:style>
  <w:style w:type="paragraph" w:customStyle="1" w:styleId="Annexetitrefichefinancire">
    <w:name w:val="Annexe titre (fiche financière)"/>
    <w:basedOn w:val="Normal"/>
    <w:next w:val="Normal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u w:val="single"/>
    </w:rPr>
  </w:style>
  <w:style w:type="paragraph" w:customStyle="1" w:styleId="Applicationdirecte">
    <w:name w:val="Application directe"/>
    <w:basedOn w:val="Normal"/>
    <w:next w:val="Fait"/>
    <w:pPr>
      <w:spacing w:before="48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vertissementtitre">
    <w:name w:val="Avertissement titre"/>
    <w:basedOn w:val="Normal"/>
    <w:next w:val="Normal"/>
    <w:pPr>
      <w:keepNext/>
      <w:spacing w:before="48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  <w:u w:val="single"/>
    </w:rPr>
  </w:style>
  <w:style w:type="paragraph" w:customStyle="1" w:styleId="Confidence">
    <w:name w:val="Confidence"/>
    <w:basedOn w:val="Normal"/>
    <w:next w:val="Normal"/>
    <w:pPr>
      <w:spacing w:before="36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fidentialit">
    <w:name w:val="Confidentialité"/>
    <w:basedOn w:val="Normal"/>
    <w:next w:val="TypedudocumentPagedecouverture"/>
    <w:pPr>
      <w:spacing w:before="240" w:after="240" w:line="240" w:lineRule="auto"/>
      <w:ind w:left="5103"/>
      <w:jc w:val="both"/>
    </w:pPr>
    <w:rPr>
      <w:rFonts w:ascii="Times New Roman" w:eastAsia="Times New Roman" w:hAnsi="Times New Roman" w:cs="Times New Roman"/>
      <w:i/>
      <w:sz w:val="32"/>
      <w:szCs w:val="24"/>
    </w:rPr>
  </w:style>
  <w:style w:type="paragraph" w:customStyle="1" w:styleId="Considrant">
    <w:name w:val="Considérant"/>
    <w:basedOn w:val="Normal"/>
    <w:pPr>
      <w:numPr>
        <w:numId w:val="15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rrigendum">
    <w:name w:val="Corrigendum"/>
    <w:basedOn w:val="Normal"/>
    <w:next w:val="Normal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tedadoption">
    <w:name w:val="Date d'adoption"/>
    <w:basedOn w:val="Normal"/>
    <w:next w:val="Titreobjet"/>
    <w:pPr>
      <w:spacing w:before="360"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Emission">
    <w:name w:val="Emission"/>
    <w:basedOn w:val="Normal"/>
    <w:next w:val="Rfrenceinstitutionnelle"/>
    <w:pPr>
      <w:spacing w:after="0" w:line="240" w:lineRule="auto"/>
      <w:ind w:left="510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xposdesmotifstitre">
    <w:name w:val="Exposé des motifs titre"/>
    <w:basedOn w:val="Normal"/>
    <w:next w:val="Normal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u w:val="single"/>
    </w:rPr>
  </w:style>
  <w:style w:type="paragraph" w:customStyle="1" w:styleId="Fait">
    <w:name w:val="Fait à"/>
    <w:basedOn w:val="Normal"/>
    <w:next w:val="Institutionquisigne"/>
    <w:pPr>
      <w:keepNext/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uledadoption">
    <w:name w:val="Formule d'adoption"/>
    <w:basedOn w:val="Normal"/>
    <w:next w:val="Titrearticle"/>
    <w:pPr>
      <w:keepNext/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stitutionquiagit">
    <w:name w:val="Institution qui agit"/>
    <w:basedOn w:val="Normal"/>
    <w:next w:val="Normal"/>
    <w:pPr>
      <w:keepNext/>
      <w:spacing w:before="60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stitutionquisigne">
    <w:name w:val="Institution qui signe"/>
    <w:basedOn w:val="Normal"/>
    <w:next w:val="Personnequisigne"/>
    <w:pPr>
      <w:keepNext/>
      <w:tabs>
        <w:tab w:val="left" w:pos="4252"/>
      </w:tabs>
      <w:spacing w:before="720" w:after="0" w:line="240" w:lineRule="auto"/>
      <w:jc w:val="both"/>
    </w:pPr>
    <w:rPr>
      <w:rFonts w:ascii="Times New Roman" w:eastAsia="Times New Roman" w:hAnsi="Times New Roman" w:cs="Times New Roman"/>
      <w:i/>
      <w:sz w:val="24"/>
      <w:szCs w:val="24"/>
    </w:rPr>
  </w:style>
  <w:style w:type="paragraph" w:customStyle="1" w:styleId="Langue">
    <w:name w:val="Langue"/>
    <w:basedOn w:val="Normal"/>
    <w:next w:val="Rfrenceinterne"/>
    <w:pPr>
      <w:framePr w:wrap="around" w:vAnchor="page" w:hAnchor="text" w:xAlign="center" w:y="14741"/>
      <w:spacing w:after="600" w:line="240" w:lineRule="auto"/>
      <w:jc w:val="center"/>
    </w:pPr>
    <w:rPr>
      <w:rFonts w:ascii="Times New Roman" w:eastAsia="Times New Roman" w:hAnsi="Times New Roman" w:cs="Times New Roman"/>
      <w:b/>
      <w:caps/>
      <w:sz w:val="24"/>
      <w:szCs w:val="24"/>
    </w:rPr>
  </w:style>
  <w:style w:type="paragraph" w:customStyle="1" w:styleId="ManualConsidrant">
    <w:name w:val="Manual Considérant"/>
    <w:basedOn w:val="Normal"/>
    <w:pPr>
      <w:spacing w:before="120" w:after="120" w:line="240" w:lineRule="auto"/>
      <w:ind w:left="709" w:hanging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mdelinstitution">
    <w:name w:val="Nom de l'institution"/>
    <w:basedOn w:val="Normal"/>
    <w:next w:val="Emission"/>
    <w:pPr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Personnequisigne">
    <w:name w:val="Personne qui signe"/>
    <w:basedOn w:val="Normal"/>
    <w:next w:val="Institutionquisigne"/>
    <w:pPr>
      <w:tabs>
        <w:tab w:val="left" w:pos="4252"/>
      </w:tabs>
      <w:spacing w:after="0" w:line="240" w:lineRule="auto"/>
    </w:pPr>
    <w:rPr>
      <w:rFonts w:ascii="Times New Roman" w:eastAsia="Times New Roman" w:hAnsi="Times New Roman" w:cs="Times New Roman"/>
      <w:i/>
      <w:sz w:val="24"/>
      <w:szCs w:val="24"/>
    </w:rPr>
  </w:style>
  <w:style w:type="paragraph" w:customStyle="1" w:styleId="Rfrenceinstitutionnelle">
    <w:name w:val="Référence institutionnelle"/>
    <w:basedOn w:val="Normal"/>
    <w:next w:val="Confidentialit"/>
    <w:pPr>
      <w:spacing w:after="240" w:line="240" w:lineRule="auto"/>
      <w:ind w:left="510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frenceinterinstitutionnelle">
    <w:name w:val="Référence interinstitutionnelle"/>
    <w:basedOn w:val="Normal"/>
    <w:next w:val="Statut"/>
    <w:pPr>
      <w:spacing w:after="0" w:line="240" w:lineRule="auto"/>
      <w:ind w:left="510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frenceinterne">
    <w:name w:val="Référence interne"/>
    <w:basedOn w:val="Normal"/>
    <w:next w:val="Rfrenceinterinstitutionnelle"/>
    <w:pPr>
      <w:spacing w:after="0" w:line="240" w:lineRule="auto"/>
      <w:ind w:left="510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ous-titreobjet">
    <w:name w:val="Sous-titre objet"/>
    <w:basedOn w:val="Normal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Statut">
    <w:name w:val="Statut"/>
    <w:basedOn w:val="Normal"/>
    <w:next w:val="Typedudocument"/>
    <w:pPr>
      <w:spacing w:before="360"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rearticle">
    <w:name w:val="Titre article"/>
    <w:basedOn w:val="Normal"/>
    <w:next w:val="Normal"/>
    <w:pPr>
      <w:keepNext/>
      <w:spacing w:before="360" w:after="120" w:line="240" w:lineRule="auto"/>
      <w:jc w:val="center"/>
    </w:pPr>
    <w:rPr>
      <w:rFonts w:ascii="Times New Roman" w:eastAsia="Times New Roman" w:hAnsi="Times New Roman" w:cs="Times New Roman"/>
      <w:i/>
      <w:sz w:val="24"/>
      <w:szCs w:val="24"/>
    </w:rPr>
  </w:style>
  <w:style w:type="paragraph" w:customStyle="1" w:styleId="Titreobjet">
    <w:name w:val="Titre objet"/>
    <w:basedOn w:val="Normal"/>
    <w:next w:val="Sous-titreobjet"/>
    <w:pPr>
      <w:spacing w:before="360" w:after="36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Typedudocument">
    <w:name w:val="Type du document"/>
    <w:basedOn w:val="Normal"/>
    <w:next w:val="Titreobjet"/>
    <w:pPr>
      <w:spacing w:before="360"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Added">
    <w:name w:val="Added"/>
    <w:rPr>
      <w:b/>
      <w:u w:val="single"/>
      <w:shd w:val="clear" w:color="auto" w:fill="auto"/>
    </w:rPr>
  </w:style>
  <w:style w:type="character" w:customStyle="1" w:styleId="Deleted">
    <w:name w:val="Deleted"/>
    <w:rPr>
      <w:strike/>
      <w:shd w:val="clear" w:color="auto" w:fill="auto"/>
    </w:rPr>
  </w:style>
  <w:style w:type="paragraph" w:customStyle="1" w:styleId="Address">
    <w:name w:val="Address"/>
    <w:basedOn w:val="Normal"/>
    <w:next w:val="Normal"/>
    <w:pPr>
      <w:keepLines/>
      <w:spacing w:before="120" w:after="120" w:line="360" w:lineRule="auto"/>
      <w:ind w:left="3402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bjetexterne">
    <w:name w:val="Objet externe"/>
    <w:basedOn w:val="Normal"/>
    <w:next w:val="Normal"/>
    <w:pPr>
      <w:spacing w:before="120" w:after="120" w:line="240" w:lineRule="auto"/>
      <w:jc w:val="both"/>
    </w:pPr>
    <w:rPr>
      <w:rFonts w:ascii="Times New Roman" w:eastAsia="Times New Roman" w:hAnsi="Times New Roman" w:cs="Times New Roman"/>
      <w:i/>
      <w:caps/>
      <w:sz w:val="24"/>
      <w:szCs w:val="24"/>
    </w:rPr>
  </w:style>
  <w:style w:type="paragraph" w:customStyle="1" w:styleId="Supertitre">
    <w:name w:val="Supertitre"/>
    <w:basedOn w:val="Normal"/>
    <w:next w:val="Normal"/>
    <w:pPr>
      <w:spacing w:after="60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Languesfaisantfoi">
    <w:name w:val="Langues faisant foi"/>
    <w:basedOn w:val="Normal"/>
    <w:next w:val="Normal"/>
    <w:pPr>
      <w:spacing w:before="360"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frencecroise">
    <w:name w:val="Référence croisée"/>
    <w:basedOn w:val="Normal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chefinanciretitre">
    <w:name w:val="Fiche financière titre"/>
    <w:basedOn w:val="Normal"/>
    <w:next w:val="Normal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u w:val="single"/>
    </w:rPr>
  </w:style>
  <w:style w:type="paragraph" w:customStyle="1" w:styleId="DatedadoptionPagedecouverture">
    <w:name w:val="Date d'adoption (Page de couverture)"/>
    <w:basedOn w:val="Datedadoption"/>
    <w:next w:val="TitreobjetPagedecouverture"/>
  </w:style>
  <w:style w:type="paragraph" w:customStyle="1" w:styleId="RfrenceinterinstitutionnellePagedecouverture">
    <w:name w:val="Référence interinstitutionnelle (Page de couverture)"/>
    <w:basedOn w:val="Rfrenceinterinstitutionnelle"/>
    <w:next w:val="Confidentialit"/>
  </w:style>
  <w:style w:type="paragraph" w:customStyle="1" w:styleId="Sous-titreobjetPagedecouverture">
    <w:name w:val="Sous-titre objet (Page de couverture)"/>
    <w:basedOn w:val="Sous-titreobjet"/>
  </w:style>
  <w:style w:type="paragraph" w:customStyle="1" w:styleId="StatutPagedecouverture">
    <w:name w:val="Statut (Page de couverture)"/>
    <w:basedOn w:val="Statut"/>
    <w:next w:val="TypedudocumentPagedecouverture"/>
  </w:style>
  <w:style w:type="paragraph" w:customStyle="1" w:styleId="TitreobjetPagedecouverture">
    <w:name w:val="Titre objet (Page de couverture)"/>
    <w:basedOn w:val="Titreobjet"/>
    <w:next w:val="Sous-titreobjetPagedecouverture"/>
  </w:style>
  <w:style w:type="paragraph" w:customStyle="1" w:styleId="TypedudocumentPagedecouverture">
    <w:name w:val="Type du document (Page de couverture)"/>
    <w:basedOn w:val="Typedudocument"/>
    <w:next w:val="TitreobjetPagedecouverture"/>
  </w:style>
  <w:style w:type="paragraph" w:customStyle="1" w:styleId="Volume">
    <w:name w:val="Volume"/>
    <w:basedOn w:val="Normal"/>
    <w:next w:val="Confidentialit"/>
    <w:pPr>
      <w:spacing w:after="240" w:line="240" w:lineRule="auto"/>
      <w:ind w:left="510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trtEEE">
    <w:name w:val="Intérêt EEE"/>
    <w:basedOn w:val="Languesfaisantfoi"/>
    <w:next w:val="Normal"/>
    <w:pPr>
      <w:spacing w:after="240"/>
    </w:pPr>
  </w:style>
  <w:style w:type="paragraph" w:customStyle="1" w:styleId="Accompagnant">
    <w:name w:val="Accompagnant"/>
    <w:basedOn w:val="Normal"/>
    <w:next w:val="Typeacteprincipal"/>
    <w:pPr>
      <w:spacing w:after="240" w:line="240" w:lineRule="auto"/>
      <w:jc w:val="center"/>
    </w:pPr>
    <w:rPr>
      <w:rFonts w:ascii="Times New Roman" w:eastAsia="Times New Roman" w:hAnsi="Times New Roman" w:cs="Times New Roman"/>
      <w:b/>
      <w:i/>
      <w:sz w:val="24"/>
      <w:szCs w:val="24"/>
    </w:rPr>
  </w:style>
  <w:style w:type="paragraph" w:customStyle="1" w:styleId="Typeacteprincipal">
    <w:name w:val="Type acte principal"/>
    <w:basedOn w:val="Normal"/>
    <w:next w:val="Objetacteprincipal"/>
    <w:pPr>
      <w:spacing w:after="24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Objetacteprincipal">
    <w:name w:val="Objet acte principal"/>
    <w:basedOn w:val="Normal"/>
    <w:next w:val="Titrearticle"/>
    <w:pPr>
      <w:spacing w:after="36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IntrtEEEPagedecouverture">
    <w:name w:val="Intérêt EEE (Page de couverture)"/>
    <w:basedOn w:val="IntrtEEE"/>
    <w:next w:val="Rfrencecroise"/>
  </w:style>
  <w:style w:type="paragraph" w:customStyle="1" w:styleId="AccompagnantPagedecouverture">
    <w:name w:val="Accompagnant (Page de couverture)"/>
    <w:basedOn w:val="Accompagnant"/>
    <w:next w:val="TypeacteprincipalPagedecouverture"/>
  </w:style>
  <w:style w:type="paragraph" w:customStyle="1" w:styleId="TypeacteprincipalPagedecouverture">
    <w:name w:val="Type acte principal (Page de couverture)"/>
    <w:basedOn w:val="Typeacteprincipal"/>
    <w:next w:val="ObjetacteprincipalPagedecouverture"/>
  </w:style>
  <w:style w:type="paragraph" w:customStyle="1" w:styleId="ObjetacteprincipalPagedecouverture">
    <w:name w:val="Objet acte principal (Page de couverture)"/>
    <w:basedOn w:val="Objetacteprincipal"/>
    <w:next w:val="Rfrencecroise"/>
  </w:style>
  <w:style w:type="paragraph" w:customStyle="1" w:styleId="LanguesfaisantfoiPagedecouverture">
    <w:name w:val="Langues faisant foi (Page de couverture)"/>
    <w:basedOn w:val="Normal"/>
    <w:next w:val="Normal"/>
    <w:pPr>
      <w:spacing w:before="360"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qFormat/>
    <w:pPr>
      <w:spacing w:before="120"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0"/>
      <w:lang w:eastAsia="en-GB"/>
    </w:rPr>
  </w:style>
  <w:style w:type="character" w:styleId="CommentReference">
    <w:name w:val="annotation reference"/>
    <w:rPr>
      <w:rFonts w:cs="Times New Roman"/>
      <w:sz w:val="16"/>
    </w:rPr>
  </w:style>
  <w:style w:type="paragraph" w:styleId="CommentText">
    <w:name w:val="annotation text"/>
    <w:basedOn w:val="Normal"/>
    <w:link w:val="CommentTextChar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customStyle="1" w:styleId="CommentTextChar">
    <w:name w:val="Comment Text Char"/>
    <w:basedOn w:val="DefaultParagraphFont"/>
    <w:link w:val="CommentText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FichedimpactPMEtitre">
    <w:name w:val="Fiche d'impact PME titre"/>
    <w:basedOn w:val="Normal"/>
    <w:next w:val="Normal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en-GB"/>
    </w:rPr>
  </w:style>
  <w:style w:type="paragraph" w:customStyle="1" w:styleId="Fichefinanciretextetable">
    <w:name w:val="Fiche financière texte (table)"/>
    <w:basedOn w:val="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Fichefinanciretitreactetable">
    <w:name w:val="Fiche financière titre (acte table)"/>
    <w:basedOn w:val="Normal"/>
    <w:next w:val="Normal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40"/>
      <w:szCs w:val="20"/>
      <w:lang w:eastAsia="en-GB"/>
    </w:rPr>
  </w:style>
  <w:style w:type="paragraph" w:customStyle="1" w:styleId="Fichefinanciretitretable">
    <w:name w:val="Fiche financière titre (table)"/>
    <w:basedOn w:val="Normal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40"/>
      <w:szCs w:val="20"/>
      <w:lang w:eastAsia="en-GB"/>
    </w:rPr>
  </w:style>
  <w:style w:type="character" w:styleId="PageNumber">
    <w:name w:val="page number"/>
    <w:rPr>
      <w:rFonts w:cs="Times New Roman"/>
    </w:rPr>
  </w:style>
  <w:style w:type="paragraph" w:styleId="TOAHeading">
    <w:name w:val="toa heading"/>
    <w:basedOn w:val="Normal"/>
    <w:next w:val="Normal"/>
    <w:pPr>
      <w:spacing w:before="120" w:after="120" w:line="240" w:lineRule="auto"/>
      <w:jc w:val="both"/>
    </w:pPr>
    <w:rPr>
      <w:rFonts w:ascii="Arial" w:eastAsia="Times New Roman" w:hAnsi="Arial" w:cs="Times New Roman"/>
      <w:b/>
      <w:sz w:val="24"/>
      <w:szCs w:val="20"/>
      <w:lang w:eastAsia="en-GB"/>
    </w:rPr>
  </w:style>
  <w:style w:type="paragraph" w:styleId="ListBullet">
    <w:name w:val="List Bullet"/>
    <w:basedOn w:val="Normal"/>
    <w:pPr>
      <w:numPr>
        <w:numId w:val="16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Bullet1">
    <w:name w:val="List Bullet 1"/>
    <w:basedOn w:val="Normal"/>
    <w:pPr>
      <w:numPr>
        <w:numId w:val="17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styleId="ListBullet2">
    <w:name w:val="List Bullet 2"/>
    <w:basedOn w:val="Normal"/>
    <w:pPr>
      <w:numPr>
        <w:numId w:val="18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styleId="ListBullet3">
    <w:name w:val="List Bullet 3"/>
    <w:basedOn w:val="Normal"/>
    <w:pPr>
      <w:numPr>
        <w:numId w:val="1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styleId="ListBullet4">
    <w:name w:val="List Bullet 4"/>
    <w:basedOn w:val="Normal"/>
    <w:pPr>
      <w:numPr>
        <w:numId w:val="20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Dash">
    <w:name w:val="List Dash"/>
    <w:basedOn w:val="Normal"/>
    <w:pPr>
      <w:numPr>
        <w:numId w:val="21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Dash1">
    <w:name w:val="List Dash 1"/>
    <w:basedOn w:val="Normal"/>
    <w:pPr>
      <w:numPr>
        <w:numId w:val="22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Dash2">
    <w:name w:val="List Dash 2"/>
    <w:basedOn w:val="Normal"/>
    <w:pPr>
      <w:numPr>
        <w:numId w:val="23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Dash3">
    <w:name w:val="List Dash 3"/>
    <w:basedOn w:val="Normal"/>
    <w:pPr>
      <w:numPr>
        <w:numId w:val="24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Dash4">
    <w:name w:val="List Dash 4"/>
    <w:basedOn w:val="Normal"/>
    <w:pPr>
      <w:numPr>
        <w:numId w:val="25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styleId="ListNumber">
    <w:name w:val="List Number"/>
    <w:basedOn w:val="Normal"/>
    <w:pPr>
      <w:numPr>
        <w:numId w:val="26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Number1">
    <w:name w:val="List Number 1"/>
    <w:basedOn w:val="Text1"/>
    <w:pPr>
      <w:numPr>
        <w:numId w:val="27"/>
      </w:numPr>
    </w:pPr>
    <w:rPr>
      <w:szCs w:val="20"/>
      <w:lang w:eastAsia="en-GB"/>
    </w:rPr>
  </w:style>
  <w:style w:type="paragraph" w:styleId="ListNumber2">
    <w:name w:val="List Number 2"/>
    <w:basedOn w:val="Normal"/>
    <w:pPr>
      <w:numPr>
        <w:numId w:val="28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styleId="ListNumber3">
    <w:name w:val="List Number 3"/>
    <w:basedOn w:val="Normal"/>
    <w:pPr>
      <w:numPr>
        <w:numId w:val="2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styleId="ListNumber4">
    <w:name w:val="List Number 4"/>
    <w:basedOn w:val="Normal"/>
    <w:pPr>
      <w:numPr>
        <w:numId w:val="30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NumberLevel2">
    <w:name w:val="List Number (Level 2)"/>
    <w:basedOn w:val="Normal"/>
    <w:pPr>
      <w:numPr>
        <w:ilvl w:val="1"/>
        <w:numId w:val="26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Number1Level2">
    <w:name w:val="List Number 1 (Level 2)"/>
    <w:basedOn w:val="Text1"/>
    <w:pPr>
      <w:numPr>
        <w:ilvl w:val="1"/>
        <w:numId w:val="27"/>
      </w:numPr>
    </w:pPr>
    <w:rPr>
      <w:szCs w:val="20"/>
      <w:lang w:eastAsia="en-GB"/>
    </w:rPr>
  </w:style>
  <w:style w:type="paragraph" w:customStyle="1" w:styleId="ListNumber2Level2">
    <w:name w:val="List Number 2 (Level 2)"/>
    <w:basedOn w:val="Text2"/>
    <w:pPr>
      <w:numPr>
        <w:ilvl w:val="1"/>
        <w:numId w:val="28"/>
      </w:numPr>
    </w:pPr>
    <w:rPr>
      <w:szCs w:val="20"/>
      <w:lang w:eastAsia="en-GB"/>
    </w:rPr>
  </w:style>
  <w:style w:type="paragraph" w:customStyle="1" w:styleId="ListNumber3Level2">
    <w:name w:val="List Number 3 (Level 2)"/>
    <w:basedOn w:val="Text3"/>
    <w:pPr>
      <w:numPr>
        <w:ilvl w:val="1"/>
        <w:numId w:val="29"/>
      </w:numPr>
    </w:pPr>
    <w:rPr>
      <w:szCs w:val="20"/>
      <w:lang w:eastAsia="en-GB"/>
    </w:rPr>
  </w:style>
  <w:style w:type="paragraph" w:customStyle="1" w:styleId="ListNumber4Level2">
    <w:name w:val="List Number 4 (Level 2)"/>
    <w:basedOn w:val="Text4"/>
    <w:pPr>
      <w:numPr>
        <w:ilvl w:val="1"/>
        <w:numId w:val="30"/>
      </w:numPr>
    </w:pPr>
    <w:rPr>
      <w:szCs w:val="20"/>
      <w:lang w:eastAsia="en-GB"/>
    </w:rPr>
  </w:style>
  <w:style w:type="paragraph" w:customStyle="1" w:styleId="ListNumberLevel3">
    <w:name w:val="List Number (Level 3)"/>
    <w:basedOn w:val="Normal"/>
    <w:pPr>
      <w:numPr>
        <w:ilvl w:val="2"/>
        <w:numId w:val="26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Number1Level3">
    <w:name w:val="List Number 1 (Level 3)"/>
    <w:basedOn w:val="Text1"/>
    <w:pPr>
      <w:numPr>
        <w:ilvl w:val="2"/>
        <w:numId w:val="27"/>
      </w:numPr>
    </w:pPr>
    <w:rPr>
      <w:szCs w:val="20"/>
      <w:lang w:eastAsia="en-GB"/>
    </w:rPr>
  </w:style>
  <w:style w:type="paragraph" w:customStyle="1" w:styleId="ListNumber2Level3">
    <w:name w:val="List Number 2 (Level 3)"/>
    <w:basedOn w:val="Text2"/>
    <w:pPr>
      <w:numPr>
        <w:ilvl w:val="2"/>
        <w:numId w:val="28"/>
      </w:numPr>
    </w:pPr>
    <w:rPr>
      <w:szCs w:val="20"/>
      <w:lang w:eastAsia="en-GB"/>
    </w:rPr>
  </w:style>
  <w:style w:type="paragraph" w:customStyle="1" w:styleId="ListNumber3Level3">
    <w:name w:val="List Number 3 (Level 3)"/>
    <w:basedOn w:val="Text3"/>
    <w:pPr>
      <w:numPr>
        <w:ilvl w:val="2"/>
        <w:numId w:val="29"/>
      </w:numPr>
    </w:pPr>
    <w:rPr>
      <w:szCs w:val="20"/>
      <w:lang w:eastAsia="en-GB"/>
    </w:rPr>
  </w:style>
  <w:style w:type="paragraph" w:customStyle="1" w:styleId="ListNumber4Level3">
    <w:name w:val="List Number 4 (Level 3)"/>
    <w:basedOn w:val="Text4"/>
    <w:pPr>
      <w:numPr>
        <w:ilvl w:val="2"/>
        <w:numId w:val="30"/>
      </w:numPr>
    </w:pPr>
    <w:rPr>
      <w:szCs w:val="20"/>
      <w:lang w:eastAsia="en-GB"/>
    </w:rPr>
  </w:style>
  <w:style w:type="paragraph" w:customStyle="1" w:styleId="ListNumberLevel4">
    <w:name w:val="List Number (Level 4)"/>
    <w:basedOn w:val="Normal"/>
    <w:pPr>
      <w:numPr>
        <w:ilvl w:val="3"/>
        <w:numId w:val="26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Number1Level4">
    <w:name w:val="List Number 1 (Level 4)"/>
    <w:basedOn w:val="Text1"/>
    <w:pPr>
      <w:numPr>
        <w:ilvl w:val="3"/>
        <w:numId w:val="27"/>
      </w:numPr>
    </w:pPr>
    <w:rPr>
      <w:szCs w:val="20"/>
      <w:lang w:eastAsia="en-GB"/>
    </w:rPr>
  </w:style>
  <w:style w:type="paragraph" w:customStyle="1" w:styleId="ListNumber2Level4">
    <w:name w:val="List Number 2 (Level 4)"/>
    <w:basedOn w:val="Text2"/>
    <w:pPr>
      <w:numPr>
        <w:ilvl w:val="3"/>
        <w:numId w:val="28"/>
      </w:numPr>
    </w:pPr>
    <w:rPr>
      <w:szCs w:val="20"/>
      <w:lang w:eastAsia="en-GB"/>
    </w:rPr>
  </w:style>
  <w:style w:type="paragraph" w:customStyle="1" w:styleId="ListNumber3Level4">
    <w:name w:val="List Number 3 (Level 4)"/>
    <w:basedOn w:val="Text3"/>
    <w:pPr>
      <w:numPr>
        <w:ilvl w:val="3"/>
        <w:numId w:val="29"/>
      </w:numPr>
    </w:pPr>
    <w:rPr>
      <w:szCs w:val="20"/>
      <w:lang w:eastAsia="en-GB"/>
    </w:rPr>
  </w:style>
  <w:style w:type="paragraph" w:customStyle="1" w:styleId="ListNumber4Level4">
    <w:name w:val="List Number 4 (Level 4)"/>
    <w:basedOn w:val="Text4"/>
    <w:pPr>
      <w:numPr>
        <w:ilvl w:val="3"/>
        <w:numId w:val="30"/>
      </w:numPr>
    </w:pPr>
    <w:rPr>
      <w:szCs w:val="20"/>
      <w:lang w:eastAsia="en-GB"/>
    </w:rPr>
  </w:style>
  <w:style w:type="paragraph" w:customStyle="1" w:styleId="Rfrenceinterinstitutionelleprliminaire">
    <w:name w:val="Référence interinstitutionelle (préliminaire)"/>
    <w:basedOn w:val="Normal"/>
    <w:next w:val="Normal"/>
    <w:pPr>
      <w:spacing w:after="0" w:line="240" w:lineRule="auto"/>
      <w:ind w:left="5103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Sous-titreobjetprliminaire">
    <w:name w:val="Sous-titre objet (préliminaire)"/>
    <w:basedOn w:val="Normal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en-GB"/>
    </w:rPr>
  </w:style>
  <w:style w:type="paragraph" w:customStyle="1" w:styleId="Statutprliminaire">
    <w:name w:val="Statut (préliminaire)"/>
    <w:basedOn w:val="Normal"/>
    <w:next w:val="Normal"/>
    <w:pPr>
      <w:spacing w:before="360"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Titreobjetprliminaire">
    <w:name w:val="Titre objet (préliminaire)"/>
    <w:basedOn w:val="Normal"/>
    <w:next w:val="Normal"/>
    <w:pPr>
      <w:spacing w:before="360" w:after="36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en-GB"/>
    </w:rPr>
  </w:style>
  <w:style w:type="paragraph" w:customStyle="1" w:styleId="Typedudocumentprliminaire">
    <w:name w:val="Type du document (préliminaire)"/>
    <w:basedOn w:val="Normal"/>
    <w:next w:val="Normal"/>
    <w:pPr>
      <w:spacing w:before="360"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en-GB"/>
    </w:rPr>
  </w:style>
  <w:style w:type="paragraph" w:styleId="BalloonText">
    <w:name w:val="Balloon Text"/>
    <w:basedOn w:val="Normal"/>
    <w:link w:val="BalloonTextChar"/>
    <w:pPr>
      <w:spacing w:before="120" w:after="120" w:line="240" w:lineRule="auto"/>
      <w:jc w:val="both"/>
    </w:pPr>
    <w:rPr>
      <w:rFonts w:ascii="Tahoma" w:eastAsia="Times New Roman" w:hAnsi="Tahoma" w:cs="Tahoma"/>
      <w:sz w:val="16"/>
      <w:szCs w:val="16"/>
      <w:lang w:eastAsia="en-GB"/>
    </w:rPr>
  </w:style>
  <w:style w:type="character" w:customStyle="1" w:styleId="BalloonTextChar">
    <w:name w:val="Balloon Text Char"/>
    <w:basedOn w:val="DefaultParagraphFont"/>
    <w:link w:val="BalloonText"/>
    <w:rPr>
      <w:rFonts w:ascii="Tahoma" w:eastAsia="Times New Roman" w:hAnsi="Tahoma" w:cs="Tahoma"/>
      <w:sz w:val="16"/>
      <w:szCs w:val="16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rPr>
      <w:b/>
      <w:bCs/>
    </w:rPr>
  </w:style>
  <w:style w:type="character" w:customStyle="1" w:styleId="CommentSubjectChar">
    <w:name w:val="Comment Subject Char"/>
    <w:basedOn w:val="CommentTextChar"/>
    <w:link w:val="CommentSubject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character" w:styleId="Hyperlink">
    <w:name w:val="Hyperlink"/>
    <w:uiPriority w:val="99"/>
    <w:rPr>
      <w:rFonts w:cs="Times New Roman"/>
      <w:color w:val="0000FF"/>
      <w:u w:val="single"/>
    </w:rPr>
  </w:style>
  <w:style w:type="paragraph" w:styleId="PlainText">
    <w:name w:val="Plain Text"/>
    <w:basedOn w:val="Normal"/>
    <w:link w:val="PlainTextChar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PlainTextChar">
    <w:name w:val="Plain Text Char"/>
    <w:basedOn w:val="DefaultParagraphFont"/>
    <w:link w:val="PlainText"/>
    <w:rPr>
      <w:rFonts w:ascii="Courier New" w:eastAsia="Times New Roman" w:hAnsi="Courier New" w:cs="Courier New"/>
      <w:sz w:val="20"/>
      <w:szCs w:val="20"/>
      <w:lang w:eastAsia="en-GB"/>
    </w:rPr>
  </w:style>
  <w:style w:type="character" w:styleId="FollowedHyperlink">
    <w:name w:val="FollowedHyperlink"/>
    <w:uiPriority w:val="99"/>
    <w:rPr>
      <w:rFonts w:cs="Times New Roman"/>
      <w:color w:val="800080"/>
      <w:u w:val="single"/>
    </w:rPr>
  </w:style>
  <w:style w:type="paragraph" w:customStyle="1" w:styleId="font5">
    <w:name w:val="font5"/>
    <w:basedOn w:val="Normal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en-GB"/>
    </w:rPr>
  </w:style>
  <w:style w:type="paragraph" w:customStyle="1" w:styleId="font6">
    <w:name w:val="font6"/>
    <w:basedOn w:val="Normal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en-GB"/>
    </w:rPr>
  </w:style>
  <w:style w:type="paragraph" w:customStyle="1" w:styleId="xl24">
    <w:name w:val="xl24"/>
    <w:basedOn w:val="Normal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25">
    <w:name w:val="xl25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26">
    <w:name w:val="xl26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27">
    <w:name w:val="xl27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customStyle="1" w:styleId="xl28">
    <w:name w:val="xl28"/>
    <w:basedOn w:val="Normal"/>
    <w:pPr>
      <w:pBdr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29">
    <w:name w:val="xl29"/>
    <w:basedOn w:val="Normal"/>
    <w:pPr>
      <w:pBdr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customStyle="1" w:styleId="xl30">
    <w:name w:val="xl30"/>
    <w:basedOn w:val="Normal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en-GB"/>
    </w:rPr>
  </w:style>
  <w:style w:type="paragraph" w:customStyle="1" w:styleId="xl31">
    <w:name w:val="xl31"/>
    <w:basedOn w:val="Normal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en-GB"/>
    </w:rPr>
  </w:style>
  <w:style w:type="paragraph" w:customStyle="1" w:styleId="xl32">
    <w:name w:val="xl32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33">
    <w:name w:val="xl33"/>
    <w:basedOn w:val="Normal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34">
    <w:name w:val="xl34"/>
    <w:basedOn w:val="Normal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en-GB"/>
    </w:rPr>
  </w:style>
  <w:style w:type="paragraph" w:customStyle="1" w:styleId="xl35">
    <w:name w:val="xl35"/>
    <w:basedOn w:val="Normal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36">
    <w:name w:val="xl36"/>
    <w:basedOn w:val="Normal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37">
    <w:name w:val="xl37"/>
    <w:basedOn w:val="Normal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38">
    <w:name w:val="xl38"/>
    <w:basedOn w:val="Normal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39">
    <w:name w:val="xl39"/>
    <w:basedOn w:val="Normal"/>
    <w:pPr>
      <w:pBdr>
        <w:top w:val="single" w:sz="8" w:space="0" w:color="auto"/>
        <w:bottom w:val="single" w:sz="8" w:space="0" w:color="auto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40">
    <w:name w:val="xl40"/>
    <w:basedOn w:val="Normal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styleId="Emphasis">
    <w:name w:val="Emphasis"/>
    <w:qFormat/>
    <w:rPr>
      <w:i/>
      <w:iCs/>
    </w:rPr>
  </w:style>
  <w:style w:type="paragraph" w:customStyle="1" w:styleId="notehead">
    <w:name w:val="notehead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table" w:styleId="TableGrid">
    <w:name w:val="Table Grid"/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104">
    <w:name w:val="xl104"/>
    <w:basedOn w:val="Normal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05">
    <w:name w:val="xl105"/>
    <w:basedOn w:val="Normal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xl106">
    <w:name w:val="xl106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xl107">
    <w:name w:val="xl107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108">
    <w:name w:val="xl108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109">
    <w:name w:val="xl109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110">
    <w:name w:val="xl110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0"/>
      <w:szCs w:val="20"/>
      <w:lang w:eastAsia="en-GB"/>
    </w:rPr>
  </w:style>
  <w:style w:type="paragraph" w:customStyle="1" w:styleId="xl111">
    <w:name w:val="xl111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112">
    <w:name w:val="xl112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113">
    <w:name w:val="xl113"/>
    <w:basedOn w:val="Normal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114">
    <w:name w:val="xl114"/>
    <w:basedOn w:val="Normal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xl115">
    <w:name w:val="xl115"/>
    <w:basedOn w:val="Normal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116">
    <w:name w:val="xl116"/>
    <w:basedOn w:val="Normal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117">
    <w:name w:val="xl117"/>
    <w:basedOn w:val="Normal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xl118">
    <w:name w:val="xl118"/>
    <w:basedOn w:val="Normal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xl119">
    <w:name w:val="xl119"/>
    <w:basedOn w:val="Normal"/>
    <w:pPr>
      <w:pBdr>
        <w:top w:val="single" w:sz="8" w:space="0" w:color="auto"/>
        <w:bottom w:val="single" w:sz="8" w:space="0" w:color="auto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xl120">
    <w:name w:val="xl120"/>
    <w:basedOn w:val="Normal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xl121">
    <w:name w:val="xl121"/>
    <w:basedOn w:val="Normal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xl122">
    <w:name w:val="xl122"/>
    <w:basedOn w:val="Normal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styleId="TableofFigures">
    <w:name w:val="table of figures"/>
    <w:basedOn w:val="Normal"/>
    <w:next w:val="Normal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customStyle="1" w:styleId="Declassification">
    <w:name w:val="Declassification"/>
    <w:basedOn w:val="Normal"/>
    <w:next w:val="Normal"/>
    <w:pPr>
      <w:spacing w:after="0" w:line="240" w:lineRule="auto"/>
      <w:jc w:val="both"/>
    </w:pPr>
    <w:rPr>
      <w:rFonts w:ascii="Times New Roman" w:hAnsi="Times New Roman" w:cs="Times New Roman"/>
      <w:sz w:val="24"/>
    </w:rPr>
  </w:style>
  <w:style w:type="paragraph" w:customStyle="1" w:styleId="HeaderSensitivity">
    <w:name w:val="Header Sensitivity"/>
    <w:basedOn w:val="Normal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 w:line="240" w:lineRule="auto"/>
      <w:ind w:left="113" w:right="113"/>
      <w:jc w:val="center"/>
    </w:pPr>
    <w:rPr>
      <w:rFonts w:ascii="Times New Roman" w:hAnsi="Times New Roman" w:cs="Times New Roman"/>
      <w:b/>
      <w:sz w:val="32"/>
    </w:rPr>
  </w:style>
  <w:style w:type="paragraph" w:customStyle="1" w:styleId="HeaderSensitivityRight">
    <w:name w:val="Header Sensitivity Right"/>
    <w:basedOn w:val="Normal"/>
    <w:pPr>
      <w:spacing w:after="120" w:line="240" w:lineRule="auto"/>
      <w:jc w:val="right"/>
    </w:pPr>
    <w:rPr>
      <w:rFonts w:ascii="Times New Roman" w:hAnsi="Times New Roman" w:cs="Times New Roman"/>
      <w:sz w:val="28"/>
    </w:rPr>
  </w:style>
  <w:style w:type="paragraph" w:customStyle="1" w:styleId="FooterSensitivity">
    <w:name w:val="Footer Sensitivity"/>
    <w:basedOn w:val="Normal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360" w:after="0" w:line="240" w:lineRule="auto"/>
      <w:ind w:left="113" w:right="113"/>
      <w:jc w:val="center"/>
    </w:pPr>
    <w:rPr>
      <w:rFonts w:ascii="Times New Roman" w:hAnsi="Times New Roman" w:cs="Times New Roman"/>
      <w:b/>
      <w:sz w:val="32"/>
    </w:rPr>
  </w:style>
  <w:style w:type="paragraph" w:customStyle="1" w:styleId="Disclaimer">
    <w:name w:val="Disclaimer"/>
    <w:basedOn w:val="Normal"/>
    <w:pPr>
      <w:framePr w:w="8220" w:wrap="notBeside" w:hAnchor="margin" w:xAlign="center" w:y="10401"/>
      <w:pBdr>
        <w:top w:val="single" w:sz="6" w:space="4" w:color="auto"/>
        <w:left w:val="single" w:sz="6" w:space="7" w:color="auto"/>
        <w:bottom w:val="single" w:sz="6" w:space="4" w:color="auto"/>
        <w:right w:val="single" w:sz="6" w:space="7" w:color="auto"/>
      </w:pBdr>
      <w:shd w:val="clear" w:color="FFFFFF" w:fill="auto"/>
      <w:spacing w:before="120" w:after="120" w:line="240" w:lineRule="auto"/>
      <w:jc w:val="both"/>
    </w:pPr>
    <w:rPr>
      <w:rFonts w:ascii="Times New Roman" w:hAnsi="Times New Roman" w:cs="Times New Roman"/>
      <w:sz w:val="24"/>
    </w:rPr>
  </w:style>
  <w:style w:type="paragraph" w:customStyle="1" w:styleId="SecurityMarking">
    <w:name w:val="SecurityMarking"/>
    <w:basedOn w:val="Normal"/>
    <w:pPr>
      <w:spacing w:after="0"/>
      <w:ind w:left="5103"/>
    </w:pPr>
    <w:rPr>
      <w:rFonts w:ascii="Times New Roman" w:hAnsi="Times New Roman" w:cs="Times New Roman"/>
      <w:sz w:val="28"/>
    </w:rPr>
  </w:style>
  <w:style w:type="paragraph" w:customStyle="1" w:styleId="DateMarking">
    <w:name w:val="DateMarking"/>
    <w:basedOn w:val="Normal"/>
    <w:pPr>
      <w:spacing w:after="0"/>
      <w:ind w:left="5103"/>
    </w:pPr>
    <w:rPr>
      <w:rFonts w:ascii="Times New Roman" w:hAnsi="Times New Roman" w:cs="Times New Roman"/>
      <w:i/>
      <w:sz w:val="28"/>
    </w:rPr>
  </w:style>
  <w:style w:type="paragraph" w:customStyle="1" w:styleId="ReleasableTo">
    <w:name w:val="ReleasableTo"/>
    <w:basedOn w:val="Normal"/>
    <w:pPr>
      <w:spacing w:after="0"/>
      <w:ind w:left="5103"/>
    </w:pPr>
    <w:rPr>
      <w:rFonts w:ascii="Times New Roman" w:hAnsi="Times New Roman" w:cs="Times New Roman"/>
      <w:i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0"/>
    <w:lsdException w:name="toc 4" w:uiPriority="0"/>
    <w:lsdException w:name="toc 5" w:uiPriority="39"/>
    <w:lsdException w:name="toc 6" w:uiPriority="0"/>
    <w:lsdException w:name="toc 7" w:uiPriority="0"/>
    <w:lsdException w:name="toc 8" w:uiPriority="0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table of figures" w:uiPriority="0"/>
    <w:lsdException w:name="footnote reference" w:uiPriority="0"/>
    <w:lsdException w:name="annotation reference" w:uiPriority="0"/>
    <w:lsdException w:name="page number" w:uiPriority="0"/>
    <w:lsdException w:name="toa heading" w:uiPriority="0"/>
    <w:lsdException w:name="List Bullet" w:uiPriority="0"/>
    <w:lsdException w:name="List Number" w:uiPriority="0"/>
    <w:lsdException w:name="List Bullet 2" w:uiPriority="0"/>
    <w:lsdException w:name="List Bullet 3" w:uiPriority="0"/>
    <w:lsdException w:name="List Bullet 4" w:uiPriority="0"/>
    <w:lsdException w:name="List Number 2" w:uiPriority="0"/>
    <w:lsdException w:name="List Number 3" w:uiPriority="0"/>
    <w:lsdException w:name="List Number 4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Text1"/>
    <w:link w:val="Heading1Char"/>
    <w:qFormat/>
    <w:pPr>
      <w:keepNext/>
      <w:numPr>
        <w:numId w:val="8"/>
      </w:numPr>
      <w:spacing w:before="360" w:after="12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mallCaps/>
      <w:sz w:val="24"/>
      <w:szCs w:val="32"/>
    </w:rPr>
  </w:style>
  <w:style w:type="paragraph" w:styleId="Heading2">
    <w:name w:val="heading 2"/>
    <w:basedOn w:val="Normal"/>
    <w:next w:val="Text1"/>
    <w:link w:val="Heading2Char"/>
    <w:qFormat/>
    <w:pPr>
      <w:keepNext/>
      <w:numPr>
        <w:ilvl w:val="1"/>
        <w:numId w:val="8"/>
      </w:numPr>
      <w:spacing w:before="120" w:after="120" w:line="240" w:lineRule="auto"/>
      <w:jc w:val="both"/>
      <w:outlineLvl w:val="1"/>
    </w:pPr>
    <w:rPr>
      <w:rFonts w:ascii="Times New Roman" w:eastAsia="Times New Roman" w:hAnsi="Times New Roman" w:cs="Times New Roman"/>
      <w:b/>
      <w:bCs/>
      <w:iCs/>
      <w:sz w:val="24"/>
      <w:szCs w:val="28"/>
    </w:rPr>
  </w:style>
  <w:style w:type="paragraph" w:styleId="Heading3">
    <w:name w:val="heading 3"/>
    <w:basedOn w:val="Normal"/>
    <w:next w:val="Text1"/>
    <w:link w:val="Heading3Char"/>
    <w:qFormat/>
    <w:pPr>
      <w:keepNext/>
      <w:numPr>
        <w:ilvl w:val="2"/>
        <w:numId w:val="8"/>
      </w:numPr>
      <w:spacing w:before="120" w:after="120" w:line="240" w:lineRule="auto"/>
      <w:jc w:val="both"/>
      <w:outlineLvl w:val="2"/>
    </w:pPr>
    <w:rPr>
      <w:rFonts w:ascii="Times New Roman" w:eastAsia="Times New Roman" w:hAnsi="Times New Roman" w:cs="Times New Roman"/>
      <w:bCs/>
      <w:i/>
      <w:sz w:val="24"/>
      <w:szCs w:val="26"/>
    </w:rPr>
  </w:style>
  <w:style w:type="paragraph" w:styleId="Heading4">
    <w:name w:val="heading 4"/>
    <w:basedOn w:val="Normal"/>
    <w:next w:val="Text1"/>
    <w:link w:val="Heading4Char"/>
    <w:qFormat/>
    <w:pPr>
      <w:keepNext/>
      <w:numPr>
        <w:ilvl w:val="3"/>
        <w:numId w:val="8"/>
      </w:numPr>
      <w:spacing w:before="120" w:after="120" w:line="240" w:lineRule="auto"/>
      <w:jc w:val="both"/>
      <w:outlineLvl w:val="3"/>
    </w:pPr>
    <w:rPr>
      <w:rFonts w:ascii="Times New Roman" w:eastAsia="Times New Roman" w:hAnsi="Times New Roman" w:cs="Times New Roman"/>
      <w:bCs/>
      <w:sz w:val="24"/>
      <w:szCs w:val="28"/>
    </w:rPr>
  </w:style>
  <w:style w:type="paragraph" w:styleId="Heading5">
    <w:name w:val="heading 5"/>
    <w:basedOn w:val="Normal"/>
    <w:next w:val="Normal"/>
    <w:link w:val="Heading5Char"/>
    <w:qFormat/>
    <w:pPr>
      <w:spacing w:before="240" w:after="60" w:line="240" w:lineRule="auto"/>
      <w:jc w:val="both"/>
      <w:outlineLvl w:val="4"/>
    </w:pPr>
    <w:rPr>
      <w:rFonts w:ascii="Arial" w:eastAsia="Times New Roman" w:hAnsi="Arial" w:cs="Times New Roman"/>
      <w:szCs w:val="20"/>
      <w:lang w:eastAsia="en-GB"/>
    </w:rPr>
  </w:style>
  <w:style w:type="paragraph" w:styleId="Heading6">
    <w:name w:val="heading 6"/>
    <w:basedOn w:val="Normal"/>
    <w:next w:val="Normal"/>
    <w:link w:val="Heading6Char"/>
    <w:qFormat/>
    <w:pPr>
      <w:spacing w:before="240" w:after="60" w:line="240" w:lineRule="auto"/>
      <w:jc w:val="both"/>
      <w:outlineLvl w:val="5"/>
    </w:pPr>
    <w:rPr>
      <w:rFonts w:ascii="Arial" w:eastAsia="Times New Roman" w:hAnsi="Arial" w:cs="Times New Roman"/>
      <w:i/>
      <w:szCs w:val="20"/>
      <w:lang w:eastAsia="en-GB"/>
    </w:rPr>
  </w:style>
  <w:style w:type="paragraph" w:styleId="Heading7">
    <w:name w:val="heading 7"/>
    <w:basedOn w:val="Normal"/>
    <w:next w:val="Normal"/>
    <w:link w:val="Heading7Char"/>
    <w:qFormat/>
    <w:pPr>
      <w:spacing w:before="240" w:after="60" w:line="240" w:lineRule="auto"/>
      <w:jc w:val="both"/>
      <w:outlineLvl w:val="6"/>
    </w:pPr>
    <w:rPr>
      <w:rFonts w:ascii="Arial" w:eastAsia="Times New Roman" w:hAnsi="Arial" w:cs="Times New Roman"/>
      <w:sz w:val="20"/>
      <w:szCs w:val="20"/>
      <w:lang w:eastAsia="en-GB"/>
    </w:rPr>
  </w:style>
  <w:style w:type="paragraph" w:styleId="Heading8">
    <w:name w:val="heading 8"/>
    <w:basedOn w:val="Normal"/>
    <w:next w:val="Normal"/>
    <w:link w:val="Heading8Char"/>
    <w:qFormat/>
    <w:pPr>
      <w:spacing w:before="240" w:after="60" w:line="240" w:lineRule="auto"/>
      <w:jc w:val="both"/>
      <w:outlineLvl w:val="7"/>
    </w:pPr>
    <w:rPr>
      <w:rFonts w:ascii="Arial" w:eastAsia="Times New Roman" w:hAnsi="Arial" w:cs="Times New Roman"/>
      <w:i/>
      <w:sz w:val="20"/>
      <w:szCs w:val="20"/>
      <w:lang w:eastAsia="en-GB"/>
    </w:rPr>
  </w:style>
  <w:style w:type="paragraph" w:styleId="Heading9">
    <w:name w:val="heading 9"/>
    <w:basedOn w:val="Normal"/>
    <w:next w:val="Normal"/>
    <w:link w:val="Heading9Char"/>
    <w:qFormat/>
    <w:pPr>
      <w:spacing w:before="240" w:after="60" w:line="240" w:lineRule="auto"/>
      <w:jc w:val="both"/>
      <w:outlineLvl w:val="8"/>
    </w:pPr>
    <w:rPr>
      <w:rFonts w:ascii="Arial" w:eastAsia="Times New Roman" w:hAnsi="Arial" w:cs="Times New Roman"/>
      <w:i/>
      <w:sz w:val="18"/>
      <w:szCs w:val="20"/>
      <w:lang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Pr>
      <w:rFonts w:ascii="Times New Roman" w:eastAsia="Times New Roman" w:hAnsi="Times New Roman" w:cs="Times New Roman"/>
      <w:b/>
      <w:bCs/>
      <w:smallCaps/>
      <w:sz w:val="24"/>
      <w:szCs w:val="32"/>
    </w:rPr>
  </w:style>
  <w:style w:type="character" w:customStyle="1" w:styleId="Heading2Char">
    <w:name w:val="Heading 2 Char"/>
    <w:basedOn w:val="DefaultParagraphFont"/>
    <w:link w:val="Heading2"/>
    <w:rPr>
      <w:rFonts w:ascii="Times New Roman" w:eastAsia="Times New Roman" w:hAnsi="Times New Roman" w:cs="Times New Roman"/>
      <w:b/>
      <w:bCs/>
      <w:iCs/>
      <w:sz w:val="24"/>
      <w:szCs w:val="28"/>
    </w:rPr>
  </w:style>
  <w:style w:type="character" w:customStyle="1" w:styleId="Heading3Char">
    <w:name w:val="Heading 3 Char"/>
    <w:basedOn w:val="DefaultParagraphFont"/>
    <w:link w:val="Heading3"/>
    <w:rPr>
      <w:rFonts w:ascii="Times New Roman" w:eastAsia="Times New Roman" w:hAnsi="Times New Roman" w:cs="Times New Roman"/>
      <w:bCs/>
      <w:i/>
      <w:sz w:val="24"/>
      <w:szCs w:val="26"/>
    </w:rPr>
  </w:style>
  <w:style w:type="character" w:customStyle="1" w:styleId="Heading4Char">
    <w:name w:val="Heading 4 Char"/>
    <w:basedOn w:val="DefaultParagraphFont"/>
    <w:link w:val="Heading4"/>
    <w:rPr>
      <w:rFonts w:ascii="Times New Roman" w:eastAsia="Times New Roman" w:hAnsi="Times New Roman" w:cs="Times New Roman"/>
      <w:bCs/>
      <w:sz w:val="24"/>
      <w:szCs w:val="28"/>
    </w:rPr>
  </w:style>
  <w:style w:type="character" w:customStyle="1" w:styleId="Heading5Char">
    <w:name w:val="Heading 5 Char"/>
    <w:basedOn w:val="DefaultParagraphFont"/>
    <w:link w:val="Heading5"/>
    <w:rPr>
      <w:rFonts w:ascii="Arial" w:eastAsia="Times New Roman" w:hAnsi="Arial" w:cs="Times New Roman"/>
      <w:szCs w:val="20"/>
      <w:lang w:eastAsia="en-GB"/>
    </w:rPr>
  </w:style>
  <w:style w:type="character" w:customStyle="1" w:styleId="Heading6Char">
    <w:name w:val="Heading 6 Char"/>
    <w:basedOn w:val="DefaultParagraphFont"/>
    <w:link w:val="Heading6"/>
    <w:rPr>
      <w:rFonts w:ascii="Arial" w:eastAsia="Times New Roman" w:hAnsi="Arial" w:cs="Times New Roman"/>
      <w:i/>
      <w:szCs w:val="20"/>
      <w:lang w:eastAsia="en-GB"/>
    </w:rPr>
  </w:style>
  <w:style w:type="character" w:customStyle="1" w:styleId="Heading7Char">
    <w:name w:val="Heading 7 Char"/>
    <w:basedOn w:val="DefaultParagraphFont"/>
    <w:link w:val="Heading7"/>
    <w:rPr>
      <w:rFonts w:ascii="Arial" w:eastAsia="Times New Roman" w:hAnsi="Arial" w:cs="Times New Roman"/>
      <w:sz w:val="20"/>
      <w:szCs w:val="20"/>
      <w:lang w:eastAsia="en-GB"/>
    </w:rPr>
  </w:style>
  <w:style w:type="character" w:customStyle="1" w:styleId="Heading8Char">
    <w:name w:val="Heading 8 Char"/>
    <w:basedOn w:val="DefaultParagraphFont"/>
    <w:link w:val="Heading8"/>
    <w:rPr>
      <w:rFonts w:ascii="Arial" w:eastAsia="Times New Roman" w:hAnsi="Arial" w:cs="Times New Roman"/>
      <w:i/>
      <w:sz w:val="20"/>
      <w:szCs w:val="20"/>
      <w:lang w:eastAsia="en-GB"/>
    </w:rPr>
  </w:style>
  <w:style w:type="character" w:customStyle="1" w:styleId="Heading9Char">
    <w:name w:val="Heading 9 Char"/>
    <w:basedOn w:val="DefaultParagraphFont"/>
    <w:link w:val="Heading9"/>
    <w:rPr>
      <w:rFonts w:ascii="Arial" w:eastAsia="Times New Roman" w:hAnsi="Arial" w:cs="Times New Roman"/>
      <w:i/>
      <w:sz w:val="18"/>
      <w:szCs w:val="20"/>
      <w:lang w:eastAsia="en-GB"/>
    </w:rPr>
  </w:style>
  <w:style w:type="character" w:customStyle="1" w:styleId="Marker">
    <w:name w:val="Marker"/>
    <w:basedOn w:val="DefaultParagraphFont"/>
    <w:rPr>
      <w:color w:val="0000FF"/>
      <w:shd w:val="clear" w:color="auto" w:fill="auto"/>
    </w:rPr>
  </w:style>
  <w:style w:type="paragraph" w:customStyle="1" w:styleId="Pagedecouverture">
    <w:name w:val="Page de couverture"/>
    <w:basedOn w:val="Normal"/>
    <w:next w:val="Normal"/>
    <w:pPr>
      <w:spacing w:after="0" w:line="240" w:lineRule="auto"/>
      <w:jc w:val="both"/>
    </w:pPr>
    <w:rPr>
      <w:rFonts w:ascii="Times New Roman" w:hAnsi="Times New Roman" w:cs="Times New Roman"/>
      <w:sz w:val="24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35"/>
        <w:tab w:val="right" w:pos="9071"/>
      </w:tabs>
      <w:spacing w:after="120" w:line="240" w:lineRule="auto"/>
      <w:jc w:val="both"/>
    </w:pPr>
    <w:rPr>
      <w:rFonts w:ascii="Times New Roman" w:hAnsi="Times New Roman" w:cs="Times New Roman"/>
      <w:sz w:val="24"/>
    </w:rPr>
  </w:style>
  <w:style w:type="character" w:customStyle="1" w:styleId="HeaderChar">
    <w:name w:val="Header Char"/>
    <w:basedOn w:val="DefaultParagraphFont"/>
    <w:link w:val="Header"/>
    <w:uiPriority w:val="99"/>
    <w:rPr>
      <w:rFonts w:ascii="Times New Roman" w:hAnsi="Times New Roman" w:cs="Times New Roman"/>
      <w:sz w:val="24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35"/>
        <w:tab w:val="right" w:pos="9071"/>
        <w:tab w:val="right" w:pos="9921"/>
      </w:tabs>
      <w:spacing w:before="360" w:after="0" w:line="240" w:lineRule="auto"/>
      <w:ind w:left="-850" w:right="-850"/>
    </w:pPr>
    <w:rPr>
      <w:rFonts w:ascii="Times New Roman" w:hAnsi="Times New Roman" w:cs="Times New Roman"/>
      <w:sz w:val="24"/>
    </w:rPr>
  </w:style>
  <w:style w:type="character" w:customStyle="1" w:styleId="FooterChar">
    <w:name w:val="Footer Char"/>
    <w:basedOn w:val="DefaultParagraphFont"/>
    <w:link w:val="Footer"/>
    <w:uiPriority w:val="99"/>
    <w:rPr>
      <w:rFonts w:ascii="Times New Roman" w:hAnsi="Times New Roman" w:cs="Times New Roman"/>
      <w:sz w:val="24"/>
    </w:rPr>
  </w:style>
  <w:style w:type="paragraph" w:customStyle="1" w:styleId="FooterCoverPage">
    <w:name w:val="Footer Cover Page"/>
    <w:basedOn w:val="Normal"/>
    <w:link w:val="FooterCoverPageChar"/>
    <w:pPr>
      <w:tabs>
        <w:tab w:val="center" w:pos="4535"/>
        <w:tab w:val="right" w:pos="9071"/>
        <w:tab w:val="right" w:pos="9921"/>
      </w:tabs>
      <w:spacing w:before="360" w:after="0" w:line="240" w:lineRule="auto"/>
      <w:ind w:left="-850" w:right="-850"/>
    </w:pPr>
    <w:rPr>
      <w:rFonts w:ascii="Times New Roman" w:hAnsi="Times New Roman" w:cs="Times New Roman"/>
      <w:sz w:val="24"/>
    </w:rPr>
  </w:style>
  <w:style w:type="character" w:customStyle="1" w:styleId="FooterCoverPageChar">
    <w:name w:val="Footer Cover Page Char"/>
    <w:basedOn w:val="DefaultParagraphFont"/>
    <w:link w:val="FooterCoverPage"/>
    <w:rPr>
      <w:rFonts w:ascii="Times New Roman" w:hAnsi="Times New Roman" w:cs="Times New Roman"/>
      <w:sz w:val="24"/>
    </w:rPr>
  </w:style>
  <w:style w:type="paragraph" w:customStyle="1" w:styleId="HeaderCoverPage">
    <w:name w:val="Header Cover Page"/>
    <w:basedOn w:val="Normal"/>
    <w:link w:val="HeaderCoverPageChar"/>
    <w:pPr>
      <w:tabs>
        <w:tab w:val="center" w:pos="4535"/>
        <w:tab w:val="right" w:pos="9071"/>
      </w:tabs>
      <w:spacing w:after="120" w:line="240" w:lineRule="auto"/>
      <w:jc w:val="both"/>
    </w:pPr>
    <w:rPr>
      <w:rFonts w:ascii="Times New Roman" w:hAnsi="Times New Roman" w:cs="Times New Roman"/>
      <w:sz w:val="24"/>
    </w:rPr>
  </w:style>
  <w:style w:type="character" w:customStyle="1" w:styleId="HeaderCoverPageChar">
    <w:name w:val="Header Cover Page Char"/>
    <w:basedOn w:val="DefaultParagraphFont"/>
    <w:link w:val="HeaderCoverPage"/>
    <w:rPr>
      <w:rFonts w:ascii="Times New Roman" w:hAnsi="Times New Roman" w:cs="Times New Roman"/>
      <w:sz w:val="24"/>
    </w:rPr>
  </w:style>
  <w:style w:type="numbering" w:customStyle="1" w:styleId="NoList1">
    <w:name w:val="No List1"/>
    <w:next w:val="NoList"/>
    <w:uiPriority w:val="99"/>
    <w:semiHidden/>
    <w:unhideWhenUsed/>
  </w:style>
  <w:style w:type="paragraph" w:styleId="FootnoteText">
    <w:name w:val="footnote text"/>
    <w:basedOn w:val="Normal"/>
    <w:link w:val="FootnoteTextChar"/>
    <w:semiHidden/>
    <w:pPr>
      <w:spacing w:after="0" w:line="240" w:lineRule="auto"/>
      <w:ind w:left="720" w:hanging="720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Pr>
      <w:rFonts w:ascii="Times New Roman" w:eastAsia="Times New Roman" w:hAnsi="Times New Roman" w:cs="Times New Roman"/>
      <w:sz w:val="20"/>
      <w:szCs w:val="20"/>
    </w:rPr>
  </w:style>
  <w:style w:type="paragraph" w:styleId="TOC1">
    <w:name w:val="toc 1"/>
    <w:basedOn w:val="Normal"/>
    <w:next w:val="Normal"/>
    <w:uiPriority w:val="39"/>
    <w:pPr>
      <w:tabs>
        <w:tab w:val="right" w:leader="dot" w:pos="9071"/>
      </w:tabs>
      <w:spacing w:before="60" w:after="120" w:line="240" w:lineRule="auto"/>
      <w:ind w:left="850" w:hanging="850"/>
    </w:pPr>
    <w:rPr>
      <w:rFonts w:ascii="Times New Roman" w:eastAsia="Times New Roman" w:hAnsi="Times New Roman" w:cs="Times New Roman"/>
      <w:sz w:val="24"/>
      <w:szCs w:val="24"/>
    </w:rPr>
  </w:style>
  <w:style w:type="paragraph" w:styleId="TOC2">
    <w:name w:val="toc 2"/>
    <w:basedOn w:val="Normal"/>
    <w:next w:val="Normal"/>
    <w:uiPriority w:val="39"/>
    <w:pPr>
      <w:tabs>
        <w:tab w:val="right" w:leader="dot" w:pos="9071"/>
      </w:tabs>
      <w:spacing w:before="60" w:after="120" w:line="240" w:lineRule="auto"/>
      <w:ind w:left="850" w:hanging="850"/>
    </w:pPr>
    <w:rPr>
      <w:rFonts w:ascii="Times New Roman" w:eastAsia="Times New Roman" w:hAnsi="Times New Roman" w:cs="Times New Roman"/>
      <w:sz w:val="24"/>
      <w:szCs w:val="24"/>
    </w:rPr>
  </w:style>
  <w:style w:type="paragraph" w:styleId="TOC3">
    <w:name w:val="toc 3"/>
    <w:basedOn w:val="Normal"/>
    <w:next w:val="Normal"/>
    <w:semiHidden/>
    <w:pPr>
      <w:tabs>
        <w:tab w:val="right" w:leader="dot" w:pos="9071"/>
      </w:tabs>
      <w:spacing w:before="60" w:after="120" w:line="240" w:lineRule="auto"/>
      <w:ind w:left="850" w:hanging="850"/>
    </w:pPr>
    <w:rPr>
      <w:rFonts w:ascii="Times New Roman" w:eastAsia="Times New Roman" w:hAnsi="Times New Roman" w:cs="Times New Roman"/>
      <w:sz w:val="24"/>
      <w:szCs w:val="24"/>
    </w:rPr>
  </w:style>
  <w:style w:type="paragraph" w:styleId="TOC4">
    <w:name w:val="toc 4"/>
    <w:basedOn w:val="Normal"/>
    <w:next w:val="Normal"/>
    <w:semiHidden/>
    <w:pPr>
      <w:tabs>
        <w:tab w:val="right" w:leader="dot" w:pos="9071"/>
      </w:tabs>
      <w:spacing w:before="60" w:after="120" w:line="240" w:lineRule="auto"/>
      <w:ind w:left="850" w:hanging="850"/>
    </w:pPr>
    <w:rPr>
      <w:rFonts w:ascii="Times New Roman" w:eastAsia="Times New Roman" w:hAnsi="Times New Roman" w:cs="Times New Roman"/>
      <w:sz w:val="24"/>
      <w:szCs w:val="24"/>
    </w:rPr>
  </w:style>
  <w:style w:type="paragraph" w:styleId="TOC5">
    <w:name w:val="toc 5"/>
    <w:basedOn w:val="Normal"/>
    <w:next w:val="Normal"/>
    <w:uiPriority w:val="39"/>
    <w:pPr>
      <w:tabs>
        <w:tab w:val="right" w:leader="dot" w:pos="9071"/>
      </w:tabs>
      <w:spacing w:before="30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OC6">
    <w:name w:val="toc 6"/>
    <w:basedOn w:val="Normal"/>
    <w:next w:val="Normal"/>
    <w:semiHidden/>
    <w:pPr>
      <w:tabs>
        <w:tab w:val="right" w:leader="dot" w:pos="9071"/>
      </w:tabs>
      <w:spacing w:before="24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OC7">
    <w:name w:val="toc 7"/>
    <w:basedOn w:val="Normal"/>
    <w:next w:val="Normal"/>
    <w:semiHidden/>
    <w:pPr>
      <w:tabs>
        <w:tab w:val="right" w:leader="dot" w:pos="9071"/>
      </w:tabs>
      <w:spacing w:before="18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OC8">
    <w:name w:val="toc 8"/>
    <w:basedOn w:val="Normal"/>
    <w:next w:val="Normal"/>
    <w:semiHidden/>
    <w:pPr>
      <w:tabs>
        <w:tab w:val="right" w:leader="dot" w:pos="9071"/>
      </w:tabs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OC9">
    <w:name w:val="toc 9"/>
    <w:basedOn w:val="Normal"/>
    <w:next w:val="Normal"/>
    <w:uiPriority w:val="39"/>
    <w:pPr>
      <w:tabs>
        <w:tab w:val="right" w:leader="dot" w:pos="9071"/>
      </w:tabs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Landscape">
    <w:name w:val="HeaderLandscape"/>
    <w:basedOn w:val="Normal"/>
    <w:pPr>
      <w:tabs>
        <w:tab w:val="center" w:pos="7285"/>
        <w:tab w:val="right" w:pos="14003"/>
      </w:tabs>
      <w:spacing w:after="120" w:line="240" w:lineRule="auto"/>
      <w:jc w:val="both"/>
    </w:pPr>
    <w:rPr>
      <w:rFonts w:ascii="Times New Roman" w:hAnsi="Times New Roman" w:cs="Times New Roman"/>
      <w:sz w:val="24"/>
    </w:rPr>
  </w:style>
  <w:style w:type="paragraph" w:customStyle="1" w:styleId="FooterLandscape">
    <w:name w:val="FooterLandscape"/>
    <w:basedOn w:val="Normal"/>
    <w:pPr>
      <w:tabs>
        <w:tab w:val="center" w:pos="7285"/>
        <w:tab w:val="center" w:pos="10913"/>
        <w:tab w:val="right" w:pos="15137"/>
      </w:tabs>
      <w:spacing w:before="360" w:after="0" w:line="240" w:lineRule="auto"/>
      <w:ind w:left="-567" w:right="-567"/>
    </w:pPr>
    <w:rPr>
      <w:rFonts w:ascii="Times New Roman" w:hAnsi="Times New Roman" w:cs="Times New Roman"/>
      <w:sz w:val="24"/>
    </w:rPr>
  </w:style>
  <w:style w:type="character" w:styleId="FootnoteReference">
    <w:name w:val="footnote reference"/>
    <w:semiHidden/>
    <w:rPr>
      <w:shd w:val="clear" w:color="auto" w:fill="auto"/>
      <w:vertAlign w:val="superscript"/>
    </w:rPr>
  </w:style>
  <w:style w:type="paragraph" w:customStyle="1" w:styleId="Text1">
    <w:name w:val="Text 1"/>
    <w:basedOn w:val="Normal"/>
    <w:pPr>
      <w:spacing w:before="120" w:after="120" w:line="240" w:lineRule="auto"/>
      <w:ind w:left="85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2">
    <w:name w:val="Text 2"/>
    <w:basedOn w:val="Normal"/>
    <w:pPr>
      <w:spacing w:before="120" w:after="120" w:line="240" w:lineRule="auto"/>
      <w:ind w:left="141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3">
    <w:name w:val="Text 3"/>
    <w:basedOn w:val="Normal"/>
    <w:pPr>
      <w:spacing w:before="120" w:after="120" w:line="240" w:lineRule="auto"/>
      <w:ind w:left="198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4">
    <w:name w:val="Text 4"/>
    <w:basedOn w:val="Normal"/>
    <w:pPr>
      <w:spacing w:before="120" w:after="120" w:line="240" w:lineRule="auto"/>
      <w:ind w:left="255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Centered">
    <w:name w:val="Normal Centered"/>
    <w:basedOn w:val="Normal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Left">
    <w:name w:val="Normal Left"/>
    <w:basedOn w:val="Normal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Right">
    <w:name w:val="Normal Right"/>
    <w:basedOn w:val="Normal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QuotedText">
    <w:name w:val="Quoted Text"/>
    <w:basedOn w:val="Normal"/>
    <w:pPr>
      <w:spacing w:before="120" w:after="120" w:line="240" w:lineRule="auto"/>
      <w:ind w:left="141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0">
    <w:name w:val="Point 0"/>
    <w:basedOn w:val="Normal"/>
    <w:pPr>
      <w:spacing w:before="120" w:after="120" w:line="240" w:lineRule="auto"/>
      <w:ind w:left="850" w:hanging="85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1">
    <w:name w:val="Point 1"/>
    <w:basedOn w:val="Normal"/>
    <w:pPr>
      <w:spacing w:before="120" w:after="120" w:line="240" w:lineRule="auto"/>
      <w:ind w:left="1417" w:hanging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2">
    <w:name w:val="Point 2"/>
    <w:basedOn w:val="Normal"/>
    <w:pPr>
      <w:spacing w:before="120" w:after="120" w:line="240" w:lineRule="auto"/>
      <w:ind w:left="1984" w:hanging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3">
    <w:name w:val="Point 3"/>
    <w:basedOn w:val="Normal"/>
    <w:pPr>
      <w:spacing w:before="120" w:after="120" w:line="240" w:lineRule="auto"/>
      <w:ind w:left="2551" w:hanging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4">
    <w:name w:val="Point 4"/>
    <w:basedOn w:val="Normal"/>
    <w:pPr>
      <w:spacing w:before="120" w:after="120" w:line="240" w:lineRule="auto"/>
      <w:ind w:left="3118" w:hanging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ret0">
    <w:name w:val="Tiret 0"/>
    <w:basedOn w:val="Point0"/>
    <w:pPr>
      <w:numPr>
        <w:numId w:val="2"/>
      </w:numPr>
    </w:pPr>
  </w:style>
  <w:style w:type="paragraph" w:customStyle="1" w:styleId="Tiret1">
    <w:name w:val="Tiret 1"/>
    <w:basedOn w:val="Point1"/>
    <w:pPr>
      <w:numPr>
        <w:numId w:val="3"/>
      </w:numPr>
    </w:pPr>
  </w:style>
  <w:style w:type="paragraph" w:customStyle="1" w:styleId="Tiret2">
    <w:name w:val="Tiret 2"/>
    <w:basedOn w:val="Point2"/>
    <w:pPr>
      <w:numPr>
        <w:numId w:val="4"/>
      </w:numPr>
    </w:pPr>
  </w:style>
  <w:style w:type="paragraph" w:customStyle="1" w:styleId="Tiret3">
    <w:name w:val="Tiret 3"/>
    <w:basedOn w:val="Point3"/>
    <w:pPr>
      <w:numPr>
        <w:numId w:val="5"/>
      </w:numPr>
    </w:pPr>
  </w:style>
  <w:style w:type="paragraph" w:customStyle="1" w:styleId="Tiret4">
    <w:name w:val="Tiret 4"/>
    <w:basedOn w:val="Point4"/>
    <w:pPr>
      <w:numPr>
        <w:numId w:val="6"/>
      </w:numPr>
    </w:pPr>
  </w:style>
  <w:style w:type="paragraph" w:customStyle="1" w:styleId="PointDouble0">
    <w:name w:val="PointDouble 0"/>
    <w:basedOn w:val="Normal"/>
    <w:pPr>
      <w:tabs>
        <w:tab w:val="left" w:pos="850"/>
      </w:tabs>
      <w:spacing w:before="120" w:after="120" w:line="240" w:lineRule="auto"/>
      <w:ind w:left="1417" w:hanging="141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Double1">
    <w:name w:val="PointDouble 1"/>
    <w:basedOn w:val="Normal"/>
    <w:pPr>
      <w:tabs>
        <w:tab w:val="left" w:pos="1417"/>
      </w:tabs>
      <w:spacing w:before="120" w:after="120" w:line="240" w:lineRule="auto"/>
      <w:ind w:left="1984" w:hanging="113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Double2">
    <w:name w:val="PointDouble 2"/>
    <w:basedOn w:val="Normal"/>
    <w:pPr>
      <w:tabs>
        <w:tab w:val="left" w:pos="1984"/>
      </w:tabs>
      <w:spacing w:before="120" w:after="120" w:line="240" w:lineRule="auto"/>
      <w:ind w:left="2551" w:hanging="113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Double3">
    <w:name w:val="PointDouble 3"/>
    <w:basedOn w:val="Normal"/>
    <w:pPr>
      <w:tabs>
        <w:tab w:val="left" w:pos="2551"/>
      </w:tabs>
      <w:spacing w:before="120" w:after="120" w:line="240" w:lineRule="auto"/>
      <w:ind w:left="3118" w:hanging="113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Double4">
    <w:name w:val="PointDouble 4"/>
    <w:basedOn w:val="Normal"/>
    <w:pPr>
      <w:tabs>
        <w:tab w:val="left" w:pos="3118"/>
      </w:tabs>
      <w:spacing w:before="120" w:after="120" w:line="240" w:lineRule="auto"/>
      <w:ind w:left="3685" w:hanging="113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Triple0">
    <w:name w:val="PointTriple 0"/>
    <w:basedOn w:val="Normal"/>
    <w:pPr>
      <w:tabs>
        <w:tab w:val="left" w:pos="850"/>
        <w:tab w:val="left" w:pos="1417"/>
      </w:tabs>
      <w:spacing w:before="120" w:after="120" w:line="240" w:lineRule="auto"/>
      <w:ind w:left="1984" w:hanging="198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Triple1">
    <w:name w:val="PointTriple 1"/>
    <w:basedOn w:val="Normal"/>
    <w:pPr>
      <w:tabs>
        <w:tab w:val="left" w:pos="1417"/>
        <w:tab w:val="left" w:pos="1984"/>
      </w:tabs>
      <w:spacing w:before="120" w:after="120" w:line="240" w:lineRule="auto"/>
      <w:ind w:left="2551" w:hanging="170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Triple2">
    <w:name w:val="PointTriple 2"/>
    <w:basedOn w:val="Normal"/>
    <w:pPr>
      <w:tabs>
        <w:tab w:val="left" w:pos="1984"/>
        <w:tab w:val="left" w:pos="2551"/>
      </w:tabs>
      <w:spacing w:before="120" w:after="120" w:line="240" w:lineRule="auto"/>
      <w:ind w:left="3118" w:hanging="170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Triple3">
    <w:name w:val="PointTriple 3"/>
    <w:basedOn w:val="Normal"/>
    <w:pPr>
      <w:tabs>
        <w:tab w:val="left" w:pos="2551"/>
        <w:tab w:val="left" w:pos="3118"/>
      </w:tabs>
      <w:spacing w:before="120" w:after="120" w:line="240" w:lineRule="auto"/>
      <w:ind w:left="3685" w:hanging="170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Triple4">
    <w:name w:val="PointTriple 4"/>
    <w:basedOn w:val="Normal"/>
    <w:pPr>
      <w:tabs>
        <w:tab w:val="left" w:pos="3118"/>
        <w:tab w:val="left" w:pos="3685"/>
      </w:tabs>
      <w:spacing w:before="120" w:after="120" w:line="240" w:lineRule="auto"/>
      <w:ind w:left="4252" w:hanging="170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umPar1">
    <w:name w:val="NumPar 1"/>
    <w:basedOn w:val="Normal"/>
    <w:next w:val="Text1"/>
    <w:pPr>
      <w:numPr>
        <w:numId w:val="7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umPar2">
    <w:name w:val="NumPar 2"/>
    <w:basedOn w:val="Normal"/>
    <w:next w:val="Text1"/>
    <w:pPr>
      <w:numPr>
        <w:ilvl w:val="1"/>
        <w:numId w:val="7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umPar3">
    <w:name w:val="NumPar 3"/>
    <w:basedOn w:val="Normal"/>
    <w:next w:val="Text1"/>
    <w:pPr>
      <w:numPr>
        <w:ilvl w:val="2"/>
        <w:numId w:val="7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umPar4">
    <w:name w:val="NumPar 4"/>
    <w:basedOn w:val="Normal"/>
    <w:next w:val="Text1"/>
    <w:pPr>
      <w:numPr>
        <w:ilvl w:val="3"/>
        <w:numId w:val="7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nualNumPar1">
    <w:name w:val="Manual NumPar 1"/>
    <w:basedOn w:val="Normal"/>
    <w:next w:val="Text1"/>
    <w:pPr>
      <w:spacing w:before="120" w:after="120" w:line="240" w:lineRule="auto"/>
      <w:ind w:left="850" w:hanging="85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nualNumPar2">
    <w:name w:val="Manual NumPar 2"/>
    <w:basedOn w:val="Normal"/>
    <w:next w:val="Text1"/>
    <w:pPr>
      <w:spacing w:before="120" w:after="120" w:line="240" w:lineRule="auto"/>
      <w:ind w:left="850" w:hanging="85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nualNumPar3">
    <w:name w:val="Manual NumPar 3"/>
    <w:basedOn w:val="Normal"/>
    <w:next w:val="Text1"/>
    <w:pPr>
      <w:spacing w:before="120" w:after="120" w:line="240" w:lineRule="auto"/>
      <w:ind w:left="850" w:hanging="85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nualNumPar4">
    <w:name w:val="Manual NumPar 4"/>
    <w:basedOn w:val="Normal"/>
    <w:next w:val="Text1"/>
    <w:pPr>
      <w:spacing w:before="120" w:after="120" w:line="240" w:lineRule="auto"/>
      <w:ind w:left="850" w:hanging="85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QuotedNumPar">
    <w:name w:val="Quoted NumPar"/>
    <w:basedOn w:val="Normal"/>
    <w:pPr>
      <w:spacing w:before="120" w:after="120" w:line="240" w:lineRule="auto"/>
      <w:ind w:left="1417" w:hanging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nualHeading1">
    <w:name w:val="Manual Heading 1"/>
    <w:basedOn w:val="Normal"/>
    <w:next w:val="Text1"/>
    <w:pPr>
      <w:keepNext/>
      <w:tabs>
        <w:tab w:val="left" w:pos="850"/>
      </w:tabs>
      <w:spacing w:before="360" w:after="120" w:line="240" w:lineRule="auto"/>
      <w:ind w:left="850" w:hanging="850"/>
      <w:jc w:val="both"/>
      <w:outlineLvl w:val="0"/>
    </w:pPr>
    <w:rPr>
      <w:rFonts w:ascii="Times New Roman" w:eastAsia="Times New Roman" w:hAnsi="Times New Roman" w:cs="Times New Roman"/>
      <w:b/>
      <w:smallCaps/>
      <w:sz w:val="24"/>
      <w:szCs w:val="24"/>
    </w:rPr>
  </w:style>
  <w:style w:type="paragraph" w:customStyle="1" w:styleId="ManualHeading2">
    <w:name w:val="Manual Heading 2"/>
    <w:basedOn w:val="Normal"/>
    <w:next w:val="Text1"/>
    <w:pPr>
      <w:keepNext/>
      <w:tabs>
        <w:tab w:val="left" w:pos="850"/>
      </w:tabs>
      <w:spacing w:before="120" w:after="120" w:line="240" w:lineRule="auto"/>
      <w:ind w:left="850" w:hanging="850"/>
      <w:jc w:val="both"/>
      <w:outlineLvl w:val="1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ManualHeading3">
    <w:name w:val="Manual Heading 3"/>
    <w:basedOn w:val="Normal"/>
    <w:next w:val="Text1"/>
    <w:pPr>
      <w:keepNext/>
      <w:tabs>
        <w:tab w:val="left" w:pos="850"/>
      </w:tabs>
      <w:spacing w:before="120" w:after="120" w:line="240" w:lineRule="auto"/>
      <w:ind w:left="850" w:hanging="850"/>
      <w:jc w:val="both"/>
      <w:outlineLvl w:val="2"/>
    </w:pPr>
    <w:rPr>
      <w:rFonts w:ascii="Times New Roman" w:eastAsia="Times New Roman" w:hAnsi="Times New Roman" w:cs="Times New Roman"/>
      <w:i/>
      <w:sz w:val="24"/>
      <w:szCs w:val="24"/>
    </w:rPr>
  </w:style>
  <w:style w:type="paragraph" w:customStyle="1" w:styleId="ManualHeading4">
    <w:name w:val="Manual Heading 4"/>
    <w:basedOn w:val="Normal"/>
    <w:next w:val="Text1"/>
    <w:pPr>
      <w:keepNext/>
      <w:tabs>
        <w:tab w:val="left" w:pos="850"/>
      </w:tabs>
      <w:spacing w:before="120" w:after="120" w:line="240" w:lineRule="auto"/>
      <w:ind w:left="850" w:hanging="850"/>
      <w:jc w:val="both"/>
      <w:outlineLvl w:val="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apterTitle">
    <w:name w:val="ChapterTitle"/>
    <w:basedOn w:val="Normal"/>
    <w:next w:val="Normal"/>
    <w:pPr>
      <w:keepNext/>
      <w:spacing w:before="120" w:after="360" w:line="240" w:lineRule="auto"/>
      <w:jc w:val="center"/>
    </w:pPr>
    <w:rPr>
      <w:rFonts w:ascii="Times New Roman" w:eastAsia="Times New Roman" w:hAnsi="Times New Roman" w:cs="Times New Roman"/>
      <w:b/>
      <w:sz w:val="32"/>
      <w:szCs w:val="24"/>
    </w:rPr>
  </w:style>
  <w:style w:type="paragraph" w:customStyle="1" w:styleId="PartTitle">
    <w:name w:val="PartTitle"/>
    <w:basedOn w:val="Normal"/>
    <w:next w:val="ChapterTitle"/>
    <w:pPr>
      <w:keepNext/>
      <w:pageBreakBefore/>
      <w:spacing w:before="120" w:after="360" w:line="240" w:lineRule="auto"/>
      <w:jc w:val="center"/>
    </w:pPr>
    <w:rPr>
      <w:rFonts w:ascii="Times New Roman" w:eastAsia="Times New Roman" w:hAnsi="Times New Roman" w:cs="Times New Roman"/>
      <w:b/>
      <w:sz w:val="36"/>
      <w:szCs w:val="24"/>
    </w:rPr>
  </w:style>
  <w:style w:type="paragraph" w:customStyle="1" w:styleId="SectionTitle">
    <w:name w:val="SectionTitle"/>
    <w:basedOn w:val="Normal"/>
    <w:next w:val="Heading1"/>
    <w:pPr>
      <w:keepNext/>
      <w:spacing w:before="120" w:after="360" w:line="240" w:lineRule="auto"/>
      <w:jc w:val="center"/>
    </w:pPr>
    <w:rPr>
      <w:rFonts w:ascii="Times New Roman" w:eastAsia="Times New Roman" w:hAnsi="Times New Roman" w:cs="Times New Roman"/>
      <w:b/>
      <w:smallCaps/>
      <w:sz w:val="28"/>
      <w:szCs w:val="24"/>
    </w:rPr>
  </w:style>
  <w:style w:type="paragraph" w:customStyle="1" w:styleId="TableTitle">
    <w:name w:val="Table Title"/>
    <w:basedOn w:val="Normal"/>
    <w:next w:val="Normal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Marker1">
    <w:name w:val="Marker1"/>
    <w:rPr>
      <w:color w:val="008000"/>
      <w:shd w:val="clear" w:color="auto" w:fill="auto"/>
    </w:rPr>
  </w:style>
  <w:style w:type="character" w:customStyle="1" w:styleId="Marker2">
    <w:name w:val="Marker2"/>
    <w:rPr>
      <w:color w:val="FF0000"/>
      <w:shd w:val="clear" w:color="auto" w:fill="auto"/>
    </w:rPr>
  </w:style>
  <w:style w:type="paragraph" w:styleId="TOCHeading">
    <w:name w:val="TOC Heading"/>
    <w:basedOn w:val="Normal"/>
    <w:next w:val="Normal"/>
    <w:qFormat/>
    <w:pPr>
      <w:spacing w:before="120" w:after="24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</w:rPr>
  </w:style>
  <w:style w:type="paragraph" w:customStyle="1" w:styleId="Point0number">
    <w:name w:val="Point 0 (number)"/>
    <w:basedOn w:val="Normal"/>
    <w:pPr>
      <w:numPr>
        <w:numId w:val="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1number">
    <w:name w:val="Point 1 (number)"/>
    <w:basedOn w:val="Normal"/>
    <w:pPr>
      <w:numPr>
        <w:ilvl w:val="2"/>
        <w:numId w:val="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2number">
    <w:name w:val="Point 2 (number)"/>
    <w:basedOn w:val="Normal"/>
    <w:pPr>
      <w:numPr>
        <w:ilvl w:val="4"/>
        <w:numId w:val="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3number">
    <w:name w:val="Point 3 (number)"/>
    <w:basedOn w:val="Normal"/>
    <w:pPr>
      <w:numPr>
        <w:ilvl w:val="6"/>
        <w:numId w:val="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0letter">
    <w:name w:val="Point 0 (letter)"/>
    <w:basedOn w:val="Normal"/>
    <w:pPr>
      <w:numPr>
        <w:ilvl w:val="1"/>
        <w:numId w:val="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1letter">
    <w:name w:val="Point 1 (letter)"/>
    <w:basedOn w:val="Normal"/>
    <w:pPr>
      <w:numPr>
        <w:ilvl w:val="3"/>
        <w:numId w:val="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2letter">
    <w:name w:val="Point 2 (letter)"/>
    <w:basedOn w:val="Normal"/>
    <w:pPr>
      <w:numPr>
        <w:ilvl w:val="5"/>
        <w:numId w:val="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3letter">
    <w:name w:val="Point 3 (letter)"/>
    <w:basedOn w:val="Normal"/>
    <w:pPr>
      <w:numPr>
        <w:ilvl w:val="7"/>
        <w:numId w:val="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4letter">
    <w:name w:val="Point 4 (letter)"/>
    <w:basedOn w:val="Normal"/>
    <w:pPr>
      <w:numPr>
        <w:ilvl w:val="8"/>
        <w:numId w:val="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ullet0">
    <w:name w:val="Bullet 0"/>
    <w:basedOn w:val="Normal"/>
    <w:pPr>
      <w:numPr>
        <w:numId w:val="10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ullet1">
    <w:name w:val="Bullet 1"/>
    <w:basedOn w:val="Normal"/>
    <w:pPr>
      <w:numPr>
        <w:numId w:val="11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ullet2">
    <w:name w:val="Bullet 2"/>
    <w:basedOn w:val="Normal"/>
    <w:pPr>
      <w:numPr>
        <w:numId w:val="12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ullet3">
    <w:name w:val="Bullet 3"/>
    <w:basedOn w:val="Normal"/>
    <w:pPr>
      <w:numPr>
        <w:numId w:val="13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ullet4">
    <w:name w:val="Bullet 4"/>
    <w:basedOn w:val="Normal"/>
    <w:pPr>
      <w:numPr>
        <w:numId w:val="14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nnexetitreexpos">
    <w:name w:val="Annexe titre (exposé)"/>
    <w:basedOn w:val="Normal"/>
    <w:next w:val="Normal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u w:val="single"/>
    </w:rPr>
  </w:style>
  <w:style w:type="paragraph" w:customStyle="1" w:styleId="Annexetitre">
    <w:name w:val="Annexe titre"/>
    <w:basedOn w:val="Normal"/>
    <w:next w:val="Normal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u w:val="single"/>
    </w:rPr>
  </w:style>
  <w:style w:type="paragraph" w:customStyle="1" w:styleId="Annexetitrefichefinancire">
    <w:name w:val="Annexe titre (fiche financière)"/>
    <w:basedOn w:val="Normal"/>
    <w:next w:val="Normal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u w:val="single"/>
    </w:rPr>
  </w:style>
  <w:style w:type="paragraph" w:customStyle="1" w:styleId="Applicationdirecte">
    <w:name w:val="Application directe"/>
    <w:basedOn w:val="Normal"/>
    <w:next w:val="Fait"/>
    <w:pPr>
      <w:spacing w:before="48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vertissementtitre">
    <w:name w:val="Avertissement titre"/>
    <w:basedOn w:val="Normal"/>
    <w:next w:val="Normal"/>
    <w:pPr>
      <w:keepNext/>
      <w:spacing w:before="48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  <w:u w:val="single"/>
    </w:rPr>
  </w:style>
  <w:style w:type="paragraph" w:customStyle="1" w:styleId="Confidence">
    <w:name w:val="Confidence"/>
    <w:basedOn w:val="Normal"/>
    <w:next w:val="Normal"/>
    <w:pPr>
      <w:spacing w:before="36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fidentialit">
    <w:name w:val="Confidentialité"/>
    <w:basedOn w:val="Normal"/>
    <w:next w:val="TypedudocumentPagedecouverture"/>
    <w:pPr>
      <w:spacing w:before="240" w:after="240" w:line="240" w:lineRule="auto"/>
      <w:ind w:left="5103"/>
      <w:jc w:val="both"/>
    </w:pPr>
    <w:rPr>
      <w:rFonts w:ascii="Times New Roman" w:eastAsia="Times New Roman" w:hAnsi="Times New Roman" w:cs="Times New Roman"/>
      <w:i/>
      <w:sz w:val="32"/>
      <w:szCs w:val="24"/>
    </w:rPr>
  </w:style>
  <w:style w:type="paragraph" w:customStyle="1" w:styleId="Considrant">
    <w:name w:val="Considérant"/>
    <w:basedOn w:val="Normal"/>
    <w:pPr>
      <w:numPr>
        <w:numId w:val="15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rrigendum">
    <w:name w:val="Corrigendum"/>
    <w:basedOn w:val="Normal"/>
    <w:next w:val="Normal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tedadoption">
    <w:name w:val="Date d'adoption"/>
    <w:basedOn w:val="Normal"/>
    <w:next w:val="Titreobjet"/>
    <w:pPr>
      <w:spacing w:before="360"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Emission">
    <w:name w:val="Emission"/>
    <w:basedOn w:val="Normal"/>
    <w:next w:val="Rfrenceinstitutionnelle"/>
    <w:pPr>
      <w:spacing w:after="0" w:line="240" w:lineRule="auto"/>
      <w:ind w:left="510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xposdesmotifstitre">
    <w:name w:val="Exposé des motifs titre"/>
    <w:basedOn w:val="Normal"/>
    <w:next w:val="Normal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u w:val="single"/>
    </w:rPr>
  </w:style>
  <w:style w:type="paragraph" w:customStyle="1" w:styleId="Fait">
    <w:name w:val="Fait à"/>
    <w:basedOn w:val="Normal"/>
    <w:next w:val="Institutionquisigne"/>
    <w:pPr>
      <w:keepNext/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uledadoption">
    <w:name w:val="Formule d'adoption"/>
    <w:basedOn w:val="Normal"/>
    <w:next w:val="Titrearticle"/>
    <w:pPr>
      <w:keepNext/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stitutionquiagit">
    <w:name w:val="Institution qui agit"/>
    <w:basedOn w:val="Normal"/>
    <w:next w:val="Normal"/>
    <w:pPr>
      <w:keepNext/>
      <w:spacing w:before="60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stitutionquisigne">
    <w:name w:val="Institution qui signe"/>
    <w:basedOn w:val="Normal"/>
    <w:next w:val="Personnequisigne"/>
    <w:pPr>
      <w:keepNext/>
      <w:tabs>
        <w:tab w:val="left" w:pos="4252"/>
      </w:tabs>
      <w:spacing w:before="720" w:after="0" w:line="240" w:lineRule="auto"/>
      <w:jc w:val="both"/>
    </w:pPr>
    <w:rPr>
      <w:rFonts w:ascii="Times New Roman" w:eastAsia="Times New Roman" w:hAnsi="Times New Roman" w:cs="Times New Roman"/>
      <w:i/>
      <w:sz w:val="24"/>
      <w:szCs w:val="24"/>
    </w:rPr>
  </w:style>
  <w:style w:type="paragraph" w:customStyle="1" w:styleId="Langue">
    <w:name w:val="Langue"/>
    <w:basedOn w:val="Normal"/>
    <w:next w:val="Rfrenceinterne"/>
    <w:pPr>
      <w:framePr w:wrap="around" w:vAnchor="page" w:hAnchor="text" w:xAlign="center" w:y="14741"/>
      <w:spacing w:after="600" w:line="240" w:lineRule="auto"/>
      <w:jc w:val="center"/>
    </w:pPr>
    <w:rPr>
      <w:rFonts w:ascii="Times New Roman" w:eastAsia="Times New Roman" w:hAnsi="Times New Roman" w:cs="Times New Roman"/>
      <w:b/>
      <w:caps/>
      <w:sz w:val="24"/>
      <w:szCs w:val="24"/>
    </w:rPr>
  </w:style>
  <w:style w:type="paragraph" w:customStyle="1" w:styleId="ManualConsidrant">
    <w:name w:val="Manual Considérant"/>
    <w:basedOn w:val="Normal"/>
    <w:pPr>
      <w:spacing w:before="120" w:after="120" w:line="240" w:lineRule="auto"/>
      <w:ind w:left="709" w:hanging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mdelinstitution">
    <w:name w:val="Nom de l'institution"/>
    <w:basedOn w:val="Normal"/>
    <w:next w:val="Emission"/>
    <w:pPr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Personnequisigne">
    <w:name w:val="Personne qui signe"/>
    <w:basedOn w:val="Normal"/>
    <w:next w:val="Institutionquisigne"/>
    <w:pPr>
      <w:tabs>
        <w:tab w:val="left" w:pos="4252"/>
      </w:tabs>
      <w:spacing w:after="0" w:line="240" w:lineRule="auto"/>
    </w:pPr>
    <w:rPr>
      <w:rFonts w:ascii="Times New Roman" w:eastAsia="Times New Roman" w:hAnsi="Times New Roman" w:cs="Times New Roman"/>
      <w:i/>
      <w:sz w:val="24"/>
      <w:szCs w:val="24"/>
    </w:rPr>
  </w:style>
  <w:style w:type="paragraph" w:customStyle="1" w:styleId="Rfrenceinstitutionnelle">
    <w:name w:val="Référence institutionnelle"/>
    <w:basedOn w:val="Normal"/>
    <w:next w:val="Confidentialit"/>
    <w:pPr>
      <w:spacing w:after="240" w:line="240" w:lineRule="auto"/>
      <w:ind w:left="510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frenceinterinstitutionnelle">
    <w:name w:val="Référence interinstitutionnelle"/>
    <w:basedOn w:val="Normal"/>
    <w:next w:val="Statut"/>
    <w:pPr>
      <w:spacing w:after="0" w:line="240" w:lineRule="auto"/>
      <w:ind w:left="510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frenceinterne">
    <w:name w:val="Référence interne"/>
    <w:basedOn w:val="Normal"/>
    <w:next w:val="Rfrenceinterinstitutionnelle"/>
    <w:pPr>
      <w:spacing w:after="0" w:line="240" w:lineRule="auto"/>
      <w:ind w:left="510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ous-titreobjet">
    <w:name w:val="Sous-titre objet"/>
    <w:basedOn w:val="Normal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Statut">
    <w:name w:val="Statut"/>
    <w:basedOn w:val="Normal"/>
    <w:next w:val="Typedudocument"/>
    <w:pPr>
      <w:spacing w:before="360"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rearticle">
    <w:name w:val="Titre article"/>
    <w:basedOn w:val="Normal"/>
    <w:next w:val="Normal"/>
    <w:pPr>
      <w:keepNext/>
      <w:spacing w:before="360" w:after="120" w:line="240" w:lineRule="auto"/>
      <w:jc w:val="center"/>
    </w:pPr>
    <w:rPr>
      <w:rFonts w:ascii="Times New Roman" w:eastAsia="Times New Roman" w:hAnsi="Times New Roman" w:cs="Times New Roman"/>
      <w:i/>
      <w:sz w:val="24"/>
      <w:szCs w:val="24"/>
    </w:rPr>
  </w:style>
  <w:style w:type="paragraph" w:customStyle="1" w:styleId="Titreobjet">
    <w:name w:val="Titre objet"/>
    <w:basedOn w:val="Normal"/>
    <w:next w:val="Sous-titreobjet"/>
    <w:pPr>
      <w:spacing w:before="360" w:after="36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Typedudocument">
    <w:name w:val="Type du document"/>
    <w:basedOn w:val="Normal"/>
    <w:next w:val="Titreobjet"/>
    <w:pPr>
      <w:spacing w:before="360"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Added">
    <w:name w:val="Added"/>
    <w:rPr>
      <w:b/>
      <w:u w:val="single"/>
      <w:shd w:val="clear" w:color="auto" w:fill="auto"/>
    </w:rPr>
  </w:style>
  <w:style w:type="character" w:customStyle="1" w:styleId="Deleted">
    <w:name w:val="Deleted"/>
    <w:rPr>
      <w:strike/>
      <w:shd w:val="clear" w:color="auto" w:fill="auto"/>
    </w:rPr>
  </w:style>
  <w:style w:type="paragraph" w:customStyle="1" w:styleId="Address">
    <w:name w:val="Address"/>
    <w:basedOn w:val="Normal"/>
    <w:next w:val="Normal"/>
    <w:pPr>
      <w:keepLines/>
      <w:spacing w:before="120" w:after="120" w:line="360" w:lineRule="auto"/>
      <w:ind w:left="3402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bjetexterne">
    <w:name w:val="Objet externe"/>
    <w:basedOn w:val="Normal"/>
    <w:next w:val="Normal"/>
    <w:pPr>
      <w:spacing w:before="120" w:after="120" w:line="240" w:lineRule="auto"/>
      <w:jc w:val="both"/>
    </w:pPr>
    <w:rPr>
      <w:rFonts w:ascii="Times New Roman" w:eastAsia="Times New Roman" w:hAnsi="Times New Roman" w:cs="Times New Roman"/>
      <w:i/>
      <w:caps/>
      <w:sz w:val="24"/>
      <w:szCs w:val="24"/>
    </w:rPr>
  </w:style>
  <w:style w:type="paragraph" w:customStyle="1" w:styleId="Supertitre">
    <w:name w:val="Supertitre"/>
    <w:basedOn w:val="Normal"/>
    <w:next w:val="Normal"/>
    <w:pPr>
      <w:spacing w:after="60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Languesfaisantfoi">
    <w:name w:val="Langues faisant foi"/>
    <w:basedOn w:val="Normal"/>
    <w:next w:val="Normal"/>
    <w:pPr>
      <w:spacing w:before="360"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frencecroise">
    <w:name w:val="Référence croisée"/>
    <w:basedOn w:val="Normal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chefinanciretitre">
    <w:name w:val="Fiche financière titre"/>
    <w:basedOn w:val="Normal"/>
    <w:next w:val="Normal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u w:val="single"/>
    </w:rPr>
  </w:style>
  <w:style w:type="paragraph" w:customStyle="1" w:styleId="DatedadoptionPagedecouverture">
    <w:name w:val="Date d'adoption (Page de couverture)"/>
    <w:basedOn w:val="Datedadoption"/>
    <w:next w:val="TitreobjetPagedecouverture"/>
  </w:style>
  <w:style w:type="paragraph" w:customStyle="1" w:styleId="RfrenceinterinstitutionnellePagedecouverture">
    <w:name w:val="Référence interinstitutionnelle (Page de couverture)"/>
    <w:basedOn w:val="Rfrenceinterinstitutionnelle"/>
    <w:next w:val="Confidentialit"/>
  </w:style>
  <w:style w:type="paragraph" w:customStyle="1" w:styleId="Sous-titreobjetPagedecouverture">
    <w:name w:val="Sous-titre objet (Page de couverture)"/>
    <w:basedOn w:val="Sous-titreobjet"/>
  </w:style>
  <w:style w:type="paragraph" w:customStyle="1" w:styleId="StatutPagedecouverture">
    <w:name w:val="Statut (Page de couverture)"/>
    <w:basedOn w:val="Statut"/>
    <w:next w:val="TypedudocumentPagedecouverture"/>
  </w:style>
  <w:style w:type="paragraph" w:customStyle="1" w:styleId="TitreobjetPagedecouverture">
    <w:name w:val="Titre objet (Page de couverture)"/>
    <w:basedOn w:val="Titreobjet"/>
    <w:next w:val="Sous-titreobjetPagedecouverture"/>
  </w:style>
  <w:style w:type="paragraph" w:customStyle="1" w:styleId="TypedudocumentPagedecouverture">
    <w:name w:val="Type du document (Page de couverture)"/>
    <w:basedOn w:val="Typedudocument"/>
    <w:next w:val="TitreobjetPagedecouverture"/>
  </w:style>
  <w:style w:type="paragraph" w:customStyle="1" w:styleId="Volume">
    <w:name w:val="Volume"/>
    <w:basedOn w:val="Normal"/>
    <w:next w:val="Confidentialit"/>
    <w:pPr>
      <w:spacing w:after="240" w:line="240" w:lineRule="auto"/>
      <w:ind w:left="510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trtEEE">
    <w:name w:val="Intérêt EEE"/>
    <w:basedOn w:val="Languesfaisantfoi"/>
    <w:next w:val="Normal"/>
    <w:pPr>
      <w:spacing w:after="240"/>
    </w:pPr>
  </w:style>
  <w:style w:type="paragraph" w:customStyle="1" w:styleId="Accompagnant">
    <w:name w:val="Accompagnant"/>
    <w:basedOn w:val="Normal"/>
    <w:next w:val="Typeacteprincipal"/>
    <w:pPr>
      <w:spacing w:after="240" w:line="240" w:lineRule="auto"/>
      <w:jc w:val="center"/>
    </w:pPr>
    <w:rPr>
      <w:rFonts w:ascii="Times New Roman" w:eastAsia="Times New Roman" w:hAnsi="Times New Roman" w:cs="Times New Roman"/>
      <w:b/>
      <w:i/>
      <w:sz w:val="24"/>
      <w:szCs w:val="24"/>
    </w:rPr>
  </w:style>
  <w:style w:type="paragraph" w:customStyle="1" w:styleId="Typeacteprincipal">
    <w:name w:val="Type acte principal"/>
    <w:basedOn w:val="Normal"/>
    <w:next w:val="Objetacteprincipal"/>
    <w:pPr>
      <w:spacing w:after="24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Objetacteprincipal">
    <w:name w:val="Objet acte principal"/>
    <w:basedOn w:val="Normal"/>
    <w:next w:val="Titrearticle"/>
    <w:pPr>
      <w:spacing w:after="36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IntrtEEEPagedecouverture">
    <w:name w:val="Intérêt EEE (Page de couverture)"/>
    <w:basedOn w:val="IntrtEEE"/>
    <w:next w:val="Rfrencecroise"/>
  </w:style>
  <w:style w:type="paragraph" w:customStyle="1" w:styleId="AccompagnantPagedecouverture">
    <w:name w:val="Accompagnant (Page de couverture)"/>
    <w:basedOn w:val="Accompagnant"/>
    <w:next w:val="TypeacteprincipalPagedecouverture"/>
  </w:style>
  <w:style w:type="paragraph" w:customStyle="1" w:styleId="TypeacteprincipalPagedecouverture">
    <w:name w:val="Type acte principal (Page de couverture)"/>
    <w:basedOn w:val="Typeacteprincipal"/>
    <w:next w:val="ObjetacteprincipalPagedecouverture"/>
  </w:style>
  <w:style w:type="paragraph" w:customStyle="1" w:styleId="ObjetacteprincipalPagedecouverture">
    <w:name w:val="Objet acte principal (Page de couverture)"/>
    <w:basedOn w:val="Objetacteprincipal"/>
    <w:next w:val="Rfrencecroise"/>
  </w:style>
  <w:style w:type="paragraph" w:customStyle="1" w:styleId="LanguesfaisantfoiPagedecouverture">
    <w:name w:val="Langues faisant foi (Page de couverture)"/>
    <w:basedOn w:val="Normal"/>
    <w:next w:val="Normal"/>
    <w:pPr>
      <w:spacing w:before="360"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qFormat/>
    <w:pPr>
      <w:spacing w:before="120"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0"/>
      <w:lang w:eastAsia="en-GB"/>
    </w:rPr>
  </w:style>
  <w:style w:type="character" w:styleId="CommentReference">
    <w:name w:val="annotation reference"/>
    <w:rPr>
      <w:rFonts w:cs="Times New Roman"/>
      <w:sz w:val="16"/>
    </w:rPr>
  </w:style>
  <w:style w:type="paragraph" w:styleId="CommentText">
    <w:name w:val="annotation text"/>
    <w:basedOn w:val="Normal"/>
    <w:link w:val="CommentTextChar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customStyle="1" w:styleId="CommentTextChar">
    <w:name w:val="Comment Text Char"/>
    <w:basedOn w:val="DefaultParagraphFont"/>
    <w:link w:val="CommentText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FichedimpactPMEtitre">
    <w:name w:val="Fiche d'impact PME titre"/>
    <w:basedOn w:val="Normal"/>
    <w:next w:val="Normal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en-GB"/>
    </w:rPr>
  </w:style>
  <w:style w:type="paragraph" w:customStyle="1" w:styleId="Fichefinanciretextetable">
    <w:name w:val="Fiche financière texte (table)"/>
    <w:basedOn w:val="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Fichefinanciretitreactetable">
    <w:name w:val="Fiche financière titre (acte table)"/>
    <w:basedOn w:val="Normal"/>
    <w:next w:val="Normal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40"/>
      <w:szCs w:val="20"/>
      <w:lang w:eastAsia="en-GB"/>
    </w:rPr>
  </w:style>
  <w:style w:type="paragraph" w:customStyle="1" w:styleId="Fichefinanciretitretable">
    <w:name w:val="Fiche financière titre (table)"/>
    <w:basedOn w:val="Normal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40"/>
      <w:szCs w:val="20"/>
      <w:lang w:eastAsia="en-GB"/>
    </w:rPr>
  </w:style>
  <w:style w:type="character" w:styleId="PageNumber">
    <w:name w:val="page number"/>
    <w:rPr>
      <w:rFonts w:cs="Times New Roman"/>
    </w:rPr>
  </w:style>
  <w:style w:type="paragraph" w:styleId="TOAHeading">
    <w:name w:val="toa heading"/>
    <w:basedOn w:val="Normal"/>
    <w:next w:val="Normal"/>
    <w:pPr>
      <w:spacing w:before="120" w:after="120" w:line="240" w:lineRule="auto"/>
      <w:jc w:val="both"/>
    </w:pPr>
    <w:rPr>
      <w:rFonts w:ascii="Arial" w:eastAsia="Times New Roman" w:hAnsi="Arial" w:cs="Times New Roman"/>
      <w:b/>
      <w:sz w:val="24"/>
      <w:szCs w:val="20"/>
      <w:lang w:eastAsia="en-GB"/>
    </w:rPr>
  </w:style>
  <w:style w:type="paragraph" w:styleId="ListBullet">
    <w:name w:val="List Bullet"/>
    <w:basedOn w:val="Normal"/>
    <w:pPr>
      <w:numPr>
        <w:numId w:val="16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Bullet1">
    <w:name w:val="List Bullet 1"/>
    <w:basedOn w:val="Normal"/>
    <w:pPr>
      <w:numPr>
        <w:numId w:val="17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styleId="ListBullet2">
    <w:name w:val="List Bullet 2"/>
    <w:basedOn w:val="Normal"/>
    <w:pPr>
      <w:numPr>
        <w:numId w:val="18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styleId="ListBullet3">
    <w:name w:val="List Bullet 3"/>
    <w:basedOn w:val="Normal"/>
    <w:pPr>
      <w:numPr>
        <w:numId w:val="1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styleId="ListBullet4">
    <w:name w:val="List Bullet 4"/>
    <w:basedOn w:val="Normal"/>
    <w:pPr>
      <w:numPr>
        <w:numId w:val="20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Dash">
    <w:name w:val="List Dash"/>
    <w:basedOn w:val="Normal"/>
    <w:pPr>
      <w:numPr>
        <w:numId w:val="21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Dash1">
    <w:name w:val="List Dash 1"/>
    <w:basedOn w:val="Normal"/>
    <w:pPr>
      <w:numPr>
        <w:numId w:val="22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Dash2">
    <w:name w:val="List Dash 2"/>
    <w:basedOn w:val="Normal"/>
    <w:pPr>
      <w:numPr>
        <w:numId w:val="23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Dash3">
    <w:name w:val="List Dash 3"/>
    <w:basedOn w:val="Normal"/>
    <w:pPr>
      <w:numPr>
        <w:numId w:val="24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Dash4">
    <w:name w:val="List Dash 4"/>
    <w:basedOn w:val="Normal"/>
    <w:pPr>
      <w:numPr>
        <w:numId w:val="25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styleId="ListNumber">
    <w:name w:val="List Number"/>
    <w:basedOn w:val="Normal"/>
    <w:pPr>
      <w:numPr>
        <w:numId w:val="26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Number1">
    <w:name w:val="List Number 1"/>
    <w:basedOn w:val="Text1"/>
    <w:pPr>
      <w:numPr>
        <w:numId w:val="27"/>
      </w:numPr>
    </w:pPr>
    <w:rPr>
      <w:szCs w:val="20"/>
      <w:lang w:eastAsia="en-GB"/>
    </w:rPr>
  </w:style>
  <w:style w:type="paragraph" w:styleId="ListNumber2">
    <w:name w:val="List Number 2"/>
    <w:basedOn w:val="Normal"/>
    <w:pPr>
      <w:numPr>
        <w:numId w:val="28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styleId="ListNumber3">
    <w:name w:val="List Number 3"/>
    <w:basedOn w:val="Normal"/>
    <w:pPr>
      <w:numPr>
        <w:numId w:val="2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styleId="ListNumber4">
    <w:name w:val="List Number 4"/>
    <w:basedOn w:val="Normal"/>
    <w:pPr>
      <w:numPr>
        <w:numId w:val="30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NumberLevel2">
    <w:name w:val="List Number (Level 2)"/>
    <w:basedOn w:val="Normal"/>
    <w:pPr>
      <w:numPr>
        <w:ilvl w:val="1"/>
        <w:numId w:val="26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Number1Level2">
    <w:name w:val="List Number 1 (Level 2)"/>
    <w:basedOn w:val="Text1"/>
    <w:pPr>
      <w:numPr>
        <w:ilvl w:val="1"/>
        <w:numId w:val="27"/>
      </w:numPr>
    </w:pPr>
    <w:rPr>
      <w:szCs w:val="20"/>
      <w:lang w:eastAsia="en-GB"/>
    </w:rPr>
  </w:style>
  <w:style w:type="paragraph" w:customStyle="1" w:styleId="ListNumber2Level2">
    <w:name w:val="List Number 2 (Level 2)"/>
    <w:basedOn w:val="Text2"/>
    <w:pPr>
      <w:numPr>
        <w:ilvl w:val="1"/>
        <w:numId w:val="28"/>
      </w:numPr>
    </w:pPr>
    <w:rPr>
      <w:szCs w:val="20"/>
      <w:lang w:eastAsia="en-GB"/>
    </w:rPr>
  </w:style>
  <w:style w:type="paragraph" w:customStyle="1" w:styleId="ListNumber3Level2">
    <w:name w:val="List Number 3 (Level 2)"/>
    <w:basedOn w:val="Text3"/>
    <w:pPr>
      <w:numPr>
        <w:ilvl w:val="1"/>
        <w:numId w:val="29"/>
      </w:numPr>
    </w:pPr>
    <w:rPr>
      <w:szCs w:val="20"/>
      <w:lang w:eastAsia="en-GB"/>
    </w:rPr>
  </w:style>
  <w:style w:type="paragraph" w:customStyle="1" w:styleId="ListNumber4Level2">
    <w:name w:val="List Number 4 (Level 2)"/>
    <w:basedOn w:val="Text4"/>
    <w:pPr>
      <w:numPr>
        <w:ilvl w:val="1"/>
        <w:numId w:val="30"/>
      </w:numPr>
    </w:pPr>
    <w:rPr>
      <w:szCs w:val="20"/>
      <w:lang w:eastAsia="en-GB"/>
    </w:rPr>
  </w:style>
  <w:style w:type="paragraph" w:customStyle="1" w:styleId="ListNumberLevel3">
    <w:name w:val="List Number (Level 3)"/>
    <w:basedOn w:val="Normal"/>
    <w:pPr>
      <w:numPr>
        <w:ilvl w:val="2"/>
        <w:numId w:val="26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Number1Level3">
    <w:name w:val="List Number 1 (Level 3)"/>
    <w:basedOn w:val="Text1"/>
    <w:pPr>
      <w:numPr>
        <w:ilvl w:val="2"/>
        <w:numId w:val="27"/>
      </w:numPr>
    </w:pPr>
    <w:rPr>
      <w:szCs w:val="20"/>
      <w:lang w:eastAsia="en-GB"/>
    </w:rPr>
  </w:style>
  <w:style w:type="paragraph" w:customStyle="1" w:styleId="ListNumber2Level3">
    <w:name w:val="List Number 2 (Level 3)"/>
    <w:basedOn w:val="Text2"/>
    <w:pPr>
      <w:numPr>
        <w:ilvl w:val="2"/>
        <w:numId w:val="28"/>
      </w:numPr>
    </w:pPr>
    <w:rPr>
      <w:szCs w:val="20"/>
      <w:lang w:eastAsia="en-GB"/>
    </w:rPr>
  </w:style>
  <w:style w:type="paragraph" w:customStyle="1" w:styleId="ListNumber3Level3">
    <w:name w:val="List Number 3 (Level 3)"/>
    <w:basedOn w:val="Text3"/>
    <w:pPr>
      <w:numPr>
        <w:ilvl w:val="2"/>
        <w:numId w:val="29"/>
      </w:numPr>
    </w:pPr>
    <w:rPr>
      <w:szCs w:val="20"/>
      <w:lang w:eastAsia="en-GB"/>
    </w:rPr>
  </w:style>
  <w:style w:type="paragraph" w:customStyle="1" w:styleId="ListNumber4Level3">
    <w:name w:val="List Number 4 (Level 3)"/>
    <w:basedOn w:val="Text4"/>
    <w:pPr>
      <w:numPr>
        <w:ilvl w:val="2"/>
        <w:numId w:val="30"/>
      </w:numPr>
    </w:pPr>
    <w:rPr>
      <w:szCs w:val="20"/>
      <w:lang w:eastAsia="en-GB"/>
    </w:rPr>
  </w:style>
  <w:style w:type="paragraph" w:customStyle="1" w:styleId="ListNumberLevel4">
    <w:name w:val="List Number (Level 4)"/>
    <w:basedOn w:val="Normal"/>
    <w:pPr>
      <w:numPr>
        <w:ilvl w:val="3"/>
        <w:numId w:val="26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Number1Level4">
    <w:name w:val="List Number 1 (Level 4)"/>
    <w:basedOn w:val="Text1"/>
    <w:pPr>
      <w:numPr>
        <w:ilvl w:val="3"/>
        <w:numId w:val="27"/>
      </w:numPr>
    </w:pPr>
    <w:rPr>
      <w:szCs w:val="20"/>
      <w:lang w:eastAsia="en-GB"/>
    </w:rPr>
  </w:style>
  <w:style w:type="paragraph" w:customStyle="1" w:styleId="ListNumber2Level4">
    <w:name w:val="List Number 2 (Level 4)"/>
    <w:basedOn w:val="Text2"/>
    <w:pPr>
      <w:numPr>
        <w:ilvl w:val="3"/>
        <w:numId w:val="28"/>
      </w:numPr>
    </w:pPr>
    <w:rPr>
      <w:szCs w:val="20"/>
      <w:lang w:eastAsia="en-GB"/>
    </w:rPr>
  </w:style>
  <w:style w:type="paragraph" w:customStyle="1" w:styleId="ListNumber3Level4">
    <w:name w:val="List Number 3 (Level 4)"/>
    <w:basedOn w:val="Text3"/>
    <w:pPr>
      <w:numPr>
        <w:ilvl w:val="3"/>
        <w:numId w:val="29"/>
      </w:numPr>
    </w:pPr>
    <w:rPr>
      <w:szCs w:val="20"/>
      <w:lang w:eastAsia="en-GB"/>
    </w:rPr>
  </w:style>
  <w:style w:type="paragraph" w:customStyle="1" w:styleId="ListNumber4Level4">
    <w:name w:val="List Number 4 (Level 4)"/>
    <w:basedOn w:val="Text4"/>
    <w:pPr>
      <w:numPr>
        <w:ilvl w:val="3"/>
        <w:numId w:val="30"/>
      </w:numPr>
    </w:pPr>
    <w:rPr>
      <w:szCs w:val="20"/>
      <w:lang w:eastAsia="en-GB"/>
    </w:rPr>
  </w:style>
  <w:style w:type="paragraph" w:customStyle="1" w:styleId="Rfrenceinterinstitutionelleprliminaire">
    <w:name w:val="Référence interinstitutionelle (préliminaire)"/>
    <w:basedOn w:val="Normal"/>
    <w:next w:val="Normal"/>
    <w:pPr>
      <w:spacing w:after="0" w:line="240" w:lineRule="auto"/>
      <w:ind w:left="5103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Sous-titreobjetprliminaire">
    <w:name w:val="Sous-titre objet (préliminaire)"/>
    <w:basedOn w:val="Normal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en-GB"/>
    </w:rPr>
  </w:style>
  <w:style w:type="paragraph" w:customStyle="1" w:styleId="Statutprliminaire">
    <w:name w:val="Statut (préliminaire)"/>
    <w:basedOn w:val="Normal"/>
    <w:next w:val="Normal"/>
    <w:pPr>
      <w:spacing w:before="360"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Titreobjetprliminaire">
    <w:name w:val="Titre objet (préliminaire)"/>
    <w:basedOn w:val="Normal"/>
    <w:next w:val="Normal"/>
    <w:pPr>
      <w:spacing w:before="360" w:after="36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en-GB"/>
    </w:rPr>
  </w:style>
  <w:style w:type="paragraph" w:customStyle="1" w:styleId="Typedudocumentprliminaire">
    <w:name w:val="Type du document (préliminaire)"/>
    <w:basedOn w:val="Normal"/>
    <w:next w:val="Normal"/>
    <w:pPr>
      <w:spacing w:before="360"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en-GB"/>
    </w:rPr>
  </w:style>
  <w:style w:type="paragraph" w:styleId="BalloonText">
    <w:name w:val="Balloon Text"/>
    <w:basedOn w:val="Normal"/>
    <w:link w:val="BalloonTextChar"/>
    <w:pPr>
      <w:spacing w:before="120" w:after="120" w:line="240" w:lineRule="auto"/>
      <w:jc w:val="both"/>
    </w:pPr>
    <w:rPr>
      <w:rFonts w:ascii="Tahoma" w:eastAsia="Times New Roman" w:hAnsi="Tahoma" w:cs="Tahoma"/>
      <w:sz w:val="16"/>
      <w:szCs w:val="16"/>
      <w:lang w:eastAsia="en-GB"/>
    </w:rPr>
  </w:style>
  <w:style w:type="character" w:customStyle="1" w:styleId="BalloonTextChar">
    <w:name w:val="Balloon Text Char"/>
    <w:basedOn w:val="DefaultParagraphFont"/>
    <w:link w:val="BalloonText"/>
    <w:rPr>
      <w:rFonts w:ascii="Tahoma" w:eastAsia="Times New Roman" w:hAnsi="Tahoma" w:cs="Tahoma"/>
      <w:sz w:val="16"/>
      <w:szCs w:val="16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rPr>
      <w:b/>
      <w:bCs/>
    </w:rPr>
  </w:style>
  <w:style w:type="character" w:customStyle="1" w:styleId="CommentSubjectChar">
    <w:name w:val="Comment Subject Char"/>
    <w:basedOn w:val="CommentTextChar"/>
    <w:link w:val="CommentSubject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character" w:styleId="Hyperlink">
    <w:name w:val="Hyperlink"/>
    <w:uiPriority w:val="99"/>
    <w:rPr>
      <w:rFonts w:cs="Times New Roman"/>
      <w:color w:val="0000FF"/>
      <w:u w:val="single"/>
    </w:rPr>
  </w:style>
  <w:style w:type="paragraph" w:styleId="PlainText">
    <w:name w:val="Plain Text"/>
    <w:basedOn w:val="Normal"/>
    <w:link w:val="PlainTextChar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PlainTextChar">
    <w:name w:val="Plain Text Char"/>
    <w:basedOn w:val="DefaultParagraphFont"/>
    <w:link w:val="PlainText"/>
    <w:rPr>
      <w:rFonts w:ascii="Courier New" w:eastAsia="Times New Roman" w:hAnsi="Courier New" w:cs="Courier New"/>
      <w:sz w:val="20"/>
      <w:szCs w:val="20"/>
      <w:lang w:eastAsia="en-GB"/>
    </w:rPr>
  </w:style>
  <w:style w:type="character" w:styleId="FollowedHyperlink">
    <w:name w:val="FollowedHyperlink"/>
    <w:uiPriority w:val="99"/>
    <w:rPr>
      <w:rFonts w:cs="Times New Roman"/>
      <w:color w:val="800080"/>
      <w:u w:val="single"/>
    </w:rPr>
  </w:style>
  <w:style w:type="paragraph" w:customStyle="1" w:styleId="font5">
    <w:name w:val="font5"/>
    <w:basedOn w:val="Normal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en-GB"/>
    </w:rPr>
  </w:style>
  <w:style w:type="paragraph" w:customStyle="1" w:styleId="font6">
    <w:name w:val="font6"/>
    <w:basedOn w:val="Normal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en-GB"/>
    </w:rPr>
  </w:style>
  <w:style w:type="paragraph" w:customStyle="1" w:styleId="xl24">
    <w:name w:val="xl24"/>
    <w:basedOn w:val="Normal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25">
    <w:name w:val="xl25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26">
    <w:name w:val="xl26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27">
    <w:name w:val="xl27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customStyle="1" w:styleId="xl28">
    <w:name w:val="xl28"/>
    <w:basedOn w:val="Normal"/>
    <w:pPr>
      <w:pBdr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29">
    <w:name w:val="xl29"/>
    <w:basedOn w:val="Normal"/>
    <w:pPr>
      <w:pBdr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customStyle="1" w:styleId="xl30">
    <w:name w:val="xl30"/>
    <w:basedOn w:val="Normal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en-GB"/>
    </w:rPr>
  </w:style>
  <w:style w:type="paragraph" w:customStyle="1" w:styleId="xl31">
    <w:name w:val="xl31"/>
    <w:basedOn w:val="Normal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en-GB"/>
    </w:rPr>
  </w:style>
  <w:style w:type="paragraph" w:customStyle="1" w:styleId="xl32">
    <w:name w:val="xl32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33">
    <w:name w:val="xl33"/>
    <w:basedOn w:val="Normal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34">
    <w:name w:val="xl34"/>
    <w:basedOn w:val="Normal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en-GB"/>
    </w:rPr>
  </w:style>
  <w:style w:type="paragraph" w:customStyle="1" w:styleId="xl35">
    <w:name w:val="xl35"/>
    <w:basedOn w:val="Normal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36">
    <w:name w:val="xl36"/>
    <w:basedOn w:val="Normal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37">
    <w:name w:val="xl37"/>
    <w:basedOn w:val="Normal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38">
    <w:name w:val="xl38"/>
    <w:basedOn w:val="Normal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39">
    <w:name w:val="xl39"/>
    <w:basedOn w:val="Normal"/>
    <w:pPr>
      <w:pBdr>
        <w:top w:val="single" w:sz="8" w:space="0" w:color="auto"/>
        <w:bottom w:val="single" w:sz="8" w:space="0" w:color="auto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40">
    <w:name w:val="xl40"/>
    <w:basedOn w:val="Normal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styleId="Emphasis">
    <w:name w:val="Emphasis"/>
    <w:qFormat/>
    <w:rPr>
      <w:i/>
      <w:iCs/>
    </w:rPr>
  </w:style>
  <w:style w:type="paragraph" w:customStyle="1" w:styleId="notehead">
    <w:name w:val="notehead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table" w:styleId="TableGrid">
    <w:name w:val="Table Grid"/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104">
    <w:name w:val="xl104"/>
    <w:basedOn w:val="Normal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05">
    <w:name w:val="xl105"/>
    <w:basedOn w:val="Normal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xl106">
    <w:name w:val="xl106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xl107">
    <w:name w:val="xl107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108">
    <w:name w:val="xl108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109">
    <w:name w:val="xl109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110">
    <w:name w:val="xl110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0"/>
      <w:szCs w:val="20"/>
      <w:lang w:eastAsia="en-GB"/>
    </w:rPr>
  </w:style>
  <w:style w:type="paragraph" w:customStyle="1" w:styleId="xl111">
    <w:name w:val="xl111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112">
    <w:name w:val="xl112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113">
    <w:name w:val="xl113"/>
    <w:basedOn w:val="Normal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114">
    <w:name w:val="xl114"/>
    <w:basedOn w:val="Normal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xl115">
    <w:name w:val="xl115"/>
    <w:basedOn w:val="Normal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116">
    <w:name w:val="xl116"/>
    <w:basedOn w:val="Normal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117">
    <w:name w:val="xl117"/>
    <w:basedOn w:val="Normal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xl118">
    <w:name w:val="xl118"/>
    <w:basedOn w:val="Normal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xl119">
    <w:name w:val="xl119"/>
    <w:basedOn w:val="Normal"/>
    <w:pPr>
      <w:pBdr>
        <w:top w:val="single" w:sz="8" w:space="0" w:color="auto"/>
        <w:bottom w:val="single" w:sz="8" w:space="0" w:color="auto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xl120">
    <w:name w:val="xl120"/>
    <w:basedOn w:val="Normal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xl121">
    <w:name w:val="xl121"/>
    <w:basedOn w:val="Normal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xl122">
    <w:name w:val="xl122"/>
    <w:basedOn w:val="Normal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styleId="TableofFigures">
    <w:name w:val="table of figures"/>
    <w:basedOn w:val="Normal"/>
    <w:next w:val="Normal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customStyle="1" w:styleId="Declassification">
    <w:name w:val="Declassification"/>
    <w:basedOn w:val="Normal"/>
    <w:next w:val="Normal"/>
    <w:pPr>
      <w:spacing w:after="0" w:line="240" w:lineRule="auto"/>
      <w:jc w:val="both"/>
    </w:pPr>
    <w:rPr>
      <w:rFonts w:ascii="Times New Roman" w:hAnsi="Times New Roman" w:cs="Times New Roman"/>
      <w:sz w:val="24"/>
    </w:rPr>
  </w:style>
  <w:style w:type="paragraph" w:customStyle="1" w:styleId="HeaderSensitivity">
    <w:name w:val="Header Sensitivity"/>
    <w:basedOn w:val="Normal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 w:line="240" w:lineRule="auto"/>
      <w:ind w:left="113" w:right="113"/>
      <w:jc w:val="center"/>
    </w:pPr>
    <w:rPr>
      <w:rFonts w:ascii="Times New Roman" w:hAnsi="Times New Roman" w:cs="Times New Roman"/>
      <w:b/>
      <w:sz w:val="32"/>
    </w:rPr>
  </w:style>
  <w:style w:type="paragraph" w:customStyle="1" w:styleId="HeaderSensitivityRight">
    <w:name w:val="Header Sensitivity Right"/>
    <w:basedOn w:val="Normal"/>
    <w:pPr>
      <w:spacing w:after="120" w:line="240" w:lineRule="auto"/>
      <w:jc w:val="right"/>
    </w:pPr>
    <w:rPr>
      <w:rFonts w:ascii="Times New Roman" w:hAnsi="Times New Roman" w:cs="Times New Roman"/>
      <w:sz w:val="28"/>
    </w:rPr>
  </w:style>
  <w:style w:type="paragraph" w:customStyle="1" w:styleId="FooterSensitivity">
    <w:name w:val="Footer Sensitivity"/>
    <w:basedOn w:val="Normal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360" w:after="0" w:line="240" w:lineRule="auto"/>
      <w:ind w:left="113" w:right="113"/>
      <w:jc w:val="center"/>
    </w:pPr>
    <w:rPr>
      <w:rFonts w:ascii="Times New Roman" w:hAnsi="Times New Roman" w:cs="Times New Roman"/>
      <w:b/>
      <w:sz w:val="32"/>
    </w:rPr>
  </w:style>
  <w:style w:type="paragraph" w:customStyle="1" w:styleId="Disclaimer">
    <w:name w:val="Disclaimer"/>
    <w:basedOn w:val="Normal"/>
    <w:pPr>
      <w:framePr w:w="8220" w:wrap="notBeside" w:hAnchor="margin" w:xAlign="center" w:y="10401"/>
      <w:pBdr>
        <w:top w:val="single" w:sz="6" w:space="4" w:color="auto"/>
        <w:left w:val="single" w:sz="6" w:space="7" w:color="auto"/>
        <w:bottom w:val="single" w:sz="6" w:space="4" w:color="auto"/>
        <w:right w:val="single" w:sz="6" w:space="7" w:color="auto"/>
      </w:pBdr>
      <w:shd w:val="clear" w:color="FFFFFF" w:fill="auto"/>
      <w:spacing w:before="120" w:after="120" w:line="240" w:lineRule="auto"/>
      <w:jc w:val="both"/>
    </w:pPr>
    <w:rPr>
      <w:rFonts w:ascii="Times New Roman" w:hAnsi="Times New Roman" w:cs="Times New Roman"/>
      <w:sz w:val="24"/>
    </w:rPr>
  </w:style>
  <w:style w:type="paragraph" w:customStyle="1" w:styleId="SecurityMarking">
    <w:name w:val="SecurityMarking"/>
    <w:basedOn w:val="Normal"/>
    <w:pPr>
      <w:spacing w:after="0"/>
      <w:ind w:left="5103"/>
    </w:pPr>
    <w:rPr>
      <w:rFonts w:ascii="Times New Roman" w:hAnsi="Times New Roman" w:cs="Times New Roman"/>
      <w:sz w:val="28"/>
    </w:rPr>
  </w:style>
  <w:style w:type="paragraph" w:customStyle="1" w:styleId="DateMarking">
    <w:name w:val="DateMarking"/>
    <w:basedOn w:val="Normal"/>
    <w:pPr>
      <w:spacing w:after="0"/>
      <w:ind w:left="5103"/>
    </w:pPr>
    <w:rPr>
      <w:rFonts w:ascii="Times New Roman" w:hAnsi="Times New Roman" w:cs="Times New Roman"/>
      <w:i/>
      <w:sz w:val="28"/>
    </w:rPr>
  </w:style>
  <w:style w:type="paragraph" w:customStyle="1" w:styleId="ReleasableTo">
    <w:name w:val="ReleasableTo"/>
    <w:basedOn w:val="Normal"/>
    <w:pPr>
      <w:spacing w:after="0"/>
      <w:ind w:left="5103"/>
    </w:pPr>
    <w:rPr>
      <w:rFonts w:ascii="Times New Roman" w:hAnsi="Times New Roman" w:cs="Times New Roman"/>
      <w:i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26" Type="http://schemas.openxmlformats.org/officeDocument/2006/relationships/chart" Target="charts/chart4.xml"/><Relationship Id="rId39" Type="http://schemas.openxmlformats.org/officeDocument/2006/relationships/image" Target="media/image13.png"/><Relationship Id="rId21" Type="http://schemas.openxmlformats.org/officeDocument/2006/relationships/footer" Target="footer6.xml"/><Relationship Id="rId34" Type="http://schemas.openxmlformats.org/officeDocument/2006/relationships/image" Target="media/image9.png"/><Relationship Id="rId42" Type="http://schemas.openxmlformats.org/officeDocument/2006/relationships/header" Target="header7.xml"/><Relationship Id="rId47" Type="http://schemas.openxmlformats.org/officeDocument/2006/relationships/footer" Target="footer9.xml"/><Relationship Id="rId50" Type="http://schemas.openxmlformats.org/officeDocument/2006/relationships/header" Target="header11.xml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eader" Target="header5.xml"/><Relationship Id="rId25" Type="http://schemas.openxmlformats.org/officeDocument/2006/relationships/chart" Target="charts/chart3.xml"/><Relationship Id="rId33" Type="http://schemas.openxmlformats.org/officeDocument/2006/relationships/image" Target="media/image8.png"/><Relationship Id="rId38" Type="http://schemas.openxmlformats.org/officeDocument/2006/relationships/image" Target="media/image12.png"/><Relationship Id="rId46" Type="http://schemas.openxmlformats.org/officeDocument/2006/relationships/header" Target="header9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29" Type="http://schemas.openxmlformats.org/officeDocument/2006/relationships/image" Target="media/image4.png"/><Relationship Id="rId41" Type="http://schemas.openxmlformats.org/officeDocument/2006/relationships/chart" Target="charts/chart7.xml"/><Relationship Id="rId54" Type="http://schemas.openxmlformats.org/officeDocument/2006/relationships/footer" Target="footer1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2.png"/><Relationship Id="rId32" Type="http://schemas.openxmlformats.org/officeDocument/2006/relationships/image" Target="media/image7.png"/><Relationship Id="rId37" Type="http://schemas.openxmlformats.org/officeDocument/2006/relationships/image" Target="media/image11.png"/><Relationship Id="rId40" Type="http://schemas.openxmlformats.org/officeDocument/2006/relationships/image" Target="media/image14.png"/><Relationship Id="rId45" Type="http://schemas.openxmlformats.org/officeDocument/2006/relationships/footer" Target="footer8.xml"/><Relationship Id="rId53" Type="http://schemas.openxmlformats.org/officeDocument/2006/relationships/header" Target="header1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chart" Target="charts/chart2.xml"/><Relationship Id="rId28" Type="http://schemas.openxmlformats.org/officeDocument/2006/relationships/image" Target="media/image3.png"/><Relationship Id="rId36" Type="http://schemas.openxmlformats.org/officeDocument/2006/relationships/image" Target="media/image10.png"/><Relationship Id="rId49" Type="http://schemas.openxmlformats.org/officeDocument/2006/relationships/header" Target="header10.xml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31" Type="http://schemas.openxmlformats.org/officeDocument/2006/relationships/image" Target="media/image6.png"/><Relationship Id="rId44" Type="http://schemas.openxmlformats.org/officeDocument/2006/relationships/footer" Target="footer7.xml"/><Relationship Id="rId52" Type="http://schemas.openxmlformats.org/officeDocument/2006/relationships/footer" Target="footer1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3.xml"/><Relationship Id="rId22" Type="http://schemas.openxmlformats.org/officeDocument/2006/relationships/chart" Target="charts/chart1.xml"/><Relationship Id="rId27" Type="http://schemas.openxmlformats.org/officeDocument/2006/relationships/chart" Target="charts/chart5.xml"/><Relationship Id="rId30" Type="http://schemas.openxmlformats.org/officeDocument/2006/relationships/image" Target="media/image5.png"/><Relationship Id="rId35" Type="http://schemas.openxmlformats.org/officeDocument/2006/relationships/chart" Target="charts/chart6.xml"/><Relationship Id="rId43" Type="http://schemas.openxmlformats.org/officeDocument/2006/relationships/header" Target="header8.xml"/><Relationship Id="rId48" Type="http://schemas.openxmlformats.org/officeDocument/2006/relationships/image" Target="media/image15.pn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footer" Target="footer10.xm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Style" Target="style1.xml"/><Relationship Id="rId2" Type="http://schemas.microsoft.com/office/2011/relationships/chartColorStyle" Target="colors1.xml"/><Relationship Id="rId1" Type="http://schemas.openxmlformats.org/officeDocument/2006/relationships/oleObject" Target="file:///\\net1.cec.eu.int\MOVE\C\2\FOLDER%20BY%20NAME\Anciens%20coll&#232;gues\Alicja%20OSESIAK\Directive%2095.50\REPORT%202015%202017\01%20Excel%20with%20data%20from%20MS\Calculations%20for%20CION%20report%202013%20SC%20upd%20msv%202015%202017%20in%20progress%20with%20%25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microsoft.com/office/2011/relationships/chartColorStyle" Target="colors2.xml"/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Relationship Id="rId4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microsoft.com/office/2011/relationships/chartStyle" Target="style3.xml"/><Relationship Id="rId2" Type="http://schemas.microsoft.com/office/2011/relationships/chartColorStyle" Target="colors3.xml"/><Relationship Id="rId1" Type="http://schemas.openxmlformats.org/officeDocument/2006/relationships/oleObject" Target="file:///\\net1.cec.eu.int\MOVE\C\2\FOLDER%20BY%20NAME\Anciens%20coll&#232;gues\Alicja%20OSESIAK\Directive%2095.50\REPORT%202015%202017\01%20Excel%20with%20data%20from%20MS\Calculations%20for%20CION%20report%202013%20SC%20upd%20msv%202015%202017%20in%20progress%20with%20%25.xlsx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microsoft.com/office/2011/relationships/chartStyle" Target="style4.xml"/><Relationship Id="rId2" Type="http://schemas.microsoft.com/office/2011/relationships/chartColorStyle" Target="colors4.xml"/><Relationship Id="rId1" Type="http://schemas.openxmlformats.org/officeDocument/2006/relationships/oleObject" Target="file:///\\net1.cec.eu.int\MOVE\C\2\FOLDER%20BY%20NAME\Anciens%20coll&#232;gues\Alicja%20OSESIAK\Directive%2095.50\REPORT%202015%202017\01%20Excel%20with%20data%20from%20MS\Calculations%20for%20CION%20report%202013%20SC%20upd%20msv%202015%202017%20in%20progress%20with%20%25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microsoft.com/office/2011/relationships/chartStyle" Target="style5.xml"/><Relationship Id="rId2" Type="http://schemas.microsoft.com/office/2011/relationships/chartColorStyle" Target="colors5.xml"/><Relationship Id="rId1" Type="http://schemas.openxmlformats.org/officeDocument/2006/relationships/oleObject" Target="file:///\\net1.cec.eu.int\MOVE\C\2\FOLDER%20BY%20NAME\Anciens%20coll&#232;gues\Alicja%20OSESIAK\Directive%2095.50\REPORT%202015%202017\01%20Excel%20with%20data%20from%20MS\Calculations%20for%20CION%20report%202013%20SC%20upd%20msv%202015%202017%20in%20progress%20with%20%25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microsoft.com/office/2011/relationships/chartStyle" Target="style6.xml"/><Relationship Id="rId2" Type="http://schemas.microsoft.com/office/2011/relationships/chartColorStyle" Target="colors6.xml"/><Relationship Id="rId1" Type="http://schemas.openxmlformats.org/officeDocument/2006/relationships/oleObject" Target="file:///\\net1.cec.eu.int\MOVE\C\2\FOLDER%20BY%20NAME\Anciens%20coll&#232;gues\Alicja%20OSESIAK\Directive%2095.50\REPORT%202015%202017\01%20Excel%20with%20data%20from%20MS\Calculations%20for%20CION%20report%202013%20SC%20upd%20msv%202015%202017%20in%20progress%20with%20%25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microsoft.com/office/2011/relationships/chartStyle" Target="style7.xml"/><Relationship Id="rId2" Type="http://schemas.microsoft.com/office/2011/relationships/chartColorStyle" Target="colors7.xml"/><Relationship Id="rId1" Type="http://schemas.openxmlformats.org/officeDocument/2006/relationships/oleObject" Target="file:///\\net1.cec.eu.int\MOVE\C\2\FOLDER%20BY%20NAME\Anciens%20coll&#232;gues\Alicja%20OSESIAK\Directive%2095.50\REPORT%202015%202017\01%20Excel%20with%20data%20from%20MS\Workin%20copy%20Calculations%20for%20CION%20report%202013%20SC%20upd%20msv%202015%202017%20CH%20excluded%202016corr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5.7498021657215723E-2"/>
          <c:y val="0.19092133191047103"/>
          <c:w val="0.92460207633738023"/>
          <c:h val="0.6514053263146402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'ANNEX II'!$C$3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'ANNEX II'!$A$4:$A$33</c:f>
              <c:strCache>
                <c:ptCount val="30"/>
                <c:pt idx="0">
                  <c:v>BE</c:v>
                </c:pt>
                <c:pt idx="1">
                  <c:v>BG</c:v>
                </c:pt>
                <c:pt idx="2">
                  <c:v>CZ</c:v>
                </c:pt>
                <c:pt idx="3">
                  <c:v>DK</c:v>
                </c:pt>
                <c:pt idx="4">
                  <c:v>DE</c:v>
                </c:pt>
                <c:pt idx="5">
                  <c:v>EE</c:v>
                </c:pt>
                <c:pt idx="6">
                  <c:v>IE</c:v>
                </c:pt>
                <c:pt idx="7">
                  <c:v>EL</c:v>
                </c:pt>
                <c:pt idx="8">
                  <c:v>ES</c:v>
                </c:pt>
                <c:pt idx="9">
                  <c:v>FR</c:v>
                </c:pt>
                <c:pt idx="10">
                  <c:v>HR</c:v>
                </c:pt>
                <c:pt idx="11">
                  <c:v>IT</c:v>
                </c:pt>
                <c:pt idx="12">
                  <c:v>CY</c:v>
                </c:pt>
                <c:pt idx="13">
                  <c:v>LV</c:v>
                </c:pt>
                <c:pt idx="14">
                  <c:v>LT</c:v>
                </c:pt>
                <c:pt idx="15">
                  <c:v>LU</c:v>
                </c:pt>
                <c:pt idx="16">
                  <c:v>HU</c:v>
                </c:pt>
                <c:pt idx="17">
                  <c:v>MT</c:v>
                </c:pt>
                <c:pt idx="18">
                  <c:v>NL</c:v>
                </c:pt>
                <c:pt idx="19">
                  <c:v>AT</c:v>
                </c:pt>
                <c:pt idx="20">
                  <c:v>PL</c:v>
                </c:pt>
                <c:pt idx="21">
                  <c:v>PT</c:v>
                </c:pt>
                <c:pt idx="22">
                  <c:v>RO</c:v>
                </c:pt>
                <c:pt idx="23">
                  <c:v>SI</c:v>
                </c:pt>
                <c:pt idx="24">
                  <c:v>SK</c:v>
                </c:pt>
                <c:pt idx="25">
                  <c:v>FI</c:v>
                </c:pt>
                <c:pt idx="26">
                  <c:v>SE</c:v>
                </c:pt>
                <c:pt idx="27">
                  <c:v>UK</c:v>
                </c:pt>
                <c:pt idx="28">
                  <c:v>EU</c:v>
                </c:pt>
                <c:pt idx="29">
                  <c:v>NO</c:v>
                </c:pt>
              </c:strCache>
            </c:strRef>
          </c:cat>
          <c:val>
            <c:numRef>
              <c:f>'ANNEX II'!$C$4:$C$33</c:f>
              <c:numCache>
                <c:formatCode>0.00</c:formatCode>
                <c:ptCount val="30"/>
                <c:pt idx="0">
                  <c:v>1.2394870265433939</c:v>
                </c:pt>
                <c:pt idx="1">
                  <c:v>3.1322033898305084</c:v>
                </c:pt>
                <c:pt idx="2">
                  <c:v>1.0257372654155497</c:v>
                </c:pt>
                <c:pt idx="3">
                  <c:v>0.71130221130221127</c:v>
                </c:pt>
                <c:pt idx="4">
                  <c:v>3.6990744466800805</c:v>
                </c:pt>
                <c:pt idx="5">
                  <c:v>0.26712328767123289</c:v>
                </c:pt>
                <c:pt idx="6">
                  <c:v>0.55907780979827093</c:v>
                </c:pt>
                <c:pt idx="7">
                  <c:v>0.23529411764705882</c:v>
                </c:pt>
                <c:pt idx="8">
                  <c:v>0.62303366207514876</c:v>
                </c:pt>
                <c:pt idx="9">
                  <c:v>0.90906895302499702</c:v>
                </c:pt>
                <c:pt idx="10">
                  <c:v>1.1384615384615384</c:v>
                </c:pt>
                <c:pt idx="11">
                  <c:v>0.17502160760587726</c:v>
                </c:pt>
                <c:pt idx="12">
                  <c:v>0.20289855072463769</c:v>
                </c:pt>
                <c:pt idx="13">
                  <c:v>0.92063492063492058</c:v>
                </c:pt>
                <c:pt idx="14">
                  <c:v>1.1782786885245902</c:v>
                </c:pt>
                <c:pt idx="15">
                  <c:v>6.1674008810572688E-2</c:v>
                </c:pt>
                <c:pt idx="16">
                  <c:v>5.6882255389718077</c:v>
                </c:pt>
                <c:pt idx="17">
                  <c:v>0</c:v>
                </c:pt>
                <c:pt idx="18">
                  <c:v>2.349274124679761</c:v>
                </c:pt>
                <c:pt idx="19">
                  <c:v>13.944983818770227</c:v>
                </c:pt>
                <c:pt idx="20">
                  <c:v>2.2320688903422718</c:v>
                </c:pt>
                <c:pt idx="21">
                  <c:v>0.53195164075993095</c:v>
                </c:pt>
                <c:pt idx="22">
                  <c:v>3.0129390018484288</c:v>
                </c:pt>
                <c:pt idx="23">
                  <c:v>1.0840336134453781</c:v>
                </c:pt>
                <c:pt idx="24">
                  <c:v>9.0384615384615383</c:v>
                </c:pt>
                <c:pt idx="25">
                  <c:v>1.0874803562074384</c:v>
                </c:pt>
                <c:pt idx="26">
                  <c:v>2.226201696512724</c:v>
                </c:pt>
                <c:pt idx="27">
                  <c:v>0.38995937923133006</c:v>
                </c:pt>
                <c:pt idx="28">
                  <c:v>1.7009761307468767</c:v>
                </c:pt>
                <c:pt idx="29">
                  <c:v>0.64666166541635406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4CC-4157-A961-3DB3C520A4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00801152"/>
        <c:axId val="100843904"/>
      </c:barChart>
      <c:catAx>
        <c:axId val="100801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0843904"/>
        <c:crosses val="autoZero"/>
        <c:auto val="1"/>
        <c:lblAlgn val="ctr"/>
        <c:lblOffset val="100"/>
        <c:noMultiLvlLbl val="0"/>
      </c:catAx>
      <c:valAx>
        <c:axId val="100843904"/>
        <c:scaling>
          <c:orientation val="minMax"/>
          <c:max val="15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0801152"/>
        <c:crosses val="autoZero"/>
        <c:crossBetween val="between"/>
        <c:majorUnit val="5"/>
        <c:min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/>
              <a:t>2016</a:t>
            </a:r>
          </a:p>
        </c:rich>
      </c:tx>
      <c:layout>
        <c:manualLayout>
          <c:xMode val="edge"/>
          <c:yMode val="edge"/>
          <c:x val="0.47260994263862338"/>
          <c:y val="4.7365304914150384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5.0796683767030559E-2"/>
          <c:y val="0.19010327022375215"/>
          <c:w val="0.93338963020651744"/>
          <c:h val="0.610255871630504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'ANNEX II'!$C$3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'ANNEX II'!$A$4:$A$33</c:f>
              <c:strCache>
                <c:ptCount val="30"/>
                <c:pt idx="0">
                  <c:v>BE</c:v>
                </c:pt>
                <c:pt idx="1">
                  <c:v>BG</c:v>
                </c:pt>
                <c:pt idx="2">
                  <c:v>CZ</c:v>
                </c:pt>
                <c:pt idx="3">
                  <c:v>DK</c:v>
                </c:pt>
                <c:pt idx="4">
                  <c:v>DE</c:v>
                </c:pt>
                <c:pt idx="5">
                  <c:v>EE</c:v>
                </c:pt>
                <c:pt idx="6">
                  <c:v>IE</c:v>
                </c:pt>
                <c:pt idx="7">
                  <c:v>EL</c:v>
                </c:pt>
                <c:pt idx="8">
                  <c:v>ES</c:v>
                </c:pt>
                <c:pt idx="9">
                  <c:v>FR</c:v>
                </c:pt>
                <c:pt idx="10">
                  <c:v>HR</c:v>
                </c:pt>
                <c:pt idx="11">
                  <c:v>IT</c:v>
                </c:pt>
                <c:pt idx="12">
                  <c:v>CY</c:v>
                </c:pt>
                <c:pt idx="13">
                  <c:v>LV</c:v>
                </c:pt>
                <c:pt idx="14">
                  <c:v>LT</c:v>
                </c:pt>
                <c:pt idx="15">
                  <c:v>LU</c:v>
                </c:pt>
                <c:pt idx="16">
                  <c:v>HU</c:v>
                </c:pt>
                <c:pt idx="17">
                  <c:v>MT</c:v>
                </c:pt>
                <c:pt idx="18">
                  <c:v>NL</c:v>
                </c:pt>
                <c:pt idx="19">
                  <c:v>AT</c:v>
                </c:pt>
                <c:pt idx="20">
                  <c:v>PL</c:v>
                </c:pt>
                <c:pt idx="21">
                  <c:v>PT</c:v>
                </c:pt>
                <c:pt idx="22">
                  <c:v>RO</c:v>
                </c:pt>
                <c:pt idx="23">
                  <c:v>SI</c:v>
                </c:pt>
                <c:pt idx="24">
                  <c:v>SK</c:v>
                </c:pt>
                <c:pt idx="25">
                  <c:v>FI</c:v>
                </c:pt>
                <c:pt idx="26">
                  <c:v>SE</c:v>
                </c:pt>
                <c:pt idx="27">
                  <c:v>UK</c:v>
                </c:pt>
                <c:pt idx="28">
                  <c:v>EU</c:v>
                </c:pt>
                <c:pt idx="29">
                  <c:v>NO</c:v>
                </c:pt>
              </c:strCache>
            </c:strRef>
          </c:cat>
          <c:val>
            <c:numRef>
              <c:f>'ANNEX II'!$D$4:$D$33</c:f>
              <c:numCache>
                <c:formatCode>0.00</c:formatCode>
                <c:ptCount val="30"/>
                <c:pt idx="0">
                  <c:v>1.7766584766584768</c:v>
                </c:pt>
                <c:pt idx="1">
                  <c:v>5.2110874200426442</c:v>
                </c:pt>
                <c:pt idx="2">
                  <c:v>0.78057553956834536</c:v>
                </c:pt>
                <c:pt idx="3">
                  <c:v>0.38054363376251787</c:v>
                </c:pt>
                <c:pt idx="4">
                  <c:v>3.2447937131630646</c:v>
                </c:pt>
                <c:pt idx="5">
                  <c:v>0.26896551724137929</c:v>
                </c:pt>
                <c:pt idx="6">
                  <c:v>0.48366013071895425</c:v>
                </c:pt>
                <c:pt idx="7">
                  <c:v>7.8822055137844611</c:v>
                </c:pt>
                <c:pt idx="8">
                  <c:v>0.52218755416883345</c:v>
                </c:pt>
                <c:pt idx="9">
                  <c:v>0.73468759618344104</c:v>
                </c:pt>
                <c:pt idx="10">
                  <c:v>0.85310734463276838</c:v>
                </c:pt>
                <c:pt idx="11">
                  <c:v>0.12825923134890732</c:v>
                </c:pt>
                <c:pt idx="12">
                  <c:v>0.23030303030303031</c:v>
                </c:pt>
                <c:pt idx="13">
                  <c:v>0.79701492537313434</c:v>
                </c:pt>
                <c:pt idx="14">
                  <c:v>1.0372250423011844</c:v>
                </c:pt>
                <c:pt idx="15">
                  <c:v>0.32365145228215769</c:v>
                </c:pt>
                <c:pt idx="16">
                  <c:v>5.8357414448669198</c:v>
                </c:pt>
                <c:pt idx="17">
                  <c:v>0</c:v>
                </c:pt>
                <c:pt idx="18">
                  <c:v>2.8128704487722271</c:v>
                </c:pt>
                <c:pt idx="19">
                  <c:v>11.832673267326733</c:v>
                </c:pt>
                <c:pt idx="20">
                  <c:v>1.9004026527711986</c:v>
                </c:pt>
                <c:pt idx="21">
                  <c:v>0.50762970498474058</c:v>
                </c:pt>
                <c:pt idx="22">
                  <c:v>1.7785898538263112</c:v>
                </c:pt>
                <c:pt idx="23">
                  <c:v>0.99533255542590426</c:v>
                </c:pt>
                <c:pt idx="24">
                  <c:v>8.3869346733668344</c:v>
                </c:pt>
                <c:pt idx="25">
                  <c:v>0.967741935483871</c:v>
                </c:pt>
                <c:pt idx="26">
                  <c:v>2.758639910813824</c:v>
                </c:pt>
                <c:pt idx="27">
                  <c:v>0.37459789240155295</c:v>
                </c:pt>
                <c:pt idx="28">
                  <c:v>1.6467247021053282</c:v>
                </c:pt>
                <c:pt idx="29">
                  <c:v>0.74041095890410957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128-4758-A151-00BB197F9C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01218944"/>
        <c:axId val="101224832"/>
      </c:barChart>
      <c:catAx>
        <c:axId val="101218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1224832"/>
        <c:crosses val="autoZero"/>
        <c:auto val="1"/>
        <c:lblAlgn val="ctr"/>
        <c:lblOffset val="100"/>
        <c:noMultiLvlLbl val="0"/>
      </c:catAx>
      <c:valAx>
        <c:axId val="101224832"/>
        <c:scaling>
          <c:orientation val="minMax"/>
          <c:max val="15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1218944"/>
        <c:crosses val="autoZero"/>
        <c:crossBetween val="between"/>
        <c:majorUnit val="5"/>
        <c:min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BE" b="1"/>
              <a:t>2015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'ANNEX III'!$C$3</c:f>
              <c:strCache>
                <c:ptCount val="1"/>
                <c:pt idx="0">
                  <c:v>National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'ANNEX III'!$A$4:$A$33</c:f>
              <c:strCache>
                <c:ptCount val="30"/>
                <c:pt idx="0">
                  <c:v>BE</c:v>
                </c:pt>
                <c:pt idx="1">
                  <c:v>BG</c:v>
                </c:pt>
                <c:pt idx="2">
                  <c:v>CZ</c:v>
                </c:pt>
                <c:pt idx="3">
                  <c:v>DK</c:v>
                </c:pt>
                <c:pt idx="4">
                  <c:v>DE</c:v>
                </c:pt>
                <c:pt idx="5">
                  <c:v>EE</c:v>
                </c:pt>
                <c:pt idx="6">
                  <c:v>IE</c:v>
                </c:pt>
                <c:pt idx="7">
                  <c:v>EL</c:v>
                </c:pt>
                <c:pt idx="8">
                  <c:v>ES</c:v>
                </c:pt>
                <c:pt idx="9">
                  <c:v>FR</c:v>
                </c:pt>
                <c:pt idx="10">
                  <c:v>HR</c:v>
                </c:pt>
                <c:pt idx="11">
                  <c:v>IT</c:v>
                </c:pt>
                <c:pt idx="12">
                  <c:v>CY</c:v>
                </c:pt>
                <c:pt idx="13">
                  <c:v>LV</c:v>
                </c:pt>
                <c:pt idx="14">
                  <c:v>LT</c:v>
                </c:pt>
                <c:pt idx="15">
                  <c:v>LU</c:v>
                </c:pt>
                <c:pt idx="16">
                  <c:v>HU</c:v>
                </c:pt>
                <c:pt idx="17">
                  <c:v>MT</c:v>
                </c:pt>
                <c:pt idx="18">
                  <c:v>NL</c:v>
                </c:pt>
                <c:pt idx="19">
                  <c:v>AT</c:v>
                </c:pt>
                <c:pt idx="20">
                  <c:v>PL</c:v>
                </c:pt>
                <c:pt idx="21">
                  <c:v>PT</c:v>
                </c:pt>
                <c:pt idx="22">
                  <c:v>RO</c:v>
                </c:pt>
                <c:pt idx="23">
                  <c:v>SI</c:v>
                </c:pt>
                <c:pt idx="24">
                  <c:v>SK</c:v>
                </c:pt>
                <c:pt idx="25">
                  <c:v>FI</c:v>
                </c:pt>
                <c:pt idx="26">
                  <c:v>SE</c:v>
                </c:pt>
                <c:pt idx="27">
                  <c:v>UK</c:v>
                </c:pt>
                <c:pt idx="28">
                  <c:v>EU</c:v>
                </c:pt>
                <c:pt idx="29">
                  <c:v>NO</c:v>
                </c:pt>
              </c:strCache>
            </c:strRef>
          </c:cat>
          <c:val>
            <c:numRef>
              <c:f>'ANNEX III'!$C$4:$C$33</c:f>
              <c:numCache>
                <c:formatCode>0</c:formatCode>
                <c:ptCount val="30"/>
                <c:pt idx="0">
                  <c:v>1725</c:v>
                </c:pt>
                <c:pt idx="1">
                  <c:v>2075</c:v>
                </c:pt>
                <c:pt idx="2">
                  <c:v>1279</c:v>
                </c:pt>
                <c:pt idx="3">
                  <c:v>470</c:v>
                </c:pt>
                <c:pt idx="4">
                  <c:v>23762</c:v>
                </c:pt>
                <c:pt idx="5">
                  <c:v>33</c:v>
                </c:pt>
                <c:pt idx="6">
                  <c:v>184</c:v>
                </c:pt>
                <c:pt idx="7">
                  <c:v>303</c:v>
                </c:pt>
                <c:pt idx="8">
                  <c:v>7185</c:v>
                </c:pt>
                <c:pt idx="9">
                  <c:v>4162</c:v>
                </c:pt>
                <c:pt idx="10">
                  <c:v>335</c:v>
                </c:pt>
                <c:pt idx="11">
                  <c:v>1175</c:v>
                </c:pt>
                <c:pt idx="12">
                  <c:v>28</c:v>
                </c:pt>
                <c:pt idx="13">
                  <c:v>164</c:v>
                </c:pt>
                <c:pt idx="14">
                  <c:v>226</c:v>
                </c:pt>
                <c:pt idx="15">
                  <c:v>5</c:v>
                </c:pt>
                <c:pt idx="16">
                  <c:v>4860</c:v>
                </c:pt>
                <c:pt idx="17">
                  <c:v>73</c:v>
                </c:pt>
                <c:pt idx="18">
                  <c:v>1731</c:v>
                </c:pt>
                <c:pt idx="19">
                  <c:v>6053</c:v>
                </c:pt>
                <c:pt idx="20">
                  <c:v>16568</c:v>
                </c:pt>
                <c:pt idx="21">
                  <c:v>600</c:v>
                </c:pt>
                <c:pt idx="22">
                  <c:v>4415</c:v>
                </c:pt>
                <c:pt idx="23">
                  <c:v>481</c:v>
                </c:pt>
                <c:pt idx="24">
                  <c:v>569</c:v>
                </c:pt>
                <c:pt idx="25">
                  <c:v>1635</c:v>
                </c:pt>
                <c:pt idx="26">
                  <c:v>3271</c:v>
                </c:pt>
                <c:pt idx="27">
                  <c:v>2417</c:v>
                </c:pt>
                <c:pt idx="28">
                  <c:v>85784</c:v>
                </c:pt>
                <c:pt idx="29">
                  <c:v>614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A39-4A34-95BB-52A35EF6DBD8}"/>
            </c:ext>
          </c:extLst>
        </c:ser>
        <c:ser>
          <c:idx val="1"/>
          <c:order val="1"/>
          <c:tx>
            <c:strRef>
              <c:f>'ANNEX III'!$D$3</c:f>
              <c:strCache>
                <c:ptCount val="1"/>
                <c:pt idx="0">
                  <c:v>other EU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'ANNEX III'!$A$4:$A$33</c:f>
              <c:strCache>
                <c:ptCount val="30"/>
                <c:pt idx="0">
                  <c:v>BE</c:v>
                </c:pt>
                <c:pt idx="1">
                  <c:v>BG</c:v>
                </c:pt>
                <c:pt idx="2">
                  <c:v>CZ</c:v>
                </c:pt>
                <c:pt idx="3">
                  <c:v>DK</c:v>
                </c:pt>
                <c:pt idx="4">
                  <c:v>DE</c:v>
                </c:pt>
                <c:pt idx="5">
                  <c:v>EE</c:v>
                </c:pt>
                <c:pt idx="6">
                  <c:v>IE</c:v>
                </c:pt>
                <c:pt idx="7">
                  <c:v>EL</c:v>
                </c:pt>
                <c:pt idx="8">
                  <c:v>ES</c:v>
                </c:pt>
                <c:pt idx="9">
                  <c:v>FR</c:v>
                </c:pt>
                <c:pt idx="10">
                  <c:v>HR</c:v>
                </c:pt>
                <c:pt idx="11">
                  <c:v>IT</c:v>
                </c:pt>
                <c:pt idx="12">
                  <c:v>CY</c:v>
                </c:pt>
                <c:pt idx="13">
                  <c:v>LV</c:v>
                </c:pt>
                <c:pt idx="14">
                  <c:v>LT</c:v>
                </c:pt>
                <c:pt idx="15">
                  <c:v>LU</c:v>
                </c:pt>
                <c:pt idx="16">
                  <c:v>HU</c:v>
                </c:pt>
                <c:pt idx="17">
                  <c:v>MT</c:v>
                </c:pt>
                <c:pt idx="18">
                  <c:v>NL</c:v>
                </c:pt>
                <c:pt idx="19">
                  <c:v>AT</c:v>
                </c:pt>
                <c:pt idx="20">
                  <c:v>PL</c:v>
                </c:pt>
                <c:pt idx="21">
                  <c:v>PT</c:v>
                </c:pt>
                <c:pt idx="22">
                  <c:v>RO</c:v>
                </c:pt>
                <c:pt idx="23">
                  <c:v>SI</c:v>
                </c:pt>
                <c:pt idx="24">
                  <c:v>SK</c:v>
                </c:pt>
                <c:pt idx="25">
                  <c:v>FI</c:v>
                </c:pt>
                <c:pt idx="26">
                  <c:v>SE</c:v>
                </c:pt>
                <c:pt idx="27">
                  <c:v>UK</c:v>
                </c:pt>
                <c:pt idx="28">
                  <c:v>EU</c:v>
                </c:pt>
                <c:pt idx="29">
                  <c:v>NO</c:v>
                </c:pt>
              </c:strCache>
            </c:strRef>
          </c:cat>
          <c:val>
            <c:numRef>
              <c:f>'ANNEX III'!$D$4:$D$33</c:f>
              <c:numCache>
                <c:formatCode>0</c:formatCode>
                <c:ptCount val="30"/>
                <c:pt idx="0">
                  <c:v>2358</c:v>
                </c:pt>
                <c:pt idx="1">
                  <c:v>467</c:v>
                </c:pt>
                <c:pt idx="2">
                  <c:v>602</c:v>
                </c:pt>
                <c:pt idx="3">
                  <c:v>109</c:v>
                </c:pt>
                <c:pt idx="4">
                  <c:v>20784</c:v>
                </c:pt>
                <c:pt idx="5">
                  <c:v>6</c:v>
                </c:pt>
                <c:pt idx="6">
                  <c:v>10</c:v>
                </c:pt>
                <c:pt idx="7">
                  <c:v>20</c:v>
                </c:pt>
                <c:pt idx="8">
                  <c:v>440</c:v>
                </c:pt>
                <c:pt idx="9">
                  <c:v>3279</c:v>
                </c:pt>
                <c:pt idx="10">
                  <c:v>37</c:v>
                </c:pt>
                <c:pt idx="11">
                  <c:v>38</c:v>
                </c:pt>
                <c:pt idx="12">
                  <c:v>0</c:v>
                </c:pt>
                <c:pt idx="13">
                  <c:v>119</c:v>
                </c:pt>
                <c:pt idx="14">
                  <c:v>249</c:v>
                </c:pt>
                <c:pt idx="15">
                  <c:v>23</c:v>
                </c:pt>
                <c:pt idx="16">
                  <c:v>1787</c:v>
                </c:pt>
                <c:pt idx="17">
                  <c:v>0</c:v>
                </c:pt>
                <c:pt idx="18">
                  <c:v>808</c:v>
                </c:pt>
                <c:pt idx="19">
                  <c:v>6555</c:v>
                </c:pt>
                <c:pt idx="20">
                  <c:v>2135</c:v>
                </c:pt>
                <c:pt idx="21">
                  <c:v>16</c:v>
                </c:pt>
                <c:pt idx="22">
                  <c:v>270</c:v>
                </c:pt>
                <c:pt idx="23">
                  <c:v>245</c:v>
                </c:pt>
                <c:pt idx="24">
                  <c:v>815</c:v>
                </c:pt>
                <c:pt idx="25">
                  <c:v>319</c:v>
                </c:pt>
                <c:pt idx="26">
                  <c:v>1276</c:v>
                </c:pt>
                <c:pt idx="27">
                  <c:v>1273</c:v>
                </c:pt>
                <c:pt idx="28">
                  <c:v>44040</c:v>
                </c:pt>
                <c:pt idx="29">
                  <c:v>247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A39-4A34-95BB-52A35EF6DBD8}"/>
            </c:ext>
          </c:extLst>
        </c:ser>
        <c:ser>
          <c:idx val="2"/>
          <c:order val="2"/>
          <c:tx>
            <c:strRef>
              <c:f>'ANNEX III'!$E$3</c:f>
              <c:strCache>
                <c:ptCount val="1"/>
                <c:pt idx="0">
                  <c:v>Non EU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'ANNEX III'!$A$4:$A$33</c:f>
              <c:strCache>
                <c:ptCount val="30"/>
                <c:pt idx="0">
                  <c:v>BE</c:v>
                </c:pt>
                <c:pt idx="1">
                  <c:v>BG</c:v>
                </c:pt>
                <c:pt idx="2">
                  <c:v>CZ</c:v>
                </c:pt>
                <c:pt idx="3">
                  <c:v>DK</c:v>
                </c:pt>
                <c:pt idx="4">
                  <c:v>DE</c:v>
                </c:pt>
                <c:pt idx="5">
                  <c:v>EE</c:v>
                </c:pt>
                <c:pt idx="6">
                  <c:v>IE</c:v>
                </c:pt>
                <c:pt idx="7">
                  <c:v>EL</c:v>
                </c:pt>
                <c:pt idx="8">
                  <c:v>ES</c:v>
                </c:pt>
                <c:pt idx="9">
                  <c:v>FR</c:v>
                </c:pt>
                <c:pt idx="10">
                  <c:v>HR</c:v>
                </c:pt>
                <c:pt idx="11">
                  <c:v>IT</c:v>
                </c:pt>
                <c:pt idx="12">
                  <c:v>CY</c:v>
                </c:pt>
                <c:pt idx="13">
                  <c:v>LV</c:v>
                </c:pt>
                <c:pt idx="14">
                  <c:v>LT</c:v>
                </c:pt>
                <c:pt idx="15">
                  <c:v>LU</c:v>
                </c:pt>
                <c:pt idx="16">
                  <c:v>HU</c:v>
                </c:pt>
                <c:pt idx="17">
                  <c:v>MT</c:v>
                </c:pt>
                <c:pt idx="18">
                  <c:v>NL</c:v>
                </c:pt>
                <c:pt idx="19">
                  <c:v>AT</c:v>
                </c:pt>
                <c:pt idx="20">
                  <c:v>PL</c:v>
                </c:pt>
                <c:pt idx="21">
                  <c:v>PT</c:v>
                </c:pt>
                <c:pt idx="22">
                  <c:v>RO</c:v>
                </c:pt>
                <c:pt idx="23">
                  <c:v>SI</c:v>
                </c:pt>
                <c:pt idx="24">
                  <c:v>SK</c:v>
                </c:pt>
                <c:pt idx="25">
                  <c:v>FI</c:v>
                </c:pt>
                <c:pt idx="26">
                  <c:v>SE</c:v>
                </c:pt>
                <c:pt idx="27">
                  <c:v>UK</c:v>
                </c:pt>
                <c:pt idx="28">
                  <c:v>EU</c:v>
                </c:pt>
                <c:pt idx="29">
                  <c:v>NO</c:v>
                </c:pt>
              </c:strCache>
            </c:strRef>
          </c:cat>
          <c:val>
            <c:numRef>
              <c:f>'ANNEX III'!$E$4:$E$33</c:f>
              <c:numCache>
                <c:formatCode>0</c:formatCode>
                <c:ptCount val="30"/>
                <c:pt idx="0">
                  <c:v>73</c:v>
                </c:pt>
                <c:pt idx="1">
                  <c:v>230</c:v>
                </c:pt>
                <c:pt idx="2">
                  <c:v>32</c:v>
                </c:pt>
                <c:pt idx="3">
                  <c:v>0</c:v>
                </c:pt>
                <c:pt idx="4">
                  <c:v>1415</c:v>
                </c:pt>
                <c:pt idx="5">
                  <c:v>0</c:v>
                </c:pt>
                <c:pt idx="6">
                  <c:v>0</c:v>
                </c:pt>
                <c:pt idx="7">
                  <c:v>1</c:v>
                </c:pt>
                <c:pt idx="8">
                  <c:v>19</c:v>
                </c:pt>
                <c:pt idx="9">
                  <c:v>87</c:v>
                </c:pt>
                <c:pt idx="10">
                  <c:v>146</c:v>
                </c:pt>
                <c:pt idx="11">
                  <c:v>2</c:v>
                </c:pt>
                <c:pt idx="12">
                  <c:v>0</c:v>
                </c:pt>
                <c:pt idx="13">
                  <c:v>7</c:v>
                </c:pt>
                <c:pt idx="14">
                  <c:v>100</c:v>
                </c:pt>
                <c:pt idx="15">
                  <c:v>0</c:v>
                </c:pt>
                <c:pt idx="16">
                  <c:v>213</c:v>
                </c:pt>
                <c:pt idx="17">
                  <c:v>0</c:v>
                </c:pt>
                <c:pt idx="18">
                  <c:v>212</c:v>
                </c:pt>
                <c:pt idx="19">
                  <c:v>319</c:v>
                </c:pt>
                <c:pt idx="20">
                  <c:v>1774</c:v>
                </c:pt>
                <c:pt idx="21">
                  <c:v>0</c:v>
                </c:pt>
                <c:pt idx="22">
                  <c:v>205</c:v>
                </c:pt>
                <c:pt idx="23">
                  <c:v>48</c:v>
                </c:pt>
                <c:pt idx="24">
                  <c:v>1906</c:v>
                </c:pt>
                <c:pt idx="25">
                  <c:v>122</c:v>
                </c:pt>
                <c:pt idx="26">
                  <c:v>177</c:v>
                </c:pt>
                <c:pt idx="27">
                  <c:v>54</c:v>
                </c:pt>
                <c:pt idx="28">
                  <c:v>7142</c:v>
                </c:pt>
                <c:pt idx="29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A39-4A34-95BB-52A35EF6DBD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01692544"/>
        <c:axId val="101694080"/>
      </c:barChart>
      <c:catAx>
        <c:axId val="101692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1694080"/>
        <c:crosses val="autoZero"/>
        <c:auto val="1"/>
        <c:lblAlgn val="ctr"/>
        <c:lblOffset val="100"/>
        <c:noMultiLvlLbl val="0"/>
      </c:catAx>
      <c:valAx>
        <c:axId val="101694080"/>
        <c:scaling>
          <c:orientation val="minMax"/>
        </c:scaling>
        <c:delete val="0"/>
        <c:axPos val="l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16925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BE" b="1"/>
              <a:t>2016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'ANNEX III'!$G$3</c:f>
              <c:strCache>
                <c:ptCount val="1"/>
                <c:pt idx="0">
                  <c:v>National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'ANNEX III'!$A$4:$A$33</c:f>
              <c:strCache>
                <c:ptCount val="30"/>
                <c:pt idx="0">
                  <c:v>BE</c:v>
                </c:pt>
                <c:pt idx="1">
                  <c:v>BG</c:v>
                </c:pt>
                <c:pt idx="2">
                  <c:v>CZ</c:v>
                </c:pt>
                <c:pt idx="3">
                  <c:v>DK</c:v>
                </c:pt>
                <c:pt idx="4">
                  <c:v>DE</c:v>
                </c:pt>
                <c:pt idx="5">
                  <c:v>EE</c:v>
                </c:pt>
                <c:pt idx="6">
                  <c:v>IE</c:v>
                </c:pt>
                <c:pt idx="7">
                  <c:v>EL</c:v>
                </c:pt>
                <c:pt idx="8">
                  <c:v>ES</c:v>
                </c:pt>
                <c:pt idx="9">
                  <c:v>FR</c:v>
                </c:pt>
                <c:pt idx="10">
                  <c:v>HR</c:v>
                </c:pt>
                <c:pt idx="11">
                  <c:v>IT</c:v>
                </c:pt>
                <c:pt idx="12">
                  <c:v>CY</c:v>
                </c:pt>
                <c:pt idx="13">
                  <c:v>LV</c:v>
                </c:pt>
                <c:pt idx="14">
                  <c:v>LT</c:v>
                </c:pt>
                <c:pt idx="15">
                  <c:v>LU</c:v>
                </c:pt>
                <c:pt idx="16">
                  <c:v>HU</c:v>
                </c:pt>
                <c:pt idx="17">
                  <c:v>MT</c:v>
                </c:pt>
                <c:pt idx="18">
                  <c:v>NL</c:v>
                </c:pt>
                <c:pt idx="19">
                  <c:v>AT</c:v>
                </c:pt>
                <c:pt idx="20">
                  <c:v>PL</c:v>
                </c:pt>
                <c:pt idx="21">
                  <c:v>PT</c:v>
                </c:pt>
                <c:pt idx="22">
                  <c:v>RO</c:v>
                </c:pt>
                <c:pt idx="23">
                  <c:v>SI</c:v>
                </c:pt>
                <c:pt idx="24">
                  <c:v>SK</c:v>
                </c:pt>
                <c:pt idx="25">
                  <c:v>FI</c:v>
                </c:pt>
                <c:pt idx="26">
                  <c:v>SE</c:v>
                </c:pt>
                <c:pt idx="27">
                  <c:v>UK</c:v>
                </c:pt>
                <c:pt idx="28">
                  <c:v>EU</c:v>
                </c:pt>
                <c:pt idx="29">
                  <c:v>NO</c:v>
                </c:pt>
              </c:strCache>
            </c:strRef>
          </c:cat>
          <c:val>
            <c:numRef>
              <c:f>'ANNEX III'!$G$4:$G$33</c:f>
              <c:numCache>
                <c:formatCode>0</c:formatCode>
                <c:ptCount val="30"/>
                <c:pt idx="0">
                  <c:v>3547</c:v>
                </c:pt>
                <c:pt idx="1">
                  <c:v>2142</c:v>
                </c:pt>
                <c:pt idx="2">
                  <c:v>1118</c:v>
                </c:pt>
                <c:pt idx="3">
                  <c:v>215</c:v>
                </c:pt>
                <c:pt idx="4">
                  <c:v>21701</c:v>
                </c:pt>
                <c:pt idx="5">
                  <c:v>32</c:v>
                </c:pt>
                <c:pt idx="6">
                  <c:v>144</c:v>
                </c:pt>
                <c:pt idx="7">
                  <c:v>5038</c:v>
                </c:pt>
                <c:pt idx="8">
                  <c:v>5703</c:v>
                </c:pt>
                <c:pt idx="9">
                  <c:v>3739</c:v>
                </c:pt>
                <c:pt idx="10">
                  <c:v>320</c:v>
                </c:pt>
                <c:pt idx="11">
                  <c:v>793</c:v>
                </c:pt>
                <c:pt idx="12">
                  <c:v>38</c:v>
                </c:pt>
                <c:pt idx="13">
                  <c:v>130</c:v>
                </c:pt>
                <c:pt idx="14">
                  <c:v>265</c:v>
                </c:pt>
                <c:pt idx="15">
                  <c:v>58</c:v>
                </c:pt>
                <c:pt idx="16">
                  <c:v>5468</c:v>
                </c:pt>
                <c:pt idx="17">
                  <c:v>75</c:v>
                </c:pt>
                <c:pt idx="18">
                  <c:v>2018</c:v>
                </c:pt>
                <c:pt idx="19">
                  <c:v>5420</c:v>
                </c:pt>
                <c:pt idx="20">
                  <c:v>11931</c:v>
                </c:pt>
                <c:pt idx="21">
                  <c:v>480</c:v>
                </c:pt>
                <c:pt idx="22">
                  <c:v>3757</c:v>
                </c:pt>
                <c:pt idx="23">
                  <c:v>351</c:v>
                </c:pt>
                <c:pt idx="24">
                  <c:v>1202</c:v>
                </c:pt>
                <c:pt idx="25">
                  <c:v>1594</c:v>
                </c:pt>
                <c:pt idx="26">
                  <c:v>3332</c:v>
                </c:pt>
                <c:pt idx="27">
                  <c:v>2032</c:v>
                </c:pt>
                <c:pt idx="28">
                  <c:v>82643</c:v>
                </c:pt>
                <c:pt idx="29">
                  <c:v>762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A2C-4529-953C-5AE92201B448}"/>
            </c:ext>
          </c:extLst>
        </c:ser>
        <c:ser>
          <c:idx val="1"/>
          <c:order val="1"/>
          <c:tx>
            <c:strRef>
              <c:f>'ANNEX III'!$H$3</c:f>
              <c:strCache>
                <c:ptCount val="1"/>
                <c:pt idx="0">
                  <c:v>other EU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'ANNEX III'!$A$4:$A$33</c:f>
              <c:strCache>
                <c:ptCount val="30"/>
                <c:pt idx="0">
                  <c:v>BE</c:v>
                </c:pt>
                <c:pt idx="1">
                  <c:v>BG</c:v>
                </c:pt>
                <c:pt idx="2">
                  <c:v>CZ</c:v>
                </c:pt>
                <c:pt idx="3">
                  <c:v>DK</c:v>
                </c:pt>
                <c:pt idx="4">
                  <c:v>DE</c:v>
                </c:pt>
                <c:pt idx="5">
                  <c:v>EE</c:v>
                </c:pt>
                <c:pt idx="6">
                  <c:v>IE</c:v>
                </c:pt>
                <c:pt idx="7">
                  <c:v>EL</c:v>
                </c:pt>
                <c:pt idx="8">
                  <c:v>ES</c:v>
                </c:pt>
                <c:pt idx="9">
                  <c:v>FR</c:v>
                </c:pt>
                <c:pt idx="10">
                  <c:v>HR</c:v>
                </c:pt>
                <c:pt idx="11">
                  <c:v>IT</c:v>
                </c:pt>
                <c:pt idx="12">
                  <c:v>CY</c:v>
                </c:pt>
                <c:pt idx="13">
                  <c:v>LV</c:v>
                </c:pt>
                <c:pt idx="14">
                  <c:v>LT</c:v>
                </c:pt>
                <c:pt idx="15">
                  <c:v>LU</c:v>
                </c:pt>
                <c:pt idx="16">
                  <c:v>HU</c:v>
                </c:pt>
                <c:pt idx="17">
                  <c:v>MT</c:v>
                </c:pt>
                <c:pt idx="18">
                  <c:v>NL</c:v>
                </c:pt>
                <c:pt idx="19">
                  <c:v>AT</c:v>
                </c:pt>
                <c:pt idx="20">
                  <c:v>PL</c:v>
                </c:pt>
                <c:pt idx="21">
                  <c:v>PT</c:v>
                </c:pt>
                <c:pt idx="22">
                  <c:v>RO</c:v>
                </c:pt>
                <c:pt idx="23">
                  <c:v>SI</c:v>
                </c:pt>
                <c:pt idx="24">
                  <c:v>SK</c:v>
                </c:pt>
                <c:pt idx="25">
                  <c:v>FI</c:v>
                </c:pt>
                <c:pt idx="26">
                  <c:v>SE</c:v>
                </c:pt>
                <c:pt idx="27">
                  <c:v>UK</c:v>
                </c:pt>
                <c:pt idx="28">
                  <c:v>EU</c:v>
                </c:pt>
                <c:pt idx="29">
                  <c:v>NO</c:v>
                </c:pt>
              </c:strCache>
            </c:strRef>
          </c:cat>
          <c:val>
            <c:numRef>
              <c:f>'ANNEX III'!$H$4:$H$33</c:f>
              <c:numCache>
                <c:formatCode>0</c:formatCode>
                <c:ptCount val="30"/>
                <c:pt idx="0">
                  <c:v>2827</c:v>
                </c:pt>
                <c:pt idx="1">
                  <c:v>199</c:v>
                </c:pt>
                <c:pt idx="2">
                  <c:v>572</c:v>
                </c:pt>
                <c:pt idx="3">
                  <c:v>51</c:v>
                </c:pt>
                <c:pt idx="4">
                  <c:v>18306</c:v>
                </c:pt>
                <c:pt idx="5">
                  <c:v>5</c:v>
                </c:pt>
                <c:pt idx="6">
                  <c:v>4</c:v>
                </c:pt>
                <c:pt idx="7">
                  <c:v>670</c:v>
                </c:pt>
                <c:pt idx="8">
                  <c:v>313</c:v>
                </c:pt>
                <c:pt idx="9">
                  <c:v>3336</c:v>
                </c:pt>
                <c:pt idx="10">
                  <c:v>47</c:v>
                </c:pt>
                <c:pt idx="11">
                  <c:v>58</c:v>
                </c:pt>
                <c:pt idx="12">
                  <c:v>0</c:v>
                </c:pt>
                <c:pt idx="13">
                  <c:v>127</c:v>
                </c:pt>
                <c:pt idx="14">
                  <c:v>210</c:v>
                </c:pt>
                <c:pt idx="15">
                  <c:v>93</c:v>
                </c:pt>
                <c:pt idx="16">
                  <c:v>1946</c:v>
                </c:pt>
                <c:pt idx="17">
                  <c:v>0</c:v>
                </c:pt>
                <c:pt idx="18">
                  <c:v>1117</c:v>
                </c:pt>
                <c:pt idx="19">
                  <c:v>6255</c:v>
                </c:pt>
                <c:pt idx="20">
                  <c:v>2234</c:v>
                </c:pt>
                <c:pt idx="21">
                  <c:v>19</c:v>
                </c:pt>
                <c:pt idx="22">
                  <c:v>154</c:v>
                </c:pt>
                <c:pt idx="23">
                  <c:v>324</c:v>
                </c:pt>
                <c:pt idx="24">
                  <c:v>710</c:v>
                </c:pt>
                <c:pt idx="25">
                  <c:v>317</c:v>
                </c:pt>
                <c:pt idx="26">
                  <c:v>1443</c:v>
                </c:pt>
                <c:pt idx="27">
                  <c:v>1295</c:v>
                </c:pt>
                <c:pt idx="28">
                  <c:v>42632</c:v>
                </c:pt>
                <c:pt idx="29">
                  <c:v>317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A2C-4529-953C-5AE92201B448}"/>
            </c:ext>
          </c:extLst>
        </c:ser>
        <c:ser>
          <c:idx val="2"/>
          <c:order val="2"/>
          <c:tx>
            <c:strRef>
              <c:f>'ANNEX III'!$I$3</c:f>
              <c:strCache>
                <c:ptCount val="1"/>
                <c:pt idx="0">
                  <c:v>Non EU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'ANNEX III'!$A$4:$A$33</c:f>
              <c:strCache>
                <c:ptCount val="30"/>
                <c:pt idx="0">
                  <c:v>BE</c:v>
                </c:pt>
                <c:pt idx="1">
                  <c:v>BG</c:v>
                </c:pt>
                <c:pt idx="2">
                  <c:v>CZ</c:v>
                </c:pt>
                <c:pt idx="3">
                  <c:v>DK</c:v>
                </c:pt>
                <c:pt idx="4">
                  <c:v>DE</c:v>
                </c:pt>
                <c:pt idx="5">
                  <c:v>EE</c:v>
                </c:pt>
                <c:pt idx="6">
                  <c:v>IE</c:v>
                </c:pt>
                <c:pt idx="7">
                  <c:v>EL</c:v>
                </c:pt>
                <c:pt idx="8">
                  <c:v>ES</c:v>
                </c:pt>
                <c:pt idx="9">
                  <c:v>FR</c:v>
                </c:pt>
                <c:pt idx="10">
                  <c:v>HR</c:v>
                </c:pt>
                <c:pt idx="11">
                  <c:v>IT</c:v>
                </c:pt>
                <c:pt idx="12">
                  <c:v>CY</c:v>
                </c:pt>
                <c:pt idx="13">
                  <c:v>LV</c:v>
                </c:pt>
                <c:pt idx="14">
                  <c:v>LT</c:v>
                </c:pt>
                <c:pt idx="15">
                  <c:v>LU</c:v>
                </c:pt>
                <c:pt idx="16">
                  <c:v>HU</c:v>
                </c:pt>
                <c:pt idx="17">
                  <c:v>MT</c:v>
                </c:pt>
                <c:pt idx="18">
                  <c:v>NL</c:v>
                </c:pt>
                <c:pt idx="19">
                  <c:v>AT</c:v>
                </c:pt>
                <c:pt idx="20">
                  <c:v>PL</c:v>
                </c:pt>
                <c:pt idx="21">
                  <c:v>PT</c:v>
                </c:pt>
                <c:pt idx="22">
                  <c:v>RO</c:v>
                </c:pt>
                <c:pt idx="23">
                  <c:v>SI</c:v>
                </c:pt>
                <c:pt idx="24">
                  <c:v>SK</c:v>
                </c:pt>
                <c:pt idx="25">
                  <c:v>FI</c:v>
                </c:pt>
                <c:pt idx="26">
                  <c:v>SE</c:v>
                </c:pt>
                <c:pt idx="27">
                  <c:v>UK</c:v>
                </c:pt>
                <c:pt idx="28">
                  <c:v>EU</c:v>
                </c:pt>
                <c:pt idx="29">
                  <c:v>NO</c:v>
                </c:pt>
              </c:strCache>
            </c:strRef>
          </c:cat>
          <c:val>
            <c:numRef>
              <c:f>'ANNEX III'!$I$4:$I$33</c:f>
              <c:numCache>
                <c:formatCode>0</c:formatCode>
                <c:ptCount val="30"/>
                <c:pt idx="0">
                  <c:v>857</c:v>
                </c:pt>
                <c:pt idx="1">
                  <c:v>103</c:v>
                </c:pt>
                <c:pt idx="2">
                  <c:v>46</c:v>
                </c:pt>
                <c:pt idx="3">
                  <c:v>0</c:v>
                </c:pt>
                <c:pt idx="4">
                  <c:v>1283</c:v>
                </c:pt>
                <c:pt idx="5">
                  <c:v>2</c:v>
                </c:pt>
                <c:pt idx="6">
                  <c:v>0</c:v>
                </c:pt>
                <c:pt idx="7">
                  <c:v>582</c:v>
                </c:pt>
                <c:pt idx="8">
                  <c:v>9</c:v>
                </c:pt>
                <c:pt idx="9">
                  <c:v>86</c:v>
                </c:pt>
                <c:pt idx="10">
                  <c:v>86</c:v>
                </c:pt>
                <c:pt idx="11">
                  <c:v>0</c:v>
                </c:pt>
                <c:pt idx="12">
                  <c:v>0</c:v>
                </c:pt>
                <c:pt idx="13">
                  <c:v>10</c:v>
                </c:pt>
                <c:pt idx="14">
                  <c:v>138</c:v>
                </c:pt>
                <c:pt idx="15">
                  <c:v>5</c:v>
                </c:pt>
                <c:pt idx="16">
                  <c:v>260</c:v>
                </c:pt>
                <c:pt idx="17">
                  <c:v>0</c:v>
                </c:pt>
                <c:pt idx="18">
                  <c:v>187</c:v>
                </c:pt>
                <c:pt idx="19">
                  <c:v>276</c:v>
                </c:pt>
                <c:pt idx="20">
                  <c:v>1882</c:v>
                </c:pt>
                <c:pt idx="21">
                  <c:v>0</c:v>
                </c:pt>
                <c:pt idx="22">
                  <c:v>226</c:v>
                </c:pt>
                <c:pt idx="23">
                  <c:v>178</c:v>
                </c:pt>
                <c:pt idx="24">
                  <c:v>1426</c:v>
                </c:pt>
                <c:pt idx="25">
                  <c:v>219</c:v>
                </c:pt>
                <c:pt idx="26">
                  <c:v>174</c:v>
                </c:pt>
                <c:pt idx="27">
                  <c:v>50</c:v>
                </c:pt>
                <c:pt idx="28">
                  <c:v>8085</c:v>
                </c:pt>
                <c:pt idx="29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A2C-4529-953C-5AE92201B4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01971072"/>
        <c:axId val="101972608"/>
      </c:barChart>
      <c:catAx>
        <c:axId val="1019710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1972608"/>
        <c:crosses val="autoZero"/>
        <c:auto val="1"/>
        <c:lblAlgn val="ctr"/>
        <c:lblOffset val="100"/>
        <c:noMultiLvlLbl val="0"/>
      </c:catAx>
      <c:valAx>
        <c:axId val="101972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19710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BE" b="1"/>
              <a:t>2017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'ANNEX III'!$K$3</c:f>
              <c:strCache>
                <c:ptCount val="1"/>
                <c:pt idx="0">
                  <c:v>National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'ANNEX III'!$A$4:$A$33</c:f>
              <c:strCache>
                <c:ptCount val="30"/>
                <c:pt idx="0">
                  <c:v>BE</c:v>
                </c:pt>
                <c:pt idx="1">
                  <c:v>BG</c:v>
                </c:pt>
                <c:pt idx="2">
                  <c:v>CZ</c:v>
                </c:pt>
                <c:pt idx="3">
                  <c:v>DK</c:v>
                </c:pt>
                <c:pt idx="4">
                  <c:v>DE</c:v>
                </c:pt>
                <c:pt idx="5">
                  <c:v>EE</c:v>
                </c:pt>
                <c:pt idx="6">
                  <c:v>IE</c:v>
                </c:pt>
                <c:pt idx="7">
                  <c:v>EL</c:v>
                </c:pt>
                <c:pt idx="8">
                  <c:v>ES</c:v>
                </c:pt>
                <c:pt idx="9">
                  <c:v>FR</c:v>
                </c:pt>
                <c:pt idx="10">
                  <c:v>HR</c:v>
                </c:pt>
                <c:pt idx="11">
                  <c:v>IT</c:v>
                </c:pt>
                <c:pt idx="12">
                  <c:v>CY</c:v>
                </c:pt>
                <c:pt idx="13">
                  <c:v>LV</c:v>
                </c:pt>
                <c:pt idx="14">
                  <c:v>LT</c:v>
                </c:pt>
                <c:pt idx="15">
                  <c:v>LU</c:v>
                </c:pt>
                <c:pt idx="16">
                  <c:v>HU</c:v>
                </c:pt>
                <c:pt idx="17">
                  <c:v>MT</c:v>
                </c:pt>
                <c:pt idx="18">
                  <c:v>NL</c:v>
                </c:pt>
                <c:pt idx="19">
                  <c:v>AT</c:v>
                </c:pt>
                <c:pt idx="20">
                  <c:v>PL</c:v>
                </c:pt>
                <c:pt idx="21">
                  <c:v>PT</c:v>
                </c:pt>
                <c:pt idx="22">
                  <c:v>RO</c:v>
                </c:pt>
                <c:pt idx="23">
                  <c:v>SI</c:v>
                </c:pt>
                <c:pt idx="24">
                  <c:v>SK</c:v>
                </c:pt>
                <c:pt idx="25">
                  <c:v>FI</c:v>
                </c:pt>
                <c:pt idx="26">
                  <c:v>SE</c:v>
                </c:pt>
                <c:pt idx="27">
                  <c:v>UK</c:v>
                </c:pt>
                <c:pt idx="28">
                  <c:v>EU</c:v>
                </c:pt>
                <c:pt idx="29">
                  <c:v>NO</c:v>
                </c:pt>
              </c:strCache>
            </c:strRef>
          </c:cat>
          <c:val>
            <c:numRef>
              <c:f>'ANNEX III'!$K$4:$K$33</c:f>
              <c:numCache>
                <c:formatCode>0</c:formatCode>
                <c:ptCount val="30"/>
                <c:pt idx="0">
                  <c:v>914</c:v>
                </c:pt>
                <c:pt idx="1">
                  <c:v>1844</c:v>
                </c:pt>
                <c:pt idx="2">
                  <c:v>980</c:v>
                </c:pt>
                <c:pt idx="3">
                  <c:v>248</c:v>
                </c:pt>
                <c:pt idx="4">
                  <c:v>20619</c:v>
                </c:pt>
                <c:pt idx="5">
                  <c:v>127</c:v>
                </c:pt>
                <c:pt idx="6">
                  <c:v>246</c:v>
                </c:pt>
                <c:pt idx="7">
                  <c:v>18656</c:v>
                </c:pt>
                <c:pt idx="8">
                  <c:v>7331</c:v>
                </c:pt>
                <c:pt idx="9">
                  <c:v>4156</c:v>
                </c:pt>
                <c:pt idx="10">
                  <c:v>196</c:v>
                </c:pt>
                <c:pt idx="11">
                  <c:v>790</c:v>
                </c:pt>
                <c:pt idx="12">
                  <c:v>32</c:v>
                </c:pt>
                <c:pt idx="13">
                  <c:v>147</c:v>
                </c:pt>
                <c:pt idx="14">
                  <c:v>302</c:v>
                </c:pt>
                <c:pt idx="15">
                  <c:v>71</c:v>
                </c:pt>
                <c:pt idx="16">
                  <c:v>5351</c:v>
                </c:pt>
                <c:pt idx="17">
                  <c:v>74</c:v>
                </c:pt>
                <c:pt idx="18">
                  <c:v>1356</c:v>
                </c:pt>
                <c:pt idx="19">
                  <c:v>4656</c:v>
                </c:pt>
                <c:pt idx="20">
                  <c:v>11893</c:v>
                </c:pt>
                <c:pt idx="21">
                  <c:v>640</c:v>
                </c:pt>
                <c:pt idx="22">
                  <c:v>4585</c:v>
                </c:pt>
                <c:pt idx="23">
                  <c:v>529</c:v>
                </c:pt>
                <c:pt idx="24">
                  <c:v>1471</c:v>
                </c:pt>
                <c:pt idx="25">
                  <c:v>1479</c:v>
                </c:pt>
                <c:pt idx="26">
                  <c:v>3653</c:v>
                </c:pt>
                <c:pt idx="27">
                  <c:v>1423</c:v>
                </c:pt>
                <c:pt idx="28">
                  <c:v>93769</c:v>
                </c:pt>
                <c:pt idx="29">
                  <c:v>714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EA1-4CBD-B46E-5522FF4632F6}"/>
            </c:ext>
          </c:extLst>
        </c:ser>
        <c:ser>
          <c:idx val="1"/>
          <c:order val="1"/>
          <c:tx>
            <c:strRef>
              <c:f>'ANNEX III'!$L$3</c:f>
              <c:strCache>
                <c:ptCount val="1"/>
                <c:pt idx="0">
                  <c:v>other EU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'ANNEX III'!$A$4:$A$33</c:f>
              <c:strCache>
                <c:ptCount val="30"/>
                <c:pt idx="0">
                  <c:v>BE</c:v>
                </c:pt>
                <c:pt idx="1">
                  <c:v>BG</c:v>
                </c:pt>
                <c:pt idx="2">
                  <c:v>CZ</c:v>
                </c:pt>
                <c:pt idx="3">
                  <c:v>DK</c:v>
                </c:pt>
                <c:pt idx="4">
                  <c:v>DE</c:v>
                </c:pt>
                <c:pt idx="5">
                  <c:v>EE</c:v>
                </c:pt>
                <c:pt idx="6">
                  <c:v>IE</c:v>
                </c:pt>
                <c:pt idx="7">
                  <c:v>EL</c:v>
                </c:pt>
                <c:pt idx="8">
                  <c:v>ES</c:v>
                </c:pt>
                <c:pt idx="9">
                  <c:v>FR</c:v>
                </c:pt>
                <c:pt idx="10">
                  <c:v>HR</c:v>
                </c:pt>
                <c:pt idx="11">
                  <c:v>IT</c:v>
                </c:pt>
                <c:pt idx="12">
                  <c:v>CY</c:v>
                </c:pt>
                <c:pt idx="13">
                  <c:v>LV</c:v>
                </c:pt>
                <c:pt idx="14">
                  <c:v>LT</c:v>
                </c:pt>
                <c:pt idx="15">
                  <c:v>LU</c:v>
                </c:pt>
                <c:pt idx="16">
                  <c:v>HU</c:v>
                </c:pt>
                <c:pt idx="17">
                  <c:v>MT</c:v>
                </c:pt>
                <c:pt idx="18">
                  <c:v>NL</c:v>
                </c:pt>
                <c:pt idx="19">
                  <c:v>AT</c:v>
                </c:pt>
                <c:pt idx="20">
                  <c:v>PL</c:v>
                </c:pt>
                <c:pt idx="21">
                  <c:v>PT</c:v>
                </c:pt>
                <c:pt idx="22">
                  <c:v>RO</c:v>
                </c:pt>
                <c:pt idx="23">
                  <c:v>SI</c:v>
                </c:pt>
                <c:pt idx="24">
                  <c:v>SK</c:v>
                </c:pt>
                <c:pt idx="25">
                  <c:v>FI</c:v>
                </c:pt>
                <c:pt idx="26">
                  <c:v>SE</c:v>
                </c:pt>
                <c:pt idx="27">
                  <c:v>UK</c:v>
                </c:pt>
                <c:pt idx="28">
                  <c:v>EU</c:v>
                </c:pt>
                <c:pt idx="29">
                  <c:v>NO</c:v>
                </c:pt>
              </c:strCache>
            </c:strRef>
          </c:cat>
          <c:val>
            <c:numRef>
              <c:f>'ANNEX III'!$L$4:$L$33</c:f>
              <c:numCache>
                <c:formatCode>0</c:formatCode>
                <c:ptCount val="30"/>
                <c:pt idx="0">
                  <c:v>696</c:v>
                </c:pt>
                <c:pt idx="1">
                  <c:v>165</c:v>
                </c:pt>
                <c:pt idx="2">
                  <c:v>509</c:v>
                </c:pt>
                <c:pt idx="3">
                  <c:v>45</c:v>
                </c:pt>
                <c:pt idx="4">
                  <c:v>18914</c:v>
                </c:pt>
                <c:pt idx="5">
                  <c:v>20</c:v>
                </c:pt>
                <c:pt idx="6">
                  <c:v>9</c:v>
                </c:pt>
                <c:pt idx="7">
                  <c:v>1506</c:v>
                </c:pt>
                <c:pt idx="8">
                  <c:v>562</c:v>
                </c:pt>
                <c:pt idx="9">
                  <c:v>3201</c:v>
                </c:pt>
                <c:pt idx="10">
                  <c:v>34</c:v>
                </c:pt>
                <c:pt idx="11">
                  <c:v>54</c:v>
                </c:pt>
                <c:pt idx="12">
                  <c:v>0</c:v>
                </c:pt>
                <c:pt idx="13">
                  <c:v>132</c:v>
                </c:pt>
                <c:pt idx="14">
                  <c:v>208</c:v>
                </c:pt>
                <c:pt idx="15">
                  <c:v>104</c:v>
                </c:pt>
                <c:pt idx="16">
                  <c:v>1839</c:v>
                </c:pt>
                <c:pt idx="17">
                  <c:v>0</c:v>
                </c:pt>
                <c:pt idx="18">
                  <c:v>730</c:v>
                </c:pt>
                <c:pt idx="19">
                  <c:v>6137</c:v>
                </c:pt>
                <c:pt idx="20">
                  <c:v>2242</c:v>
                </c:pt>
                <c:pt idx="21">
                  <c:v>21</c:v>
                </c:pt>
                <c:pt idx="22">
                  <c:v>198</c:v>
                </c:pt>
                <c:pt idx="23">
                  <c:v>492</c:v>
                </c:pt>
                <c:pt idx="24">
                  <c:v>793</c:v>
                </c:pt>
                <c:pt idx="25">
                  <c:v>370</c:v>
                </c:pt>
                <c:pt idx="26">
                  <c:v>2060</c:v>
                </c:pt>
                <c:pt idx="27">
                  <c:v>1420</c:v>
                </c:pt>
                <c:pt idx="28">
                  <c:v>42461</c:v>
                </c:pt>
                <c:pt idx="29">
                  <c:v>302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EA1-4CBD-B46E-5522FF4632F6}"/>
            </c:ext>
          </c:extLst>
        </c:ser>
        <c:ser>
          <c:idx val="2"/>
          <c:order val="2"/>
          <c:tx>
            <c:strRef>
              <c:f>'ANNEX III'!$M$3</c:f>
              <c:strCache>
                <c:ptCount val="1"/>
                <c:pt idx="0">
                  <c:v>Non EU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'ANNEX III'!$A$4:$A$33</c:f>
              <c:strCache>
                <c:ptCount val="30"/>
                <c:pt idx="0">
                  <c:v>BE</c:v>
                </c:pt>
                <c:pt idx="1">
                  <c:v>BG</c:v>
                </c:pt>
                <c:pt idx="2">
                  <c:v>CZ</c:v>
                </c:pt>
                <c:pt idx="3">
                  <c:v>DK</c:v>
                </c:pt>
                <c:pt idx="4">
                  <c:v>DE</c:v>
                </c:pt>
                <c:pt idx="5">
                  <c:v>EE</c:v>
                </c:pt>
                <c:pt idx="6">
                  <c:v>IE</c:v>
                </c:pt>
                <c:pt idx="7">
                  <c:v>EL</c:v>
                </c:pt>
                <c:pt idx="8">
                  <c:v>ES</c:v>
                </c:pt>
                <c:pt idx="9">
                  <c:v>FR</c:v>
                </c:pt>
                <c:pt idx="10">
                  <c:v>HR</c:v>
                </c:pt>
                <c:pt idx="11">
                  <c:v>IT</c:v>
                </c:pt>
                <c:pt idx="12">
                  <c:v>CY</c:v>
                </c:pt>
                <c:pt idx="13">
                  <c:v>LV</c:v>
                </c:pt>
                <c:pt idx="14">
                  <c:v>LT</c:v>
                </c:pt>
                <c:pt idx="15">
                  <c:v>LU</c:v>
                </c:pt>
                <c:pt idx="16">
                  <c:v>HU</c:v>
                </c:pt>
                <c:pt idx="17">
                  <c:v>MT</c:v>
                </c:pt>
                <c:pt idx="18">
                  <c:v>NL</c:v>
                </c:pt>
                <c:pt idx="19">
                  <c:v>AT</c:v>
                </c:pt>
                <c:pt idx="20">
                  <c:v>PL</c:v>
                </c:pt>
                <c:pt idx="21">
                  <c:v>PT</c:v>
                </c:pt>
                <c:pt idx="22">
                  <c:v>RO</c:v>
                </c:pt>
                <c:pt idx="23">
                  <c:v>SI</c:v>
                </c:pt>
                <c:pt idx="24">
                  <c:v>SK</c:v>
                </c:pt>
                <c:pt idx="25">
                  <c:v>FI</c:v>
                </c:pt>
                <c:pt idx="26">
                  <c:v>SE</c:v>
                </c:pt>
                <c:pt idx="27">
                  <c:v>UK</c:v>
                </c:pt>
                <c:pt idx="28">
                  <c:v>EU</c:v>
                </c:pt>
                <c:pt idx="29">
                  <c:v>NO</c:v>
                </c:pt>
              </c:strCache>
            </c:strRef>
          </c:cat>
          <c:val>
            <c:numRef>
              <c:f>'ANNEX III'!$M$4:$M$33</c:f>
              <c:numCache>
                <c:formatCode>0</c:formatCode>
                <c:ptCount val="30"/>
                <c:pt idx="0">
                  <c:v>13</c:v>
                </c:pt>
                <c:pt idx="1">
                  <c:v>99</c:v>
                </c:pt>
                <c:pt idx="2">
                  <c:v>35</c:v>
                </c:pt>
                <c:pt idx="3">
                  <c:v>1</c:v>
                </c:pt>
                <c:pt idx="4">
                  <c:v>1423</c:v>
                </c:pt>
                <c:pt idx="5">
                  <c:v>2</c:v>
                </c:pt>
                <c:pt idx="6">
                  <c:v>0</c:v>
                </c:pt>
                <c:pt idx="7">
                  <c:v>708</c:v>
                </c:pt>
                <c:pt idx="8">
                  <c:v>24</c:v>
                </c:pt>
                <c:pt idx="9">
                  <c:v>93</c:v>
                </c:pt>
                <c:pt idx="10">
                  <c:v>122</c:v>
                </c:pt>
                <c:pt idx="11">
                  <c:v>6</c:v>
                </c:pt>
                <c:pt idx="12">
                  <c:v>0</c:v>
                </c:pt>
                <c:pt idx="13">
                  <c:v>41</c:v>
                </c:pt>
                <c:pt idx="14">
                  <c:v>73</c:v>
                </c:pt>
                <c:pt idx="15">
                  <c:v>6</c:v>
                </c:pt>
                <c:pt idx="16">
                  <c:v>419</c:v>
                </c:pt>
                <c:pt idx="17">
                  <c:v>0</c:v>
                </c:pt>
                <c:pt idx="18">
                  <c:v>228</c:v>
                </c:pt>
                <c:pt idx="19">
                  <c:v>272</c:v>
                </c:pt>
                <c:pt idx="20">
                  <c:v>2101</c:v>
                </c:pt>
                <c:pt idx="21">
                  <c:v>0</c:v>
                </c:pt>
                <c:pt idx="22">
                  <c:v>276</c:v>
                </c:pt>
                <c:pt idx="23">
                  <c:v>261</c:v>
                </c:pt>
                <c:pt idx="24">
                  <c:v>1254</c:v>
                </c:pt>
                <c:pt idx="25">
                  <c:v>151</c:v>
                </c:pt>
                <c:pt idx="26">
                  <c:v>190</c:v>
                </c:pt>
                <c:pt idx="27">
                  <c:v>28</c:v>
                </c:pt>
                <c:pt idx="28">
                  <c:v>7826</c:v>
                </c:pt>
                <c:pt idx="29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EA1-4CBD-B46E-5522FF4632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03634432"/>
        <c:axId val="103635968"/>
      </c:barChart>
      <c:catAx>
        <c:axId val="1036344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3635968"/>
        <c:crosses val="autoZero"/>
        <c:auto val="1"/>
        <c:lblAlgn val="ctr"/>
        <c:lblOffset val="100"/>
        <c:noMultiLvlLbl val="0"/>
      </c:catAx>
      <c:valAx>
        <c:axId val="1036359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36344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BE"/>
              <a:t>2016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5.0614031888168001E-2"/>
          <c:y val="0.21592082616179001"/>
          <c:w val="0.93346240123285107"/>
          <c:h val="0.5844383156924661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'ANNEX VI'!$D$3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'ANNEX VI'!$A$4:$A$33</c:f>
              <c:strCache>
                <c:ptCount val="30"/>
                <c:pt idx="0">
                  <c:v>BE</c:v>
                </c:pt>
                <c:pt idx="1">
                  <c:v>BG</c:v>
                </c:pt>
                <c:pt idx="2">
                  <c:v>CZ</c:v>
                </c:pt>
                <c:pt idx="3">
                  <c:v>DK</c:v>
                </c:pt>
                <c:pt idx="4">
                  <c:v>DE</c:v>
                </c:pt>
                <c:pt idx="5">
                  <c:v>EE</c:v>
                </c:pt>
                <c:pt idx="6">
                  <c:v>IE</c:v>
                </c:pt>
                <c:pt idx="7">
                  <c:v>EL</c:v>
                </c:pt>
                <c:pt idx="8">
                  <c:v>ES</c:v>
                </c:pt>
                <c:pt idx="9">
                  <c:v>FR</c:v>
                </c:pt>
                <c:pt idx="10">
                  <c:v>HR</c:v>
                </c:pt>
                <c:pt idx="11">
                  <c:v>IT</c:v>
                </c:pt>
                <c:pt idx="12">
                  <c:v>CY</c:v>
                </c:pt>
                <c:pt idx="13">
                  <c:v>LV</c:v>
                </c:pt>
                <c:pt idx="14">
                  <c:v>LT</c:v>
                </c:pt>
                <c:pt idx="15">
                  <c:v>LU</c:v>
                </c:pt>
                <c:pt idx="16">
                  <c:v>HU</c:v>
                </c:pt>
                <c:pt idx="17">
                  <c:v>MT</c:v>
                </c:pt>
                <c:pt idx="18">
                  <c:v>NL</c:v>
                </c:pt>
                <c:pt idx="19">
                  <c:v>AT</c:v>
                </c:pt>
                <c:pt idx="20">
                  <c:v>PL</c:v>
                </c:pt>
                <c:pt idx="21">
                  <c:v>PT</c:v>
                </c:pt>
                <c:pt idx="22">
                  <c:v>RO</c:v>
                </c:pt>
                <c:pt idx="23">
                  <c:v>SI</c:v>
                </c:pt>
                <c:pt idx="24">
                  <c:v>SK</c:v>
                </c:pt>
                <c:pt idx="25">
                  <c:v>FI</c:v>
                </c:pt>
                <c:pt idx="26">
                  <c:v>SE</c:v>
                </c:pt>
                <c:pt idx="27">
                  <c:v>UK</c:v>
                </c:pt>
                <c:pt idx="28">
                  <c:v>EU</c:v>
                </c:pt>
                <c:pt idx="29">
                  <c:v>NO</c:v>
                </c:pt>
              </c:strCache>
            </c:strRef>
          </c:cat>
          <c:val>
            <c:numRef>
              <c:f>'ANNEX VI'!$D$4:$D$33</c:f>
              <c:numCache>
                <c:formatCode>0.00%</c:formatCode>
                <c:ptCount val="30"/>
                <c:pt idx="0">
                  <c:v>0.13526071244192051</c:v>
                </c:pt>
                <c:pt idx="1">
                  <c:v>0.25806451612903225</c:v>
                </c:pt>
                <c:pt idx="2">
                  <c:v>8.7866108786610872E-2</c:v>
                </c:pt>
                <c:pt idx="3">
                  <c:v>0</c:v>
                </c:pt>
                <c:pt idx="4">
                  <c:v>0.42641644967226361</c:v>
                </c:pt>
                <c:pt idx="5">
                  <c:v>0</c:v>
                </c:pt>
                <c:pt idx="6">
                  <c:v>0.10256410256410256</c:v>
                </c:pt>
                <c:pt idx="7">
                  <c:v>0.10256410256410256</c:v>
                </c:pt>
                <c:pt idx="8">
                  <c:v>0</c:v>
                </c:pt>
                <c:pt idx="9">
                  <c:v>0.26526315789473687</c:v>
                </c:pt>
                <c:pt idx="10">
                  <c:v>0.10638297872340426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0.27058823529411763</c:v>
                </c:pt>
                <c:pt idx="15">
                  <c:v>0.2807017543859649</c:v>
                </c:pt>
                <c:pt idx="16">
                  <c:v>0.14717741935483872</c:v>
                </c:pt>
                <c:pt idx="17">
                  <c:v>0.1</c:v>
                </c:pt>
                <c:pt idx="18">
                  <c:v>0.68518518518518523</c:v>
                </c:pt>
                <c:pt idx="19">
                  <c:v>0.22150931866788878</c:v>
                </c:pt>
                <c:pt idx="20">
                  <c:v>2.0149253731343283E-2</c:v>
                </c:pt>
                <c:pt idx="21">
                  <c:v>0</c:v>
                </c:pt>
                <c:pt idx="22">
                  <c:v>0.29710144927536231</c:v>
                </c:pt>
                <c:pt idx="23">
                  <c:v>0.38709677419354838</c:v>
                </c:pt>
                <c:pt idx="24">
                  <c:v>1.2048192771084338E-2</c:v>
                </c:pt>
                <c:pt idx="25">
                  <c:v>4.0816326530612242E-2</c:v>
                </c:pt>
                <c:pt idx="26">
                  <c:v>0.3210431654676259</c:v>
                </c:pt>
                <c:pt idx="27">
                  <c:v>0.24368378158109211</c:v>
                </c:pt>
                <c:pt idx="28">
                  <c:v>0.27467843536645165</c:v>
                </c:pt>
                <c:pt idx="29">
                  <c:v>0.69711538461538458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3B2-4FC2-B7F4-4160282D3E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03969152"/>
        <c:axId val="103970688"/>
      </c:barChart>
      <c:catAx>
        <c:axId val="103969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3970688"/>
        <c:crosses val="autoZero"/>
        <c:auto val="1"/>
        <c:lblAlgn val="ctr"/>
        <c:lblOffset val="100"/>
        <c:noMultiLvlLbl val="0"/>
      </c:catAx>
      <c:valAx>
        <c:axId val="103970688"/>
        <c:scaling>
          <c:orientation val="minMax"/>
          <c:max val="1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3969152"/>
        <c:crosses val="autoZero"/>
        <c:crossBetween val="between"/>
        <c:majorUnit val="0.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BE" b="1"/>
              <a:t>2016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'ANNEX VIII'!$G$3</c:f>
              <c:strCache>
                <c:ptCount val="1"/>
                <c:pt idx="0">
                  <c:v>Caution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'ANNEX VIII'!$A$40:$A$69</c:f>
              <c:strCache>
                <c:ptCount val="30"/>
                <c:pt idx="0">
                  <c:v>BE</c:v>
                </c:pt>
                <c:pt idx="1">
                  <c:v>BG</c:v>
                </c:pt>
                <c:pt idx="2">
                  <c:v>CZ</c:v>
                </c:pt>
                <c:pt idx="3">
                  <c:v>DK</c:v>
                </c:pt>
                <c:pt idx="4">
                  <c:v>DE</c:v>
                </c:pt>
                <c:pt idx="5">
                  <c:v>EE</c:v>
                </c:pt>
                <c:pt idx="6">
                  <c:v>IE</c:v>
                </c:pt>
                <c:pt idx="7">
                  <c:v>EL</c:v>
                </c:pt>
                <c:pt idx="8">
                  <c:v>ES</c:v>
                </c:pt>
                <c:pt idx="9">
                  <c:v>FR</c:v>
                </c:pt>
                <c:pt idx="10">
                  <c:v>HR</c:v>
                </c:pt>
                <c:pt idx="11">
                  <c:v>IT</c:v>
                </c:pt>
                <c:pt idx="12">
                  <c:v>CY</c:v>
                </c:pt>
                <c:pt idx="13">
                  <c:v>LV</c:v>
                </c:pt>
                <c:pt idx="14">
                  <c:v>LT</c:v>
                </c:pt>
                <c:pt idx="15">
                  <c:v>LU</c:v>
                </c:pt>
                <c:pt idx="16">
                  <c:v>HU</c:v>
                </c:pt>
                <c:pt idx="17">
                  <c:v>MT</c:v>
                </c:pt>
                <c:pt idx="18">
                  <c:v>NL</c:v>
                </c:pt>
                <c:pt idx="19">
                  <c:v>AT</c:v>
                </c:pt>
                <c:pt idx="20">
                  <c:v>PL</c:v>
                </c:pt>
                <c:pt idx="21">
                  <c:v>PT</c:v>
                </c:pt>
                <c:pt idx="22">
                  <c:v>RO</c:v>
                </c:pt>
                <c:pt idx="23">
                  <c:v>SI</c:v>
                </c:pt>
                <c:pt idx="24">
                  <c:v>SK</c:v>
                </c:pt>
                <c:pt idx="25">
                  <c:v>FI</c:v>
                </c:pt>
                <c:pt idx="26">
                  <c:v>SE</c:v>
                </c:pt>
                <c:pt idx="27">
                  <c:v>UK</c:v>
                </c:pt>
                <c:pt idx="28">
                  <c:v>EU</c:v>
                </c:pt>
                <c:pt idx="29">
                  <c:v>NO</c:v>
                </c:pt>
              </c:strCache>
            </c:strRef>
          </c:cat>
          <c:val>
            <c:numRef>
              <c:f>'ANNEX VIII'!$G$40:$G$69</c:f>
              <c:numCache>
                <c:formatCode>0%</c:formatCode>
                <c:ptCount val="30"/>
                <c:pt idx="0">
                  <c:v>0.1088011088011088</c:v>
                </c:pt>
                <c:pt idx="1">
                  <c:v>0</c:v>
                </c:pt>
                <c:pt idx="2">
                  <c:v>0</c:v>
                </c:pt>
                <c:pt idx="3">
                  <c:v>0.33944954128440369</c:v>
                </c:pt>
                <c:pt idx="4">
                  <c:v>8.9460119370591423E-2</c:v>
                </c:pt>
                <c:pt idx="5">
                  <c:v>0</c:v>
                </c:pt>
                <c:pt idx="6">
                  <c:v>1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8.4745762711864403E-2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8.6206896551724144E-2</c:v>
                </c:pt>
                <c:pt idx="16">
                  <c:v>0</c:v>
                </c:pt>
                <c:pt idx="17">
                  <c:v>0.359375</c:v>
                </c:pt>
                <c:pt idx="18">
                  <c:v>0.7415730337078652</c:v>
                </c:pt>
                <c:pt idx="19">
                  <c:v>0.2578653337253749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0.57611940298507458</c:v>
                </c:pt>
                <c:pt idx="26">
                  <c:v>0</c:v>
                </c:pt>
                <c:pt idx="27">
                  <c:v>0.5158924205378973</c:v>
                </c:pt>
                <c:pt idx="28">
                  <c:v>0.14647970382989878</c:v>
                </c:pt>
                <c:pt idx="29">
                  <c:v>0.23896103896103896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71B-41EA-926D-BA2520263771}"/>
            </c:ext>
          </c:extLst>
        </c:ser>
        <c:ser>
          <c:idx val="1"/>
          <c:order val="1"/>
          <c:tx>
            <c:strRef>
              <c:f>'ANNEX VIII'!$H$3</c:f>
              <c:strCache>
                <c:ptCount val="1"/>
                <c:pt idx="0">
                  <c:v>Fine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'ANNEX VIII'!$A$40:$A$69</c:f>
              <c:strCache>
                <c:ptCount val="30"/>
                <c:pt idx="0">
                  <c:v>BE</c:v>
                </c:pt>
                <c:pt idx="1">
                  <c:v>BG</c:v>
                </c:pt>
                <c:pt idx="2">
                  <c:v>CZ</c:v>
                </c:pt>
                <c:pt idx="3">
                  <c:v>DK</c:v>
                </c:pt>
                <c:pt idx="4">
                  <c:v>DE</c:v>
                </c:pt>
                <c:pt idx="5">
                  <c:v>EE</c:v>
                </c:pt>
                <c:pt idx="6">
                  <c:v>IE</c:v>
                </c:pt>
                <c:pt idx="7">
                  <c:v>EL</c:v>
                </c:pt>
                <c:pt idx="8">
                  <c:v>ES</c:v>
                </c:pt>
                <c:pt idx="9">
                  <c:v>FR</c:v>
                </c:pt>
                <c:pt idx="10">
                  <c:v>HR</c:v>
                </c:pt>
                <c:pt idx="11">
                  <c:v>IT</c:v>
                </c:pt>
                <c:pt idx="12">
                  <c:v>CY</c:v>
                </c:pt>
                <c:pt idx="13">
                  <c:v>LV</c:v>
                </c:pt>
                <c:pt idx="14">
                  <c:v>LT</c:v>
                </c:pt>
                <c:pt idx="15">
                  <c:v>LU</c:v>
                </c:pt>
                <c:pt idx="16">
                  <c:v>HU</c:v>
                </c:pt>
                <c:pt idx="17">
                  <c:v>MT</c:v>
                </c:pt>
                <c:pt idx="18">
                  <c:v>NL</c:v>
                </c:pt>
                <c:pt idx="19">
                  <c:v>AT</c:v>
                </c:pt>
                <c:pt idx="20">
                  <c:v>PL</c:v>
                </c:pt>
                <c:pt idx="21">
                  <c:v>PT</c:v>
                </c:pt>
                <c:pt idx="22">
                  <c:v>RO</c:v>
                </c:pt>
                <c:pt idx="23">
                  <c:v>SI</c:v>
                </c:pt>
                <c:pt idx="24">
                  <c:v>SK</c:v>
                </c:pt>
                <c:pt idx="25">
                  <c:v>FI</c:v>
                </c:pt>
                <c:pt idx="26">
                  <c:v>SE</c:v>
                </c:pt>
                <c:pt idx="27">
                  <c:v>UK</c:v>
                </c:pt>
                <c:pt idx="28">
                  <c:v>EU</c:v>
                </c:pt>
                <c:pt idx="29">
                  <c:v>NO</c:v>
                </c:pt>
              </c:strCache>
            </c:strRef>
          </c:cat>
          <c:val>
            <c:numRef>
              <c:f>'ANNEX VIII'!$H$40:$H$69</c:f>
              <c:numCache>
                <c:formatCode>0%</c:formatCode>
                <c:ptCount val="30"/>
                <c:pt idx="0">
                  <c:v>0.89119889119889117</c:v>
                </c:pt>
                <c:pt idx="1">
                  <c:v>1</c:v>
                </c:pt>
                <c:pt idx="2">
                  <c:v>0.54811715481171552</c:v>
                </c:pt>
                <c:pt idx="3">
                  <c:v>0.66055045871559637</c:v>
                </c:pt>
                <c:pt idx="4">
                  <c:v>0.79612045577862178</c:v>
                </c:pt>
                <c:pt idx="5">
                  <c:v>0.9</c:v>
                </c:pt>
                <c:pt idx="6">
                  <c:v>0</c:v>
                </c:pt>
                <c:pt idx="7">
                  <c:v>1</c:v>
                </c:pt>
                <c:pt idx="8">
                  <c:v>1</c:v>
                </c:pt>
                <c:pt idx="9">
                  <c:v>0</c:v>
                </c:pt>
                <c:pt idx="10">
                  <c:v>0.74576271186440679</c:v>
                </c:pt>
                <c:pt idx="11">
                  <c:v>0.90909090909090906</c:v>
                </c:pt>
                <c:pt idx="12">
                  <c:v>0</c:v>
                </c:pt>
                <c:pt idx="13">
                  <c:v>1</c:v>
                </c:pt>
                <c:pt idx="14">
                  <c:v>1</c:v>
                </c:pt>
                <c:pt idx="15">
                  <c:v>0.89655172413793105</c:v>
                </c:pt>
                <c:pt idx="16">
                  <c:v>1</c:v>
                </c:pt>
                <c:pt idx="17">
                  <c:v>0.15625</c:v>
                </c:pt>
                <c:pt idx="18">
                  <c:v>0.25842696629213485</c:v>
                </c:pt>
                <c:pt idx="19">
                  <c:v>0.7044986768597471</c:v>
                </c:pt>
                <c:pt idx="20">
                  <c:v>1</c:v>
                </c:pt>
                <c:pt idx="21">
                  <c:v>0</c:v>
                </c:pt>
                <c:pt idx="22">
                  <c:v>1</c:v>
                </c:pt>
                <c:pt idx="23">
                  <c:v>1</c:v>
                </c:pt>
                <c:pt idx="24">
                  <c:v>0.8928571428571429</c:v>
                </c:pt>
                <c:pt idx="25">
                  <c:v>0.40597014925373132</c:v>
                </c:pt>
                <c:pt idx="26">
                  <c:v>0.61600719424460426</c:v>
                </c:pt>
                <c:pt idx="27">
                  <c:v>0</c:v>
                </c:pt>
                <c:pt idx="28">
                  <c:v>0.74242374602758576</c:v>
                </c:pt>
                <c:pt idx="29">
                  <c:v>0.23636363636363636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71B-41EA-926D-BA2520263771}"/>
            </c:ext>
          </c:extLst>
        </c:ser>
        <c:ser>
          <c:idx val="2"/>
          <c:order val="2"/>
          <c:tx>
            <c:strRef>
              <c:f>'ANNEX VIII'!$I$3</c:f>
              <c:strCache>
                <c:ptCount val="1"/>
                <c:pt idx="0">
                  <c:v>other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'ANNEX VIII'!$A$40:$A$69</c:f>
              <c:strCache>
                <c:ptCount val="30"/>
                <c:pt idx="0">
                  <c:v>BE</c:v>
                </c:pt>
                <c:pt idx="1">
                  <c:v>BG</c:v>
                </c:pt>
                <c:pt idx="2">
                  <c:v>CZ</c:v>
                </c:pt>
                <c:pt idx="3">
                  <c:v>DK</c:v>
                </c:pt>
                <c:pt idx="4">
                  <c:v>DE</c:v>
                </c:pt>
                <c:pt idx="5">
                  <c:v>EE</c:v>
                </c:pt>
                <c:pt idx="6">
                  <c:v>IE</c:v>
                </c:pt>
                <c:pt idx="7">
                  <c:v>EL</c:v>
                </c:pt>
                <c:pt idx="8">
                  <c:v>ES</c:v>
                </c:pt>
                <c:pt idx="9">
                  <c:v>FR</c:v>
                </c:pt>
                <c:pt idx="10">
                  <c:v>HR</c:v>
                </c:pt>
                <c:pt idx="11">
                  <c:v>IT</c:v>
                </c:pt>
                <c:pt idx="12">
                  <c:v>CY</c:v>
                </c:pt>
                <c:pt idx="13">
                  <c:v>LV</c:v>
                </c:pt>
                <c:pt idx="14">
                  <c:v>LT</c:v>
                </c:pt>
                <c:pt idx="15">
                  <c:v>LU</c:v>
                </c:pt>
                <c:pt idx="16">
                  <c:v>HU</c:v>
                </c:pt>
                <c:pt idx="17">
                  <c:v>MT</c:v>
                </c:pt>
                <c:pt idx="18">
                  <c:v>NL</c:v>
                </c:pt>
                <c:pt idx="19">
                  <c:v>AT</c:v>
                </c:pt>
                <c:pt idx="20">
                  <c:v>PL</c:v>
                </c:pt>
                <c:pt idx="21">
                  <c:v>PT</c:v>
                </c:pt>
                <c:pt idx="22">
                  <c:v>RO</c:v>
                </c:pt>
                <c:pt idx="23">
                  <c:v>SI</c:v>
                </c:pt>
                <c:pt idx="24">
                  <c:v>SK</c:v>
                </c:pt>
                <c:pt idx="25">
                  <c:v>FI</c:v>
                </c:pt>
                <c:pt idx="26">
                  <c:v>SE</c:v>
                </c:pt>
                <c:pt idx="27">
                  <c:v>UK</c:v>
                </c:pt>
                <c:pt idx="28">
                  <c:v>EU</c:v>
                </c:pt>
                <c:pt idx="29">
                  <c:v>NO</c:v>
                </c:pt>
              </c:strCache>
            </c:strRef>
          </c:cat>
          <c:val>
            <c:numRef>
              <c:f>'ANNEX VIII'!$I$40:$I$69</c:f>
              <c:numCache>
                <c:formatCode>0%</c:formatCode>
                <c:ptCount val="30"/>
                <c:pt idx="0">
                  <c:v>0</c:v>
                </c:pt>
                <c:pt idx="1">
                  <c:v>0</c:v>
                </c:pt>
                <c:pt idx="2">
                  <c:v>0.45188284518828453</c:v>
                </c:pt>
                <c:pt idx="3">
                  <c:v>0</c:v>
                </c:pt>
                <c:pt idx="4">
                  <c:v>0.11441942485078677</c:v>
                </c:pt>
                <c:pt idx="5">
                  <c:v>0.1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0.16949152542372881</c:v>
                </c:pt>
                <c:pt idx="11">
                  <c:v>9.0909090909090912E-2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1.7241379310344827E-2</c:v>
                </c:pt>
                <c:pt idx="16">
                  <c:v>0</c:v>
                </c:pt>
                <c:pt idx="17">
                  <c:v>0.484375</c:v>
                </c:pt>
                <c:pt idx="18">
                  <c:v>0</c:v>
                </c:pt>
                <c:pt idx="19">
                  <c:v>3.7635989414877974E-2</c:v>
                </c:pt>
                <c:pt idx="20">
                  <c:v>0</c:v>
                </c:pt>
                <c:pt idx="21">
                  <c:v>1</c:v>
                </c:pt>
                <c:pt idx="22">
                  <c:v>0</c:v>
                </c:pt>
                <c:pt idx="23">
                  <c:v>0</c:v>
                </c:pt>
                <c:pt idx="24">
                  <c:v>0.10714285714285714</c:v>
                </c:pt>
                <c:pt idx="25">
                  <c:v>1.7910447761194031E-2</c:v>
                </c:pt>
                <c:pt idx="26">
                  <c:v>0.38399280575539568</c:v>
                </c:pt>
                <c:pt idx="27">
                  <c:v>0.4841075794621027</c:v>
                </c:pt>
                <c:pt idx="28">
                  <c:v>0.11109655014251547</c:v>
                </c:pt>
                <c:pt idx="29">
                  <c:v>0.52467532467532463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71B-41EA-926D-BA25202637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3773696"/>
        <c:axId val="103775232"/>
      </c:barChart>
      <c:catAx>
        <c:axId val="1037736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3775232"/>
        <c:crosses val="autoZero"/>
        <c:auto val="1"/>
        <c:lblAlgn val="ctr"/>
        <c:lblOffset val="100"/>
        <c:noMultiLvlLbl val="0"/>
      </c:catAx>
      <c:valAx>
        <c:axId val="103775232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37736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10B2A0-45AE-4400-BFCD-0DD79B9AE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1363</Words>
  <Characters>6094</Characters>
  <Application>Microsoft Office Word</Application>
  <DocSecurity>0</DocSecurity>
  <Lines>1218</Lines>
  <Paragraphs>1065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Commission</Company>
  <LinksUpToDate>false</LinksUpToDate>
  <CharactersWithSpaces>6392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STANCIU Monica (MOVE)</dc:creator>
  <cp:lastModifiedBy>WES PDFC Administrator</cp:lastModifiedBy>
  <cp:revision>6</cp:revision>
  <cp:lastPrinted>2019-11-06T08:42:00Z</cp:lastPrinted>
  <dcterms:created xsi:type="dcterms:W3CDTF">2019-11-22T08:30:00Z</dcterms:created>
  <dcterms:modified xsi:type="dcterms:W3CDTF">2020-02-19T09:20:00Z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irst annex">
    <vt:lpwstr>1</vt:lpwstr>
  </property>
  <property fmtid="{D5CDD505-2E9C-101B-9397-08002B2CF9AE}" pid="3" name="Last annex">
    <vt:lpwstr>9</vt:lpwstr>
  </property>
  <property fmtid="{D5CDD505-2E9C-101B-9397-08002B2CF9AE}" pid="4" name="Part">
    <vt:lpwstr>&lt;UNUSED&gt;</vt:lpwstr>
  </property>
  <property fmtid="{D5CDD505-2E9C-101B-9397-08002B2CF9AE}" pid="5" name="Total parts">
    <vt:lpwstr>&lt;UNUSED&gt;</vt:lpwstr>
  </property>
  <property fmtid="{D5CDD505-2E9C-101B-9397-08002B2CF9AE}" pid="6" name="DocStatus">
    <vt:lpwstr>Green</vt:lpwstr>
  </property>
  <property fmtid="{D5CDD505-2E9C-101B-9397-08002B2CF9AE}" pid="7" name="Level of sensitivity">
    <vt:lpwstr>Standard treatment</vt:lpwstr>
  </property>
  <property fmtid="{D5CDD505-2E9C-101B-9397-08002B2CF9AE}" pid="8" name="Last edited using">
    <vt:lpwstr>LW 7.0, Build 20190717</vt:lpwstr>
  </property>
  <property fmtid="{D5CDD505-2E9C-101B-9397-08002B2CF9AE}" pid="9" name="Unique annex">
    <vt:lpwstr>0</vt:lpwstr>
  </property>
  <property fmtid="{D5CDD505-2E9C-101B-9397-08002B2CF9AE}" pid="10" name="CPTemplateID">
    <vt:lpwstr>CP-039</vt:lpwstr>
  </property>
</Properties>
</file>