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3524E26-9F75-4810-8767-914A992B67F5" style="width:450.8pt;height:379.3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spacing w:line="0" w:lineRule="atLeast"/>
        <w:rPr>
          <w:noProof/>
          <w:szCs w:val="24"/>
        </w:rPr>
      </w:pPr>
      <w:r>
        <w:rPr>
          <w:noProof/>
        </w:rPr>
        <w:t>Le traité sur le fonctionnement de l’Union européenne dispose que les États membres doivent considérer leurs politiques économiques et la promotion de l’emploi comme des questions d’intérêt commun et coordonner leur action au sein du Conseil. Il charge le Conseil d’adopter des lignes directrices pour l’emploi (article 148), précisant qu’elles doivent être compatibles avec les grandes orientations des politiques économiques (article 121).</w:t>
      </w:r>
    </w:p>
    <w:p>
      <w:pPr>
        <w:spacing w:line="0" w:lineRule="atLeast"/>
        <w:rPr>
          <w:noProof/>
          <w:szCs w:val="24"/>
        </w:rPr>
      </w:pPr>
      <w:r>
        <w:rPr>
          <w:noProof/>
        </w:rPr>
        <w:t>Alors que les grandes orientations des politiques économiques restent valables dans le temps, les lignes directrices pour l’emploi doivent être reformulées chaque année. Les grandes orientations et les lignes directrices ont été adoptées conjointement pour la première fois en 2010 (sous la forme d’un «ensemble de mesures intégrées») afin de soutenir la stratégie Europe 2020. Ces lignes directrices intégrées sont restées stables jusqu’en 2014, puis des lignes directrices intégrées révisées ont été adoptées en 2015. En 2018, les lignes directrices pour l’emploi ont été alignées sur les principes du socle européen des droits sociaux proclamé en novembre 2017 par le Parlement européen, le Conseil et la Commission, dans le but de stimuler un processus de réforme à l’échelon national et d’indiquer la direction à suivre pour renouer avec la convergence en Europe. En 2019, elles sont restées inchangées. Outre qu’elles déterminent le champ d’action de la coordination des politiques des États membres et la direction à suivre à cet égard, les lignes directrices servent de base aux recommandations par pays, dans les différents domaines concernés. Parallèlement aux grandes orientations des politiques économiques, les lignes directrices pour l’emploi sont présentées sous la forme d’une décision du Conseil relative aux lignes directrices pour les politiques de l’emploi des États membres (partie II des lignes directrices intégrées).</w:t>
      </w:r>
    </w:p>
    <w:p>
      <w:pPr>
        <w:spacing w:line="0" w:lineRule="atLeast"/>
        <w:rPr>
          <w:noProof/>
          <w:szCs w:val="24"/>
        </w:rPr>
      </w:pPr>
      <w:r>
        <w:rPr>
          <w:noProof/>
        </w:rPr>
        <w:t>Les lignes directrices pour les politiques de l’emploi des États membres ont été modifiées afin d’y intégrer les quatre dimensions de la stratégie annuelle pour une croissance durable (ASGS) et, en particulier, la dimension de durabilité environnementale, d’y traduire la vision d’une Europe sociale forte pour des transitions justes et de tenir compte des objectifs de développement durable des Nations unies (ODD).</w:t>
      </w:r>
    </w:p>
    <w:p>
      <w:pPr>
        <w:spacing w:line="0" w:lineRule="atLeast"/>
        <w:rPr>
          <w:b/>
          <w:noProof/>
          <w:szCs w:val="24"/>
        </w:rPr>
      </w:pPr>
      <w:r>
        <w:rPr>
          <w:b/>
          <w:noProof/>
        </w:rPr>
        <w:t>Les «lignes directrices pour l’emploi» révisées sont les suivantes:</w:t>
      </w:r>
    </w:p>
    <w:p>
      <w:pPr>
        <w:spacing w:line="0" w:lineRule="atLeast"/>
        <w:rPr>
          <w:noProof/>
          <w:szCs w:val="24"/>
        </w:rPr>
      </w:pPr>
      <w:r>
        <w:rPr>
          <w:noProof/>
        </w:rPr>
        <w:t>Ligne directrice nº 5: stimuler la demande de main-d’œuvre</w:t>
      </w:r>
    </w:p>
    <w:p>
      <w:pPr>
        <w:spacing w:line="0" w:lineRule="atLeast"/>
        <w:rPr>
          <w:noProof/>
          <w:szCs w:val="24"/>
        </w:rPr>
      </w:pPr>
      <w:r>
        <w:rPr>
          <w:noProof/>
        </w:rPr>
        <w:t>Ligne directrice nº 6: renforcer l’offre de main-d’œuvre et améliorer l’accès à l’emploi, les qualifications et les compétences</w:t>
      </w:r>
    </w:p>
    <w:p>
      <w:pPr>
        <w:spacing w:line="0" w:lineRule="atLeast"/>
        <w:rPr>
          <w:noProof/>
          <w:szCs w:val="24"/>
        </w:rPr>
      </w:pPr>
      <w:r>
        <w:rPr>
          <w:noProof/>
        </w:rPr>
        <w:t>Ligne directrice nº 7: améliorer le fonctionnement des marchés du travail et l’efficacité du dialogue social</w:t>
      </w:r>
    </w:p>
    <w:p>
      <w:pPr>
        <w:spacing w:line="0" w:lineRule="atLeast"/>
        <w:rPr>
          <w:noProof/>
          <w:szCs w:val="24"/>
        </w:rPr>
      </w:pPr>
      <w:r>
        <w:rPr>
          <w:noProof/>
        </w:rPr>
        <w:t>Ligne directrice nº 8: promouvoir l’égalité des chances pour tous, favoriser l’inclusion sociale et combattre la pauvreté</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lignes directrices pour les politiques de l’emploi des États membres</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148, paragraphe 2,</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1"/>
      </w:r>
      <w:r>
        <w:rPr>
          <w:noProof/>
        </w:rPr>
        <w:t>,</w:t>
      </w:r>
    </w:p>
    <w:p>
      <w:pPr>
        <w:rPr>
          <w:noProof/>
        </w:rPr>
      </w:pPr>
      <w:r>
        <w:rPr>
          <w:noProof/>
        </w:rPr>
        <w:t>vu l’avis du Comité économique et social européen</w:t>
      </w:r>
      <w:r>
        <w:rPr>
          <w:rStyle w:val="FootnoteReference"/>
          <w:noProof/>
        </w:rPr>
        <w:footnoteReference w:id="2"/>
      </w:r>
      <w:r>
        <w:rPr>
          <w:noProof/>
        </w:rPr>
        <w:t>,</w:t>
      </w:r>
    </w:p>
    <w:p>
      <w:pPr>
        <w:rPr>
          <w:noProof/>
        </w:rPr>
      </w:pPr>
      <w:r>
        <w:rPr>
          <w:noProof/>
        </w:rPr>
        <w:t>vu l’avis du Comité des régions</w:t>
      </w:r>
      <w:r>
        <w:rPr>
          <w:rStyle w:val="FootnoteReference"/>
          <w:noProof/>
        </w:rPr>
        <w:footnoteReference w:id="3"/>
      </w:r>
      <w:r>
        <w:rPr>
          <w:noProof/>
        </w:rPr>
        <w:t>,</w:t>
      </w:r>
    </w:p>
    <w:p>
      <w:pPr>
        <w:rPr>
          <w:noProof/>
        </w:rPr>
      </w:pPr>
      <w:r>
        <w:rPr>
          <w:noProof/>
        </w:rPr>
        <w:t>vu l’avis du comité de l’emploi</w:t>
      </w:r>
      <w:r>
        <w:rPr>
          <w:rStyle w:val="FootnoteReference"/>
          <w:noProof/>
        </w:rPr>
        <w:footnoteReference w:id="4"/>
      </w:r>
      <w:r>
        <w:rPr>
          <w:noProof/>
        </w:rPr>
        <w:t>,</w:t>
      </w:r>
    </w:p>
    <w:p>
      <w:pPr>
        <w:rPr>
          <w:noProof/>
        </w:rPr>
      </w:pPr>
      <w:r>
        <w:rPr>
          <w:noProof/>
        </w:rPr>
        <w:t>considérant ce qui suit:</w:t>
      </w:r>
    </w:p>
    <w:p>
      <w:pPr>
        <w:pStyle w:val="ManualConsidrant"/>
        <w:rPr>
          <w:noProof/>
        </w:rPr>
      </w:pPr>
      <w:r>
        <w:t>(1)</w:t>
      </w:r>
      <w:r>
        <w:tab/>
      </w:r>
      <w:r>
        <w:rPr>
          <w:noProof/>
        </w:rPr>
        <w:t>Les États membres et l’Union doivent s’attacher à élaborer une stratégie coordonnée pour l’emploi et, en particulier, pour promouvoir une main-d’œuvre qualifiée, formée et capable de s’adapter ainsi que des marchés du travail aptes à réagir rapidement à l’évolution de l’économie, en vue d’atteindre les objectifs de plein emploi et de progrès social, de croissance équilibrée et de niveau élevé de protection et d’amélioration de la qualité de l’environnement énoncés à l’article 3 du traité sur l’Union européenne. Les États membres doivent considérer la promotion de l’emploi comme une question d’intérêt commun et coordonner leur action à cet égard au sein du Conseil, compte tenu des pratiques nationales liées aux responsabilités des partenaires sociaux.</w:t>
      </w:r>
    </w:p>
    <w:p>
      <w:pPr>
        <w:pStyle w:val="ManualConsidrant"/>
        <w:rPr>
          <w:noProof/>
        </w:rPr>
      </w:pPr>
      <w:r>
        <w:t>(2)</w:t>
      </w:r>
      <w:r>
        <w:tab/>
      </w:r>
      <w:r>
        <w:rPr>
          <w:noProof/>
        </w:rPr>
        <w:t>L’Union doit combattre l’exclusion sociale et la discrimination et favoriser la justice et la protection sociales, ainsi que l’égalité entre les femmes et les hommes, la solidarité entre les générations et la protection des droits de l’enfant. Dans la définition et la mise en œuvre de ses politiques et actions, l’Union doit prendre en compte les exigences liées à la promotion d’un niveau d’emploi élevé, à la garantie d’une protection sociale adéquate, à la lutte contre la pauvreté et l’exclusion sociale ainsi qu’à un niveau élevé d’éducation et de formation, comme indiqué à l’article 9 du traité sur le fonctionnement de l’Union européenne.</w:t>
      </w:r>
    </w:p>
    <w:p>
      <w:pPr>
        <w:pStyle w:val="ManualConsidrant"/>
        <w:rPr>
          <w:noProof/>
        </w:rPr>
      </w:pPr>
      <w:r>
        <w:t>(3)</w:t>
      </w:r>
      <w:r>
        <w:tab/>
      </w:r>
      <w:r>
        <w:rPr>
          <w:noProof/>
        </w:rPr>
        <w:t xml:space="preserve">Conformément au traité sur le fonctionnement de l’Union européenne (TFUE), l’Union a élaboré et mis en œuvre des instruments de coordination des actions menées dans le domaine des politiques économiques et de l’emploi. Dans le cadre de ces instruments, les présentes lignes directrices pour les politiques de l’emploi des États </w:t>
      </w:r>
      <w:r>
        <w:rPr>
          <w:noProof/>
        </w:rPr>
        <w:lastRenderedPageBreak/>
        <w:t>membres, en liaison avec les grandes orientations des politiques économiques des États membres et de l’Union, énoncées dans la recommandation (UE) 2015/1184 du Conseil (</w:t>
      </w:r>
      <w:r>
        <w:rPr>
          <w:rStyle w:val="FootnoteReference"/>
          <w:noProof/>
        </w:rPr>
        <w:footnoteReference w:id="5"/>
      </w:r>
      <w:r>
        <w:rPr>
          <w:noProof/>
        </w:rPr>
        <w:t>), constituent les lignes directrices intégrées. Elles doivent donner le cap aux États membres et à l’Union pour la mise en œuvre des politiques, traduisant l’interdépendance entre les États membres. La finalité est de parvenir, par cet ensemble coordonné de politiques et de réformes nationales et européennes, à un dosage global adéquat et durable de politiques économiques et de l’emploi, source de répercussions positives.</w:t>
      </w:r>
    </w:p>
    <w:p>
      <w:pPr>
        <w:pStyle w:val="ManualConsidrant"/>
        <w:rPr>
          <w:noProof/>
        </w:rPr>
      </w:pPr>
      <w:r>
        <w:t>(4)</w:t>
      </w:r>
      <w:r>
        <w:tab/>
      </w:r>
      <w:r>
        <w:rPr>
          <w:noProof/>
        </w:rPr>
        <w:t>Les lignes directrices pour les politiques de l’emploi sont compatibles avec le pacte de stabilité et de croissance, la législation existante de l’Union et diverses initiatives de l’Union, dont la recommandation du Conseil du 22 avril 2013 sur l’établissement d’une garantie pour la jeunesse (</w:t>
      </w:r>
      <w:r>
        <w:rPr>
          <w:rStyle w:val="FootnoteReference"/>
          <w:noProof/>
        </w:rPr>
        <w:footnoteReference w:id="6"/>
      </w:r>
      <w:r>
        <w:rPr>
          <w:noProof/>
        </w:rPr>
        <w:t>), la recommandation du Conseil du 15 février 2016 relative à l’intégration des chômeurs de longue durée sur le marché du travail (</w:t>
      </w:r>
      <w:r>
        <w:rPr>
          <w:rStyle w:val="FootnoteReference"/>
          <w:noProof/>
        </w:rPr>
        <w:footnoteReference w:id="7"/>
      </w:r>
      <w:r>
        <w:rPr>
          <w:noProof/>
        </w:rPr>
        <w:t>), la recommandation du Conseil du 19 décembre 2016 relative à des parcours de renforcement des compétences (</w:t>
      </w:r>
      <w:r>
        <w:rPr>
          <w:rStyle w:val="FootnoteReference"/>
          <w:noProof/>
        </w:rPr>
        <w:footnoteReference w:id="8"/>
      </w:r>
      <w:r>
        <w:rPr>
          <w:noProof/>
        </w:rPr>
        <w:t>), la recommandation du Conseil du 15 mars 2018 relative à un cadre européen pour un apprentissage efficace et de qualité (</w:t>
      </w:r>
      <w:r>
        <w:rPr>
          <w:rStyle w:val="FootnoteReference"/>
          <w:noProof/>
        </w:rPr>
        <w:footnoteReference w:id="9"/>
      </w:r>
      <w:r>
        <w:rPr>
          <w:noProof/>
        </w:rPr>
        <w:t>), la recommandation du Conseil du 22 mai 2018 relative aux compétences clés pour l’éducation et la formation tout au long de la vie (</w:t>
      </w:r>
      <w:r>
        <w:rPr>
          <w:rStyle w:val="FootnoteReference"/>
          <w:noProof/>
        </w:rPr>
        <w:footnoteReference w:id="10"/>
      </w:r>
      <w:r>
        <w:rPr>
          <w:noProof/>
        </w:rPr>
        <w:t>), la recommandation du Conseil du 22 mai 2019 relative à des systèmes de qualité pour l’éducation et l’accueil de la petite enfance (</w:t>
      </w:r>
      <w:r>
        <w:rPr>
          <w:rStyle w:val="FootnoteReference"/>
          <w:noProof/>
        </w:rPr>
        <w:footnoteReference w:id="11"/>
      </w:r>
      <w:r>
        <w:rPr>
          <w:noProof/>
        </w:rPr>
        <w:t>) et la recommandation du Conseil du 8 novembre 2019 relative à l’accès des travailleurs salariés et non salariés à la protection sociale (</w:t>
      </w:r>
      <w:r>
        <w:rPr>
          <w:rStyle w:val="FootnoteReference"/>
          <w:noProof/>
        </w:rPr>
        <w:footnoteReference w:id="12"/>
      </w:r>
      <w:r>
        <w:rPr>
          <w:noProof/>
        </w:rPr>
        <w:t>).</w:t>
      </w:r>
    </w:p>
    <w:p>
      <w:pPr>
        <w:pStyle w:val="ManualConsidrant"/>
        <w:rPr>
          <w:noProof/>
        </w:rPr>
      </w:pPr>
      <w:r>
        <w:t>(5)</w:t>
      </w:r>
      <w:r>
        <w:tab/>
      </w:r>
      <w:r>
        <w:rPr>
          <w:noProof/>
        </w:rPr>
        <w:t>Le Semestre européen associe les différents instruments dans un cadre global de coordination et de surveillance multilatérales intégrées des politiques économiques et de l’emploi. Tout en tendant à la durabilité environnementale, à la productivité, à l’équité et à la stabilité, le Semestre européen intègre les principes du socle européen des droits sociaux, y compris un dialogue étroit avec les partenaires sociaux, la société civile et les autres parties prenantes. Il contribue à la réalisation des objectifs de développement durable (</w:t>
      </w:r>
      <w:r>
        <w:rPr>
          <w:rStyle w:val="FootnoteReference"/>
          <w:noProof/>
        </w:rPr>
        <w:footnoteReference w:id="13"/>
      </w:r>
      <w:r>
        <w:rPr>
          <w:noProof/>
        </w:rPr>
        <w:t>). Les politiques économiques et de l’emploi de l’Union et des États membres devraient aller de pair avec la transition de l’Europe vers une économie numérique, climatiquement neutre et durable sur le plan environnemental, tout en améliorant la compétitivité, en favorisant l’innovation, en promouvant la justice sociale et l’égalité des chances, ainsi qu’en luttant contre les inégalités et les disparités régionales.</w:t>
      </w:r>
    </w:p>
    <w:p>
      <w:pPr>
        <w:pStyle w:val="ManualConsidrant"/>
        <w:rPr>
          <w:noProof/>
        </w:rPr>
      </w:pPr>
      <w:r>
        <w:t>(6)</w:t>
      </w:r>
      <w:r>
        <w:tab/>
      </w:r>
      <w:r>
        <w:rPr>
          <w:noProof/>
        </w:rPr>
        <w:t xml:space="preserve">Le changement climatique et les défis liés à l’environnement, la mondialisation, le virage numérique et l’évolution démographique transformeront les économies et les sociétés européennes. L’Union et ses États membres devraient œuvrer de concert pour agir efficacement sur ces facteurs structurels et adapter les systèmes existants en fonction des besoins, en reconnaissant l’interdépendance étroite entre les économies, les marchés du travail et les politiques connexes des États membres. Une telle </w:t>
      </w:r>
      <w:r>
        <w:rPr>
          <w:noProof/>
        </w:rPr>
        <w:lastRenderedPageBreak/>
        <w:t>démarche requiert une action stratégique coordonnée, ambitieuse et efficace, tant à l’échelon de l’Union qu’à l’échelon national, conformément au TFUE et à la réglementation de l’Union en matière de gouvernance économique. Cette action stratégique devrait stimuler les investissements durables et réaffirmer la volonté d’adopter des réformes structurelles agencées logiquement pour accroître la productivité, la croissance économique, la cohésion sociale et territoriale, la convergence vers le haut et la résilience et promouvoir une attitude responsable en matière budgétaire. Elle devrait combiner des mesures axées sur l’offre et sur la demande, tout en tenant compte de leurs incidences environnementales, sociales et en matière d’emploi.</w:t>
      </w:r>
    </w:p>
    <w:p>
      <w:pPr>
        <w:pStyle w:val="ManualConsidrant"/>
        <w:rPr>
          <w:noProof/>
        </w:rPr>
      </w:pPr>
      <w:r>
        <w:t>(7)</w:t>
      </w:r>
      <w:r>
        <w:tab/>
      </w:r>
      <w:r>
        <w:rPr>
          <w:noProof/>
        </w:rPr>
        <w:t>Le Parlement européen, le Conseil et la Commission ont signé une proclamation interinstitutionnelle sur le socle européen des droits sociaux (</w:t>
      </w:r>
      <w:r>
        <w:rPr>
          <w:rStyle w:val="FootnoteReference"/>
          <w:noProof/>
        </w:rPr>
        <w:footnoteReference w:id="14"/>
      </w:r>
      <w:r>
        <w:rPr>
          <w:noProof/>
        </w:rPr>
        <w:t>). Le socle définit vingt principes et droits devant contribuer au bon fonctionnement et à l’équité des marchés du travail et des systèmes de protection sociale, qui s’articulent autour de trois grands axes: l’égalité des chances et l’accès au marché du travail, des conditions de travail équitables, ainsi que la protection et l’inclusion sociales. Ces principes et ces droits donnent une orientation à notre stratégie en faisant en sorte que les transitions vers la neutralité climatique et la durabilité environnementale, le virage numérique et l’évolution démographique soient justes et équitables sur le plan social. Le socle constitue un cadre de référence pour suivre les résultats des États membres en matière sociale et d’emploi, stimuler les réformes aux niveaux national, régional et local et concilier les dimensions «sociale» et de «marché» de l’économie moderne actuelle, notamment en promouvant l’économie sociale.</w:t>
      </w:r>
    </w:p>
    <w:p>
      <w:pPr>
        <w:pStyle w:val="ManualConsidrant"/>
        <w:rPr>
          <w:noProof/>
        </w:rPr>
      </w:pPr>
      <w:r>
        <w:t>(8)</w:t>
      </w:r>
      <w:r>
        <w:tab/>
      </w:r>
      <w:r>
        <w:rPr>
          <w:noProof/>
        </w:rPr>
        <w:t>Les réformes du marché du travail, y compris les mécanismes nationaux de fixation des rémunérations, devraient respecter les pratiques nationales de dialogue social et prévoir la marge de manœuvre nécessaire pour une large prise en compte des questions socio-économiques, notamment des améliorations possibles de la durabilité, de la compétitivité, de l’innovation, de la création d’emplois, des politiques de formation et d’apprentissage tout au long de la vie, des conditions de travail, de l’enseignement et des compétences, de la santé publique, de l’inclusion et des revenus réels.</w:t>
      </w:r>
    </w:p>
    <w:p>
      <w:pPr>
        <w:pStyle w:val="ManualConsidrant"/>
        <w:rPr>
          <w:noProof/>
        </w:rPr>
      </w:pPr>
      <w:r>
        <w:t>(9)</w:t>
      </w:r>
      <w:r>
        <w:tab/>
      </w:r>
      <w:r>
        <w:rPr>
          <w:noProof/>
        </w:rPr>
        <w:t xml:space="preserve">Les États membres et l’Union devraient veiller à ce que les transformations soient équitables et socialement justes, en redoublant d’efforts pour mettre en place une société inclusive et résiliente, dans laquelle les citoyens sont protégés, disposent des moyens nécessaires pour anticiper et gérer les changements et sont à même de participer activement à la société et à l’économie. Il y a lieu de lutter contre la discrimination sous toutes ses formes. Il convient de garantir un accès et des perspectives pour tous et de réduire la pauvreté et l’exclusion sociale (notamment celle des enfants), en particulier en veillant au bon fonctionnement des marchés du travail et des systèmes de protection sociale et en éliminant les obstacles à la participation à l’enseignement ou la formation ainsi qu’à la vie active, y compris au moyen d’investissements dans l’éducation et l’accueil de la petite enfance. L’accès rapide et égal à des services de santé abordables, y compris en matière de prévention et de promotion de la santé, revêt une importance particulière dans le contexte du vieillissement de la population. Il convient d’exploiter davantage le potentiel des personnes handicapées à contribuer à la croissance économique et au développement social. De nouveaux modèles économiques et entrepreneuriaux voient le jour sur les lieux de travail dans l’Union, et les relations de travail sont également en train </w:t>
      </w:r>
      <w:r>
        <w:rPr>
          <w:noProof/>
        </w:rPr>
        <w:lastRenderedPageBreak/>
        <w:t>d’évoluer. Les États membres devraient veiller à ce que les relations de travail découlant de nouvelles formes de travail respectent et consolident le modèle social européen.</w:t>
      </w:r>
    </w:p>
    <w:p>
      <w:pPr>
        <w:pStyle w:val="ManualConsidrant"/>
        <w:rPr>
          <w:noProof/>
        </w:rPr>
      </w:pPr>
      <w:r>
        <w:t>(10)</w:t>
      </w:r>
      <w:r>
        <w:tab/>
      </w:r>
      <w:r>
        <w:rPr>
          <w:noProof/>
        </w:rPr>
        <w:t>Les lignes directrices intégrées devraient constituer la base des recommandations par pays que le Conseil viendrait à adresser aux États membres. Les États membres devraient pleinement mettre à profit le Fonds social européen plus ainsi que d’autres fonds de l’Union, notamment le Fonds pour une transition juste et le Fonds InvestEU, pour favoriser l’emploi, les investissements sociaux, l’inclusion sociale et l’accessibilité et promouvoir les possibilités de perfectionnement et de recyclage de la main-d’œuvre, l’apprentissage tout au long de la vie et un enseignement et une formation de qualité pour tous, y compris les compétences et la culture numériques. Bien que les lignes directrices intégrées s’adressent aux États membres et à l’Union, il convient de les mettre en œuvre en partenariat avec l’ensemble des autorités nationales, régionales et locales, et en y associant étroitement les parlements, ainsi que les partenaires sociaux et les représentants de la société civile.</w:t>
      </w:r>
    </w:p>
    <w:p>
      <w:pPr>
        <w:pStyle w:val="ManualConsidrant"/>
        <w:rPr>
          <w:noProof/>
        </w:rPr>
      </w:pPr>
      <w:r>
        <w:t>(11)</w:t>
      </w:r>
      <w:r>
        <w:tab/>
      </w:r>
      <w:r>
        <w:rPr>
          <w:noProof/>
        </w:rPr>
        <w:t>Le comité de l’emploi et le comité de la protection sociale devraient suivre la manière dont les politiques concernées sont mises en œuvre à la lumière des lignes directrices pour les politiques de l’emploi, conformément à leurs compétences respectives définies par le traité. Il convient que ces comités et les autres instances préparatoires du Conseil participant à la coordination des politiques économiques et sociales travaillent en étroite coopération. Le dialogue entre le Parlement européen, le Conseil et la Commission devrait être maintenu, en particulier en ce qui concerne les lignes directrices pour les politiques de l’emploi des États membres.</w:t>
      </w:r>
    </w:p>
    <w:p>
      <w:pPr>
        <w:pStyle w:val="ManualConsidrant"/>
        <w:rPr>
          <w:noProof/>
        </w:rPr>
      </w:pPr>
      <w:r>
        <w:t>(12)</w:t>
      </w:r>
      <w:r>
        <w:tab/>
      </w:r>
      <w:r>
        <w:rPr>
          <w:noProof/>
        </w:rPr>
        <w:t>Le comité de la protection sociale a été consulté,</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Les lignes directrices pour les politiques de l’emploi des États membres, qui figurent en annexe, sont adoptées. Elles font partie des lignes directrices intégrées.</w:t>
      </w:r>
    </w:p>
    <w:p>
      <w:pPr>
        <w:pStyle w:val="Titrearticle"/>
        <w:keepNext w:val="0"/>
        <w:rPr>
          <w:noProof/>
        </w:rPr>
      </w:pPr>
      <w:r>
        <w:rPr>
          <w:noProof/>
        </w:rPr>
        <w:t>Article 2</w:t>
      </w:r>
    </w:p>
    <w:p>
      <w:pPr>
        <w:keepLines/>
        <w:rPr>
          <w:noProof/>
        </w:rPr>
      </w:pPr>
      <w:r>
        <w:rPr>
          <w:noProof/>
        </w:rPr>
        <w:t>Les États membres tiennent compte des lignes directrices figurant en annexe dans leurs politiques de l’emploi et leurs programmes de réforme et font rapport sur ces politiques et programmes conformément à l’article 148, paragraphe 3, du TFUE.</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 du […], p. […].</w:t>
      </w:r>
    </w:p>
  </w:footnote>
  <w:footnote w:id="2">
    <w:p>
      <w:pPr>
        <w:pStyle w:val="FootnoteText"/>
      </w:pPr>
      <w:r>
        <w:rPr>
          <w:rStyle w:val="FootnoteReference"/>
        </w:rPr>
        <w:footnoteRef/>
      </w:r>
      <w:r>
        <w:tab/>
        <w:t>JO C […] du […], p. […].</w:t>
      </w:r>
    </w:p>
  </w:footnote>
  <w:footnote w:id="3">
    <w:p>
      <w:pPr>
        <w:pStyle w:val="FootnoteText"/>
      </w:pPr>
      <w:r>
        <w:rPr>
          <w:rStyle w:val="FootnoteReference"/>
        </w:rPr>
        <w:footnoteRef/>
      </w:r>
      <w:r>
        <w:tab/>
        <w:t>JO C […] du […], p. […].</w:t>
      </w:r>
    </w:p>
  </w:footnote>
  <w:footnote w:id="4">
    <w:p>
      <w:pPr>
        <w:pStyle w:val="FootnoteText"/>
      </w:pPr>
      <w:r>
        <w:rPr>
          <w:rStyle w:val="FootnoteReference"/>
        </w:rPr>
        <w:footnoteRef/>
      </w:r>
      <w:r>
        <w:tab/>
        <w:t>JO C […] du […], p. […].</w:t>
      </w:r>
    </w:p>
  </w:footnote>
  <w:footnote w:id="5">
    <w:p>
      <w:pPr>
        <w:pStyle w:val="FootnoteText"/>
      </w:pPr>
      <w:r>
        <w:rPr>
          <w:rStyle w:val="FootnoteReference"/>
        </w:rPr>
        <w:footnoteRef/>
      </w:r>
      <w:r>
        <w:tab/>
        <w:t>Recommandation (UE) 2015/1184 du Conseil du 14 juillet 2015 relative aux grandes orientations des politiques économiques des États membres et de l’Union européenne (JO L 192 du 18.7.2015, p. 27).</w:t>
      </w:r>
    </w:p>
  </w:footnote>
  <w:footnote w:id="6">
    <w:p>
      <w:pPr>
        <w:pStyle w:val="FootnoteText"/>
      </w:pPr>
      <w:r>
        <w:rPr>
          <w:rStyle w:val="FootnoteReference"/>
        </w:rPr>
        <w:footnoteRef/>
      </w:r>
      <w:r>
        <w:tab/>
        <w:t>JO C 120 du 26.4.2013, p. 1.</w:t>
      </w:r>
    </w:p>
  </w:footnote>
  <w:footnote w:id="7">
    <w:p>
      <w:pPr>
        <w:pStyle w:val="FootnoteText"/>
      </w:pPr>
      <w:r>
        <w:rPr>
          <w:rStyle w:val="FootnoteReference"/>
        </w:rPr>
        <w:footnoteRef/>
      </w:r>
      <w:r>
        <w:tab/>
        <w:t>JO C 67 du 20.2.2016, p. 1.</w:t>
      </w:r>
    </w:p>
  </w:footnote>
  <w:footnote w:id="8">
    <w:p>
      <w:pPr>
        <w:pStyle w:val="FootnoteText"/>
      </w:pPr>
      <w:r>
        <w:rPr>
          <w:rStyle w:val="FootnoteReference"/>
        </w:rPr>
        <w:footnoteRef/>
      </w:r>
      <w:r>
        <w:tab/>
        <w:t>JO C 484 du 24.12.2016, p. 1.</w:t>
      </w:r>
    </w:p>
  </w:footnote>
  <w:footnote w:id="9">
    <w:p>
      <w:pPr>
        <w:pStyle w:val="FootnoteText"/>
      </w:pPr>
      <w:r>
        <w:rPr>
          <w:rStyle w:val="FootnoteReference"/>
        </w:rPr>
        <w:footnoteRef/>
      </w:r>
      <w:r>
        <w:tab/>
        <w:t>JO C 153 du 2.5.2018, p. 1.</w:t>
      </w:r>
    </w:p>
  </w:footnote>
  <w:footnote w:id="10">
    <w:p>
      <w:pPr>
        <w:pStyle w:val="FootnoteText"/>
      </w:pPr>
      <w:r>
        <w:rPr>
          <w:rStyle w:val="FootnoteReference"/>
        </w:rPr>
        <w:footnoteRef/>
      </w:r>
      <w:r>
        <w:tab/>
        <w:t>JO C 189 du 4.6.2018, p. 1.</w:t>
      </w:r>
    </w:p>
  </w:footnote>
  <w:footnote w:id="11">
    <w:p>
      <w:pPr>
        <w:pStyle w:val="FootnoteText"/>
      </w:pPr>
      <w:r>
        <w:rPr>
          <w:rStyle w:val="FootnoteReference"/>
        </w:rPr>
        <w:footnoteRef/>
      </w:r>
      <w:r>
        <w:tab/>
        <w:t>JO C 189 du 5.6.2019, p. 4.</w:t>
      </w:r>
    </w:p>
  </w:footnote>
  <w:footnote w:id="12">
    <w:p>
      <w:pPr>
        <w:pStyle w:val="FootnoteText"/>
      </w:pPr>
      <w:r>
        <w:rPr>
          <w:rStyle w:val="FootnoteReference"/>
        </w:rPr>
        <w:footnoteRef/>
      </w:r>
      <w:r>
        <w:tab/>
        <w:t>JO C 387 du 15.11.2019, p. 1.</w:t>
      </w:r>
    </w:p>
  </w:footnote>
  <w:footnote w:id="13">
    <w:p>
      <w:pPr>
        <w:spacing w:before="0"/>
      </w:pPr>
      <w:r>
        <w:rPr>
          <w:rStyle w:val="FootnoteReference"/>
        </w:rPr>
        <w:footnoteRef/>
      </w:r>
      <w:r>
        <w:tab/>
      </w:r>
      <w:r>
        <w:rPr>
          <w:sz w:val="20"/>
        </w:rPr>
        <w:t>Résolution A/RES/70/1 des Nations unies.</w:t>
      </w:r>
      <w:r>
        <w:tab/>
      </w:r>
    </w:p>
  </w:footnote>
  <w:footnote w:id="14">
    <w:p>
      <w:pPr>
        <w:pStyle w:val="FootnoteText"/>
      </w:pPr>
      <w:r>
        <w:rPr>
          <w:rStyle w:val="FootnoteReference"/>
        </w:rPr>
        <w:footnoteRef/>
      </w:r>
      <w:r>
        <w:tab/>
        <w:t>JO C 428 du 13.12.2017, p.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729B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3E5E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07C2A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4AC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3C4D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5C39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10A1FE"/>
    <w:lvl w:ilvl="0">
      <w:start w:val="1"/>
      <w:numFmt w:val="decimal"/>
      <w:pStyle w:val="ListNumber"/>
      <w:lvlText w:val="%1."/>
      <w:lvlJc w:val="left"/>
      <w:pPr>
        <w:tabs>
          <w:tab w:val="num" w:pos="360"/>
        </w:tabs>
        <w:ind w:left="360" w:hanging="360"/>
      </w:pPr>
    </w:lvl>
  </w:abstractNum>
  <w:abstractNum w:abstractNumId="7">
    <w:nsid w:val="FFFFFF89"/>
    <w:multiLevelType w:val="singleLevel"/>
    <w:tmpl w:val="0234EA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25 16:23: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03524E26-9F75-4810-8767-914A992B67F5"/>
    <w:docVar w:name="LW_COVERPAGE_TYPE" w:val="1"/>
    <w:docVar w:name="LW_CROSSREFERENCE" w:val="&lt;UNUSED&gt;"/>
    <w:docVar w:name="LW_DocType" w:val="COM"/>
    <w:docVar w:name="LW_EMISSION" w:val="26.2.2020"/>
    <w:docVar w:name="LW_EMISSION_ISODATE" w:val="2020-02-2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0"/>
    <w:docVar w:name="LW_REF.II.NEW.CP_YEAR" w:val="2020"/>
    <w:docVar w:name="LW_REF.INST.NEW" w:val="COM"/>
    <w:docVar w:name="LW_REF.INST.NEW_ADOPTED" w:val="final"/>
    <w:docVar w:name="LW_REF.INST.NEW_TEXT" w:val="(2020)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ition de"/>
    <w:docVar w:name="LW_STATUT.CP" w:val="Proposition de"/>
    <w:docVar w:name="LW_SUPERTITRE" w:val="&lt;UNUSED&gt;"/>
    <w:docVar w:name="LW_TITRE.OBJ" w:val="relative aux lignes directrices pour les politiques de l\u8217?emploi des États membres_x000d__x000b__x000d__x000b__x000d__x000d__x000b_"/>
    <w:docVar w:name="LW_TITRE.OBJ.CP" w:val="relative aux lignes directrices pour les politiques de l\u8217?emploi des États membres_x000d__x000b__x000d__x000b__x000d__x000d__x000b_"/>
    <w:docVar w:name="LW_TYPE.DOC" w:val="DÉCISION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spacing w:line="360" w:lineRule="auto"/>
      <w:contextualSpacing/>
      <w:jc w:val="left"/>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spacing w:line="360" w:lineRule="auto"/>
      <w:contextualSpacing/>
      <w:jc w:val="left"/>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2190</Words>
  <Characters>12310</Characters>
  <Application>Microsoft Office Word</Application>
  <DocSecurity>0</DocSecurity>
  <Lines>198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2020-02-25T13:42:00Z</dcterms:created>
  <dcterms:modified xsi:type="dcterms:W3CDTF">2020-02-25T15:23:00Z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DQCStatus">
    <vt:lpwstr>Green (DQC version 03)</vt:lpwstr>
  </property>
  <property fmtid="{D5CDD505-2E9C-101B-9397-08002B2CF9AE}" pid="8" name="Category">
    <vt:lpwstr>COM/PL/ORG</vt:lpwstr>
  </property>
</Properties>
</file>