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GUID8EBD596ED610492B935FAF2EF574B92D"/>
      <w:bookmarkStart w:id="1" w:name="GUID1C207744888B417D8ABF31C19AD99974"/>
      <w:bookmarkStart w:id="2"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8793DF61-511A-42B9-8BA6-B08CE14D8AD3" style="width:450pt;height:389.25pt">
            <v:imagedata r:id="rId8" o:title=""/>
          </v:shape>
        </w:pict>
      </w:r>
    </w:p>
    <w:bookmarkEnd w:id="2"/>
    <w:p>
      <w:pPr>
        <w:rPr>
          <w:noProof/>
        </w:rPr>
        <w:sectPr>
          <w:headerReference w:type="even" r:id="rId9"/>
          <w:headerReference w:type="default" r:id="rId10"/>
          <w:footerReference w:type="even" r:id="rId11"/>
          <w:footerReference w:type="default" r:id="rId12"/>
          <w:headerReference w:type="first" r:id="rId13"/>
          <w:footerReference w:type="first" r:id="rId14"/>
          <w:footnotePr>
            <w:pos w:val="beneathText"/>
          </w:footnotePr>
          <w:endnotePr>
            <w:numFmt w:val="decimal"/>
            <w:numRestart w:val="eachSect"/>
          </w:endnotePr>
          <w:pgSz w:w="11907" w:h="16839"/>
          <w:pgMar w:top="1134" w:right="1417" w:bottom="1134" w:left="1417" w:header="709" w:footer="709" w:gutter="0"/>
          <w:pgNumType w:fmt="lowerRoman" w:start="0"/>
          <w:cols w:space="720"/>
          <w:docGrid w:linePitch="360"/>
        </w:sectPr>
      </w:pPr>
    </w:p>
    <w:p>
      <w:pPr>
        <w:spacing w:after="0" w:line="240" w:lineRule="atLeast"/>
        <w:jc w:val="both"/>
        <w:rPr>
          <w:rFonts w:ascii="Times New Roman" w:hAnsi="Times New Roman" w:cs="Times New Roman"/>
          <w:noProof/>
          <w:color w:val="000000"/>
          <w:sz w:val="24"/>
        </w:rPr>
      </w:pPr>
      <w:bookmarkStart w:id="3" w:name="_GoBack"/>
      <w:bookmarkEnd w:id="3"/>
      <w:r>
        <w:rPr>
          <w:rFonts w:ascii="Times New Roman" w:hAnsi="Times New Roman" w:cs="Times New Roman"/>
          <w:noProof/>
          <w:color w:val="000000"/>
          <w:sz w:val="24"/>
        </w:rPr>
        <w:lastRenderedPageBreak/>
        <w:t>AIA: Athens international airport</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ANFA: Agreement on net financial assets</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AROPE: at risk of poverty or social exclusion</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CBD: Consolidated banking data</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 xml:space="preserve">DEPA: Δημόσια </w:t>
      </w:r>
      <w:r>
        <w:rPr>
          <w:rFonts w:ascii="Times New Roman" w:hAnsi="Times New Roman" w:cs="Times New Roman"/>
          <w:noProof/>
          <w:color w:val="000000"/>
          <w:sz w:val="24"/>
          <w:lang w:val="el-GR"/>
        </w:rPr>
        <w:t>ε</w:t>
      </w:r>
      <w:r>
        <w:rPr>
          <w:rFonts w:ascii="Times New Roman" w:hAnsi="Times New Roman" w:cs="Times New Roman"/>
          <w:noProof/>
          <w:color w:val="000000"/>
          <w:sz w:val="24"/>
        </w:rPr>
        <w:t xml:space="preserve">πιχείρηση </w:t>
      </w:r>
      <w:r>
        <w:rPr>
          <w:rFonts w:ascii="Times New Roman" w:hAnsi="Times New Roman" w:cs="Times New Roman"/>
          <w:noProof/>
          <w:color w:val="000000"/>
          <w:sz w:val="24"/>
          <w:lang w:val="el-GR"/>
        </w:rPr>
        <w:t>α</w:t>
      </w:r>
      <w:r>
        <w:rPr>
          <w:rFonts w:ascii="Times New Roman" w:hAnsi="Times New Roman" w:cs="Times New Roman"/>
          <w:noProof/>
          <w:color w:val="000000"/>
          <w:sz w:val="24"/>
        </w:rPr>
        <w:t>ερίου (public gas corporation of Greece)</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ECB: European central bank</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 xml:space="preserve">EFKA: </w:t>
      </w:r>
      <w:r>
        <w:rPr>
          <w:rFonts w:ascii="Times New Roman" w:hAnsi="Times New Roman" w:cs="Times New Roman"/>
          <w:noProof/>
          <w:color w:val="000000"/>
          <w:sz w:val="24"/>
          <w:lang w:val="el-GR"/>
        </w:rPr>
        <w:t>Ενιαίος</w:t>
      </w:r>
      <w:r>
        <w:rPr>
          <w:rFonts w:ascii="Times New Roman" w:hAnsi="Times New Roman" w:cs="Times New Roman"/>
          <w:noProof/>
          <w:color w:val="000000"/>
          <w:sz w:val="24"/>
        </w:rPr>
        <w:t xml:space="preserve"> </w:t>
      </w:r>
      <w:r>
        <w:rPr>
          <w:rFonts w:ascii="Times New Roman" w:hAnsi="Times New Roman" w:cs="Times New Roman"/>
          <w:noProof/>
          <w:color w:val="000000"/>
          <w:sz w:val="24"/>
          <w:lang w:val="el-GR"/>
        </w:rPr>
        <w:t>φορέας</w:t>
      </w:r>
      <w:r>
        <w:rPr>
          <w:rFonts w:ascii="Times New Roman" w:hAnsi="Times New Roman" w:cs="Times New Roman"/>
          <w:noProof/>
          <w:color w:val="000000"/>
          <w:sz w:val="24"/>
        </w:rPr>
        <w:t xml:space="preserve"> </w:t>
      </w:r>
      <w:r>
        <w:rPr>
          <w:rFonts w:ascii="Times New Roman" w:hAnsi="Times New Roman" w:cs="Times New Roman"/>
          <w:noProof/>
          <w:color w:val="000000"/>
          <w:sz w:val="24"/>
          <w:lang w:val="el-GR"/>
        </w:rPr>
        <w:t>κοινωνικής</w:t>
      </w:r>
      <w:r>
        <w:rPr>
          <w:rFonts w:ascii="Times New Roman" w:hAnsi="Times New Roman" w:cs="Times New Roman"/>
          <w:noProof/>
          <w:color w:val="000000"/>
          <w:sz w:val="24"/>
        </w:rPr>
        <w:t xml:space="preserve"> </w:t>
      </w:r>
      <w:r>
        <w:rPr>
          <w:rFonts w:ascii="Times New Roman" w:hAnsi="Times New Roman" w:cs="Times New Roman"/>
          <w:noProof/>
          <w:color w:val="000000"/>
          <w:sz w:val="24"/>
          <w:lang w:val="el-GR"/>
        </w:rPr>
        <w:t>ασφάλισης</w:t>
      </w:r>
      <w:r>
        <w:rPr>
          <w:rFonts w:ascii="Times New Roman" w:hAnsi="Times New Roman" w:cs="Times New Roman"/>
          <w:noProof/>
          <w:color w:val="000000"/>
          <w:sz w:val="24"/>
        </w:rPr>
        <w:t xml:space="preserve"> (unified social security fund) </w:t>
      </w:r>
    </w:p>
    <w:p>
      <w:pPr>
        <w:spacing w:after="0" w:line="240" w:lineRule="atLeast"/>
        <w:jc w:val="both"/>
        <w:rPr>
          <w:rFonts w:ascii="Times New Roman" w:hAnsi="Times New Roman" w:cs="Times New Roman"/>
          <w:noProof/>
          <w:color w:val="000000"/>
          <w:sz w:val="24"/>
          <w:lang w:val="el-GR"/>
        </w:rPr>
      </w:pPr>
      <w:r>
        <w:rPr>
          <w:rFonts w:ascii="Times New Roman" w:hAnsi="Times New Roman" w:cs="Times New Roman"/>
          <w:noProof/>
          <w:color w:val="000000"/>
          <w:sz w:val="24"/>
        </w:rPr>
        <w:t>ENFIA</w:t>
      </w:r>
      <w:r>
        <w:rPr>
          <w:rFonts w:ascii="Times New Roman" w:hAnsi="Times New Roman" w:cs="Times New Roman"/>
          <w:noProof/>
          <w:color w:val="000000"/>
          <w:sz w:val="24"/>
          <w:lang w:val="el-GR"/>
        </w:rPr>
        <w:t>: Ενιαίος φόρος ιδιοκτησίας ακινήτων (</w:t>
      </w:r>
      <w:r>
        <w:rPr>
          <w:rFonts w:ascii="Times New Roman" w:hAnsi="Times New Roman" w:cs="Times New Roman"/>
          <w:noProof/>
          <w:color w:val="000000"/>
          <w:sz w:val="24"/>
        </w:rPr>
        <w:t>unified</w:t>
      </w:r>
      <w:r>
        <w:rPr>
          <w:rFonts w:ascii="Times New Roman" w:hAnsi="Times New Roman" w:cs="Times New Roman"/>
          <w:noProof/>
          <w:color w:val="000000"/>
          <w:sz w:val="24"/>
          <w:lang w:val="el-GR"/>
        </w:rPr>
        <w:t xml:space="preserve"> </w:t>
      </w:r>
      <w:r>
        <w:rPr>
          <w:rFonts w:ascii="Times New Roman" w:hAnsi="Times New Roman" w:cs="Times New Roman"/>
          <w:noProof/>
          <w:color w:val="000000"/>
          <w:sz w:val="24"/>
        </w:rPr>
        <w:t>property</w:t>
      </w:r>
      <w:r>
        <w:rPr>
          <w:rFonts w:ascii="Times New Roman" w:hAnsi="Times New Roman" w:cs="Times New Roman"/>
          <w:noProof/>
          <w:color w:val="000000"/>
          <w:sz w:val="24"/>
          <w:lang w:val="el-GR"/>
        </w:rPr>
        <w:t xml:space="preserve"> </w:t>
      </w:r>
      <w:r>
        <w:rPr>
          <w:rFonts w:ascii="Times New Roman" w:hAnsi="Times New Roman" w:cs="Times New Roman"/>
          <w:noProof/>
          <w:color w:val="000000"/>
          <w:sz w:val="24"/>
        </w:rPr>
        <w:t>tax</w:t>
      </w:r>
      <w:r>
        <w:rPr>
          <w:rFonts w:ascii="Times New Roman" w:hAnsi="Times New Roman" w:cs="Times New Roman"/>
          <w:noProof/>
          <w:color w:val="000000"/>
          <w:sz w:val="24"/>
          <w:lang w:val="el-GR"/>
        </w:rPr>
        <w:t>)</w:t>
      </w:r>
    </w:p>
    <w:p>
      <w:pPr>
        <w:spacing w:after="0" w:line="240" w:lineRule="atLeast"/>
        <w:jc w:val="both"/>
        <w:rPr>
          <w:rFonts w:ascii="Times New Roman" w:hAnsi="Times New Roman" w:cs="Times New Roman"/>
          <w:noProof/>
          <w:color w:val="000000"/>
          <w:sz w:val="24"/>
          <w:lang w:val="el-GR"/>
        </w:rPr>
      </w:pPr>
      <w:r>
        <w:rPr>
          <w:rFonts w:ascii="Times New Roman" w:hAnsi="Times New Roman" w:cs="Times New Roman"/>
          <w:noProof/>
          <w:color w:val="000000"/>
          <w:sz w:val="24"/>
        </w:rPr>
        <w:t>ETAD</w:t>
      </w:r>
      <w:r>
        <w:rPr>
          <w:rFonts w:ascii="Times New Roman" w:hAnsi="Times New Roman" w:cs="Times New Roman"/>
          <w:noProof/>
          <w:color w:val="000000"/>
          <w:sz w:val="24"/>
          <w:lang w:val="el-GR"/>
        </w:rPr>
        <w:t>: Εταιρεία ακινήτων δημοσίου ΑΕ (</w:t>
      </w:r>
      <w:r>
        <w:rPr>
          <w:rFonts w:ascii="Times New Roman" w:hAnsi="Times New Roman" w:cs="Times New Roman"/>
          <w:noProof/>
          <w:color w:val="000000"/>
          <w:sz w:val="24"/>
        </w:rPr>
        <w:t>public</w:t>
      </w:r>
      <w:r>
        <w:rPr>
          <w:rFonts w:ascii="Times New Roman" w:hAnsi="Times New Roman" w:cs="Times New Roman"/>
          <w:noProof/>
          <w:color w:val="000000"/>
          <w:sz w:val="24"/>
          <w:lang w:val="el-GR"/>
        </w:rPr>
        <w:t xml:space="preserve"> </w:t>
      </w:r>
      <w:r>
        <w:rPr>
          <w:rFonts w:ascii="Times New Roman" w:hAnsi="Times New Roman" w:cs="Times New Roman"/>
          <w:noProof/>
          <w:color w:val="000000"/>
          <w:sz w:val="24"/>
        </w:rPr>
        <w:t>properties</w:t>
      </w:r>
      <w:r>
        <w:rPr>
          <w:rFonts w:ascii="Times New Roman" w:hAnsi="Times New Roman" w:cs="Times New Roman"/>
          <w:noProof/>
          <w:color w:val="000000"/>
          <w:sz w:val="24"/>
          <w:lang w:val="el-GR"/>
        </w:rPr>
        <w:t xml:space="preserve"> </w:t>
      </w:r>
      <w:r>
        <w:rPr>
          <w:rFonts w:ascii="Times New Roman" w:hAnsi="Times New Roman" w:cs="Times New Roman"/>
          <w:noProof/>
          <w:color w:val="000000"/>
          <w:sz w:val="24"/>
        </w:rPr>
        <w:t>company</w:t>
      </w:r>
      <w:r>
        <w:rPr>
          <w:rFonts w:ascii="Times New Roman" w:hAnsi="Times New Roman" w:cs="Times New Roman"/>
          <w:noProof/>
          <w:color w:val="000000"/>
          <w:sz w:val="24"/>
          <w:lang w:val="el-GR"/>
        </w:rPr>
        <w:t>)</w:t>
      </w:r>
    </w:p>
    <w:p>
      <w:pPr>
        <w:spacing w:after="0" w:line="240" w:lineRule="atLeast"/>
        <w:jc w:val="both"/>
        <w:rPr>
          <w:rFonts w:ascii="Times New Roman" w:hAnsi="Times New Roman" w:cs="Times New Roman"/>
          <w:noProof/>
          <w:color w:val="000000"/>
          <w:sz w:val="24"/>
          <w:lang w:val="el-GR"/>
        </w:rPr>
      </w:pPr>
      <w:r>
        <w:rPr>
          <w:rFonts w:ascii="Times New Roman" w:hAnsi="Times New Roman" w:cs="Times New Roman"/>
          <w:noProof/>
          <w:color w:val="000000"/>
          <w:sz w:val="24"/>
        </w:rPr>
        <w:t>ESM</w:t>
      </w:r>
      <w:r>
        <w:rPr>
          <w:rFonts w:ascii="Times New Roman" w:hAnsi="Times New Roman" w:cs="Times New Roman"/>
          <w:noProof/>
          <w:color w:val="000000"/>
          <w:sz w:val="24"/>
          <w:lang w:val="el-GR"/>
        </w:rPr>
        <w:t xml:space="preserve">: </w:t>
      </w:r>
      <w:r>
        <w:rPr>
          <w:rFonts w:ascii="Times New Roman" w:hAnsi="Times New Roman" w:cs="Times New Roman"/>
          <w:noProof/>
          <w:color w:val="000000"/>
          <w:sz w:val="24"/>
        </w:rPr>
        <w:t>European</w:t>
      </w:r>
      <w:r>
        <w:rPr>
          <w:rFonts w:ascii="Times New Roman" w:hAnsi="Times New Roman" w:cs="Times New Roman"/>
          <w:noProof/>
          <w:color w:val="000000"/>
          <w:sz w:val="24"/>
          <w:lang w:val="el-GR"/>
        </w:rPr>
        <w:t xml:space="preserve"> </w:t>
      </w:r>
      <w:r>
        <w:rPr>
          <w:rFonts w:ascii="Times New Roman" w:hAnsi="Times New Roman" w:cs="Times New Roman"/>
          <w:noProof/>
          <w:color w:val="000000"/>
          <w:sz w:val="24"/>
        </w:rPr>
        <w:t>stability</w:t>
      </w:r>
      <w:r>
        <w:rPr>
          <w:rFonts w:ascii="Times New Roman" w:hAnsi="Times New Roman" w:cs="Times New Roman"/>
          <w:noProof/>
          <w:color w:val="000000"/>
          <w:sz w:val="24"/>
          <w:lang w:val="el-GR"/>
        </w:rPr>
        <w:t xml:space="preserve"> </w:t>
      </w:r>
      <w:r>
        <w:rPr>
          <w:rFonts w:ascii="Times New Roman" w:hAnsi="Times New Roman" w:cs="Times New Roman"/>
          <w:noProof/>
          <w:color w:val="000000"/>
          <w:sz w:val="24"/>
        </w:rPr>
        <w:t>mechanism</w:t>
      </w:r>
    </w:p>
    <w:p>
      <w:pPr>
        <w:spacing w:after="0" w:line="240" w:lineRule="atLeast"/>
        <w:jc w:val="both"/>
        <w:rPr>
          <w:rFonts w:ascii="Times New Roman" w:hAnsi="Times New Roman" w:cs="Times New Roman"/>
          <w:noProof/>
          <w:color w:val="000000"/>
          <w:sz w:val="24"/>
          <w:lang w:val="el-GR"/>
        </w:rPr>
      </w:pPr>
      <w:r>
        <w:rPr>
          <w:rFonts w:ascii="Times New Roman" w:hAnsi="Times New Roman" w:cs="Times New Roman"/>
          <w:noProof/>
          <w:color w:val="000000"/>
          <w:sz w:val="24"/>
        </w:rPr>
        <w:t>EYATH</w:t>
      </w:r>
      <w:r>
        <w:rPr>
          <w:rFonts w:ascii="Times New Roman" w:hAnsi="Times New Roman" w:cs="Times New Roman"/>
          <w:noProof/>
          <w:color w:val="000000"/>
          <w:sz w:val="24"/>
          <w:lang w:val="el-GR"/>
        </w:rPr>
        <w:t xml:space="preserve"> </w:t>
      </w:r>
      <w:r>
        <w:rPr>
          <w:rFonts w:ascii="Times New Roman" w:hAnsi="Times New Roman" w:cs="Times New Roman"/>
          <w:noProof/>
          <w:color w:val="000000"/>
          <w:sz w:val="24"/>
        </w:rPr>
        <w:t>A</w:t>
      </w:r>
      <w:r>
        <w:rPr>
          <w:rFonts w:ascii="Times New Roman" w:hAnsi="Times New Roman" w:cs="Times New Roman"/>
          <w:noProof/>
          <w:color w:val="000000"/>
          <w:sz w:val="24"/>
          <w:lang w:val="el-GR"/>
        </w:rPr>
        <w:t>.</w:t>
      </w:r>
      <w:r>
        <w:rPr>
          <w:rFonts w:ascii="Times New Roman" w:hAnsi="Times New Roman" w:cs="Times New Roman"/>
          <w:noProof/>
          <w:color w:val="000000"/>
          <w:sz w:val="24"/>
        </w:rPr>
        <w:t>E</w:t>
      </w:r>
      <w:r>
        <w:rPr>
          <w:rFonts w:ascii="Times New Roman" w:hAnsi="Times New Roman" w:cs="Times New Roman"/>
          <w:noProof/>
          <w:color w:val="000000"/>
          <w:sz w:val="24"/>
          <w:lang w:val="el-GR"/>
        </w:rPr>
        <w:t>.: Εταιρεία ύδρευσης και αποχέτευσης Θεσσαλονίκης Α.Ε.(</w:t>
      </w:r>
      <w:r>
        <w:rPr>
          <w:rFonts w:ascii="Times New Roman" w:hAnsi="Times New Roman" w:cs="Times New Roman"/>
          <w:noProof/>
          <w:color w:val="000000"/>
          <w:sz w:val="24"/>
        </w:rPr>
        <w:t>Thessaloniki</w:t>
      </w:r>
      <w:r>
        <w:rPr>
          <w:rFonts w:ascii="Times New Roman" w:hAnsi="Times New Roman" w:cs="Times New Roman"/>
          <w:noProof/>
          <w:color w:val="000000"/>
          <w:sz w:val="24"/>
          <w:lang w:val="el-GR"/>
        </w:rPr>
        <w:t xml:space="preserve"> </w:t>
      </w:r>
      <w:r>
        <w:rPr>
          <w:rFonts w:ascii="Times New Roman" w:hAnsi="Times New Roman" w:cs="Times New Roman"/>
          <w:noProof/>
          <w:color w:val="000000"/>
          <w:sz w:val="24"/>
        </w:rPr>
        <w:t>water</w:t>
      </w:r>
      <w:r>
        <w:rPr>
          <w:rFonts w:ascii="Times New Roman" w:hAnsi="Times New Roman" w:cs="Times New Roman"/>
          <w:noProof/>
          <w:color w:val="000000"/>
          <w:sz w:val="24"/>
          <w:lang w:val="el-GR"/>
        </w:rPr>
        <w:t xml:space="preserve"> </w:t>
      </w:r>
      <w:r>
        <w:rPr>
          <w:rFonts w:ascii="Times New Roman" w:hAnsi="Times New Roman" w:cs="Times New Roman"/>
          <w:noProof/>
          <w:color w:val="000000"/>
          <w:sz w:val="24"/>
        </w:rPr>
        <w:t>supply</w:t>
      </w:r>
      <w:r>
        <w:rPr>
          <w:rFonts w:ascii="Times New Roman" w:hAnsi="Times New Roman" w:cs="Times New Roman"/>
          <w:noProof/>
          <w:color w:val="000000"/>
          <w:sz w:val="24"/>
          <w:lang w:val="el-GR"/>
        </w:rPr>
        <w:t xml:space="preserve"> </w:t>
      </w:r>
      <w:r>
        <w:rPr>
          <w:rFonts w:ascii="Times New Roman" w:hAnsi="Times New Roman" w:cs="Times New Roman"/>
          <w:noProof/>
          <w:color w:val="000000"/>
          <w:sz w:val="24"/>
        </w:rPr>
        <w:t>and</w:t>
      </w:r>
      <w:r>
        <w:rPr>
          <w:rFonts w:ascii="Times New Roman" w:hAnsi="Times New Roman" w:cs="Times New Roman"/>
          <w:noProof/>
          <w:color w:val="000000"/>
          <w:sz w:val="24"/>
          <w:lang w:val="el-GR"/>
        </w:rPr>
        <w:t xml:space="preserve"> </w:t>
      </w:r>
      <w:r>
        <w:rPr>
          <w:rFonts w:ascii="Times New Roman" w:hAnsi="Times New Roman" w:cs="Times New Roman"/>
          <w:noProof/>
          <w:color w:val="000000"/>
          <w:sz w:val="24"/>
        </w:rPr>
        <w:t>sewerage</w:t>
      </w:r>
      <w:r>
        <w:rPr>
          <w:rFonts w:ascii="Times New Roman" w:hAnsi="Times New Roman" w:cs="Times New Roman"/>
          <w:noProof/>
          <w:color w:val="000000"/>
          <w:sz w:val="24"/>
          <w:lang w:val="el-GR"/>
        </w:rPr>
        <w:t xml:space="preserve"> </w:t>
      </w:r>
      <w:r>
        <w:rPr>
          <w:rFonts w:ascii="Times New Roman" w:hAnsi="Times New Roman" w:cs="Times New Roman"/>
          <w:noProof/>
          <w:color w:val="000000"/>
          <w:sz w:val="24"/>
        </w:rPr>
        <w:t>company</w:t>
      </w:r>
      <w:r>
        <w:rPr>
          <w:rFonts w:ascii="Times New Roman" w:hAnsi="Times New Roman" w:cs="Times New Roman"/>
          <w:noProof/>
          <w:color w:val="000000"/>
          <w:sz w:val="24"/>
          <w:lang w:val="el-GR"/>
        </w:rPr>
        <w:t xml:space="preserve"> </w:t>
      </w:r>
      <w:r>
        <w:rPr>
          <w:rFonts w:ascii="Times New Roman" w:hAnsi="Times New Roman" w:cs="Times New Roman"/>
          <w:noProof/>
          <w:color w:val="000000"/>
          <w:sz w:val="24"/>
        </w:rPr>
        <w:t>S</w:t>
      </w:r>
      <w:r>
        <w:rPr>
          <w:rFonts w:ascii="Times New Roman" w:hAnsi="Times New Roman" w:cs="Times New Roman"/>
          <w:noProof/>
          <w:color w:val="000000"/>
          <w:sz w:val="24"/>
          <w:lang w:val="el-GR"/>
        </w:rPr>
        <w:t>.</w:t>
      </w:r>
      <w:r>
        <w:rPr>
          <w:rFonts w:ascii="Times New Roman" w:hAnsi="Times New Roman" w:cs="Times New Roman"/>
          <w:noProof/>
          <w:color w:val="000000"/>
          <w:sz w:val="24"/>
        </w:rPr>
        <w:t>A</w:t>
      </w:r>
      <w:r>
        <w:rPr>
          <w:rFonts w:ascii="Times New Roman" w:hAnsi="Times New Roman" w:cs="Times New Roman"/>
          <w:noProof/>
          <w:color w:val="000000"/>
          <w:sz w:val="24"/>
          <w:lang w:val="el-GR"/>
        </w:rPr>
        <w:t>.)</w:t>
      </w:r>
    </w:p>
    <w:p>
      <w:pPr>
        <w:spacing w:after="0" w:line="240" w:lineRule="atLeast"/>
        <w:jc w:val="both"/>
        <w:rPr>
          <w:rFonts w:ascii="Times New Roman" w:hAnsi="Times New Roman" w:cs="Times New Roman"/>
          <w:noProof/>
          <w:color w:val="000000"/>
          <w:sz w:val="24"/>
          <w:lang w:val="el-GR"/>
        </w:rPr>
      </w:pPr>
      <w:r>
        <w:rPr>
          <w:rFonts w:ascii="Times New Roman" w:hAnsi="Times New Roman" w:cs="Times New Roman"/>
          <w:noProof/>
          <w:color w:val="000000"/>
          <w:sz w:val="24"/>
        </w:rPr>
        <w:t>EYDAP</w:t>
      </w:r>
      <w:r>
        <w:rPr>
          <w:rFonts w:ascii="Times New Roman" w:hAnsi="Times New Roman" w:cs="Times New Roman"/>
          <w:noProof/>
          <w:color w:val="000000"/>
          <w:sz w:val="24"/>
          <w:lang w:val="el-GR"/>
        </w:rPr>
        <w:t xml:space="preserve"> </w:t>
      </w:r>
      <w:r>
        <w:rPr>
          <w:rFonts w:ascii="Times New Roman" w:hAnsi="Times New Roman" w:cs="Times New Roman"/>
          <w:noProof/>
          <w:color w:val="000000"/>
          <w:sz w:val="24"/>
        </w:rPr>
        <w:t>A</w:t>
      </w:r>
      <w:r>
        <w:rPr>
          <w:rFonts w:ascii="Times New Roman" w:hAnsi="Times New Roman" w:cs="Times New Roman"/>
          <w:noProof/>
          <w:color w:val="000000"/>
          <w:sz w:val="24"/>
          <w:lang w:val="el-GR"/>
        </w:rPr>
        <w:t>.</w:t>
      </w:r>
      <w:r>
        <w:rPr>
          <w:rFonts w:ascii="Times New Roman" w:hAnsi="Times New Roman" w:cs="Times New Roman"/>
          <w:noProof/>
          <w:color w:val="000000"/>
          <w:sz w:val="24"/>
        </w:rPr>
        <w:t>E</w:t>
      </w:r>
      <w:r>
        <w:rPr>
          <w:rFonts w:ascii="Times New Roman" w:hAnsi="Times New Roman" w:cs="Times New Roman"/>
          <w:noProof/>
          <w:color w:val="000000"/>
          <w:sz w:val="24"/>
          <w:lang w:val="el-GR"/>
        </w:rPr>
        <w:t xml:space="preserve">.: Εταιρεία ύδρευσης και αποχέτευσης Πρωτευούσης </w:t>
      </w:r>
      <w:r>
        <w:rPr>
          <w:rFonts w:ascii="Times New Roman" w:hAnsi="Times New Roman" w:cs="Times New Roman"/>
          <w:noProof/>
          <w:color w:val="000000"/>
          <w:sz w:val="24"/>
        </w:rPr>
        <w:t>A</w:t>
      </w:r>
      <w:r>
        <w:rPr>
          <w:rFonts w:ascii="Times New Roman" w:hAnsi="Times New Roman" w:cs="Times New Roman"/>
          <w:noProof/>
          <w:color w:val="000000"/>
          <w:sz w:val="24"/>
          <w:lang w:val="el-GR"/>
        </w:rPr>
        <w:t>.</w:t>
      </w:r>
      <w:r>
        <w:rPr>
          <w:rFonts w:ascii="Times New Roman" w:hAnsi="Times New Roman" w:cs="Times New Roman"/>
          <w:noProof/>
          <w:color w:val="000000"/>
          <w:sz w:val="24"/>
        </w:rPr>
        <w:t>E</w:t>
      </w:r>
      <w:r>
        <w:rPr>
          <w:rFonts w:ascii="Times New Roman" w:hAnsi="Times New Roman" w:cs="Times New Roman"/>
          <w:noProof/>
          <w:color w:val="000000"/>
          <w:sz w:val="24"/>
          <w:lang w:val="el-GR"/>
        </w:rPr>
        <w:t>. (</w:t>
      </w:r>
      <w:r>
        <w:rPr>
          <w:rFonts w:ascii="Times New Roman" w:hAnsi="Times New Roman" w:cs="Times New Roman"/>
          <w:noProof/>
          <w:color w:val="000000"/>
          <w:sz w:val="24"/>
        </w:rPr>
        <w:t>the</w:t>
      </w:r>
      <w:r>
        <w:rPr>
          <w:rFonts w:ascii="Times New Roman" w:hAnsi="Times New Roman" w:cs="Times New Roman"/>
          <w:noProof/>
          <w:color w:val="000000"/>
          <w:sz w:val="24"/>
          <w:lang w:val="el-GR"/>
        </w:rPr>
        <w:t xml:space="preserve"> </w:t>
      </w:r>
      <w:r>
        <w:rPr>
          <w:rFonts w:ascii="Times New Roman" w:hAnsi="Times New Roman" w:cs="Times New Roman"/>
          <w:noProof/>
          <w:color w:val="000000"/>
          <w:sz w:val="24"/>
        </w:rPr>
        <w:t>Athens</w:t>
      </w:r>
      <w:r>
        <w:rPr>
          <w:rFonts w:ascii="Times New Roman" w:hAnsi="Times New Roman" w:cs="Times New Roman"/>
          <w:noProof/>
          <w:color w:val="000000"/>
          <w:sz w:val="24"/>
          <w:lang w:val="el-GR"/>
        </w:rPr>
        <w:t xml:space="preserve"> </w:t>
      </w:r>
      <w:r>
        <w:rPr>
          <w:rFonts w:ascii="Times New Roman" w:hAnsi="Times New Roman" w:cs="Times New Roman"/>
          <w:noProof/>
          <w:color w:val="000000"/>
          <w:sz w:val="24"/>
        </w:rPr>
        <w:t>water</w:t>
      </w:r>
      <w:r>
        <w:rPr>
          <w:rFonts w:ascii="Times New Roman" w:hAnsi="Times New Roman" w:cs="Times New Roman"/>
          <w:noProof/>
          <w:color w:val="000000"/>
          <w:sz w:val="24"/>
          <w:lang w:val="el-GR"/>
        </w:rPr>
        <w:t xml:space="preserve"> </w:t>
      </w:r>
      <w:r>
        <w:rPr>
          <w:rFonts w:ascii="Times New Roman" w:hAnsi="Times New Roman" w:cs="Times New Roman"/>
          <w:noProof/>
          <w:color w:val="000000"/>
          <w:sz w:val="24"/>
        </w:rPr>
        <w:t>supply</w:t>
      </w:r>
      <w:r>
        <w:rPr>
          <w:rFonts w:ascii="Times New Roman" w:hAnsi="Times New Roman" w:cs="Times New Roman"/>
          <w:noProof/>
          <w:color w:val="000000"/>
          <w:sz w:val="24"/>
          <w:lang w:val="el-GR"/>
        </w:rPr>
        <w:t xml:space="preserve"> </w:t>
      </w:r>
      <w:r>
        <w:rPr>
          <w:rFonts w:ascii="Times New Roman" w:hAnsi="Times New Roman" w:cs="Times New Roman"/>
          <w:noProof/>
          <w:color w:val="000000"/>
          <w:sz w:val="24"/>
        </w:rPr>
        <w:t>and</w:t>
      </w:r>
      <w:r>
        <w:rPr>
          <w:rFonts w:ascii="Times New Roman" w:hAnsi="Times New Roman" w:cs="Times New Roman"/>
          <w:noProof/>
          <w:color w:val="000000"/>
          <w:sz w:val="24"/>
          <w:lang w:val="el-GR"/>
        </w:rPr>
        <w:t xml:space="preserve"> </w:t>
      </w:r>
      <w:r>
        <w:rPr>
          <w:rFonts w:ascii="Times New Roman" w:hAnsi="Times New Roman" w:cs="Times New Roman"/>
          <w:noProof/>
          <w:color w:val="000000"/>
          <w:sz w:val="24"/>
        </w:rPr>
        <w:t>sewerage</w:t>
      </w:r>
      <w:r>
        <w:rPr>
          <w:rFonts w:ascii="Times New Roman" w:hAnsi="Times New Roman" w:cs="Times New Roman"/>
          <w:noProof/>
          <w:color w:val="000000"/>
          <w:sz w:val="24"/>
          <w:lang w:val="el-GR"/>
        </w:rPr>
        <w:t xml:space="preserve"> </w:t>
      </w:r>
      <w:r>
        <w:rPr>
          <w:rFonts w:ascii="Times New Roman" w:hAnsi="Times New Roman" w:cs="Times New Roman"/>
          <w:noProof/>
          <w:color w:val="000000"/>
          <w:sz w:val="24"/>
        </w:rPr>
        <w:t>company</w:t>
      </w:r>
      <w:r>
        <w:rPr>
          <w:rFonts w:ascii="Times New Roman" w:hAnsi="Times New Roman" w:cs="Times New Roman"/>
          <w:noProof/>
          <w:color w:val="000000"/>
          <w:sz w:val="24"/>
          <w:lang w:val="el-GR"/>
        </w:rPr>
        <w:t xml:space="preserve"> </w:t>
      </w:r>
      <w:r>
        <w:rPr>
          <w:rFonts w:ascii="Times New Roman" w:hAnsi="Times New Roman" w:cs="Times New Roman"/>
          <w:noProof/>
          <w:color w:val="000000"/>
          <w:sz w:val="24"/>
        </w:rPr>
        <w:t>S</w:t>
      </w:r>
      <w:r>
        <w:rPr>
          <w:rFonts w:ascii="Times New Roman" w:hAnsi="Times New Roman" w:cs="Times New Roman"/>
          <w:noProof/>
          <w:color w:val="000000"/>
          <w:sz w:val="24"/>
          <w:lang w:val="el-GR"/>
        </w:rPr>
        <w:t>.</w:t>
      </w:r>
      <w:r>
        <w:rPr>
          <w:rFonts w:ascii="Times New Roman" w:hAnsi="Times New Roman" w:cs="Times New Roman"/>
          <w:noProof/>
          <w:color w:val="000000"/>
          <w:sz w:val="24"/>
        </w:rPr>
        <w:t>A</w:t>
      </w:r>
      <w:r>
        <w:rPr>
          <w:rFonts w:ascii="Times New Roman" w:hAnsi="Times New Roman" w:cs="Times New Roman"/>
          <w:noProof/>
          <w:color w:val="000000"/>
          <w:sz w:val="24"/>
          <w:lang w:val="el-GR"/>
        </w:rPr>
        <w:t>.)</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HCAP: Hellenic corporation of assets and participations</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IAPR: Independent authority for public revenue</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ICT: Information and communication technologies</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 xml:space="preserve">LEPETE: </w:t>
      </w:r>
      <w:r>
        <w:rPr>
          <w:rFonts w:ascii="Times New Roman" w:hAnsi="Times New Roman" w:cs="Times New Roman"/>
          <w:noProof/>
          <w:color w:val="000000"/>
          <w:sz w:val="24"/>
          <w:lang w:val="el-GR"/>
        </w:rPr>
        <w:t>Λογαριασμός</w:t>
      </w:r>
      <w:r>
        <w:rPr>
          <w:rFonts w:ascii="Times New Roman" w:hAnsi="Times New Roman" w:cs="Times New Roman"/>
          <w:noProof/>
          <w:color w:val="000000"/>
          <w:sz w:val="24"/>
        </w:rPr>
        <w:t xml:space="preserve"> </w:t>
      </w:r>
      <w:r>
        <w:rPr>
          <w:rFonts w:ascii="Times New Roman" w:hAnsi="Times New Roman" w:cs="Times New Roman"/>
          <w:noProof/>
          <w:color w:val="000000"/>
          <w:sz w:val="24"/>
          <w:lang w:val="el-GR"/>
        </w:rPr>
        <w:t>επικούρησης</w:t>
      </w:r>
      <w:r>
        <w:rPr>
          <w:rFonts w:ascii="Times New Roman" w:hAnsi="Times New Roman" w:cs="Times New Roman"/>
          <w:noProof/>
          <w:color w:val="000000"/>
          <w:sz w:val="24"/>
        </w:rPr>
        <w:t xml:space="preserve"> </w:t>
      </w:r>
      <w:r>
        <w:rPr>
          <w:rFonts w:ascii="Times New Roman" w:hAnsi="Times New Roman" w:cs="Times New Roman"/>
          <w:noProof/>
          <w:color w:val="000000"/>
          <w:sz w:val="24"/>
          <w:lang w:val="el-GR"/>
        </w:rPr>
        <w:t>προσωπικού</w:t>
      </w:r>
      <w:r>
        <w:rPr>
          <w:rFonts w:ascii="Times New Roman" w:hAnsi="Times New Roman" w:cs="Times New Roman"/>
          <w:noProof/>
          <w:color w:val="000000"/>
          <w:sz w:val="24"/>
        </w:rPr>
        <w:t xml:space="preserve"> </w:t>
      </w:r>
      <w:r>
        <w:rPr>
          <w:rFonts w:ascii="Times New Roman" w:hAnsi="Times New Roman" w:cs="Times New Roman"/>
          <w:noProof/>
          <w:color w:val="000000"/>
          <w:sz w:val="24"/>
          <w:lang w:val="el-GR"/>
        </w:rPr>
        <w:t>εθνικής</w:t>
      </w:r>
      <w:r>
        <w:rPr>
          <w:rFonts w:ascii="Times New Roman" w:hAnsi="Times New Roman" w:cs="Times New Roman"/>
          <w:noProof/>
          <w:color w:val="000000"/>
          <w:sz w:val="24"/>
        </w:rPr>
        <w:t xml:space="preserve"> </w:t>
      </w:r>
      <w:r>
        <w:rPr>
          <w:rFonts w:ascii="Times New Roman" w:hAnsi="Times New Roman" w:cs="Times New Roman"/>
          <w:noProof/>
          <w:color w:val="000000"/>
          <w:sz w:val="24"/>
          <w:lang w:val="el-GR"/>
        </w:rPr>
        <w:t>τράπεζας</w:t>
      </w:r>
      <w:r>
        <w:rPr>
          <w:rFonts w:ascii="Times New Roman" w:hAnsi="Times New Roman" w:cs="Times New Roman"/>
          <w:noProof/>
          <w:color w:val="000000"/>
          <w:sz w:val="24"/>
        </w:rPr>
        <w:t xml:space="preserve"> </w:t>
      </w:r>
      <w:r>
        <w:rPr>
          <w:rFonts w:ascii="Times New Roman" w:hAnsi="Times New Roman" w:cs="Times New Roman"/>
          <w:noProof/>
          <w:color w:val="000000"/>
          <w:sz w:val="24"/>
          <w:lang w:val="el-GR"/>
        </w:rPr>
        <w:t>της</w:t>
      </w:r>
      <w:r>
        <w:rPr>
          <w:rFonts w:ascii="Times New Roman" w:hAnsi="Times New Roman" w:cs="Times New Roman"/>
          <w:noProof/>
          <w:color w:val="000000"/>
          <w:sz w:val="24"/>
        </w:rPr>
        <w:t xml:space="preserve"> </w:t>
      </w:r>
      <w:r>
        <w:rPr>
          <w:rFonts w:ascii="Times New Roman" w:hAnsi="Times New Roman" w:cs="Times New Roman"/>
          <w:noProof/>
          <w:color w:val="000000"/>
          <w:sz w:val="24"/>
          <w:lang w:val="el-GR"/>
        </w:rPr>
        <w:t>Ελλάδος</w:t>
      </w:r>
      <w:r>
        <w:rPr>
          <w:rFonts w:ascii="Times New Roman" w:hAnsi="Times New Roman" w:cs="Times New Roman"/>
          <w:noProof/>
          <w:color w:val="000000"/>
          <w:sz w:val="24"/>
        </w:rPr>
        <w:t xml:space="preserve"> (national bank of Greece supplementary pension fund)</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NBG: National bank of Greece</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NECP: National Energy and Climate Plan</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NOME: Nouvelle organisation du marché de l’electricité (new organization of the electricity market)</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NPE: Non-performing exposure</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NPL: Non-performing loan</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 xml:space="preserve">OSDDY: Ολοκληρωμένο </w:t>
      </w:r>
      <w:r>
        <w:rPr>
          <w:rFonts w:ascii="Times New Roman" w:hAnsi="Times New Roman" w:cs="Times New Roman"/>
          <w:noProof/>
          <w:color w:val="000000"/>
          <w:sz w:val="24"/>
          <w:lang w:val="el-GR"/>
        </w:rPr>
        <w:t>σ</w:t>
      </w:r>
      <w:r>
        <w:rPr>
          <w:rFonts w:ascii="Times New Roman" w:hAnsi="Times New Roman" w:cs="Times New Roman"/>
          <w:noProof/>
          <w:color w:val="000000"/>
          <w:sz w:val="24"/>
        </w:rPr>
        <w:t xml:space="preserve">ύστημα </w:t>
      </w:r>
      <w:r>
        <w:rPr>
          <w:rFonts w:ascii="Times New Roman" w:hAnsi="Times New Roman" w:cs="Times New Roman"/>
          <w:noProof/>
          <w:color w:val="000000"/>
          <w:sz w:val="24"/>
          <w:lang w:val="el-GR"/>
        </w:rPr>
        <w:t>δ</w:t>
      </w:r>
      <w:r>
        <w:rPr>
          <w:rFonts w:ascii="Times New Roman" w:hAnsi="Times New Roman" w:cs="Times New Roman"/>
          <w:noProof/>
          <w:color w:val="000000"/>
          <w:sz w:val="24"/>
        </w:rPr>
        <w:t xml:space="preserve">ιαχείρισης </w:t>
      </w:r>
      <w:r>
        <w:rPr>
          <w:rFonts w:ascii="Times New Roman" w:hAnsi="Times New Roman" w:cs="Times New Roman"/>
          <w:noProof/>
          <w:color w:val="000000"/>
          <w:sz w:val="24"/>
          <w:lang w:val="el-GR"/>
        </w:rPr>
        <w:t>δ</w:t>
      </w:r>
      <w:r>
        <w:rPr>
          <w:rFonts w:ascii="Times New Roman" w:hAnsi="Times New Roman" w:cs="Times New Roman"/>
          <w:noProof/>
          <w:color w:val="000000"/>
          <w:sz w:val="24"/>
        </w:rPr>
        <w:t xml:space="preserve">ικαστικών </w:t>
      </w:r>
      <w:r>
        <w:rPr>
          <w:rFonts w:ascii="Times New Roman" w:hAnsi="Times New Roman" w:cs="Times New Roman"/>
          <w:noProof/>
          <w:color w:val="000000"/>
          <w:sz w:val="24"/>
          <w:lang w:val="el-GR"/>
        </w:rPr>
        <w:t>υ</w:t>
      </w:r>
      <w:r>
        <w:rPr>
          <w:rFonts w:ascii="Times New Roman" w:hAnsi="Times New Roman" w:cs="Times New Roman"/>
          <w:noProof/>
          <w:color w:val="000000"/>
          <w:sz w:val="24"/>
        </w:rPr>
        <w:t>ποθέσεων (integrated management system for judicial cases)</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OTC: Over-the-counter</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PDMA: Public debt management agency</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 xml:space="preserve">SEK: </w:t>
      </w:r>
      <w:r>
        <w:rPr>
          <w:rFonts w:ascii="Times New Roman" w:hAnsi="Times New Roman" w:cs="Times New Roman"/>
          <w:noProof/>
          <w:color w:val="000000"/>
          <w:sz w:val="24"/>
          <w:lang w:val="el-GR"/>
        </w:rPr>
        <w:t>Σύνδεσμος</w:t>
      </w:r>
      <w:r>
        <w:rPr>
          <w:rFonts w:ascii="Times New Roman" w:hAnsi="Times New Roman" w:cs="Times New Roman"/>
          <w:noProof/>
          <w:color w:val="000000"/>
          <w:sz w:val="24"/>
        </w:rPr>
        <w:t xml:space="preserve"> </w:t>
      </w:r>
      <w:r>
        <w:rPr>
          <w:rFonts w:ascii="Times New Roman" w:hAnsi="Times New Roman" w:cs="Times New Roman"/>
          <w:noProof/>
          <w:color w:val="000000"/>
          <w:sz w:val="24"/>
          <w:lang w:val="el-GR"/>
        </w:rPr>
        <w:t>Ελλήνων</w:t>
      </w:r>
      <w:r>
        <w:rPr>
          <w:rFonts w:ascii="Times New Roman" w:hAnsi="Times New Roman" w:cs="Times New Roman"/>
          <w:noProof/>
          <w:color w:val="000000"/>
          <w:sz w:val="24"/>
        </w:rPr>
        <w:t xml:space="preserve"> </w:t>
      </w:r>
      <w:r>
        <w:rPr>
          <w:rFonts w:ascii="Times New Roman" w:hAnsi="Times New Roman" w:cs="Times New Roman"/>
          <w:noProof/>
          <w:color w:val="000000"/>
          <w:sz w:val="24"/>
          <w:lang w:val="el-GR"/>
        </w:rPr>
        <w:t>κτηματομεσιτών</w:t>
      </w:r>
      <w:r>
        <w:rPr>
          <w:rFonts w:ascii="Times New Roman" w:hAnsi="Times New Roman" w:cs="Times New Roman"/>
          <w:noProof/>
          <w:color w:val="000000"/>
          <w:sz w:val="24"/>
        </w:rPr>
        <w:t xml:space="preserve"> (Greek real estate agents association) </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SMP: Securities markets programme</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SSI: Social solidarity income</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 xml:space="preserve">TOMY: Τοπική </w:t>
      </w:r>
      <w:r>
        <w:rPr>
          <w:rFonts w:ascii="Times New Roman" w:hAnsi="Times New Roman" w:cs="Times New Roman"/>
          <w:noProof/>
          <w:color w:val="000000"/>
          <w:sz w:val="24"/>
          <w:lang w:val="el-GR"/>
        </w:rPr>
        <w:t>μ</w:t>
      </w:r>
      <w:r>
        <w:rPr>
          <w:rFonts w:ascii="Times New Roman" w:hAnsi="Times New Roman" w:cs="Times New Roman"/>
          <w:noProof/>
          <w:color w:val="000000"/>
          <w:sz w:val="24"/>
        </w:rPr>
        <w:t xml:space="preserve">ονάδα </w:t>
      </w:r>
      <w:r>
        <w:rPr>
          <w:rFonts w:ascii="Times New Roman" w:hAnsi="Times New Roman" w:cs="Times New Roman"/>
          <w:noProof/>
          <w:color w:val="000000"/>
          <w:sz w:val="24"/>
          <w:lang w:val="el-GR"/>
        </w:rPr>
        <w:t>υ</w:t>
      </w:r>
      <w:r>
        <w:rPr>
          <w:rFonts w:ascii="Times New Roman" w:hAnsi="Times New Roman" w:cs="Times New Roman"/>
          <w:noProof/>
          <w:color w:val="000000"/>
          <w:sz w:val="24"/>
        </w:rPr>
        <w:t>γείας (primary health care unit)</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TSA: Treasury single account</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UCoA: Unified chart of accounts</w:t>
      </w:r>
    </w:p>
    <w:p>
      <w:pPr>
        <w:spacing w:after="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VAT: Value added tax</w:t>
      </w:r>
    </w:p>
    <w:bookmarkEnd w:id="0"/>
    <w:p>
      <w:pPr>
        <w:spacing w:after="240" w:line="240" w:lineRule="atLeast"/>
        <w:jc w:val="both"/>
        <w:rPr>
          <w:rFonts w:ascii="Times New Roman" w:hAnsi="Times New Roman" w:cs="Times New Roman"/>
          <w:noProof/>
          <w:color w:val="000000"/>
          <w:sz w:val="24"/>
        </w:rPr>
      </w:pPr>
    </w:p>
    <w:bookmarkEnd w:id="1"/>
    <w:p>
      <w:pPr>
        <w:spacing w:after="240" w:line="240" w:lineRule="atLeast"/>
        <w:jc w:val="both"/>
        <w:rPr>
          <w:rFonts w:ascii="Times New Roman" w:hAnsi="Times New Roman" w:cs="Times New Roman"/>
          <w:noProof/>
          <w:color w:val="000000"/>
          <w:sz w:val="24"/>
        </w:rPr>
        <w:sectPr>
          <w:headerReference w:type="even" r:id="rId15"/>
          <w:headerReference w:type="default" r:id="rId16"/>
          <w:footerReference w:type="even" r:id="rId17"/>
          <w:footerReference w:type="default" r:id="rId18"/>
          <w:headerReference w:type="first" r:id="rId19"/>
          <w:footerReference w:type="first" r:id="rId20"/>
          <w:footnotePr>
            <w:pos w:val="beneathText"/>
          </w:footnotePr>
          <w:endnotePr>
            <w:numFmt w:val="decimal"/>
            <w:numRestart w:val="eachSect"/>
          </w:endnotePr>
          <w:pgSz w:w="11907" w:h="16839"/>
          <w:pgMar w:top="1984" w:right="1701" w:bottom="1417" w:left="1701" w:header="709" w:footer="709" w:gutter="0"/>
          <w:pgNumType w:fmt="lowerRoman"/>
          <w:cols w:space="720"/>
          <w:titlePg/>
          <w:docGrid w:linePitch="360"/>
        </w:sectPr>
      </w:pPr>
    </w:p>
    <w:p>
      <w:pPr>
        <w:spacing w:after="240" w:line="240" w:lineRule="atLeast"/>
        <w:jc w:val="both"/>
        <w:rPr>
          <w:rFonts w:ascii="Times New Roman" w:hAnsi="Times New Roman" w:cs="Times New Roman"/>
          <w:i/>
          <w:noProof/>
          <w:color w:val="000000"/>
          <w:sz w:val="24"/>
        </w:rPr>
      </w:pPr>
      <w:bookmarkStart w:id="4" w:name="GUID8652FA11EA4F48FB9C86319199FEDC4A"/>
      <w:bookmarkStart w:id="5" w:name="GUID5B4D9918D40E4C2BA50970F9620FECE9"/>
      <w:r>
        <w:rPr>
          <w:rFonts w:ascii="Times New Roman" w:hAnsi="Times New Roman" w:cs="Times New Roman"/>
          <w:i/>
          <w:noProof/>
          <w:color w:val="000000"/>
          <w:sz w:val="24"/>
        </w:rPr>
        <w:t>This report is prepared as accompanying document to the Commission's assessment pursuant Article 3(5) of Regulation (EU) 472/3013 published as Communication from the Commission – Enhanced Surveillance – Greece, February 2020. It was prepared in the Directorate General Economic and Financial Affairs, under the direction of Maarten Verwey, Director General, Declan Costello, Deputy Director General, and the coordination of Paul Kutos, Head of Unit and Milan Lisicky, Deputy Head of Unit.</w:t>
      </w:r>
    </w:p>
    <w:p>
      <w:pPr>
        <w:spacing w:after="240" w:line="240" w:lineRule="atLeast"/>
        <w:jc w:val="both"/>
        <w:rPr>
          <w:rFonts w:ascii="Times New Roman" w:hAnsi="Times New Roman" w:cs="Times New Roman"/>
          <w:i/>
          <w:noProof/>
          <w:color w:val="000000"/>
          <w:sz w:val="24"/>
        </w:rPr>
      </w:pPr>
      <w:r>
        <w:rPr>
          <w:rFonts w:ascii="Times New Roman" w:hAnsi="Times New Roman" w:cs="Times New Roman"/>
          <w:i/>
          <w:noProof/>
          <w:color w:val="000000"/>
          <w:sz w:val="24"/>
        </w:rPr>
        <w:t>Contributors:</w:t>
      </w:r>
    </w:p>
    <w:p>
      <w:pPr>
        <w:spacing w:after="240" w:line="240" w:lineRule="atLeast"/>
        <w:jc w:val="both"/>
        <w:rPr>
          <w:rFonts w:ascii="Times New Roman" w:hAnsi="Times New Roman" w:cs="Times New Roman"/>
          <w:i/>
          <w:noProof/>
          <w:color w:val="000000"/>
          <w:sz w:val="24"/>
        </w:rPr>
      </w:pPr>
      <w:r>
        <w:rPr>
          <w:rFonts w:ascii="Times New Roman" w:hAnsi="Times New Roman" w:cs="Times New Roman"/>
          <w:i/>
          <w:noProof/>
          <w:color w:val="000000"/>
          <w:sz w:val="24"/>
        </w:rPr>
        <w:t>Chris Allen, Giuseppe Carone, Fotini Dionyssopoulou, Matteo Duiella, Sotirios Giannoulis, Christos Gofas, Andras Hudecz, Alexander Ioannidis, Paul Kutos, Eloïse Lecouturier, Milan Lisicky, Vasileios Maroulis, Benedetta Martinelli, Vasilis Nikitas, Zoltan Petrov, Eleni Polemidiotou, Angelos Rammos, Marie-Luise Rud, Alexandros Tavoutsoglou, Andreas Trokkos, Vasiliki Vasilopoulou, Irene Vlachaki, Rainer Wichern, Alkistis Zavakou. Assistance was also provided by Fotini Louka.</w:t>
      </w:r>
    </w:p>
    <w:p>
      <w:pPr>
        <w:spacing w:after="240" w:line="240" w:lineRule="atLeast"/>
        <w:jc w:val="both"/>
        <w:rPr>
          <w:rFonts w:ascii="Times New Roman" w:hAnsi="Times New Roman" w:cs="Times New Roman"/>
          <w:i/>
          <w:noProof/>
          <w:color w:val="000000"/>
          <w:sz w:val="24"/>
        </w:rPr>
      </w:pPr>
      <w:r>
        <w:rPr>
          <w:rFonts w:ascii="Times New Roman" w:hAnsi="Times New Roman" w:cs="Times New Roman"/>
          <w:i/>
          <w:noProof/>
          <w:color w:val="000000"/>
          <w:sz w:val="24"/>
        </w:rPr>
        <w:t>The European Central Bank (ECB) Staff participated in the drafting of this report in accordance with the ECB’s competences and thus provided expertise on financial sector policies and macro-critical issues, such as headline fiscal targets and sustainability and financing needs. Staff of the European Stability Mechanism (ESM) contributed to the preparation of this report in the context of the ESM's Early Warning System and in accordance with the Memorandum of Understanding of 27 April 2018 on working relations between the European Commission and ESM. IMF staff participated in the context of its Post Program Monitoring cycle.</w:t>
      </w:r>
    </w:p>
    <w:p>
      <w:pPr>
        <w:spacing w:after="240" w:line="240" w:lineRule="atLeast"/>
        <w:jc w:val="both"/>
        <w:rPr>
          <w:rFonts w:ascii="Times New Roman" w:hAnsi="Times New Roman" w:cs="Times New Roman"/>
          <w:i/>
          <w:noProof/>
          <w:color w:val="000000"/>
          <w:sz w:val="24"/>
        </w:rPr>
      </w:pPr>
    </w:p>
    <w:p>
      <w:pPr>
        <w:spacing w:after="240" w:line="240" w:lineRule="atLeast"/>
        <w:jc w:val="both"/>
        <w:rPr>
          <w:rFonts w:ascii="Times New Roman" w:hAnsi="Times New Roman" w:cs="Times New Roman"/>
          <w:i/>
          <w:noProof/>
          <w:color w:val="000000"/>
          <w:sz w:val="24"/>
        </w:rPr>
      </w:pPr>
      <w:r>
        <w:rPr>
          <w:rFonts w:ascii="Times New Roman" w:hAnsi="Times New Roman" w:cs="Times New Roman"/>
          <w:i/>
          <w:noProof/>
          <w:color w:val="000000"/>
          <w:sz w:val="24"/>
        </w:rPr>
        <w:t>Comments on the report would be gratefully received and should be sent, by mail or e-mail to:</w:t>
      </w:r>
    </w:p>
    <w:p>
      <w:pPr>
        <w:spacing w:after="240" w:line="240" w:lineRule="atLeast"/>
        <w:jc w:val="both"/>
        <w:rPr>
          <w:rFonts w:ascii="Times New Roman" w:hAnsi="Times New Roman" w:cs="Times New Roman"/>
          <w:i/>
          <w:noProof/>
          <w:color w:val="000000"/>
          <w:sz w:val="24"/>
          <w:lang w:val="fr-BE"/>
        </w:rPr>
      </w:pPr>
      <w:r>
        <w:rPr>
          <w:rFonts w:ascii="Times New Roman" w:hAnsi="Times New Roman" w:cs="Times New Roman"/>
          <w:i/>
          <w:noProof/>
          <w:color w:val="000000"/>
          <w:sz w:val="24"/>
          <w:lang w:val="fr-BE"/>
        </w:rPr>
        <w:t>Paul Kutos</w:t>
      </w:r>
    </w:p>
    <w:p>
      <w:pPr>
        <w:spacing w:after="240" w:line="240" w:lineRule="atLeast"/>
        <w:jc w:val="both"/>
        <w:rPr>
          <w:rFonts w:ascii="Times New Roman" w:hAnsi="Times New Roman" w:cs="Times New Roman"/>
          <w:noProof/>
          <w:color w:val="000000"/>
          <w:sz w:val="24"/>
          <w:lang w:val="fr-BE"/>
        </w:rPr>
      </w:pPr>
      <w:r>
        <w:rPr>
          <w:rFonts w:ascii="Times New Roman" w:hAnsi="Times New Roman" w:cs="Times New Roman"/>
          <w:noProof/>
          <w:color w:val="000000"/>
          <w:sz w:val="24"/>
          <w:lang w:val="fr-BE"/>
        </w:rPr>
        <w:t>European Commission</w:t>
      </w:r>
    </w:p>
    <w:p>
      <w:pPr>
        <w:spacing w:after="240" w:line="240" w:lineRule="atLeast"/>
        <w:jc w:val="both"/>
        <w:rPr>
          <w:rFonts w:ascii="Times New Roman" w:hAnsi="Times New Roman" w:cs="Times New Roman"/>
          <w:noProof/>
          <w:color w:val="000000"/>
          <w:sz w:val="24"/>
          <w:lang w:val="fr-BE"/>
        </w:rPr>
      </w:pPr>
      <w:r>
        <w:rPr>
          <w:rFonts w:ascii="Times New Roman" w:hAnsi="Times New Roman" w:cs="Times New Roman"/>
          <w:noProof/>
          <w:color w:val="000000"/>
          <w:sz w:val="24"/>
          <w:lang w:val="fr-BE"/>
        </w:rPr>
        <w:t>Unit ECFIN-F-2</w:t>
      </w:r>
    </w:p>
    <w:p>
      <w:pPr>
        <w:spacing w:after="240" w:line="240" w:lineRule="atLeast"/>
        <w:jc w:val="both"/>
        <w:rPr>
          <w:rFonts w:ascii="Times New Roman" w:hAnsi="Times New Roman" w:cs="Times New Roman"/>
          <w:noProof/>
          <w:color w:val="000000"/>
          <w:sz w:val="24"/>
          <w:lang w:val="fr-BE"/>
        </w:rPr>
      </w:pPr>
      <w:r>
        <w:rPr>
          <w:rFonts w:ascii="Times New Roman" w:hAnsi="Times New Roman" w:cs="Times New Roman"/>
          <w:noProof/>
          <w:color w:val="000000"/>
          <w:sz w:val="24"/>
          <w:lang w:val="fr-BE"/>
        </w:rPr>
        <w:t>CHAR 14/103</w:t>
      </w:r>
    </w:p>
    <w:p>
      <w:pPr>
        <w:spacing w:after="240" w:line="240" w:lineRule="atLeast"/>
        <w:jc w:val="both"/>
        <w:rPr>
          <w:rFonts w:ascii="Times New Roman" w:hAnsi="Times New Roman" w:cs="Times New Roman"/>
          <w:noProof/>
          <w:color w:val="000000"/>
          <w:sz w:val="24"/>
          <w:lang w:val="fr-BE"/>
        </w:rPr>
      </w:pPr>
      <w:r>
        <w:rPr>
          <w:rFonts w:ascii="Times New Roman" w:hAnsi="Times New Roman" w:cs="Times New Roman"/>
          <w:noProof/>
          <w:color w:val="000000"/>
          <w:sz w:val="24"/>
          <w:lang w:val="fr-BE"/>
        </w:rPr>
        <w:t>B-1049 Brussels</w:t>
      </w:r>
    </w:p>
    <w:p>
      <w:pPr>
        <w:spacing w:after="240" w:line="240" w:lineRule="atLeast"/>
        <w:jc w:val="both"/>
        <w:rPr>
          <w:rFonts w:ascii="Times New Roman" w:hAnsi="Times New Roman" w:cs="Times New Roman"/>
          <w:noProof/>
          <w:color w:val="000000"/>
          <w:sz w:val="24"/>
          <w:lang w:val="it-IT"/>
        </w:rPr>
      </w:pPr>
      <w:r>
        <w:rPr>
          <w:rFonts w:ascii="Times New Roman" w:hAnsi="Times New Roman" w:cs="Times New Roman"/>
          <w:noProof/>
          <w:color w:val="000000"/>
          <w:sz w:val="24"/>
          <w:lang w:val="it-IT"/>
        </w:rPr>
        <w:t xml:space="preserve">e-mail: </w:t>
      </w:r>
      <w:hyperlink r:id="rId21" w:history="1">
        <w:r>
          <w:rPr>
            <w:rFonts w:ascii="Times New Roman" w:hAnsi="Times New Roman" w:cs="Times New Roman"/>
            <w:noProof/>
            <w:color w:val="0000FF" w:themeColor="hyperlink"/>
            <w:sz w:val="24"/>
            <w:u w:val="single"/>
            <w:lang w:val="it-IT"/>
          </w:rPr>
          <w:t>ECFIN-GREECE-REQUESTS@ec.europa.eu</w:t>
        </w:r>
      </w:hyperlink>
    </w:p>
    <w:bookmarkEnd w:id="4"/>
    <w:p>
      <w:pPr>
        <w:spacing w:after="240" w:line="240" w:lineRule="atLeast"/>
        <w:jc w:val="both"/>
        <w:rPr>
          <w:rFonts w:ascii="Times New Roman" w:hAnsi="Times New Roman" w:cs="Times New Roman"/>
          <w:noProof/>
          <w:color w:val="000000"/>
          <w:sz w:val="24"/>
          <w:lang w:val="it-IT"/>
        </w:rPr>
      </w:pPr>
    </w:p>
    <w:p>
      <w:pPr>
        <w:spacing w:after="240" w:line="240" w:lineRule="atLeast"/>
        <w:jc w:val="both"/>
        <w:rPr>
          <w:rFonts w:ascii="Times New Roman" w:hAnsi="Times New Roman" w:cs="Times New Roman"/>
          <w:noProof/>
          <w:color w:val="000000"/>
          <w:sz w:val="24"/>
          <w:lang w:val="fr-BE"/>
        </w:rPr>
      </w:pPr>
    </w:p>
    <w:bookmarkEnd w:id="5"/>
    <w:p>
      <w:pPr>
        <w:spacing w:after="240" w:line="240" w:lineRule="atLeast"/>
        <w:jc w:val="both"/>
        <w:rPr>
          <w:rFonts w:ascii="Times New Roman" w:hAnsi="Times New Roman" w:cs="Times New Roman"/>
          <w:noProof/>
          <w:color w:val="000000"/>
          <w:sz w:val="24"/>
          <w:lang w:val="fr-BE"/>
        </w:rPr>
        <w:sectPr>
          <w:headerReference w:type="even" r:id="rId22"/>
          <w:headerReference w:type="default" r:id="rId23"/>
          <w:footerReference w:type="even" r:id="rId24"/>
          <w:footerReference w:type="default" r:id="rId25"/>
          <w:headerReference w:type="first" r:id="rId26"/>
          <w:footerReference w:type="first" r:id="rId27"/>
          <w:footnotePr>
            <w:pos w:val="beneathText"/>
          </w:footnotePr>
          <w:endnotePr>
            <w:numFmt w:val="decimal"/>
            <w:numRestart w:val="eachSect"/>
          </w:endnotePr>
          <w:pgSz w:w="11907" w:h="16839"/>
          <w:pgMar w:top="1984" w:right="1701" w:bottom="1417" w:left="1701" w:header="709" w:footer="709" w:gutter="0"/>
          <w:pgNumType w:fmt="lowerRoman"/>
          <w:cols w:space="708"/>
          <w:titlePg/>
          <w:docGrid w:linePitch="360"/>
        </w:sectPr>
      </w:pPr>
    </w:p>
    <w:bookmarkStart w:id="6" w:name="GUIDD1D105B0527D41E98723B2A6A2606144"/>
    <w:p>
      <w:pPr>
        <w:keepNext/>
        <w:keepLines/>
        <w:tabs>
          <w:tab w:val="left" w:pos="482"/>
          <w:tab w:val="right" w:pos="8504"/>
        </w:tabs>
        <w:spacing w:before="240" w:after="120" w:line="240" w:lineRule="atLeast"/>
        <w:ind w:left="482" w:right="425" w:hanging="482"/>
        <w:rPr>
          <w:rFonts w:eastAsiaTheme="minorEastAsia"/>
          <w:noProof/>
          <w:lang w:eastAsia="en-GB"/>
        </w:rPr>
      </w:pPr>
      <w:r>
        <w:rPr>
          <w:rFonts w:ascii="Century Gothic" w:hAnsi="Century Gothic" w:cs="Times New Roman"/>
          <w:noProof/>
          <w:color w:val="333399"/>
          <w:sz w:val="20"/>
        </w:rPr>
        <w:fldChar w:fldCharType="begin"/>
      </w:r>
      <w:r>
        <w:rPr>
          <w:rFonts w:ascii="Century Gothic" w:hAnsi="Century Gothic" w:cs="Times New Roman"/>
          <w:noProof/>
          <w:color w:val="333399"/>
          <w:sz w:val="20"/>
        </w:rPr>
        <w:instrText>TOC \f \h \z \o"3-4"</w:instrText>
      </w:r>
      <w:r>
        <w:rPr>
          <w:rFonts w:ascii="Century Gothic" w:hAnsi="Century Gothic" w:cs="Times New Roman"/>
          <w:noProof/>
          <w:color w:val="333399"/>
          <w:sz w:val="20"/>
        </w:rPr>
        <w:fldChar w:fldCharType="separate"/>
      </w:r>
      <w:hyperlink w:anchor="_Toc32921481" w:history="1">
        <w:r>
          <w:rPr>
            <w:rFonts w:ascii="Century Gothic" w:hAnsi="Century Gothic" w:cs="Times New Roman"/>
            <w:noProof/>
            <w:color w:val="0000FF" w:themeColor="hyperlink"/>
            <w:sz w:val="20"/>
            <w:u w:val="single"/>
          </w:rPr>
          <w:t xml:space="preserve">Commission Staff Working Document </w:t>
        </w:r>
        <w:r>
          <w:rPr>
            <w:rFonts w:ascii="Century Gothic" w:hAnsi="Century Gothic" w:cs="Times New Roman"/>
            <w:noProof/>
            <w:webHidden/>
            <w:color w:val="333399"/>
            <w:sz w:val="20"/>
          </w:rPr>
          <w:tab/>
        </w:r>
        <w:r>
          <w:rPr>
            <w:rFonts w:ascii="Century Gothic" w:hAnsi="Century Gothic" w:cs="Times New Roman"/>
            <w:noProof/>
            <w:webHidden/>
            <w:color w:val="333399"/>
            <w:sz w:val="20"/>
          </w:rPr>
          <w:fldChar w:fldCharType="begin"/>
        </w:r>
        <w:r>
          <w:rPr>
            <w:rFonts w:ascii="Century Gothic" w:hAnsi="Century Gothic" w:cs="Times New Roman"/>
            <w:noProof/>
            <w:webHidden/>
            <w:color w:val="333399"/>
            <w:sz w:val="20"/>
          </w:rPr>
          <w:instrText xml:space="preserve"> PAGEREF _Toc32921481 \h </w:instrText>
        </w:r>
        <w:r>
          <w:rPr>
            <w:rFonts w:ascii="Century Gothic" w:hAnsi="Century Gothic" w:cs="Times New Roman"/>
            <w:noProof/>
            <w:webHidden/>
            <w:color w:val="333399"/>
            <w:sz w:val="20"/>
          </w:rPr>
        </w:r>
        <w:r>
          <w:rPr>
            <w:rFonts w:ascii="Century Gothic" w:hAnsi="Century Gothic" w:cs="Times New Roman"/>
            <w:noProof/>
            <w:webHidden/>
            <w:color w:val="333399"/>
            <w:sz w:val="20"/>
          </w:rPr>
          <w:fldChar w:fldCharType="separate"/>
        </w:r>
        <w:r>
          <w:rPr>
            <w:rFonts w:ascii="Century Gothic" w:hAnsi="Century Gothic" w:cs="Times New Roman"/>
            <w:noProof/>
            <w:webHidden/>
            <w:color w:val="333399"/>
            <w:sz w:val="20"/>
          </w:rPr>
          <w:t>7</w:t>
        </w:r>
        <w:r>
          <w:rPr>
            <w:rFonts w:ascii="Century Gothic" w:hAnsi="Century Gothic" w:cs="Times New Roman"/>
            <w:noProof/>
            <w:webHidden/>
            <w:color w:val="333399"/>
            <w:sz w:val="20"/>
          </w:rPr>
          <w:fldChar w:fldCharType="end"/>
        </w:r>
      </w:hyperlink>
    </w:p>
    <w:p>
      <w:pPr>
        <w:keepNext/>
        <w:keepLines/>
        <w:tabs>
          <w:tab w:val="left" w:pos="482"/>
          <w:tab w:val="right" w:pos="8504"/>
        </w:tabs>
        <w:spacing w:before="240" w:after="120" w:line="240" w:lineRule="atLeast"/>
        <w:ind w:left="482" w:right="425" w:hanging="482"/>
        <w:rPr>
          <w:rFonts w:eastAsiaTheme="minorEastAsia"/>
          <w:noProof/>
          <w:lang w:eastAsia="en-GB"/>
        </w:rPr>
      </w:pPr>
      <w:hyperlink w:anchor="_Toc32921482" w:history="1">
        <w:r>
          <w:rPr>
            <w:rFonts w:ascii="Century Gothic" w:hAnsi="Century Gothic" w:cs="Times New Roman"/>
            <w:noProof/>
            <w:color w:val="0000FF" w:themeColor="hyperlink"/>
            <w:sz w:val="20"/>
            <w:u w:val="single"/>
          </w:rPr>
          <w:t>1.</w:t>
        </w:r>
        <w:r>
          <w:rPr>
            <w:rFonts w:eastAsiaTheme="minorEastAsia"/>
            <w:noProof/>
            <w:lang w:eastAsia="en-GB"/>
          </w:rPr>
          <w:tab/>
        </w:r>
        <w:r>
          <w:rPr>
            <w:rFonts w:ascii="Century Gothic" w:hAnsi="Century Gothic" w:cs="Times New Roman"/>
            <w:noProof/>
            <w:color w:val="0000FF" w:themeColor="hyperlink"/>
            <w:sz w:val="20"/>
            <w:u w:val="single"/>
          </w:rPr>
          <w:t>Introduction</w:t>
        </w:r>
        <w:r>
          <w:rPr>
            <w:rFonts w:ascii="Century Gothic" w:hAnsi="Century Gothic" w:cs="Times New Roman"/>
            <w:noProof/>
            <w:webHidden/>
            <w:color w:val="333399"/>
            <w:sz w:val="20"/>
          </w:rPr>
          <w:tab/>
        </w:r>
        <w:r>
          <w:rPr>
            <w:rFonts w:ascii="Century Gothic" w:hAnsi="Century Gothic" w:cs="Times New Roman"/>
            <w:noProof/>
            <w:webHidden/>
            <w:color w:val="333399"/>
            <w:sz w:val="20"/>
          </w:rPr>
          <w:fldChar w:fldCharType="begin"/>
        </w:r>
        <w:r>
          <w:rPr>
            <w:rFonts w:ascii="Century Gothic" w:hAnsi="Century Gothic" w:cs="Times New Roman"/>
            <w:noProof/>
            <w:webHidden/>
            <w:color w:val="333399"/>
            <w:sz w:val="20"/>
          </w:rPr>
          <w:instrText xml:space="preserve"> PAGEREF _Toc32921482 \h </w:instrText>
        </w:r>
        <w:r>
          <w:rPr>
            <w:rFonts w:ascii="Century Gothic" w:hAnsi="Century Gothic" w:cs="Times New Roman"/>
            <w:noProof/>
            <w:webHidden/>
            <w:color w:val="333399"/>
            <w:sz w:val="20"/>
          </w:rPr>
        </w:r>
        <w:r>
          <w:rPr>
            <w:rFonts w:ascii="Century Gothic" w:hAnsi="Century Gothic" w:cs="Times New Roman"/>
            <w:noProof/>
            <w:webHidden/>
            <w:color w:val="333399"/>
            <w:sz w:val="20"/>
          </w:rPr>
          <w:fldChar w:fldCharType="separate"/>
        </w:r>
        <w:r>
          <w:rPr>
            <w:rFonts w:ascii="Century Gothic" w:hAnsi="Century Gothic" w:cs="Times New Roman"/>
            <w:noProof/>
            <w:webHidden/>
            <w:color w:val="333399"/>
            <w:sz w:val="20"/>
          </w:rPr>
          <w:t>9</w:t>
        </w:r>
        <w:r>
          <w:rPr>
            <w:rFonts w:ascii="Century Gothic" w:hAnsi="Century Gothic" w:cs="Times New Roman"/>
            <w:noProof/>
            <w:webHidden/>
            <w:color w:val="333399"/>
            <w:sz w:val="20"/>
          </w:rPr>
          <w:fldChar w:fldCharType="end"/>
        </w:r>
      </w:hyperlink>
    </w:p>
    <w:p>
      <w:pPr>
        <w:keepNext/>
        <w:keepLines/>
        <w:tabs>
          <w:tab w:val="left" w:pos="482"/>
          <w:tab w:val="right" w:pos="8504"/>
        </w:tabs>
        <w:spacing w:before="240" w:after="120" w:line="240" w:lineRule="atLeast"/>
        <w:ind w:left="482" w:right="425" w:hanging="482"/>
        <w:rPr>
          <w:rFonts w:eastAsiaTheme="minorEastAsia"/>
          <w:noProof/>
          <w:lang w:eastAsia="en-GB"/>
        </w:rPr>
      </w:pPr>
      <w:hyperlink w:anchor="_Toc32921483" w:history="1">
        <w:r>
          <w:rPr>
            <w:rFonts w:ascii="Century Gothic" w:hAnsi="Century Gothic" w:cs="Times New Roman"/>
            <w:noProof/>
            <w:color w:val="0000FF" w:themeColor="hyperlink"/>
            <w:sz w:val="20"/>
            <w:u w:val="single"/>
          </w:rPr>
          <w:t>2.</w:t>
        </w:r>
        <w:r>
          <w:rPr>
            <w:rFonts w:eastAsiaTheme="minorEastAsia"/>
            <w:noProof/>
            <w:lang w:eastAsia="en-GB"/>
          </w:rPr>
          <w:tab/>
        </w:r>
        <w:r>
          <w:rPr>
            <w:rFonts w:ascii="Century Gothic" w:hAnsi="Century Gothic" w:cs="Times New Roman"/>
            <w:noProof/>
            <w:color w:val="0000FF" w:themeColor="hyperlink"/>
            <w:sz w:val="20"/>
            <w:u w:val="single"/>
          </w:rPr>
          <w:t>Macroeconomic developments</w:t>
        </w:r>
        <w:r>
          <w:rPr>
            <w:rFonts w:ascii="Century Gothic" w:hAnsi="Century Gothic" w:cs="Times New Roman"/>
            <w:noProof/>
            <w:webHidden/>
            <w:color w:val="333399"/>
            <w:sz w:val="20"/>
          </w:rPr>
          <w:tab/>
        </w:r>
        <w:r>
          <w:rPr>
            <w:rFonts w:ascii="Century Gothic" w:hAnsi="Century Gothic" w:cs="Times New Roman"/>
            <w:noProof/>
            <w:webHidden/>
            <w:color w:val="333399"/>
            <w:sz w:val="20"/>
          </w:rPr>
          <w:fldChar w:fldCharType="begin"/>
        </w:r>
        <w:r>
          <w:rPr>
            <w:rFonts w:ascii="Century Gothic" w:hAnsi="Century Gothic" w:cs="Times New Roman"/>
            <w:noProof/>
            <w:webHidden/>
            <w:color w:val="333399"/>
            <w:sz w:val="20"/>
          </w:rPr>
          <w:instrText xml:space="preserve"> PAGEREF _Toc32921483 \h </w:instrText>
        </w:r>
        <w:r>
          <w:rPr>
            <w:rFonts w:ascii="Century Gothic" w:hAnsi="Century Gothic" w:cs="Times New Roman"/>
            <w:noProof/>
            <w:webHidden/>
            <w:color w:val="333399"/>
            <w:sz w:val="20"/>
          </w:rPr>
        </w:r>
        <w:r>
          <w:rPr>
            <w:rFonts w:ascii="Century Gothic" w:hAnsi="Century Gothic" w:cs="Times New Roman"/>
            <w:noProof/>
            <w:webHidden/>
            <w:color w:val="333399"/>
            <w:sz w:val="20"/>
          </w:rPr>
          <w:fldChar w:fldCharType="separate"/>
        </w:r>
        <w:r>
          <w:rPr>
            <w:rFonts w:ascii="Century Gothic" w:hAnsi="Century Gothic" w:cs="Times New Roman"/>
            <w:noProof/>
            <w:webHidden/>
            <w:color w:val="333399"/>
            <w:sz w:val="20"/>
          </w:rPr>
          <w:t>11</w:t>
        </w:r>
        <w:r>
          <w:rPr>
            <w:rFonts w:ascii="Century Gothic" w:hAnsi="Century Gothic" w:cs="Times New Roman"/>
            <w:noProof/>
            <w:webHidden/>
            <w:color w:val="333399"/>
            <w:sz w:val="20"/>
          </w:rPr>
          <w:fldChar w:fldCharType="end"/>
        </w:r>
      </w:hyperlink>
    </w:p>
    <w:p>
      <w:pPr>
        <w:keepNext/>
        <w:keepLines/>
        <w:tabs>
          <w:tab w:val="left" w:pos="482"/>
          <w:tab w:val="right" w:pos="8504"/>
        </w:tabs>
        <w:spacing w:before="240" w:after="120" w:line="240" w:lineRule="atLeast"/>
        <w:ind w:left="482" w:right="425" w:hanging="482"/>
        <w:rPr>
          <w:rFonts w:eastAsiaTheme="minorEastAsia"/>
          <w:noProof/>
          <w:lang w:eastAsia="en-GB"/>
        </w:rPr>
      </w:pPr>
      <w:hyperlink w:anchor="_Toc32921484" w:history="1">
        <w:r>
          <w:rPr>
            <w:rFonts w:ascii="Century Gothic" w:hAnsi="Century Gothic" w:cs="Times New Roman"/>
            <w:noProof/>
            <w:color w:val="0000FF" w:themeColor="hyperlink"/>
            <w:sz w:val="20"/>
            <w:u w:val="single"/>
          </w:rPr>
          <w:t>3.</w:t>
        </w:r>
        <w:r>
          <w:rPr>
            <w:rFonts w:eastAsiaTheme="minorEastAsia"/>
            <w:noProof/>
            <w:lang w:eastAsia="en-GB"/>
          </w:rPr>
          <w:tab/>
        </w:r>
        <w:r>
          <w:rPr>
            <w:rFonts w:ascii="Century Gothic" w:hAnsi="Century Gothic" w:cs="Times New Roman"/>
            <w:noProof/>
            <w:color w:val="0000FF" w:themeColor="hyperlink"/>
            <w:sz w:val="20"/>
            <w:u w:val="single"/>
          </w:rPr>
          <w:t>Fiscal and fiscal-structural policies</w:t>
        </w:r>
        <w:r>
          <w:rPr>
            <w:rFonts w:ascii="Century Gothic" w:hAnsi="Century Gothic" w:cs="Times New Roman"/>
            <w:noProof/>
            <w:webHidden/>
            <w:color w:val="333399"/>
            <w:sz w:val="20"/>
          </w:rPr>
          <w:tab/>
        </w:r>
        <w:r>
          <w:rPr>
            <w:rFonts w:ascii="Century Gothic" w:hAnsi="Century Gothic" w:cs="Times New Roman"/>
            <w:noProof/>
            <w:webHidden/>
            <w:color w:val="333399"/>
            <w:sz w:val="20"/>
          </w:rPr>
          <w:fldChar w:fldCharType="begin"/>
        </w:r>
        <w:r>
          <w:rPr>
            <w:rFonts w:ascii="Century Gothic" w:hAnsi="Century Gothic" w:cs="Times New Roman"/>
            <w:noProof/>
            <w:webHidden/>
            <w:color w:val="333399"/>
            <w:sz w:val="20"/>
          </w:rPr>
          <w:instrText xml:space="preserve"> PAGEREF _Toc32921484 \h </w:instrText>
        </w:r>
        <w:r>
          <w:rPr>
            <w:rFonts w:ascii="Century Gothic" w:hAnsi="Century Gothic" w:cs="Times New Roman"/>
            <w:noProof/>
            <w:webHidden/>
            <w:color w:val="333399"/>
            <w:sz w:val="20"/>
          </w:rPr>
        </w:r>
        <w:r>
          <w:rPr>
            <w:rFonts w:ascii="Century Gothic" w:hAnsi="Century Gothic" w:cs="Times New Roman"/>
            <w:noProof/>
            <w:webHidden/>
            <w:color w:val="333399"/>
            <w:sz w:val="20"/>
          </w:rPr>
          <w:fldChar w:fldCharType="separate"/>
        </w:r>
        <w:r>
          <w:rPr>
            <w:rFonts w:ascii="Century Gothic" w:hAnsi="Century Gothic" w:cs="Times New Roman"/>
            <w:noProof/>
            <w:webHidden/>
            <w:color w:val="333399"/>
            <w:sz w:val="20"/>
          </w:rPr>
          <w:t>13</w:t>
        </w:r>
        <w:r>
          <w:rPr>
            <w:rFonts w:ascii="Century Gothic" w:hAnsi="Century Gothic" w:cs="Times New Roman"/>
            <w:noProof/>
            <w:webHidden/>
            <w:color w:val="333399"/>
            <w:sz w:val="20"/>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32921485" w:history="1">
        <w:r>
          <w:rPr>
            <w:rFonts w:ascii="Century Gothic" w:hAnsi="Century Gothic" w:cs="Times New Roman"/>
            <w:caps/>
            <w:noProof/>
            <w:color w:val="0000FF" w:themeColor="hyperlink"/>
            <w:sz w:val="16"/>
            <w:u w:val="single"/>
          </w:rPr>
          <w:t>3.1.</w:t>
        </w:r>
        <w:r>
          <w:rPr>
            <w:rFonts w:eastAsiaTheme="minorEastAsia"/>
            <w:noProof/>
            <w:lang w:eastAsia="en-GB"/>
          </w:rPr>
          <w:tab/>
        </w:r>
        <w:r>
          <w:rPr>
            <w:rFonts w:ascii="Century Gothic" w:hAnsi="Century Gothic" w:cs="Times New Roman"/>
            <w:caps/>
            <w:noProof/>
            <w:color w:val="0000FF" w:themeColor="hyperlink"/>
            <w:sz w:val="16"/>
            <w:u w:val="single"/>
          </w:rPr>
          <w:t>FISCAL DEVELOPMENTS AND OUTLOOK</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_Toc32921485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13</w:t>
        </w:r>
        <w:r>
          <w:rPr>
            <w:rFonts w:ascii="Century Gothic" w:hAnsi="Century Gothic" w:cs="Times New Roman"/>
            <w:caps/>
            <w:noProof/>
            <w:webHidden/>
            <w:color w:val="333399"/>
            <w:sz w:val="16"/>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32921486" w:history="1">
        <w:r>
          <w:rPr>
            <w:rFonts w:ascii="Century Gothic" w:hAnsi="Century Gothic" w:cs="Times New Roman"/>
            <w:caps/>
            <w:noProof/>
            <w:color w:val="0000FF" w:themeColor="hyperlink"/>
            <w:sz w:val="16"/>
            <w:u w:val="single"/>
          </w:rPr>
          <w:t>3.2.</w:t>
        </w:r>
        <w:r>
          <w:rPr>
            <w:rFonts w:eastAsiaTheme="minorEastAsia"/>
            <w:noProof/>
            <w:lang w:eastAsia="en-GB"/>
          </w:rPr>
          <w:tab/>
        </w:r>
        <w:r>
          <w:rPr>
            <w:rFonts w:ascii="Century Gothic" w:hAnsi="Century Gothic" w:cs="Times New Roman"/>
            <w:caps/>
            <w:noProof/>
            <w:color w:val="0000FF" w:themeColor="hyperlink"/>
            <w:sz w:val="16"/>
            <w:u w:val="single"/>
          </w:rPr>
          <w:t>tax policy</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_Toc32921486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18</w:t>
        </w:r>
        <w:r>
          <w:rPr>
            <w:rFonts w:ascii="Century Gothic" w:hAnsi="Century Gothic" w:cs="Times New Roman"/>
            <w:caps/>
            <w:noProof/>
            <w:webHidden/>
            <w:color w:val="333399"/>
            <w:sz w:val="16"/>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32921487" w:history="1">
        <w:r>
          <w:rPr>
            <w:rFonts w:ascii="Century Gothic" w:hAnsi="Century Gothic" w:cs="Times New Roman"/>
            <w:caps/>
            <w:noProof/>
            <w:color w:val="0000FF" w:themeColor="hyperlink"/>
            <w:sz w:val="16"/>
            <w:u w:val="single"/>
          </w:rPr>
          <w:t>3.3.</w:t>
        </w:r>
        <w:r>
          <w:rPr>
            <w:rFonts w:eastAsiaTheme="minorEastAsia"/>
            <w:noProof/>
            <w:lang w:eastAsia="en-GB"/>
          </w:rPr>
          <w:tab/>
        </w:r>
        <w:r>
          <w:rPr>
            <w:rFonts w:ascii="Century Gothic" w:hAnsi="Century Gothic" w:cs="Times New Roman"/>
            <w:caps/>
            <w:noProof/>
            <w:color w:val="0000FF" w:themeColor="hyperlink"/>
            <w:sz w:val="16"/>
            <w:u w:val="single"/>
          </w:rPr>
          <w:t>Revenue Administration</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_Toc32921487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19</w:t>
        </w:r>
        <w:r>
          <w:rPr>
            <w:rFonts w:ascii="Century Gothic" w:hAnsi="Century Gothic" w:cs="Times New Roman"/>
            <w:caps/>
            <w:noProof/>
            <w:webHidden/>
            <w:color w:val="333399"/>
            <w:sz w:val="16"/>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32921488" w:history="1">
        <w:r>
          <w:rPr>
            <w:rFonts w:ascii="Century Gothic" w:hAnsi="Century Gothic" w:cs="Times New Roman"/>
            <w:caps/>
            <w:noProof/>
            <w:color w:val="0000FF" w:themeColor="hyperlink"/>
            <w:sz w:val="16"/>
            <w:u w:val="single"/>
          </w:rPr>
          <w:t>3.4.</w:t>
        </w:r>
        <w:r>
          <w:rPr>
            <w:rFonts w:eastAsiaTheme="minorEastAsia"/>
            <w:noProof/>
            <w:lang w:eastAsia="en-GB"/>
          </w:rPr>
          <w:tab/>
        </w:r>
        <w:r>
          <w:rPr>
            <w:rFonts w:ascii="Century Gothic" w:hAnsi="Century Gothic" w:cs="Times New Roman"/>
            <w:caps/>
            <w:noProof/>
            <w:color w:val="0000FF" w:themeColor="hyperlink"/>
            <w:sz w:val="16"/>
            <w:u w:val="single"/>
          </w:rPr>
          <w:t>Public Finance Management</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_Toc32921488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22</w:t>
        </w:r>
        <w:r>
          <w:rPr>
            <w:rFonts w:ascii="Century Gothic" w:hAnsi="Century Gothic" w:cs="Times New Roman"/>
            <w:caps/>
            <w:noProof/>
            <w:webHidden/>
            <w:color w:val="333399"/>
            <w:sz w:val="16"/>
          </w:rPr>
          <w:fldChar w:fldCharType="end"/>
        </w:r>
      </w:hyperlink>
    </w:p>
    <w:p>
      <w:pPr>
        <w:tabs>
          <w:tab w:val="left" w:pos="1644"/>
          <w:tab w:val="right" w:pos="8504"/>
        </w:tabs>
        <w:spacing w:after="0" w:line="240" w:lineRule="atLeast"/>
        <w:ind w:left="1531" w:right="425" w:hanging="567"/>
        <w:rPr>
          <w:rFonts w:eastAsiaTheme="minorEastAsia"/>
          <w:noProof/>
          <w:lang w:eastAsia="en-GB"/>
        </w:rPr>
      </w:pPr>
      <w:hyperlink w:anchor="_Toc32921489" w:history="1">
        <w:r>
          <w:rPr>
            <w:rFonts w:ascii="Century Gothic" w:hAnsi="Century Gothic" w:cs="Times New Roman"/>
            <w:noProof/>
            <w:color w:val="0000FF" w:themeColor="hyperlink"/>
            <w:sz w:val="16"/>
            <w:u w:val="single"/>
          </w:rPr>
          <w:t>3.4.1.</w:t>
        </w:r>
        <w:r>
          <w:rPr>
            <w:rFonts w:eastAsiaTheme="minorEastAsia"/>
            <w:noProof/>
            <w:lang w:eastAsia="en-GB"/>
          </w:rPr>
          <w:tab/>
        </w:r>
        <w:r>
          <w:rPr>
            <w:rFonts w:ascii="Century Gothic" w:hAnsi="Century Gothic" w:cs="Times New Roman"/>
            <w:noProof/>
            <w:color w:val="0000FF" w:themeColor="hyperlink"/>
            <w:sz w:val="16"/>
            <w:u w:val="single"/>
          </w:rPr>
          <w:t xml:space="preserve"> Arrears</w:t>
        </w:r>
        <w:r>
          <w:rPr>
            <w:rFonts w:ascii="Century Gothic" w:hAnsi="Century Gothic" w:cs="Times New Roman"/>
            <w:noProof/>
            <w:webHidden/>
            <w:color w:val="333399"/>
            <w:sz w:val="16"/>
          </w:rPr>
          <w:tab/>
        </w:r>
        <w:r>
          <w:rPr>
            <w:rFonts w:ascii="Century Gothic" w:hAnsi="Century Gothic" w:cs="Times New Roman"/>
            <w:noProof/>
            <w:webHidden/>
            <w:color w:val="333399"/>
            <w:sz w:val="16"/>
          </w:rPr>
          <w:fldChar w:fldCharType="begin"/>
        </w:r>
        <w:r>
          <w:rPr>
            <w:rFonts w:ascii="Century Gothic" w:hAnsi="Century Gothic" w:cs="Times New Roman"/>
            <w:noProof/>
            <w:webHidden/>
            <w:color w:val="333399"/>
            <w:sz w:val="16"/>
          </w:rPr>
          <w:instrText xml:space="preserve"> PAGEREF _Toc32921489 \h </w:instrText>
        </w:r>
        <w:r>
          <w:rPr>
            <w:rFonts w:ascii="Century Gothic" w:hAnsi="Century Gothic" w:cs="Times New Roman"/>
            <w:noProof/>
            <w:webHidden/>
            <w:color w:val="333399"/>
            <w:sz w:val="16"/>
          </w:rPr>
        </w:r>
        <w:r>
          <w:rPr>
            <w:rFonts w:ascii="Century Gothic" w:hAnsi="Century Gothic" w:cs="Times New Roman"/>
            <w:noProof/>
            <w:webHidden/>
            <w:color w:val="333399"/>
            <w:sz w:val="16"/>
          </w:rPr>
          <w:fldChar w:fldCharType="separate"/>
        </w:r>
        <w:r>
          <w:rPr>
            <w:rFonts w:ascii="Century Gothic" w:hAnsi="Century Gothic" w:cs="Times New Roman"/>
            <w:noProof/>
            <w:webHidden/>
            <w:color w:val="333399"/>
            <w:sz w:val="16"/>
          </w:rPr>
          <w:t>22</w:t>
        </w:r>
        <w:r>
          <w:rPr>
            <w:rFonts w:ascii="Century Gothic" w:hAnsi="Century Gothic" w:cs="Times New Roman"/>
            <w:noProof/>
            <w:webHidden/>
            <w:color w:val="333399"/>
            <w:sz w:val="16"/>
          </w:rPr>
          <w:fldChar w:fldCharType="end"/>
        </w:r>
      </w:hyperlink>
    </w:p>
    <w:p>
      <w:pPr>
        <w:tabs>
          <w:tab w:val="left" w:pos="1644"/>
          <w:tab w:val="right" w:pos="8504"/>
        </w:tabs>
        <w:spacing w:after="0" w:line="240" w:lineRule="atLeast"/>
        <w:ind w:left="1531" w:right="425" w:hanging="567"/>
        <w:rPr>
          <w:rFonts w:eastAsiaTheme="minorEastAsia"/>
          <w:noProof/>
          <w:lang w:eastAsia="en-GB"/>
        </w:rPr>
      </w:pPr>
      <w:hyperlink w:anchor="_Toc32921490" w:history="1">
        <w:r>
          <w:rPr>
            <w:rFonts w:ascii="Century Gothic" w:hAnsi="Century Gothic" w:cs="Times New Roman"/>
            <w:noProof/>
            <w:color w:val="0000FF" w:themeColor="hyperlink"/>
            <w:sz w:val="16"/>
            <w:u w:val="single"/>
          </w:rPr>
          <w:t>3.4.2.</w:t>
        </w:r>
        <w:r>
          <w:rPr>
            <w:rFonts w:eastAsiaTheme="minorEastAsia"/>
            <w:noProof/>
            <w:lang w:eastAsia="en-GB"/>
          </w:rPr>
          <w:tab/>
        </w:r>
        <w:r>
          <w:rPr>
            <w:rFonts w:ascii="Century Gothic" w:hAnsi="Century Gothic" w:cs="Times New Roman"/>
            <w:noProof/>
            <w:color w:val="0000FF" w:themeColor="hyperlink"/>
            <w:sz w:val="16"/>
            <w:u w:val="single"/>
          </w:rPr>
          <w:t>Treasury Single Account</w:t>
        </w:r>
        <w:r>
          <w:rPr>
            <w:rFonts w:ascii="Century Gothic" w:hAnsi="Century Gothic" w:cs="Times New Roman"/>
            <w:noProof/>
            <w:webHidden/>
            <w:color w:val="333399"/>
            <w:sz w:val="16"/>
          </w:rPr>
          <w:tab/>
        </w:r>
        <w:r>
          <w:rPr>
            <w:rFonts w:ascii="Century Gothic" w:hAnsi="Century Gothic" w:cs="Times New Roman"/>
            <w:noProof/>
            <w:webHidden/>
            <w:color w:val="333399"/>
            <w:sz w:val="16"/>
          </w:rPr>
          <w:fldChar w:fldCharType="begin"/>
        </w:r>
        <w:r>
          <w:rPr>
            <w:rFonts w:ascii="Century Gothic" w:hAnsi="Century Gothic" w:cs="Times New Roman"/>
            <w:noProof/>
            <w:webHidden/>
            <w:color w:val="333399"/>
            <w:sz w:val="16"/>
          </w:rPr>
          <w:instrText xml:space="preserve"> PAGEREF _Toc32921490 \h </w:instrText>
        </w:r>
        <w:r>
          <w:rPr>
            <w:rFonts w:ascii="Century Gothic" w:hAnsi="Century Gothic" w:cs="Times New Roman"/>
            <w:noProof/>
            <w:webHidden/>
            <w:color w:val="333399"/>
            <w:sz w:val="16"/>
          </w:rPr>
        </w:r>
        <w:r>
          <w:rPr>
            <w:rFonts w:ascii="Century Gothic" w:hAnsi="Century Gothic" w:cs="Times New Roman"/>
            <w:noProof/>
            <w:webHidden/>
            <w:color w:val="333399"/>
            <w:sz w:val="16"/>
          </w:rPr>
          <w:fldChar w:fldCharType="separate"/>
        </w:r>
        <w:r>
          <w:rPr>
            <w:rFonts w:ascii="Century Gothic" w:hAnsi="Century Gothic" w:cs="Times New Roman"/>
            <w:noProof/>
            <w:webHidden/>
            <w:color w:val="333399"/>
            <w:sz w:val="16"/>
          </w:rPr>
          <w:t>24</w:t>
        </w:r>
        <w:r>
          <w:rPr>
            <w:rFonts w:ascii="Century Gothic" w:hAnsi="Century Gothic" w:cs="Times New Roman"/>
            <w:noProof/>
            <w:webHidden/>
            <w:color w:val="333399"/>
            <w:sz w:val="16"/>
          </w:rPr>
          <w:fldChar w:fldCharType="end"/>
        </w:r>
      </w:hyperlink>
    </w:p>
    <w:p>
      <w:pPr>
        <w:tabs>
          <w:tab w:val="left" w:pos="1644"/>
          <w:tab w:val="right" w:pos="8504"/>
        </w:tabs>
        <w:spacing w:after="0" w:line="240" w:lineRule="atLeast"/>
        <w:ind w:left="1531" w:right="425" w:hanging="567"/>
        <w:rPr>
          <w:rFonts w:eastAsiaTheme="minorEastAsia"/>
          <w:noProof/>
          <w:lang w:eastAsia="en-GB"/>
        </w:rPr>
      </w:pPr>
      <w:hyperlink w:anchor="_Toc32921491" w:history="1">
        <w:r>
          <w:rPr>
            <w:rFonts w:ascii="Century Gothic" w:hAnsi="Century Gothic" w:cs="Times New Roman"/>
            <w:noProof/>
            <w:color w:val="0000FF" w:themeColor="hyperlink"/>
            <w:sz w:val="16"/>
            <w:u w:val="single"/>
          </w:rPr>
          <w:t>3.4.3.</w:t>
        </w:r>
        <w:r>
          <w:rPr>
            <w:rFonts w:eastAsiaTheme="minorEastAsia"/>
            <w:noProof/>
            <w:lang w:eastAsia="en-GB"/>
          </w:rPr>
          <w:tab/>
        </w:r>
        <w:r>
          <w:rPr>
            <w:rFonts w:ascii="Century Gothic" w:hAnsi="Century Gothic" w:cs="Times New Roman"/>
            <w:noProof/>
            <w:color w:val="0000FF" w:themeColor="hyperlink"/>
            <w:sz w:val="16"/>
            <w:u w:val="single"/>
          </w:rPr>
          <w:t>Chart of Accounts</w:t>
        </w:r>
        <w:r>
          <w:rPr>
            <w:rFonts w:ascii="Century Gothic" w:hAnsi="Century Gothic" w:cs="Times New Roman"/>
            <w:noProof/>
            <w:webHidden/>
            <w:color w:val="333399"/>
            <w:sz w:val="16"/>
          </w:rPr>
          <w:tab/>
        </w:r>
        <w:r>
          <w:rPr>
            <w:rFonts w:ascii="Century Gothic" w:hAnsi="Century Gothic" w:cs="Times New Roman"/>
            <w:noProof/>
            <w:webHidden/>
            <w:color w:val="333399"/>
            <w:sz w:val="16"/>
          </w:rPr>
          <w:fldChar w:fldCharType="begin"/>
        </w:r>
        <w:r>
          <w:rPr>
            <w:rFonts w:ascii="Century Gothic" w:hAnsi="Century Gothic" w:cs="Times New Roman"/>
            <w:noProof/>
            <w:webHidden/>
            <w:color w:val="333399"/>
            <w:sz w:val="16"/>
          </w:rPr>
          <w:instrText xml:space="preserve"> PAGEREF _Toc32921491 \h </w:instrText>
        </w:r>
        <w:r>
          <w:rPr>
            <w:rFonts w:ascii="Century Gothic" w:hAnsi="Century Gothic" w:cs="Times New Roman"/>
            <w:noProof/>
            <w:webHidden/>
            <w:color w:val="333399"/>
            <w:sz w:val="16"/>
          </w:rPr>
        </w:r>
        <w:r>
          <w:rPr>
            <w:rFonts w:ascii="Century Gothic" w:hAnsi="Century Gothic" w:cs="Times New Roman"/>
            <w:noProof/>
            <w:webHidden/>
            <w:color w:val="333399"/>
            <w:sz w:val="16"/>
          </w:rPr>
          <w:fldChar w:fldCharType="separate"/>
        </w:r>
        <w:r>
          <w:rPr>
            <w:rFonts w:ascii="Century Gothic" w:hAnsi="Century Gothic" w:cs="Times New Roman"/>
            <w:noProof/>
            <w:webHidden/>
            <w:color w:val="333399"/>
            <w:sz w:val="16"/>
          </w:rPr>
          <w:t>24</w:t>
        </w:r>
        <w:r>
          <w:rPr>
            <w:rFonts w:ascii="Century Gothic" w:hAnsi="Century Gothic" w:cs="Times New Roman"/>
            <w:noProof/>
            <w:webHidden/>
            <w:color w:val="333399"/>
            <w:sz w:val="16"/>
          </w:rPr>
          <w:fldChar w:fldCharType="end"/>
        </w:r>
      </w:hyperlink>
    </w:p>
    <w:p>
      <w:pPr>
        <w:keepNext/>
        <w:keepLines/>
        <w:tabs>
          <w:tab w:val="left" w:pos="482"/>
          <w:tab w:val="right" w:pos="8504"/>
        </w:tabs>
        <w:spacing w:before="240" w:after="120" w:line="240" w:lineRule="atLeast"/>
        <w:ind w:left="482" w:right="425" w:hanging="482"/>
        <w:rPr>
          <w:rFonts w:eastAsiaTheme="minorEastAsia"/>
          <w:noProof/>
          <w:lang w:eastAsia="en-GB"/>
        </w:rPr>
      </w:pPr>
      <w:hyperlink w:anchor="_Toc32921492" w:history="1">
        <w:r>
          <w:rPr>
            <w:rFonts w:ascii="Century Gothic" w:hAnsi="Century Gothic" w:cs="Times New Roman"/>
            <w:noProof/>
            <w:color w:val="0000FF" w:themeColor="hyperlink"/>
            <w:sz w:val="20"/>
            <w:u w:val="single"/>
          </w:rPr>
          <w:t>4.</w:t>
        </w:r>
        <w:r>
          <w:rPr>
            <w:rFonts w:eastAsiaTheme="minorEastAsia"/>
            <w:noProof/>
            <w:lang w:eastAsia="en-GB"/>
          </w:rPr>
          <w:tab/>
        </w:r>
        <w:r>
          <w:rPr>
            <w:rFonts w:ascii="Century Gothic" w:hAnsi="Century Gothic" w:cs="Times New Roman"/>
            <w:noProof/>
            <w:color w:val="0000FF" w:themeColor="hyperlink"/>
            <w:sz w:val="20"/>
            <w:u w:val="single"/>
          </w:rPr>
          <w:t>Social welfare</w:t>
        </w:r>
        <w:r>
          <w:rPr>
            <w:rFonts w:ascii="Century Gothic" w:hAnsi="Century Gothic" w:cs="Times New Roman"/>
            <w:noProof/>
            <w:webHidden/>
            <w:color w:val="333399"/>
            <w:sz w:val="20"/>
          </w:rPr>
          <w:tab/>
        </w:r>
        <w:r>
          <w:rPr>
            <w:rFonts w:ascii="Century Gothic" w:hAnsi="Century Gothic" w:cs="Times New Roman"/>
            <w:noProof/>
            <w:webHidden/>
            <w:color w:val="333399"/>
            <w:sz w:val="20"/>
          </w:rPr>
          <w:fldChar w:fldCharType="begin"/>
        </w:r>
        <w:r>
          <w:rPr>
            <w:rFonts w:ascii="Century Gothic" w:hAnsi="Century Gothic" w:cs="Times New Roman"/>
            <w:noProof/>
            <w:webHidden/>
            <w:color w:val="333399"/>
            <w:sz w:val="20"/>
          </w:rPr>
          <w:instrText xml:space="preserve"> PAGEREF _Toc32921492 \h </w:instrText>
        </w:r>
        <w:r>
          <w:rPr>
            <w:rFonts w:ascii="Century Gothic" w:hAnsi="Century Gothic" w:cs="Times New Roman"/>
            <w:noProof/>
            <w:webHidden/>
            <w:color w:val="333399"/>
            <w:sz w:val="20"/>
          </w:rPr>
        </w:r>
        <w:r>
          <w:rPr>
            <w:rFonts w:ascii="Century Gothic" w:hAnsi="Century Gothic" w:cs="Times New Roman"/>
            <w:noProof/>
            <w:webHidden/>
            <w:color w:val="333399"/>
            <w:sz w:val="20"/>
          </w:rPr>
          <w:fldChar w:fldCharType="separate"/>
        </w:r>
        <w:r>
          <w:rPr>
            <w:rFonts w:ascii="Century Gothic" w:hAnsi="Century Gothic" w:cs="Times New Roman"/>
            <w:noProof/>
            <w:webHidden/>
            <w:color w:val="333399"/>
            <w:sz w:val="20"/>
          </w:rPr>
          <w:t>25</w:t>
        </w:r>
        <w:r>
          <w:rPr>
            <w:rFonts w:ascii="Century Gothic" w:hAnsi="Century Gothic" w:cs="Times New Roman"/>
            <w:noProof/>
            <w:webHidden/>
            <w:color w:val="333399"/>
            <w:sz w:val="20"/>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32921493" w:history="1">
        <w:r>
          <w:rPr>
            <w:rFonts w:ascii="Century Gothic" w:hAnsi="Century Gothic" w:cs="Times New Roman"/>
            <w:caps/>
            <w:noProof/>
            <w:color w:val="0000FF" w:themeColor="hyperlink"/>
            <w:sz w:val="16"/>
            <w:u w:val="single"/>
          </w:rPr>
          <w:t>4.1.</w:t>
        </w:r>
        <w:r>
          <w:rPr>
            <w:rFonts w:eastAsiaTheme="minorEastAsia"/>
            <w:noProof/>
            <w:lang w:eastAsia="en-GB"/>
          </w:rPr>
          <w:tab/>
        </w:r>
        <w:r>
          <w:rPr>
            <w:rFonts w:ascii="Century Gothic" w:hAnsi="Century Gothic" w:cs="Times New Roman"/>
            <w:caps/>
            <w:noProof/>
            <w:color w:val="0000FF" w:themeColor="hyperlink"/>
            <w:sz w:val="16"/>
            <w:u w:val="single"/>
          </w:rPr>
          <w:t>pensions</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_Toc32921493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25</w:t>
        </w:r>
        <w:r>
          <w:rPr>
            <w:rFonts w:ascii="Century Gothic" w:hAnsi="Century Gothic" w:cs="Times New Roman"/>
            <w:caps/>
            <w:noProof/>
            <w:webHidden/>
            <w:color w:val="333399"/>
            <w:sz w:val="16"/>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32921494" w:history="1">
        <w:r>
          <w:rPr>
            <w:rFonts w:ascii="Century Gothic" w:hAnsi="Century Gothic" w:cs="Times New Roman"/>
            <w:caps/>
            <w:noProof/>
            <w:color w:val="0000FF" w:themeColor="hyperlink"/>
            <w:sz w:val="16"/>
            <w:u w:val="single"/>
          </w:rPr>
          <w:t>4.2.</w:t>
        </w:r>
        <w:r>
          <w:rPr>
            <w:rFonts w:eastAsiaTheme="minorEastAsia"/>
            <w:noProof/>
            <w:lang w:eastAsia="en-GB"/>
          </w:rPr>
          <w:tab/>
        </w:r>
        <w:r>
          <w:rPr>
            <w:rFonts w:ascii="Century Gothic" w:hAnsi="Century Gothic" w:cs="Times New Roman"/>
            <w:caps/>
            <w:noProof/>
            <w:color w:val="0000FF" w:themeColor="hyperlink"/>
            <w:sz w:val="16"/>
            <w:u w:val="single"/>
          </w:rPr>
          <w:t>healthcare</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_Toc32921494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26</w:t>
        </w:r>
        <w:r>
          <w:rPr>
            <w:rFonts w:ascii="Century Gothic" w:hAnsi="Century Gothic" w:cs="Times New Roman"/>
            <w:caps/>
            <w:noProof/>
            <w:webHidden/>
            <w:color w:val="333399"/>
            <w:sz w:val="16"/>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32921495" w:history="1">
        <w:r>
          <w:rPr>
            <w:rFonts w:ascii="Century Gothic" w:hAnsi="Century Gothic" w:cs="Times New Roman"/>
            <w:caps/>
            <w:noProof/>
            <w:color w:val="0000FF" w:themeColor="hyperlink"/>
            <w:sz w:val="16"/>
            <w:u w:val="single"/>
          </w:rPr>
          <w:t>4.3.</w:t>
        </w:r>
        <w:r>
          <w:rPr>
            <w:rFonts w:eastAsiaTheme="minorEastAsia"/>
            <w:noProof/>
            <w:lang w:eastAsia="en-GB"/>
          </w:rPr>
          <w:tab/>
        </w:r>
        <w:r>
          <w:rPr>
            <w:rFonts w:ascii="Century Gothic" w:hAnsi="Century Gothic" w:cs="Times New Roman"/>
            <w:caps/>
            <w:noProof/>
            <w:color w:val="0000FF" w:themeColor="hyperlink"/>
            <w:sz w:val="16"/>
            <w:u w:val="single"/>
          </w:rPr>
          <w:t>Social safety nets</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_Toc32921495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27</w:t>
        </w:r>
        <w:r>
          <w:rPr>
            <w:rFonts w:ascii="Century Gothic" w:hAnsi="Century Gothic" w:cs="Times New Roman"/>
            <w:caps/>
            <w:noProof/>
            <w:webHidden/>
            <w:color w:val="333399"/>
            <w:sz w:val="16"/>
          </w:rPr>
          <w:fldChar w:fldCharType="end"/>
        </w:r>
      </w:hyperlink>
    </w:p>
    <w:p>
      <w:pPr>
        <w:keepNext/>
        <w:keepLines/>
        <w:tabs>
          <w:tab w:val="left" w:pos="482"/>
          <w:tab w:val="right" w:pos="8504"/>
        </w:tabs>
        <w:spacing w:before="240" w:after="120" w:line="240" w:lineRule="atLeast"/>
        <w:ind w:left="482" w:right="425" w:hanging="482"/>
        <w:rPr>
          <w:rFonts w:eastAsiaTheme="minorEastAsia"/>
          <w:noProof/>
          <w:lang w:eastAsia="en-GB"/>
        </w:rPr>
      </w:pPr>
      <w:hyperlink w:anchor="_Toc32921496" w:history="1">
        <w:r>
          <w:rPr>
            <w:rFonts w:ascii="Century Gothic" w:hAnsi="Century Gothic" w:cs="Times New Roman"/>
            <w:noProof/>
            <w:color w:val="0000FF" w:themeColor="hyperlink"/>
            <w:sz w:val="20"/>
            <w:u w:val="single"/>
          </w:rPr>
          <w:t>5.</w:t>
        </w:r>
        <w:r>
          <w:rPr>
            <w:rFonts w:eastAsiaTheme="minorEastAsia"/>
            <w:noProof/>
            <w:lang w:eastAsia="en-GB"/>
          </w:rPr>
          <w:tab/>
        </w:r>
        <w:r>
          <w:rPr>
            <w:rFonts w:ascii="Century Gothic" w:hAnsi="Century Gothic" w:cs="Times New Roman"/>
            <w:noProof/>
            <w:color w:val="0000FF" w:themeColor="hyperlink"/>
            <w:sz w:val="20"/>
            <w:u w:val="single"/>
          </w:rPr>
          <w:t>Financial sector</w:t>
        </w:r>
        <w:r>
          <w:rPr>
            <w:rFonts w:ascii="Century Gothic" w:hAnsi="Century Gothic" w:cs="Times New Roman"/>
            <w:noProof/>
            <w:webHidden/>
            <w:color w:val="333399"/>
            <w:sz w:val="20"/>
          </w:rPr>
          <w:tab/>
        </w:r>
        <w:r>
          <w:rPr>
            <w:rFonts w:ascii="Century Gothic" w:hAnsi="Century Gothic" w:cs="Times New Roman"/>
            <w:noProof/>
            <w:webHidden/>
            <w:color w:val="333399"/>
            <w:sz w:val="20"/>
          </w:rPr>
          <w:fldChar w:fldCharType="begin"/>
        </w:r>
        <w:r>
          <w:rPr>
            <w:rFonts w:ascii="Century Gothic" w:hAnsi="Century Gothic" w:cs="Times New Roman"/>
            <w:noProof/>
            <w:webHidden/>
            <w:color w:val="333399"/>
            <w:sz w:val="20"/>
          </w:rPr>
          <w:instrText xml:space="preserve"> PAGEREF _Toc32921496 \h </w:instrText>
        </w:r>
        <w:r>
          <w:rPr>
            <w:rFonts w:ascii="Century Gothic" w:hAnsi="Century Gothic" w:cs="Times New Roman"/>
            <w:noProof/>
            <w:webHidden/>
            <w:color w:val="333399"/>
            <w:sz w:val="20"/>
          </w:rPr>
        </w:r>
        <w:r>
          <w:rPr>
            <w:rFonts w:ascii="Century Gothic" w:hAnsi="Century Gothic" w:cs="Times New Roman"/>
            <w:noProof/>
            <w:webHidden/>
            <w:color w:val="333399"/>
            <w:sz w:val="20"/>
          </w:rPr>
          <w:fldChar w:fldCharType="separate"/>
        </w:r>
        <w:r>
          <w:rPr>
            <w:rFonts w:ascii="Century Gothic" w:hAnsi="Century Gothic" w:cs="Times New Roman"/>
            <w:noProof/>
            <w:webHidden/>
            <w:color w:val="333399"/>
            <w:sz w:val="20"/>
          </w:rPr>
          <w:t>29</w:t>
        </w:r>
        <w:r>
          <w:rPr>
            <w:rFonts w:ascii="Century Gothic" w:hAnsi="Century Gothic" w:cs="Times New Roman"/>
            <w:noProof/>
            <w:webHidden/>
            <w:color w:val="333399"/>
            <w:sz w:val="20"/>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32921497" w:history="1">
        <w:r>
          <w:rPr>
            <w:rFonts w:ascii="Century Gothic" w:hAnsi="Century Gothic" w:cs="Times New Roman"/>
            <w:caps/>
            <w:noProof/>
            <w:color w:val="0000FF" w:themeColor="hyperlink"/>
            <w:sz w:val="16"/>
            <w:u w:val="single"/>
          </w:rPr>
          <w:t>5.1.</w:t>
        </w:r>
        <w:r>
          <w:rPr>
            <w:rFonts w:eastAsiaTheme="minorEastAsia"/>
            <w:noProof/>
            <w:lang w:eastAsia="en-GB"/>
          </w:rPr>
          <w:tab/>
        </w:r>
        <w:r>
          <w:rPr>
            <w:rFonts w:ascii="Century Gothic" w:hAnsi="Century Gothic" w:cs="Times New Roman"/>
            <w:caps/>
            <w:noProof/>
            <w:color w:val="0000FF" w:themeColor="hyperlink"/>
            <w:sz w:val="16"/>
            <w:u w:val="single"/>
          </w:rPr>
          <w:t>FINANCIAL SECTOR DEVELOPMENTS</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_Toc32921497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29</w:t>
        </w:r>
        <w:r>
          <w:rPr>
            <w:rFonts w:ascii="Century Gothic" w:hAnsi="Century Gothic" w:cs="Times New Roman"/>
            <w:caps/>
            <w:noProof/>
            <w:webHidden/>
            <w:color w:val="333399"/>
            <w:sz w:val="16"/>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32921498" w:history="1">
        <w:r>
          <w:rPr>
            <w:rFonts w:ascii="Century Gothic" w:hAnsi="Century Gothic" w:cs="Times New Roman"/>
            <w:caps/>
            <w:noProof/>
            <w:color w:val="0000FF" w:themeColor="hyperlink"/>
            <w:sz w:val="16"/>
            <w:u w:val="single"/>
          </w:rPr>
          <w:t>5.2.</w:t>
        </w:r>
        <w:r>
          <w:rPr>
            <w:rFonts w:eastAsiaTheme="minorEastAsia"/>
            <w:noProof/>
            <w:lang w:eastAsia="en-GB"/>
          </w:rPr>
          <w:tab/>
        </w:r>
        <w:r>
          <w:rPr>
            <w:rFonts w:ascii="Century Gothic" w:hAnsi="Century Gothic" w:cs="Times New Roman"/>
            <w:caps/>
            <w:noProof/>
            <w:color w:val="0000FF" w:themeColor="hyperlink"/>
            <w:sz w:val="16"/>
            <w:u w:val="single"/>
          </w:rPr>
          <w:t>FINANCIAL SECTOR POLICIES</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_Toc32921498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33</w:t>
        </w:r>
        <w:r>
          <w:rPr>
            <w:rFonts w:ascii="Century Gothic" w:hAnsi="Century Gothic" w:cs="Times New Roman"/>
            <w:caps/>
            <w:noProof/>
            <w:webHidden/>
            <w:color w:val="333399"/>
            <w:sz w:val="16"/>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32921499" w:history="1">
        <w:r>
          <w:rPr>
            <w:rFonts w:ascii="Century Gothic" w:hAnsi="Century Gothic" w:cs="Times New Roman"/>
            <w:caps/>
            <w:noProof/>
            <w:color w:val="0000FF" w:themeColor="hyperlink"/>
            <w:sz w:val="16"/>
            <w:u w:val="single"/>
          </w:rPr>
          <w:t>5.3.</w:t>
        </w:r>
        <w:r>
          <w:rPr>
            <w:rFonts w:eastAsiaTheme="minorEastAsia"/>
            <w:noProof/>
            <w:lang w:eastAsia="en-GB"/>
          </w:rPr>
          <w:tab/>
        </w:r>
        <w:r>
          <w:rPr>
            <w:rFonts w:ascii="Century Gothic" w:hAnsi="Century Gothic" w:cs="Times New Roman"/>
            <w:caps/>
            <w:noProof/>
            <w:color w:val="0000FF" w:themeColor="hyperlink"/>
            <w:sz w:val="16"/>
            <w:u w:val="single"/>
          </w:rPr>
          <w:t>hellenic financial stability fund</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_Toc32921499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38</w:t>
        </w:r>
        <w:r>
          <w:rPr>
            <w:rFonts w:ascii="Century Gothic" w:hAnsi="Century Gothic" w:cs="Times New Roman"/>
            <w:caps/>
            <w:noProof/>
            <w:webHidden/>
            <w:color w:val="333399"/>
            <w:sz w:val="16"/>
          </w:rPr>
          <w:fldChar w:fldCharType="end"/>
        </w:r>
      </w:hyperlink>
    </w:p>
    <w:p>
      <w:pPr>
        <w:keepNext/>
        <w:keepLines/>
        <w:tabs>
          <w:tab w:val="left" w:pos="482"/>
          <w:tab w:val="right" w:pos="8504"/>
        </w:tabs>
        <w:spacing w:before="240" w:after="120" w:line="240" w:lineRule="atLeast"/>
        <w:ind w:left="482" w:right="425" w:hanging="482"/>
        <w:rPr>
          <w:rFonts w:eastAsiaTheme="minorEastAsia"/>
          <w:noProof/>
          <w:lang w:eastAsia="en-GB"/>
        </w:rPr>
      </w:pPr>
      <w:hyperlink w:anchor="_Toc32921500" w:history="1">
        <w:r>
          <w:rPr>
            <w:rFonts w:ascii="Century Gothic" w:hAnsi="Century Gothic" w:cs="Times New Roman"/>
            <w:noProof/>
            <w:color w:val="0000FF" w:themeColor="hyperlink"/>
            <w:sz w:val="20"/>
            <w:u w:val="single"/>
          </w:rPr>
          <w:t>6.</w:t>
        </w:r>
        <w:r>
          <w:rPr>
            <w:rFonts w:eastAsiaTheme="minorEastAsia"/>
            <w:noProof/>
            <w:lang w:eastAsia="en-GB"/>
          </w:rPr>
          <w:tab/>
        </w:r>
        <w:r>
          <w:rPr>
            <w:rFonts w:ascii="Century Gothic" w:hAnsi="Century Gothic" w:cs="Times New Roman"/>
            <w:noProof/>
            <w:color w:val="0000FF" w:themeColor="hyperlink"/>
            <w:sz w:val="20"/>
            <w:u w:val="single"/>
          </w:rPr>
          <w:t>Labour and product markets</w:t>
        </w:r>
        <w:r>
          <w:rPr>
            <w:rFonts w:ascii="Century Gothic" w:hAnsi="Century Gothic" w:cs="Times New Roman"/>
            <w:noProof/>
            <w:webHidden/>
            <w:color w:val="333399"/>
            <w:sz w:val="20"/>
          </w:rPr>
          <w:tab/>
        </w:r>
        <w:r>
          <w:rPr>
            <w:rFonts w:ascii="Century Gothic" w:hAnsi="Century Gothic" w:cs="Times New Roman"/>
            <w:noProof/>
            <w:webHidden/>
            <w:color w:val="333399"/>
            <w:sz w:val="20"/>
          </w:rPr>
          <w:fldChar w:fldCharType="begin"/>
        </w:r>
        <w:r>
          <w:rPr>
            <w:rFonts w:ascii="Century Gothic" w:hAnsi="Century Gothic" w:cs="Times New Roman"/>
            <w:noProof/>
            <w:webHidden/>
            <w:color w:val="333399"/>
            <w:sz w:val="20"/>
          </w:rPr>
          <w:instrText xml:space="preserve"> PAGEREF _Toc32921500 \h </w:instrText>
        </w:r>
        <w:r>
          <w:rPr>
            <w:rFonts w:ascii="Century Gothic" w:hAnsi="Century Gothic" w:cs="Times New Roman"/>
            <w:noProof/>
            <w:webHidden/>
            <w:color w:val="333399"/>
            <w:sz w:val="20"/>
          </w:rPr>
        </w:r>
        <w:r>
          <w:rPr>
            <w:rFonts w:ascii="Century Gothic" w:hAnsi="Century Gothic" w:cs="Times New Roman"/>
            <w:noProof/>
            <w:webHidden/>
            <w:color w:val="333399"/>
            <w:sz w:val="20"/>
          </w:rPr>
          <w:fldChar w:fldCharType="separate"/>
        </w:r>
        <w:r>
          <w:rPr>
            <w:rFonts w:ascii="Century Gothic" w:hAnsi="Century Gothic" w:cs="Times New Roman"/>
            <w:noProof/>
            <w:webHidden/>
            <w:color w:val="333399"/>
            <w:sz w:val="20"/>
          </w:rPr>
          <w:t>39</w:t>
        </w:r>
        <w:r>
          <w:rPr>
            <w:rFonts w:ascii="Century Gothic" w:hAnsi="Century Gothic" w:cs="Times New Roman"/>
            <w:noProof/>
            <w:webHidden/>
            <w:color w:val="333399"/>
            <w:sz w:val="20"/>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32921501" w:history="1">
        <w:r>
          <w:rPr>
            <w:rFonts w:ascii="Century Gothic" w:hAnsi="Century Gothic" w:cs="Times New Roman"/>
            <w:caps/>
            <w:noProof/>
            <w:color w:val="0000FF" w:themeColor="hyperlink"/>
            <w:sz w:val="16"/>
            <w:u w:val="single"/>
          </w:rPr>
          <w:t>6.1.</w:t>
        </w:r>
        <w:r>
          <w:rPr>
            <w:rFonts w:eastAsiaTheme="minorEastAsia"/>
            <w:noProof/>
            <w:lang w:eastAsia="en-GB"/>
          </w:rPr>
          <w:tab/>
        </w:r>
        <w:r>
          <w:rPr>
            <w:rFonts w:ascii="Century Gothic" w:hAnsi="Century Gothic" w:cs="Times New Roman"/>
            <w:caps/>
            <w:noProof/>
            <w:color w:val="0000FF" w:themeColor="hyperlink"/>
            <w:sz w:val="16"/>
            <w:u w:val="single"/>
          </w:rPr>
          <w:t>LABOUR MARKET</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_Toc32921501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39</w:t>
        </w:r>
        <w:r>
          <w:rPr>
            <w:rFonts w:ascii="Century Gothic" w:hAnsi="Century Gothic" w:cs="Times New Roman"/>
            <w:caps/>
            <w:noProof/>
            <w:webHidden/>
            <w:color w:val="333399"/>
            <w:sz w:val="16"/>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32921502" w:history="1">
        <w:r>
          <w:rPr>
            <w:rFonts w:ascii="Century Gothic" w:hAnsi="Century Gothic" w:cs="Times New Roman"/>
            <w:caps/>
            <w:noProof/>
            <w:color w:val="0000FF" w:themeColor="hyperlink"/>
            <w:sz w:val="16"/>
            <w:u w:val="single"/>
          </w:rPr>
          <w:t>6.2.</w:t>
        </w:r>
        <w:r>
          <w:rPr>
            <w:rFonts w:eastAsiaTheme="minorEastAsia"/>
            <w:noProof/>
            <w:lang w:eastAsia="en-GB"/>
          </w:rPr>
          <w:tab/>
        </w:r>
        <w:r>
          <w:rPr>
            <w:rFonts w:ascii="Century Gothic" w:hAnsi="Century Gothic" w:cs="Times New Roman"/>
            <w:caps/>
            <w:noProof/>
            <w:color w:val="0000FF" w:themeColor="hyperlink"/>
            <w:sz w:val="16"/>
            <w:u w:val="single"/>
          </w:rPr>
          <w:t>PRODUCT MARKETS AND COMPETITIVENESS</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_Toc32921502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41</w:t>
        </w:r>
        <w:r>
          <w:rPr>
            <w:rFonts w:ascii="Century Gothic" w:hAnsi="Century Gothic" w:cs="Times New Roman"/>
            <w:caps/>
            <w:noProof/>
            <w:webHidden/>
            <w:color w:val="333399"/>
            <w:sz w:val="16"/>
          </w:rPr>
          <w:fldChar w:fldCharType="end"/>
        </w:r>
      </w:hyperlink>
    </w:p>
    <w:p>
      <w:pPr>
        <w:keepNext/>
        <w:keepLines/>
        <w:tabs>
          <w:tab w:val="left" w:pos="482"/>
          <w:tab w:val="right" w:pos="8504"/>
        </w:tabs>
        <w:spacing w:before="240" w:after="120" w:line="240" w:lineRule="atLeast"/>
        <w:ind w:left="482" w:right="425" w:hanging="482"/>
        <w:rPr>
          <w:rFonts w:eastAsiaTheme="minorEastAsia"/>
          <w:noProof/>
          <w:lang w:eastAsia="en-GB"/>
        </w:rPr>
      </w:pPr>
      <w:hyperlink w:anchor="_Toc32921503" w:history="1">
        <w:r>
          <w:rPr>
            <w:rFonts w:ascii="Century Gothic" w:hAnsi="Century Gothic" w:cs="Times New Roman"/>
            <w:noProof/>
            <w:color w:val="0000FF" w:themeColor="hyperlink"/>
            <w:sz w:val="20"/>
            <w:u w:val="single"/>
          </w:rPr>
          <w:t>7.</w:t>
        </w:r>
        <w:r>
          <w:rPr>
            <w:rFonts w:eastAsiaTheme="minorEastAsia"/>
            <w:noProof/>
            <w:lang w:eastAsia="en-GB"/>
          </w:rPr>
          <w:tab/>
        </w:r>
        <w:r>
          <w:rPr>
            <w:rFonts w:ascii="Century Gothic" w:hAnsi="Century Gothic" w:cs="Times New Roman"/>
            <w:noProof/>
            <w:color w:val="0000FF" w:themeColor="hyperlink"/>
            <w:sz w:val="20"/>
            <w:u w:val="single"/>
          </w:rPr>
          <w:t>Hellenic Corporation of Assets and Participations (HCAP) and privatisation</w:t>
        </w:r>
        <w:r>
          <w:rPr>
            <w:rFonts w:ascii="Century Gothic" w:hAnsi="Century Gothic" w:cs="Times New Roman"/>
            <w:noProof/>
            <w:webHidden/>
            <w:color w:val="333399"/>
            <w:sz w:val="20"/>
          </w:rPr>
          <w:tab/>
        </w:r>
        <w:r>
          <w:rPr>
            <w:rFonts w:ascii="Century Gothic" w:hAnsi="Century Gothic" w:cs="Times New Roman"/>
            <w:noProof/>
            <w:webHidden/>
            <w:color w:val="333399"/>
            <w:sz w:val="20"/>
          </w:rPr>
          <w:fldChar w:fldCharType="begin"/>
        </w:r>
        <w:r>
          <w:rPr>
            <w:rFonts w:ascii="Century Gothic" w:hAnsi="Century Gothic" w:cs="Times New Roman"/>
            <w:noProof/>
            <w:webHidden/>
            <w:color w:val="333399"/>
            <w:sz w:val="20"/>
          </w:rPr>
          <w:instrText xml:space="preserve"> PAGEREF _Toc32921503 \h </w:instrText>
        </w:r>
        <w:r>
          <w:rPr>
            <w:rFonts w:ascii="Century Gothic" w:hAnsi="Century Gothic" w:cs="Times New Roman"/>
            <w:noProof/>
            <w:webHidden/>
            <w:color w:val="333399"/>
            <w:sz w:val="20"/>
          </w:rPr>
        </w:r>
        <w:r>
          <w:rPr>
            <w:rFonts w:ascii="Century Gothic" w:hAnsi="Century Gothic" w:cs="Times New Roman"/>
            <w:noProof/>
            <w:webHidden/>
            <w:color w:val="333399"/>
            <w:sz w:val="20"/>
          </w:rPr>
          <w:fldChar w:fldCharType="separate"/>
        </w:r>
        <w:r>
          <w:rPr>
            <w:rFonts w:ascii="Century Gothic" w:hAnsi="Century Gothic" w:cs="Times New Roman"/>
            <w:noProof/>
            <w:webHidden/>
            <w:color w:val="333399"/>
            <w:sz w:val="20"/>
          </w:rPr>
          <w:t>49</w:t>
        </w:r>
        <w:r>
          <w:rPr>
            <w:rFonts w:ascii="Century Gothic" w:hAnsi="Century Gothic" w:cs="Times New Roman"/>
            <w:noProof/>
            <w:webHidden/>
            <w:color w:val="333399"/>
            <w:sz w:val="20"/>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32921504" w:history="1">
        <w:r>
          <w:rPr>
            <w:rFonts w:ascii="Century Gothic" w:hAnsi="Century Gothic" w:cs="Times New Roman"/>
            <w:caps/>
            <w:noProof/>
            <w:color w:val="0000FF" w:themeColor="hyperlink"/>
            <w:sz w:val="16"/>
            <w:u w:val="single"/>
          </w:rPr>
          <w:t>7.1.</w:t>
        </w:r>
        <w:r>
          <w:rPr>
            <w:rFonts w:eastAsiaTheme="minorEastAsia"/>
            <w:noProof/>
            <w:lang w:eastAsia="en-GB"/>
          </w:rPr>
          <w:tab/>
        </w:r>
        <w:r>
          <w:rPr>
            <w:rFonts w:ascii="Century Gothic" w:hAnsi="Century Gothic" w:cs="Times New Roman"/>
            <w:caps/>
            <w:noProof/>
            <w:color w:val="0000FF" w:themeColor="hyperlink"/>
            <w:sz w:val="16"/>
            <w:u w:val="single"/>
          </w:rPr>
          <w:t>HELLENIC CORPORATION OF ASSETS AND PARTICIPATIONS</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_Toc32921504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49</w:t>
        </w:r>
        <w:r>
          <w:rPr>
            <w:rFonts w:ascii="Century Gothic" w:hAnsi="Century Gothic" w:cs="Times New Roman"/>
            <w:caps/>
            <w:noProof/>
            <w:webHidden/>
            <w:color w:val="333399"/>
            <w:sz w:val="16"/>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32921505" w:history="1">
        <w:r>
          <w:rPr>
            <w:rFonts w:ascii="Century Gothic" w:hAnsi="Century Gothic" w:cs="Times New Roman"/>
            <w:caps/>
            <w:noProof/>
            <w:color w:val="0000FF" w:themeColor="hyperlink"/>
            <w:sz w:val="16"/>
            <w:u w:val="single"/>
          </w:rPr>
          <w:t>7.2.</w:t>
        </w:r>
        <w:r>
          <w:rPr>
            <w:rFonts w:eastAsiaTheme="minorEastAsia"/>
            <w:noProof/>
            <w:lang w:eastAsia="en-GB"/>
          </w:rPr>
          <w:tab/>
        </w:r>
        <w:r>
          <w:rPr>
            <w:rFonts w:ascii="Century Gothic" w:hAnsi="Century Gothic" w:cs="Times New Roman"/>
            <w:caps/>
            <w:noProof/>
            <w:color w:val="0000FF" w:themeColor="hyperlink"/>
            <w:sz w:val="16"/>
            <w:u w:val="single"/>
          </w:rPr>
          <w:t>IMPLEMENTATION OF THE ASSET DEVELOPMENT PLAN</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_Toc32921505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51</w:t>
        </w:r>
        <w:r>
          <w:rPr>
            <w:rFonts w:ascii="Century Gothic" w:hAnsi="Century Gothic" w:cs="Times New Roman"/>
            <w:caps/>
            <w:noProof/>
            <w:webHidden/>
            <w:color w:val="333399"/>
            <w:sz w:val="16"/>
          </w:rPr>
          <w:fldChar w:fldCharType="end"/>
        </w:r>
      </w:hyperlink>
    </w:p>
    <w:p>
      <w:pPr>
        <w:keepNext/>
        <w:keepLines/>
        <w:tabs>
          <w:tab w:val="left" w:pos="482"/>
          <w:tab w:val="right" w:pos="8504"/>
        </w:tabs>
        <w:spacing w:before="240" w:after="120" w:line="240" w:lineRule="atLeast"/>
        <w:ind w:left="482" w:right="425" w:hanging="482"/>
        <w:rPr>
          <w:rFonts w:eastAsiaTheme="minorEastAsia"/>
          <w:noProof/>
          <w:lang w:eastAsia="en-GB"/>
        </w:rPr>
      </w:pPr>
      <w:hyperlink w:anchor="_Toc32921506" w:history="1">
        <w:r>
          <w:rPr>
            <w:rFonts w:ascii="Century Gothic" w:hAnsi="Century Gothic" w:cs="Times New Roman"/>
            <w:noProof/>
            <w:color w:val="0000FF" w:themeColor="hyperlink"/>
            <w:sz w:val="20"/>
            <w:u w:val="single"/>
          </w:rPr>
          <w:t>8.</w:t>
        </w:r>
        <w:r>
          <w:rPr>
            <w:rFonts w:eastAsiaTheme="minorEastAsia"/>
            <w:noProof/>
            <w:lang w:eastAsia="en-GB"/>
          </w:rPr>
          <w:tab/>
        </w:r>
        <w:r>
          <w:rPr>
            <w:rFonts w:ascii="Century Gothic" w:hAnsi="Century Gothic" w:cs="Times New Roman"/>
            <w:noProof/>
            <w:color w:val="0000FF" w:themeColor="hyperlink"/>
            <w:sz w:val="20"/>
            <w:u w:val="single"/>
          </w:rPr>
          <w:t>Public administration and justice</w:t>
        </w:r>
        <w:r>
          <w:rPr>
            <w:rFonts w:ascii="Century Gothic" w:hAnsi="Century Gothic" w:cs="Times New Roman"/>
            <w:noProof/>
            <w:webHidden/>
            <w:color w:val="333399"/>
            <w:sz w:val="20"/>
          </w:rPr>
          <w:tab/>
        </w:r>
        <w:r>
          <w:rPr>
            <w:rFonts w:ascii="Century Gothic" w:hAnsi="Century Gothic" w:cs="Times New Roman"/>
            <w:noProof/>
            <w:webHidden/>
            <w:color w:val="333399"/>
            <w:sz w:val="20"/>
          </w:rPr>
          <w:fldChar w:fldCharType="begin"/>
        </w:r>
        <w:r>
          <w:rPr>
            <w:rFonts w:ascii="Century Gothic" w:hAnsi="Century Gothic" w:cs="Times New Roman"/>
            <w:noProof/>
            <w:webHidden/>
            <w:color w:val="333399"/>
            <w:sz w:val="20"/>
          </w:rPr>
          <w:instrText xml:space="preserve"> PAGEREF _Toc32921506 \h </w:instrText>
        </w:r>
        <w:r>
          <w:rPr>
            <w:rFonts w:ascii="Century Gothic" w:hAnsi="Century Gothic" w:cs="Times New Roman"/>
            <w:noProof/>
            <w:webHidden/>
            <w:color w:val="333399"/>
            <w:sz w:val="20"/>
          </w:rPr>
        </w:r>
        <w:r>
          <w:rPr>
            <w:rFonts w:ascii="Century Gothic" w:hAnsi="Century Gothic" w:cs="Times New Roman"/>
            <w:noProof/>
            <w:webHidden/>
            <w:color w:val="333399"/>
            <w:sz w:val="20"/>
          </w:rPr>
          <w:fldChar w:fldCharType="separate"/>
        </w:r>
        <w:r>
          <w:rPr>
            <w:rFonts w:ascii="Century Gothic" w:hAnsi="Century Gothic" w:cs="Times New Roman"/>
            <w:noProof/>
            <w:webHidden/>
            <w:color w:val="333399"/>
            <w:sz w:val="20"/>
          </w:rPr>
          <w:t>55</w:t>
        </w:r>
        <w:r>
          <w:rPr>
            <w:rFonts w:ascii="Century Gothic" w:hAnsi="Century Gothic" w:cs="Times New Roman"/>
            <w:noProof/>
            <w:webHidden/>
            <w:color w:val="333399"/>
            <w:sz w:val="20"/>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32921507" w:history="1">
        <w:r>
          <w:rPr>
            <w:rFonts w:ascii="Century Gothic" w:hAnsi="Century Gothic" w:cs="Times New Roman"/>
            <w:caps/>
            <w:noProof/>
            <w:color w:val="0000FF" w:themeColor="hyperlink"/>
            <w:sz w:val="16"/>
            <w:u w:val="single"/>
          </w:rPr>
          <w:t>8.1.</w:t>
        </w:r>
        <w:r>
          <w:rPr>
            <w:rFonts w:eastAsiaTheme="minorEastAsia"/>
            <w:noProof/>
            <w:lang w:eastAsia="en-GB"/>
          </w:rPr>
          <w:tab/>
        </w:r>
        <w:r>
          <w:rPr>
            <w:rFonts w:ascii="Century Gothic" w:hAnsi="Century Gothic" w:cs="Times New Roman"/>
            <w:caps/>
            <w:noProof/>
            <w:color w:val="0000FF" w:themeColor="hyperlink"/>
            <w:sz w:val="16"/>
            <w:u w:val="single"/>
          </w:rPr>
          <w:t>PUBLIC ADMINISTRATION</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_Toc32921507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55</w:t>
        </w:r>
        <w:r>
          <w:rPr>
            <w:rFonts w:ascii="Century Gothic" w:hAnsi="Century Gothic" w:cs="Times New Roman"/>
            <w:caps/>
            <w:noProof/>
            <w:webHidden/>
            <w:color w:val="333399"/>
            <w:sz w:val="16"/>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32921508" w:history="1">
        <w:r>
          <w:rPr>
            <w:rFonts w:ascii="Century Gothic" w:hAnsi="Century Gothic" w:cs="Times New Roman"/>
            <w:caps/>
            <w:noProof/>
            <w:color w:val="0000FF" w:themeColor="hyperlink"/>
            <w:sz w:val="16"/>
            <w:u w:val="single"/>
          </w:rPr>
          <w:t>8.2.</w:t>
        </w:r>
        <w:r>
          <w:rPr>
            <w:rFonts w:eastAsiaTheme="minorEastAsia"/>
            <w:noProof/>
            <w:lang w:eastAsia="en-GB"/>
          </w:rPr>
          <w:tab/>
        </w:r>
        <w:r>
          <w:rPr>
            <w:rFonts w:ascii="Century Gothic" w:hAnsi="Century Gothic" w:cs="Times New Roman"/>
            <w:caps/>
            <w:noProof/>
            <w:color w:val="0000FF" w:themeColor="hyperlink"/>
            <w:sz w:val="16"/>
            <w:u w:val="single"/>
          </w:rPr>
          <w:t>JUSTICE</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_Toc32921508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60</w:t>
        </w:r>
        <w:r>
          <w:rPr>
            <w:rFonts w:ascii="Century Gothic" w:hAnsi="Century Gothic" w:cs="Times New Roman"/>
            <w:caps/>
            <w:noProof/>
            <w:webHidden/>
            <w:color w:val="333399"/>
            <w:sz w:val="16"/>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32921509" w:history="1">
        <w:r>
          <w:rPr>
            <w:rFonts w:ascii="Century Gothic" w:hAnsi="Century Gothic" w:cs="Times New Roman"/>
            <w:caps/>
            <w:noProof/>
            <w:color w:val="0000FF" w:themeColor="hyperlink"/>
            <w:sz w:val="16"/>
            <w:u w:val="single"/>
          </w:rPr>
          <w:t>8.3.</w:t>
        </w:r>
        <w:r>
          <w:rPr>
            <w:rFonts w:eastAsiaTheme="minorEastAsia"/>
            <w:noProof/>
            <w:lang w:eastAsia="en-GB"/>
          </w:rPr>
          <w:tab/>
        </w:r>
        <w:r>
          <w:rPr>
            <w:rFonts w:ascii="Century Gothic" w:hAnsi="Century Gothic" w:cs="Times New Roman"/>
            <w:caps/>
            <w:noProof/>
            <w:color w:val="0000FF" w:themeColor="hyperlink"/>
            <w:sz w:val="16"/>
            <w:u w:val="single"/>
          </w:rPr>
          <w:t>ANTI-CORRUPTION</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_Toc32921509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61</w:t>
        </w:r>
        <w:r>
          <w:rPr>
            <w:rFonts w:ascii="Century Gothic" w:hAnsi="Century Gothic" w:cs="Times New Roman"/>
            <w:caps/>
            <w:noProof/>
            <w:webHidden/>
            <w:color w:val="333399"/>
            <w:sz w:val="16"/>
          </w:rPr>
          <w:fldChar w:fldCharType="end"/>
        </w:r>
      </w:hyperlink>
    </w:p>
    <w:p>
      <w:pPr>
        <w:keepNext/>
        <w:keepLines/>
        <w:tabs>
          <w:tab w:val="left" w:pos="482"/>
          <w:tab w:val="right" w:pos="8504"/>
        </w:tabs>
        <w:spacing w:before="240" w:after="120" w:line="240" w:lineRule="atLeast"/>
        <w:ind w:left="482" w:right="425" w:hanging="482"/>
        <w:rPr>
          <w:rFonts w:eastAsiaTheme="minorEastAsia"/>
          <w:noProof/>
          <w:lang w:eastAsia="en-GB"/>
        </w:rPr>
      </w:pPr>
      <w:hyperlink w:anchor="_Toc32921510" w:history="1">
        <w:r>
          <w:rPr>
            <w:rFonts w:ascii="Century Gothic" w:hAnsi="Century Gothic" w:cs="Times New Roman"/>
            <w:noProof/>
            <w:color w:val="0000FF" w:themeColor="hyperlink"/>
            <w:sz w:val="20"/>
            <w:u w:val="single"/>
          </w:rPr>
          <w:t>9.</w:t>
        </w:r>
        <w:r>
          <w:rPr>
            <w:rFonts w:eastAsiaTheme="minorEastAsia"/>
            <w:noProof/>
            <w:lang w:eastAsia="en-GB"/>
          </w:rPr>
          <w:tab/>
        </w:r>
        <w:r>
          <w:rPr>
            <w:rFonts w:ascii="Century Gothic" w:hAnsi="Century Gothic" w:cs="Times New Roman"/>
            <w:noProof/>
            <w:color w:val="0000FF" w:themeColor="hyperlink"/>
            <w:sz w:val="20"/>
            <w:u w:val="single"/>
          </w:rPr>
          <w:t>Sovereign financing and capacity to repay</w:t>
        </w:r>
        <w:r>
          <w:rPr>
            <w:rFonts w:ascii="Century Gothic" w:hAnsi="Century Gothic" w:cs="Times New Roman"/>
            <w:noProof/>
            <w:webHidden/>
            <w:color w:val="333399"/>
            <w:sz w:val="20"/>
          </w:rPr>
          <w:tab/>
        </w:r>
        <w:r>
          <w:rPr>
            <w:rFonts w:ascii="Century Gothic" w:hAnsi="Century Gothic" w:cs="Times New Roman"/>
            <w:noProof/>
            <w:webHidden/>
            <w:color w:val="333399"/>
            <w:sz w:val="20"/>
          </w:rPr>
          <w:fldChar w:fldCharType="begin"/>
        </w:r>
        <w:r>
          <w:rPr>
            <w:rFonts w:ascii="Century Gothic" w:hAnsi="Century Gothic" w:cs="Times New Roman"/>
            <w:noProof/>
            <w:webHidden/>
            <w:color w:val="333399"/>
            <w:sz w:val="20"/>
          </w:rPr>
          <w:instrText xml:space="preserve"> PAGEREF _Toc32921510 \h </w:instrText>
        </w:r>
        <w:r>
          <w:rPr>
            <w:rFonts w:ascii="Century Gothic" w:hAnsi="Century Gothic" w:cs="Times New Roman"/>
            <w:noProof/>
            <w:webHidden/>
            <w:color w:val="333399"/>
            <w:sz w:val="20"/>
          </w:rPr>
        </w:r>
        <w:r>
          <w:rPr>
            <w:rFonts w:ascii="Century Gothic" w:hAnsi="Century Gothic" w:cs="Times New Roman"/>
            <w:noProof/>
            <w:webHidden/>
            <w:color w:val="333399"/>
            <w:sz w:val="20"/>
          </w:rPr>
          <w:fldChar w:fldCharType="separate"/>
        </w:r>
        <w:r>
          <w:rPr>
            <w:rFonts w:ascii="Century Gothic" w:hAnsi="Century Gothic" w:cs="Times New Roman"/>
            <w:noProof/>
            <w:webHidden/>
            <w:color w:val="333399"/>
            <w:sz w:val="20"/>
          </w:rPr>
          <w:t>63</w:t>
        </w:r>
        <w:r>
          <w:rPr>
            <w:rFonts w:ascii="Century Gothic" w:hAnsi="Century Gothic" w:cs="Times New Roman"/>
            <w:noProof/>
            <w:webHidden/>
            <w:color w:val="333399"/>
            <w:sz w:val="20"/>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32921511" w:history="1">
        <w:r>
          <w:rPr>
            <w:rFonts w:ascii="Century Gothic" w:hAnsi="Century Gothic" w:cs="Times New Roman"/>
            <w:caps/>
            <w:noProof/>
            <w:color w:val="0000FF" w:themeColor="hyperlink"/>
            <w:sz w:val="16"/>
            <w:u w:val="single"/>
          </w:rPr>
          <w:t>9.1.</w:t>
        </w:r>
        <w:r>
          <w:rPr>
            <w:rFonts w:eastAsiaTheme="minorEastAsia"/>
            <w:noProof/>
            <w:lang w:eastAsia="en-GB"/>
          </w:rPr>
          <w:tab/>
        </w:r>
        <w:r>
          <w:rPr>
            <w:rFonts w:ascii="Century Gothic" w:hAnsi="Century Gothic" w:cs="Times New Roman"/>
            <w:caps/>
            <w:noProof/>
            <w:color w:val="0000FF" w:themeColor="hyperlink"/>
            <w:sz w:val="16"/>
            <w:u w:val="single"/>
          </w:rPr>
          <w:t>SOVEREIGN FINANCING</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_Toc32921511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63</w:t>
        </w:r>
        <w:r>
          <w:rPr>
            <w:rFonts w:ascii="Century Gothic" w:hAnsi="Century Gothic" w:cs="Times New Roman"/>
            <w:caps/>
            <w:noProof/>
            <w:webHidden/>
            <w:color w:val="333399"/>
            <w:sz w:val="16"/>
          </w:rPr>
          <w:fldChar w:fldCharType="end"/>
        </w:r>
      </w:hyperlink>
    </w:p>
    <w:p>
      <w:pPr>
        <w:keepLines/>
        <w:tabs>
          <w:tab w:val="left" w:pos="964"/>
          <w:tab w:val="right" w:pos="8504"/>
        </w:tabs>
        <w:spacing w:after="0" w:line="240" w:lineRule="atLeast"/>
        <w:ind w:left="964" w:right="425" w:hanging="482"/>
        <w:rPr>
          <w:rFonts w:eastAsiaTheme="minorEastAsia"/>
          <w:noProof/>
          <w:lang w:eastAsia="en-GB"/>
        </w:rPr>
      </w:pPr>
      <w:hyperlink w:anchor="_Toc32921512" w:history="1">
        <w:r>
          <w:rPr>
            <w:rFonts w:ascii="Century Gothic" w:hAnsi="Century Gothic" w:cs="Times New Roman"/>
            <w:caps/>
            <w:noProof/>
            <w:color w:val="0000FF" w:themeColor="hyperlink"/>
            <w:sz w:val="16"/>
            <w:u w:val="single"/>
          </w:rPr>
          <w:t>9.2.</w:t>
        </w:r>
        <w:r>
          <w:rPr>
            <w:rFonts w:eastAsiaTheme="minorEastAsia"/>
            <w:noProof/>
            <w:lang w:eastAsia="en-GB"/>
          </w:rPr>
          <w:tab/>
        </w:r>
        <w:r>
          <w:rPr>
            <w:rFonts w:ascii="Century Gothic" w:hAnsi="Century Gothic" w:cs="Times New Roman"/>
            <w:caps/>
            <w:noProof/>
            <w:color w:val="0000FF" w:themeColor="hyperlink"/>
            <w:sz w:val="16"/>
            <w:u w:val="single"/>
          </w:rPr>
          <w:t>DEBT SUSTAINABILITY</w:t>
        </w:r>
        <w:r>
          <w:rPr>
            <w:rFonts w:ascii="Century Gothic" w:hAnsi="Century Gothic" w:cs="Times New Roman"/>
            <w:caps/>
            <w:noProof/>
            <w:webHidden/>
            <w:color w:val="333399"/>
            <w:sz w:val="16"/>
          </w:rPr>
          <w:tab/>
        </w:r>
        <w:r>
          <w:rPr>
            <w:rFonts w:ascii="Century Gothic" w:hAnsi="Century Gothic" w:cs="Times New Roman"/>
            <w:caps/>
            <w:noProof/>
            <w:webHidden/>
            <w:color w:val="333399"/>
            <w:sz w:val="16"/>
          </w:rPr>
          <w:fldChar w:fldCharType="begin"/>
        </w:r>
        <w:r>
          <w:rPr>
            <w:rFonts w:ascii="Century Gothic" w:hAnsi="Century Gothic" w:cs="Times New Roman"/>
            <w:caps/>
            <w:noProof/>
            <w:webHidden/>
            <w:color w:val="333399"/>
            <w:sz w:val="16"/>
          </w:rPr>
          <w:instrText xml:space="preserve"> PAGEREF _Toc32921512 \h </w:instrText>
        </w:r>
        <w:r>
          <w:rPr>
            <w:rFonts w:ascii="Century Gothic" w:hAnsi="Century Gothic" w:cs="Times New Roman"/>
            <w:caps/>
            <w:noProof/>
            <w:webHidden/>
            <w:color w:val="333399"/>
            <w:sz w:val="16"/>
          </w:rPr>
        </w:r>
        <w:r>
          <w:rPr>
            <w:rFonts w:ascii="Century Gothic" w:hAnsi="Century Gothic" w:cs="Times New Roman"/>
            <w:caps/>
            <w:noProof/>
            <w:webHidden/>
            <w:color w:val="333399"/>
            <w:sz w:val="16"/>
          </w:rPr>
          <w:fldChar w:fldCharType="separate"/>
        </w:r>
        <w:r>
          <w:rPr>
            <w:rFonts w:ascii="Century Gothic" w:hAnsi="Century Gothic" w:cs="Times New Roman"/>
            <w:caps/>
            <w:noProof/>
            <w:webHidden/>
            <w:color w:val="333399"/>
            <w:sz w:val="16"/>
          </w:rPr>
          <w:t>64</w:t>
        </w:r>
        <w:r>
          <w:rPr>
            <w:rFonts w:ascii="Century Gothic" w:hAnsi="Century Gothic" w:cs="Times New Roman"/>
            <w:caps/>
            <w:noProof/>
            <w:webHidden/>
            <w:color w:val="333399"/>
            <w:sz w:val="16"/>
          </w:rPr>
          <w:fldChar w:fldCharType="end"/>
        </w:r>
      </w:hyperlink>
    </w:p>
    <w:p>
      <w:pPr>
        <w:keepNext/>
        <w:keepLines/>
        <w:tabs>
          <w:tab w:val="left" w:pos="482"/>
          <w:tab w:val="right" w:pos="8504"/>
        </w:tabs>
        <w:spacing w:before="240" w:after="120" w:line="240" w:lineRule="atLeast"/>
        <w:ind w:left="482" w:right="425" w:hanging="482"/>
        <w:rPr>
          <w:rFonts w:eastAsiaTheme="minorEastAsia"/>
          <w:noProof/>
          <w:lang w:eastAsia="en-GB"/>
        </w:rPr>
      </w:pPr>
      <w:hyperlink w:anchor="_Toc32921513" w:history="1">
        <w:r>
          <w:rPr>
            <w:rFonts w:ascii="Century Gothic" w:hAnsi="Century Gothic" w:cs="Times New Roman"/>
            <w:noProof/>
            <w:color w:val="0000FF" w:themeColor="hyperlink"/>
            <w:sz w:val="20"/>
            <w:u w:val="single"/>
          </w:rPr>
          <w:t>Annex</w:t>
        </w:r>
        <w:r>
          <w:rPr>
            <w:rFonts w:ascii="Century Gothic" w:hAnsi="Century Gothic" w:cs="Times New Roman"/>
            <w:noProof/>
            <w:webHidden/>
            <w:color w:val="333399"/>
            <w:sz w:val="20"/>
          </w:rPr>
          <w:tab/>
        </w:r>
        <w:r>
          <w:rPr>
            <w:rFonts w:ascii="Century Gothic" w:hAnsi="Century Gothic" w:cs="Times New Roman"/>
            <w:noProof/>
            <w:webHidden/>
            <w:color w:val="333399"/>
            <w:sz w:val="20"/>
          </w:rPr>
          <w:fldChar w:fldCharType="begin"/>
        </w:r>
        <w:r>
          <w:rPr>
            <w:rFonts w:ascii="Century Gothic" w:hAnsi="Century Gothic" w:cs="Times New Roman"/>
            <w:noProof/>
            <w:webHidden/>
            <w:color w:val="333399"/>
            <w:sz w:val="20"/>
          </w:rPr>
          <w:instrText xml:space="preserve"> PAGEREF _Toc32921513 \h </w:instrText>
        </w:r>
        <w:r>
          <w:rPr>
            <w:rFonts w:ascii="Century Gothic" w:hAnsi="Century Gothic" w:cs="Times New Roman"/>
            <w:noProof/>
            <w:webHidden/>
            <w:color w:val="333399"/>
            <w:sz w:val="20"/>
          </w:rPr>
        </w:r>
        <w:r>
          <w:rPr>
            <w:rFonts w:ascii="Century Gothic" w:hAnsi="Century Gothic" w:cs="Times New Roman"/>
            <w:noProof/>
            <w:webHidden/>
            <w:color w:val="333399"/>
            <w:sz w:val="20"/>
          </w:rPr>
          <w:fldChar w:fldCharType="separate"/>
        </w:r>
        <w:r>
          <w:rPr>
            <w:rFonts w:ascii="Century Gothic" w:hAnsi="Century Gothic" w:cs="Times New Roman"/>
            <w:noProof/>
            <w:webHidden/>
            <w:color w:val="333399"/>
            <w:sz w:val="20"/>
          </w:rPr>
          <w:t>66</w:t>
        </w:r>
        <w:r>
          <w:rPr>
            <w:rFonts w:ascii="Century Gothic" w:hAnsi="Century Gothic" w:cs="Times New Roman"/>
            <w:noProof/>
            <w:webHidden/>
            <w:color w:val="333399"/>
            <w:sz w:val="20"/>
          </w:rPr>
          <w:fldChar w:fldCharType="end"/>
        </w:r>
      </w:hyperlink>
    </w:p>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fldChar w:fldCharType="end"/>
      </w:r>
    </w:p>
    <w:p>
      <w:pPr>
        <w:keepNext/>
        <w:spacing w:before="120" w:after="120" w:line="240" w:lineRule="atLeast"/>
        <w:jc w:val="both"/>
        <w:rPr>
          <w:rFonts w:ascii="Century Gothic" w:hAnsi="Century Gothic" w:cs="Times New Roman"/>
          <w:caps/>
          <w:noProof/>
          <w:color w:val="333399"/>
          <w:sz w:val="28"/>
        </w:rPr>
      </w:pPr>
      <w:bookmarkStart w:id="7" w:name="EP_CONTENT_TABLES"/>
      <w:r>
        <w:rPr>
          <w:rFonts w:ascii="Century Gothic" w:hAnsi="Century Gothic" w:cs="Times New Roman"/>
          <w:caps/>
          <w:noProof/>
          <w:color w:val="333399"/>
          <w:sz w:val="28"/>
        </w:rPr>
        <w:t>LIST OF Tables</w:t>
      </w:r>
    </w:p>
    <w:p>
      <w:pPr>
        <w:keepLines/>
        <w:tabs>
          <w:tab w:val="left" w:pos="964"/>
          <w:tab w:val="right" w:pos="8504"/>
        </w:tabs>
        <w:spacing w:after="0" w:line="240" w:lineRule="atLeast"/>
        <w:ind w:left="964" w:right="425" w:hanging="482"/>
        <w:rPr>
          <w:rFonts w:ascii="Century Gothic" w:hAnsi="Century Gothic" w:cs="Times New Roman"/>
          <w:noProof/>
          <w:color w:val="333399"/>
          <w:sz w:val="16"/>
        </w:rPr>
      </w:pPr>
      <w:r>
        <w:rPr>
          <w:rFonts w:ascii="Century Gothic" w:hAnsi="Century Gothic" w:cs="Times New Roman"/>
          <w:noProof/>
          <w:color w:val="333399"/>
          <w:sz w:val="16"/>
        </w:rPr>
        <w:fldChar w:fldCharType="begin"/>
      </w:r>
      <w:r>
        <w:rPr>
          <w:rFonts w:ascii="Century Gothic" w:hAnsi="Century Gothic" w:cs="Times New Roman"/>
          <w:noProof/>
          <w:color w:val="333399"/>
          <w:sz w:val="16"/>
        </w:rPr>
        <w:instrText xml:space="preserve"> TOC \ftable \h \z \u </w:instrText>
      </w:r>
      <w:r>
        <w:rPr>
          <w:rFonts w:ascii="Century Gothic" w:hAnsi="Century Gothic" w:cs="Times New Roman"/>
          <w:noProof/>
          <w:color w:val="333399"/>
          <w:sz w:val="16"/>
        </w:rPr>
        <w:fldChar w:fldCharType="separate"/>
      </w:r>
      <w:hyperlink w:anchor="_Toc32919965" w:history="1">
        <w:r>
          <w:rPr>
            <w:rFonts w:ascii="Century Gothic" w:hAnsi="Century Gothic" w:cs="Times New Roman"/>
            <w:noProof/>
            <w:color w:val="333399"/>
            <w:sz w:val="16"/>
          </w:rPr>
          <w:t>2.1.</w:t>
        </w:r>
        <w:r>
          <w:rPr>
            <w:rFonts w:ascii="Century Gothic" w:hAnsi="Century Gothic" w:cs="Times New Roman"/>
            <w:noProof/>
            <w:color w:val="333399"/>
            <w:sz w:val="16"/>
          </w:rPr>
          <w:tab/>
          <w:t>Summary of the main macroeconomic variables</w:t>
        </w:r>
        <w:r>
          <w:rPr>
            <w:rFonts w:ascii="Century Gothic" w:hAnsi="Century Gothic" w:cs="Times New Roman"/>
            <w:noProof/>
            <w:webHidden/>
            <w:color w:val="333399"/>
            <w:sz w:val="16"/>
          </w:rPr>
          <w:tab/>
          <w:t>26</w:t>
        </w:r>
      </w:hyperlink>
    </w:p>
    <w:p>
      <w:pPr>
        <w:keepLines/>
        <w:tabs>
          <w:tab w:val="left" w:pos="964"/>
          <w:tab w:val="right" w:pos="8504"/>
        </w:tabs>
        <w:spacing w:after="0" w:line="240" w:lineRule="atLeast"/>
        <w:ind w:left="964" w:right="425" w:hanging="482"/>
        <w:rPr>
          <w:rFonts w:ascii="Century Gothic" w:hAnsi="Century Gothic" w:cs="Times New Roman"/>
          <w:noProof/>
          <w:color w:val="333399"/>
          <w:sz w:val="16"/>
        </w:rPr>
      </w:pPr>
      <w:hyperlink w:anchor="_Toc32919966" w:history="1">
        <w:r>
          <w:rPr>
            <w:rFonts w:ascii="Century Gothic" w:hAnsi="Century Gothic" w:cs="Times New Roman"/>
            <w:noProof/>
            <w:color w:val="333399"/>
            <w:sz w:val="16"/>
          </w:rPr>
          <w:t>3.1.</w:t>
        </w:r>
        <w:r>
          <w:rPr>
            <w:rFonts w:ascii="Century Gothic" w:hAnsi="Century Gothic" w:cs="Times New Roman"/>
            <w:noProof/>
            <w:color w:val="333399"/>
            <w:sz w:val="16"/>
          </w:rPr>
          <w:tab/>
          <w:t>Key Performance Indicators of the Independent Authority (fourth quarter of 2019)</w:t>
        </w:r>
        <w:r>
          <w:rPr>
            <w:rFonts w:ascii="Century Gothic" w:hAnsi="Century Gothic" w:cs="Times New Roman"/>
            <w:noProof/>
            <w:webHidden/>
            <w:color w:val="333399"/>
            <w:sz w:val="16"/>
          </w:rPr>
          <w:tab/>
          <w:t>35</w:t>
        </w:r>
      </w:hyperlink>
    </w:p>
    <w:p>
      <w:pPr>
        <w:keepLines/>
        <w:tabs>
          <w:tab w:val="left" w:pos="964"/>
          <w:tab w:val="right" w:pos="8504"/>
        </w:tabs>
        <w:spacing w:after="0" w:line="240" w:lineRule="atLeast"/>
        <w:ind w:left="964" w:right="425" w:hanging="482"/>
        <w:rPr>
          <w:rFonts w:ascii="Century Gothic" w:hAnsi="Century Gothic" w:cs="Times New Roman"/>
          <w:noProof/>
          <w:color w:val="333399"/>
          <w:sz w:val="16"/>
        </w:rPr>
      </w:pPr>
      <w:hyperlink w:anchor="_Toc32919967" w:history="1">
        <w:r>
          <w:rPr>
            <w:rFonts w:ascii="Century Gothic" w:hAnsi="Century Gothic" w:cs="Times New Roman"/>
            <w:noProof/>
            <w:color w:val="333399"/>
            <w:sz w:val="16"/>
          </w:rPr>
          <w:t>3.2.</w:t>
        </w:r>
        <w:r>
          <w:rPr>
            <w:rFonts w:ascii="Century Gothic" w:hAnsi="Century Gothic" w:cs="Times New Roman"/>
            <w:noProof/>
            <w:color w:val="333399"/>
            <w:sz w:val="16"/>
          </w:rPr>
          <w:tab/>
          <w:t>Arrears clearance plan</w:t>
        </w:r>
        <w:r>
          <w:rPr>
            <w:rFonts w:ascii="Century Gothic" w:hAnsi="Century Gothic" w:cs="Times New Roman"/>
            <w:noProof/>
            <w:webHidden/>
            <w:color w:val="333399"/>
            <w:sz w:val="16"/>
          </w:rPr>
          <w:tab/>
          <w:t>36</w:t>
        </w:r>
      </w:hyperlink>
    </w:p>
    <w:p>
      <w:pPr>
        <w:keepLines/>
        <w:tabs>
          <w:tab w:val="left" w:pos="964"/>
          <w:tab w:val="right" w:pos="8504"/>
        </w:tabs>
        <w:spacing w:after="0" w:line="240" w:lineRule="atLeast"/>
        <w:ind w:left="964" w:right="425" w:hanging="482"/>
        <w:rPr>
          <w:rFonts w:ascii="Century Gothic" w:hAnsi="Century Gothic" w:cs="Times New Roman"/>
          <w:noProof/>
          <w:color w:val="333399"/>
          <w:sz w:val="16"/>
        </w:rPr>
      </w:pPr>
      <w:hyperlink w:anchor="_Toc32919968" w:history="1">
        <w:r>
          <w:rPr>
            <w:rFonts w:ascii="Century Gothic" w:hAnsi="Century Gothic" w:cs="Times New Roman"/>
            <w:noProof/>
            <w:color w:val="333399"/>
            <w:sz w:val="16"/>
          </w:rPr>
          <w:t>5.1.</w:t>
        </w:r>
        <w:r>
          <w:rPr>
            <w:rFonts w:ascii="Century Gothic" w:hAnsi="Century Gothic" w:cs="Times New Roman"/>
            <w:noProof/>
            <w:color w:val="333399"/>
            <w:sz w:val="16"/>
          </w:rPr>
          <w:tab/>
          <w:t>Main financial stability indicators</w:t>
        </w:r>
        <w:r>
          <w:rPr>
            <w:rFonts w:ascii="Century Gothic" w:hAnsi="Century Gothic" w:cs="Times New Roman"/>
            <w:noProof/>
            <w:webHidden/>
            <w:color w:val="333399"/>
            <w:sz w:val="16"/>
          </w:rPr>
          <w:tab/>
          <w:t>46</w:t>
        </w:r>
      </w:hyperlink>
    </w:p>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fldChar w:fldCharType="end"/>
      </w:r>
    </w:p>
    <w:p>
      <w:pPr>
        <w:keepNext/>
        <w:spacing w:before="120" w:after="120" w:line="240" w:lineRule="atLeast"/>
        <w:jc w:val="both"/>
        <w:rPr>
          <w:rFonts w:ascii="Century Gothic" w:hAnsi="Century Gothic" w:cs="Times New Roman"/>
          <w:caps/>
          <w:noProof/>
          <w:color w:val="333399"/>
          <w:sz w:val="28"/>
        </w:rPr>
      </w:pPr>
      <w:bookmarkStart w:id="8" w:name="EP_CONTENT_GRAPHS"/>
      <w:bookmarkEnd w:id="7"/>
      <w:r>
        <w:rPr>
          <w:rFonts w:ascii="Century Gothic" w:hAnsi="Century Gothic" w:cs="Times New Roman"/>
          <w:caps/>
          <w:noProof/>
          <w:color w:val="333399"/>
          <w:sz w:val="28"/>
        </w:rPr>
        <w:t>LIST OF Graphs</w:t>
      </w:r>
    </w:p>
    <w:p>
      <w:pPr>
        <w:keepLines/>
        <w:tabs>
          <w:tab w:val="left" w:pos="964"/>
          <w:tab w:val="right" w:pos="8504"/>
        </w:tabs>
        <w:spacing w:after="0" w:line="240" w:lineRule="atLeast"/>
        <w:ind w:left="964" w:right="425" w:hanging="482"/>
        <w:rPr>
          <w:rFonts w:ascii="Century Gothic" w:hAnsi="Century Gothic" w:cs="Times New Roman"/>
          <w:noProof/>
          <w:color w:val="333399"/>
          <w:sz w:val="16"/>
        </w:rPr>
      </w:pPr>
      <w:r>
        <w:rPr>
          <w:rFonts w:ascii="Century Gothic" w:hAnsi="Century Gothic" w:cs="Times New Roman"/>
          <w:noProof/>
          <w:color w:val="333399"/>
          <w:sz w:val="16"/>
        </w:rPr>
        <w:fldChar w:fldCharType="begin"/>
      </w:r>
      <w:r>
        <w:rPr>
          <w:rFonts w:ascii="Century Gothic" w:hAnsi="Century Gothic" w:cs="Times New Roman"/>
          <w:noProof/>
          <w:color w:val="333399"/>
          <w:sz w:val="16"/>
        </w:rPr>
        <w:instrText xml:space="preserve"> TOC \fgraph \h \z \u </w:instrText>
      </w:r>
      <w:r>
        <w:rPr>
          <w:rFonts w:ascii="Century Gothic" w:hAnsi="Century Gothic" w:cs="Times New Roman"/>
          <w:noProof/>
          <w:color w:val="333399"/>
          <w:sz w:val="16"/>
        </w:rPr>
        <w:fldChar w:fldCharType="separate"/>
      </w:r>
      <w:hyperlink w:anchor="_Toc32919969" w:history="1">
        <w:r>
          <w:rPr>
            <w:rFonts w:ascii="Century Gothic" w:hAnsi="Century Gothic" w:cs="Times New Roman"/>
            <w:noProof/>
            <w:color w:val="333399"/>
            <w:sz w:val="16"/>
          </w:rPr>
          <w:t>2.1.</w:t>
        </w:r>
        <w:r>
          <w:rPr>
            <w:rFonts w:ascii="Century Gothic" w:hAnsi="Century Gothic" w:cs="Times New Roman"/>
            <w:noProof/>
            <w:color w:val="333399"/>
            <w:sz w:val="16"/>
          </w:rPr>
          <w:tab/>
          <w:t>Real GDP and growth contributions</w:t>
        </w:r>
        <w:r>
          <w:rPr>
            <w:rFonts w:ascii="Century Gothic" w:hAnsi="Century Gothic" w:cs="Times New Roman"/>
            <w:noProof/>
            <w:webHidden/>
            <w:color w:val="333399"/>
            <w:sz w:val="16"/>
          </w:rPr>
          <w:tab/>
          <w:t>25</w:t>
        </w:r>
      </w:hyperlink>
    </w:p>
    <w:p>
      <w:pPr>
        <w:keepLines/>
        <w:tabs>
          <w:tab w:val="left" w:pos="964"/>
          <w:tab w:val="right" w:pos="8504"/>
        </w:tabs>
        <w:spacing w:after="0" w:line="240" w:lineRule="atLeast"/>
        <w:ind w:left="964" w:right="425" w:hanging="482"/>
        <w:rPr>
          <w:rFonts w:ascii="Century Gothic" w:hAnsi="Century Gothic" w:cs="Times New Roman"/>
          <w:noProof/>
          <w:color w:val="333399"/>
          <w:sz w:val="16"/>
        </w:rPr>
      </w:pPr>
      <w:hyperlink w:anchor="_Toc32919970" w:history="1">
        <w:r>
          <w:rPr>
            <w:rFonts w:ascii="Century Gothic" w:hAnsi="Century Gothic" w:cs="Times New Roman"/>
            <w:noProof/>
            <w:color w:val="333399"/>
            <w:sz w:val="16"/>
          </w:rPr>
          <w:t>3.1.</w:t>
        </w:r>
        <w:r>
          <w:rPr>
            <w:rFonts w:ascii="Century Gothic" w:hAnsi="Century Gothic" w:cs="Times New Roman"/>
            <w:noProof/>
            <w:color w:val="333399"/>
            <w:sz w:val="16"/>
          </w:rPr>
          <w:tab/>
          <w:t>Pensions timeline</w:t>
        </w:r>
        <w:r>
          <w:rPr>
            <w:rFonts w:ascii="Century Gothic" w:hAnsi="Century Gothic" w:cs="Times New Roman"/>
            <w:noProof/>
            <w:webHidden/>
            <w:color w:val="333399"/>
            <w:sz w:val="16"/>
          </w:rPr>
          <w:tab/>
          <w:t>31</w:t>
        </w:r>
      </w:hyperlink>
    </w:p>
    <w:p>
      <w:pPr>
        <w:keepLines/>
        <w:tabs>
          <w:tab w:val="left" w:pos="964"/>
          <w:tab w:val="right" w:pos="8504"/>
        </w:tabs>
        <w:spacing w:after="0" w:line="240" w:lineRule="atLeast"/>
        <w:ind w:left="964" w:right="425" w:hanging="482"/>
        <w:rPr>
          <w:rFonts w:ascii="Century Gothic" w:hAnsi="Century Gothic" w:cs="Times New Roman"/>
          <w:noProof/>
          <w:color w:val="333399"/>
          <w:sz w:val="16"/>
        </w:rPr>
      </w:pPr>
      <w:hyperlink w:anchor="_Toc32919971" w:history="1">
        <w:r>
          <w:rPr>
            <w:rFonts w:ascii="Century Gothic" w:hAnsi="Century Gothic" w:cs="Times New Roman"/>
            <w:noProof/>
            <w:color w:val="333399"/>
            <w:sz w:val="16"/>
          </w:rPr>
          <w:t>5.1.</w:t>
        </w:r>
        <w:r>
          <w:rPr>
            <w:rFonts w:ascii="Century Gothic" w:hAnsi="Century Gothic" w:cs="Times New Roman"/>
            <w:noProof/>
            <w:color w:val="333399"/>
            <w:sz w:val="16"/>
          </w:rPr>
          <w:tab/>
          <w:t>Bank deposits (left) and total borrowing from the Eurosystem (right)</w:t>
        </w:r>
        <w:r>
          <w:rPr>
            <w:rFonts w:ascii="Century Gothic" w:hAnsi="Century Gothic" w:cs="Times New Roman"/>
            <w:noProof/>
            <w:webHidden/>
            <w:color w:val="333399"/>
            <w:sz w:val="16"/>
          </w:rPr>
          <w:tab/>
          <w:t>44</w:t>
        </w:r>
      </w:hyperlink>
    </w:p>
    <w:p>
      <w:pPr>
        <w:keepLines/>
        <w:tabs>
          <w:tab w:val="left" w:pos="964"/>
          <w:tab w:val="right" w:pos="8504"/>
        </w:tabs>
        <w:spacing w:after="0" w:line="240" w:lineRule="atLeast"/>
        <w:ind w:left="964" w:right="425" w:hanging="482"/>
        <w:rPr>
          <w:rFonts w:ascii="Century Gothic" w:hAnsi="Century Gothic" w:cs="Times New Roman"/>
          <w:noProof/>
          <w:color w:val="333399"/>
          <w:sz w:val="16"/>
        </w:rPr>
      </w:pPr>
      <w:hyperlink w:anchor="_Toc32919972" w:history="1">
        <w:r>
          <w:rPr>
            <w:rFonts w:ascii="Century Gothic" w:hAnsi="Century Gothic" w:cs="Times New Roman"/>
            <w:noProof/>
            <w:color w:val="333399"/>
            <w:sz w:val="16"/>
          </w:rPr>
          <w:t>5.2.</w:t>
        </w:r>
        <w:r>
          <w:rPr>
            <w:rFonts w:ascii="Century Gothic" w:hAnsi="Century Gothic" w:cs="Times New Roman"/>
            <w:noProof/>
            <w:color w:val="333399"/>
            <w:sz w:val="16"/>
          </w:rPr>
          <w:tab/>
          <w:t>Non-performing loans as a % of total customer loans (left) and changes in their stock in the third quarter of 2019 (right: million EUR)</w:t>
        </w:r>
        <w:r>
          <w:rPr>
            <w:rFonts w:ascii="Century Gothic" w:hAnsi="Century Gothic" w:cs="Times New Roman"/>
            <w:noProof/>
            <w:webHidden/>
            <w:color w:val="333399"/>
            <w:sz w:val="16"/>
          </w:rPr>
          <w:tab/>
          <w:t>45</w:t>
        </w:r>
      </w:hyperlink>
    </w:p>
    <w:p>
      <w:pPr>
        <w:keepLines/>
        <w:tabs>
          <w:tab w:val="left" w:pos="964"/>
          <w:tab w:val="right" w:pos="8504"/>
        </w:tabs>
        <w:spacing w:after="0" w:line="240" w:lineRule="atLeast"/>
        <w:ind w:left="964" w:right="425" w:hanging="482"/>
        <w:rPr>
          <w:rFonts w:ascii="Century Gothic" w:hAnsi="Century Gothic" w:cs="Times New Roman"/>
          <w:noProof/>
          <w:color w:val="333399"/>
          <w:sz w:val="16"/>
        </w:rPr>
      </w:pPr>
      <w:hyperlink w:anchor="_Toc32919973" w:history="1">
        <w:r>
          <w:rPr>
            <w:rFonts w:ascii="Century Gothic" w:hAnsi="Century Gothic" w:cs="Times New Roman"/>
            <w:noProof/>
            <w:color w:val="333399"/>
            <w:sz w:val="16"/>
          </w:rPr>
          <w:t>5.3.</w:t>
        </w:r>
        <w:r>
          <w:rPr>
            <w:rFonts w:ascii="Century Gothic" w:hAnsi="Century Gothic" w:cs="Times New Roman"/>
            <w:noProof/>
            <w:color w:val="333399"/>
            <w:sz w:val="16"/>
          </w:rPr>
          <w:tab/>
          <w:t>Bank credit to non-financial corporations and households</w:t>
        </w:r>
        <w:r>
          <w:rPr>
            <w:rFonts w:ascii="Century Gothic" w:hAnsi="Century Gothic" w:cs="Times New Roman"/>
            <w:noProof/>
            <w:webHidden/>
            <w:color w:val="333399"/>
            <w:sz w:val="16"/>
          </w:rPr>
          <w:tab/>
          <w:t>46</w:t>
        </w:r>
      </w:hyperlink>
    </w:p>
    <w:p>
      <w:pPr>
        <w:keepLines/>
        <w:tabs>
          <w:tab w:val="left" w:pos="964"/>
          <w:tab w:val="right" w:pos="8504"/>
        </w:tabs>
        <w:spacing w:after="0" w:line="240" w:lineRule="atLeast"/>
        <w:ind w:left="964" w:right="425" w:hanging="482"/>
        <w:rPr>
          <w:rFonts w:ascii="Century Gothic" w:hAnsi="Century Gothic" w:cs="Times New Roman"/>
          <w:noProof/>
          <w:color w:val="333399"/>
          <w:sz w:val="16"/>
        </w:rPr>
      </w:pPr>
      <w:hyperlink w:anchor="_Toc32919974" w:history="1">
        <w:r>
          <w:rPr>
            <w:rFonts w:ascii="Century Gothic" w:hAnsi="Century Gothic" w:cs="Times New Roman"/>
            <w:noProof/>
            <w:color w:val="333399"/>
            <w:sz w:val="16"/>
          </w:rPr>
          <w:t>9.1.</w:t>
        </w:r>
        <w:r>
          <w:rPr>
            <w:rFonts w:ascii="Century Gothic" w:hAnsi="Century Gothic" w:cs="Times New Roman"/>
            <w:noProof/>
            <w:color w:val="333399"/>
            <w:sz w:val="16"/>
          </w:rPr>
          <w:tab/>
          <w:t>Credit ratings (left) and 10-year government bond spreads to the Bund (right)</w:t>
        </w:r>
        <w:r>
          <w:rPr>
            <w:rFonts w:ascii="Century Gothic" w:hAnsi="Century Gothic" w:cs="Times New Roman"/>
            <w:noProof/>
            <w:webHidden/>
            <w:color w:val="333399"/>
            <w:sz w:val="16"/>
          </w:rPr>
          <w:tab/>
          <w:t>78</w:t>
        </w:r>
      </w:hyperlink>
    </w:p>
    <w:p>
      <w:pPr>
        <w:keepLines/>
        <w:tabs>
          <w:tab w:val="left" w:pos="964"/>
          <w:tab w:val="right" w:pos="8504"/>
        </w:tabs>
        <w:spacing w:after="0" w:line="240" w:lineRule="atLeast"/>
        <w:ind w:left="964" w:right="425" w:hanging="482"/>
        <w:rPr>
          <w:rFonts w:ascii="Century Gothic" w:hAnsi="Century Gothic" w:cs="Times New Roman"/>
          <w:noProof/>
          <w:color w:val="333399"/>
          <w:sz w:val="16"/>
        </w:rPr>
      </w:pPr>
      <w:hyperlink w:anchor="_Toc32919975" w:history="1">
        <w:r>
          <w:rPr>
            <w:rFonts w:ascii="Century Gothic" w:hAnsi="Century Gothic" w:cs="Times New Roman"/>
            <w:noProof/>
            <w:color w:val="333399"/>
            <w:sz w:val="16"/>
          </w:rPr>
          <w:t>9.2.</w:t>
        </w:r>
        <w:r>
          <w:rPr>
            <w:rFonts w:ascii="Century Gothic" w:hAnsi="Century Gothic" w:cs="Times New Roman"/>
            <w:noProof/>
            <w:color w:val="333399"/>
            <w:sz w:val="16"/>
          </w:rPr>
          <w:tab/>
          <w:t>Debt sustainability indicators</w:t>
        </w:r>
        <w:r>
          <w:rPr>
            <w:rFonts w:ascii="Century Gothic" w:hAnsi="Century Gothic" w:cs="Times New Roman"/>
            <w:noProof/>
            <w:webHidden/>
            <w:color w:val="333399"/>
            <w:sz w:val="16"/>
          </w:rPr>
          <w:tab/>
          <w:t>79</w:t>
        </w:r>
      </w:hyperlink>
    </w:p>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fldChar w:fldCharType="end"/>
      </w:r>
    </w:p>
    <w:bookmarkEnd w:id="8"/>
    <w:p>
      <w:pPr>
        <w:spacing w:after="240" w:line="240" w:lineRule="atLeast"/>
        <w:jc w:val="both"/>
        <w:rPr>
          <w:rFonts w:ascii="Times New Roman" w:hAnsi="Times New Roman" w:cs="Times New Roman"/>
          <w:noProof/>
          <w:color w:val="000000"/>
          <w:sz w:val="24"/>
        </w:rPr>
      </w:pPr>
    </w:p>
    <w:bookmarkEnd w:id="6"/>
    <w:p>
      <w:pPr>
        <w:spacing w:after="240" w:line="240" w:lineRule="atLeast"/>
        <w:jc w:val="both"/>
        <w:rPr>
          <w:rFonts w:ascii="Times New Roman" w:hAnsi="Times New Roman" w:cs="Times New Roman"/>
          <w:noProof/>
          <w:color w:val="000000"/>
          <w:sz w:val="24"/>
        </w:rPr>
        <w:sectPr>
          <w:headerReference w:type="even" r:id="rId28"/>
          <w:headerReference w:type="default" r:id="rId29"/>
          <w:footerReference w:type="even" r:id="rId30"/>
          <w:footerReference w:type="default" r:id="rId31"/>
          <w:headerReference w:type="first" r:id="rId32"/>
          <w:footerReference w:type="first" r:id="rId33"/>
          <w:footnotePr>
            <w:pos w:val="beneathText"/>
          </w:footnotePr>
          <w:endnotePr>
            <w:numFmt w:val="decimal"/>
            <w:numRestart w:val="eachSect"/>
          </w:endnotePr>
          <w:type w:val="oddPage"/>
          <w:pgSz w:w="11907" w:h="16839"/>
          <w:pgMar w:top="1984" w:right="1701" w:bottom="1417" w:left="1701" w:header="709" w:footer="709" w:gutter="0"/>
          <w:pgNumType w:fmt="lowerRoman"/>
          <w:cols w:space="708"/>
          <w:titlePg/>
          <w:docGrid w:linePitch="360"/>
        </w:sectPr>
      </w:pPr>
    </w:p>
    <w:bookmarkStart w:id="9" w:name="GUIDADBA4288496D44F28D6613BFBF626DA4"/>
    <w:p>
      <w:pPr>
        <w:spacing w:after="240" w:line="240" w:lineRule="atLeast"/>
        <w:jc w:val="both"/>
        <w:rPr>
          <w:rFonts w:ascii="Times New Roman" w:hAnsi="Times New Roman" w:cs="Times New Roman"/>
          <w:noProof/>
          <w:vanish/>
          <w:color w:val="000000"/>
          <w:sz w:val="20"/>
        </w:rPr>
      </w:pPr>
      <w:r>
        <w:rPr>
          <w:rFonts w:ascii="Times New Roman" w:hAnsi="Times New Roman" w:cs="Times New Roman"/>
          <w:noProof/>
          <w:vanish/>
          <w:color w:val="000000"/>
          <w:sz w:val="20"/>
        </w:rPr>
        <w:fldChar w:fldCharType="begin"/>
      </w:r>
      <w:r>
        <w:rPr>
          <w:rFonts w:ascii="Times New Roman" w:hAnsi="Times New Roman" w:cs="Times New Roman"/>
          <w:noProof/>
          <w:color w:val="000000"/>
          <w:sz w:val="20"/>
        </w:rPr>
        <w:instrText xml:space="preserve"> TC "</w:instrText>
      </w:r>
      <w:bookmarkStart w:id="10" w:name="_Toc32921481"/>
      <w:r>
        <w:rPr>
          <w:rFonts w:ascii="Times New Roman" w:hAnsi="Times New Roman" w:cs="Times New Roman"/>
          <w:noProof/>
          <w:color w:val="000000"/>
          <w:sz w:val="20"/>
        </w:rPr>
        <w:instrText>Commission Staff Working Document -</w:instrText>
      </w:r>
      <w:bookmarkEnd w:id="10"/>
      <w:r>
        <w:rPr>
          <w:rFonts w:ascii="Times New Roman" w:hAnsi="Times New Roman" w:cs="Times New Roman"/>
          <w:noProof/>
          <w:color w:val="000000"/>
          <w:sz w:val="20"/>
        </w:rPr>
        <w:instrText xml:space="preserve"> " \f \l 1 </w:instrText>
      </w:r>
      <w:r>
        <w:rPr>
          <w:rFonts w:ascii="Times New Roman" w:hAnsi="Times New Roman" w:cs="Times New Roman"/>
          <w:noProof/>
          <w:vanish/>
          <w:color w:val="000000"/>
          <w:sz w:val="20"/>
        </w:rPr>
        <w:fldChar w:fldCharType="end"/>
      </w:r>
    </w:p>
    <w:p>
      <w:pPr>
        <w:spacing w:after="240" w:line="240" w:lineRule="atLeast"/>
        <w:jc w:val="both"/>
        <w:rPr>
          <w:rFonts w:ascii="Times New Roman" w:hAnsi="Times New Roman" w:cs="Times New Roman"/>
          <w:noProof/>
          <w:color w:val="000000"/>
          <w:sz w:val="24"/>
        </w:rPr>
      </w:pPr>
    </w:p>
    <w:bookmarkEnd w:id="9"/>
    <w:p>
      <w:pPr>
        <w:spacing w:after="240" w:line="240" w:lineRule="atLeast"/>
        <w:jc w:val="both"/>
        <w:rPr>
          <w:rFonts w:ascii="Times New Roman" w:hAnsi="Times New Roman" w:cs="Times New Roman"/>
          <w:noProof/>
          <w:color w:val="000000"/>
          <w:sz w:val="24"/>
        </w:rPr>
        <w:sectPr>
          <w:headerReference w:type="even" r:id="rId34"/>
          <w:headerReference w:type="default" r:id="rId35"/>
          <w:footerReference w:type="even" r:id="rId36"/>
          <w:footerReference w:type="default" r:id="rId37"/>
          <w:headerReference w:type="first" r:id="rId38"/>
          <w:footerReference w:type="first" r:id="rId39"/>
          <w:footnotePr>
            <w:pos w:val="beneathText"/>
          </w:footnotePr>
          <w:endnotePr>
            <w:numFmt w:val="decimal"/>
            <w:numRestart w:val="eachSect"/>
          </w:endnotePr>
          <w:type w:val="oddPage"/>
          <w:pgSz w:w="11907" w:h="16839"/>
          <w:pgMar w:top="1984" w:right="1701" w:bottom="1417" w:left="1701" w:header="709" w:footer="709" w:gutter="0"/>
          <w:cols w:space="708"/>
          <w:titlePg/>
          <w:docGrid w:linePitch="360"/>
        </w:sectPr>
      </w:pPr>
    </w:p>
    <w:bookmarkStart w:id="11" w:name="GUID10E8162F195B44B3973E62DE5C51915F"/>
    <w:p>
      <w:pPr>
        <w:spacing w:after="240" w:line="240" w:lineRule="atLeast"/>
        <w:jc w:val="both"/>
        <w:rPr>
          <w:rFonts w:ascii="Times New Roman" w:hAnsi="Times New Roman" w:cs="Times New Roman"/>
          <w:noProof/>
          <w:vanish/>
          <w:color w:val="000000"/>
          <w:sz w:val="20"/>
        </w:rPr>
      </w:pPr>
      <w:r>
        <w:rPr>
          <w:rFonts w:ascii="Times New Roman" w:hAnsi="Times New Roman" w:cs="Times New Roman"/>
          <w:noProof/>
          <w:vanish/>
          <w:color w:val="000000"/>
          <w:sz w:val="20"/>
        </w:rPr>
        <w:fldChar w:fldCharType="begin"/>
      </w:r>
      <w:r>
        <w:rPr>
          <w:rFonts w:ascii="Times New Roman" w:hAnsi="Times New Roman" w:cs="Times New Roman"/>
          <w:noProof/>
          <w:color w:val="000000"/>
          <w:sz w:val="20"/>
        </w:rPr>
        <w:instrText xml:space="preserve"> TC "</w:instrText>
      </w:r>
      <w:bookmarkStart w:id="12" w:name="_Toc32921482"/>
      <w:r>
        <w:rPr>
          <w:rFonts w:ascii="Times New Roman" w:hAnsi="Times New Roman" w:cs="Times New Roman"/>
          <w:noProof/>
          <w:color w:val="000000"/>
          <w:sz w:val="20"/>
        </w:rPr>
        <w:instrText>1.</w:instrText>
      </w:r>
      <w:r>
        <w:rPr>
          <w:rFonts w:ascii="Times New Roman" w:hAnsi="Times New Roman" w:cs="Times New Roman"/>
          <w:noProof/>
          <w:color w:val="000000"/>
          <w:sz w:val="20"/>
        </w:rPr>
        <w:tab/>
        <w:instrText>Introduction</w:instrText>
      </w:r>
      <w:bookmarkEnd w:id="12"/>
      <w:r>
        <w:rPr>
          <w:rFonts w:ascii="Times New Roman" w:hAnsi="Times New Roman" w:cs="Times New Roman"/>
          <w:noProof/>
          <w:color w:val="000000"/>
          <w:sz w:val="20"/>
        </w:rPr>
        <w:instrText xml:space="preserve">" \f \l 1 </w:instrText>
      </w:r>
      <w:r>
        <w:rPr>
          <w:rFonts w:ascii="Times New Roman" w:hAnsi="Times New Roman" w:cs="Times New Roman"/>
          <w:noProof/>
          <w:vanish/>
          <w:color w:val="000000"/>
          <w:sz w:val="20"/>
        </w:rPr>
        <w:fldChar w:fldCharType="end"/>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Economic developments and policies in Greece are monitored under the regular economic surveillance framework for euro-area Member States under the European Semester for economic policy co-ordination and under the enhanced surveillance framework according to Regulation (EU) No 472/2013</w:t>
      </w:r>
      <w:r>
        <w:rPr>
          <w:rFonts w:ascii="Times New Roman" w:hAnsi="Times New Roman" w:cs="Times New Roman"/>
          <w:noProof/>
          <w:color w:val="000000"/>
          <w:sz w:val="24"/>
        </w:rPr>
        <w:t> (</w:t>
      </w:r>
      <w:r>
        <w:rPr>
          <w:rFonts w:ascii="Times New Roman" w:hAnsi="Times New Roman" w:cs="Times New Roman"/>
          <w:noProof/>
          <w:color w:val="000000"/>
          <w:sz w:val="24"/>
          <w:vertAlign w:val="superscript"/>
        </w:rPr>
        <w:footnoteReference w:id="1"/>
      </w:r>
      <w:r>
        <w:rPr>
          <w:rFonts w:ascii="Times New Roman" w:hAnsi="Times New Roman" w:cs="Times New Roman"/>
          <w:noProof/>
          <w:color w:val="000000"/>
          <w:sz w:val="24"/>
        </w:rPr>
        <w:t>). Following its third prolongation, enhanced surveillance for Greece is currently in place for six months as from 21 February 2020 (</w:t>
      </w:r>
      <w:r>
        <w:rPr>
          <w:rFonts w:ascii="Times New Roman" w:hAnsi="Times New Roman" w:cs="Times New Roman"/>
          <w:noProof/>
          <w:color w:val="000000"/>
          <w:sz w:val="24"/>
          <w:vertAlign w:val="superscript"/>
        </w:rPr>
        <w:footnoteReference w:id="2"/>
      </w:r>
      <w:r>
        <w:rPr>
          <w:rFonts w:ascii="Times New Roman" w:hAnsi="Times New Roman" w:cs="Times New Roman"/>
          <w:noProof/>
          <w:color w:val="000000"/>
          <w:sz w:val="24"/>
        </w:rPr>
        <w:t xml:space="preserve">). The implementation of enhanced surveillance for Greece acknowledges the fact that over the medium term, Greece needs to continue implementing measures to address the sources or potential sources of economic and financial difficulties, while implementing structural reforms to support a robust and sustainable economic growth.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Greece made a general commitment at the Eurogroup of 22 June 2018 to continue and complete reforms adopted under the European Stability Mechanism programme and to ensure that the objectives of the important reforms adopted under the financial assistance programmes are safeguarded.</w:t>
      </w:r>
      <w:r>
        <w:rPr>
          <w:rFonts w:ascii="Times New Roman" w:hAnsi="Times New Roman" w:cs="Times New Roman"/>
          <w:noProof/>
          <w:color w:val="000000"/>
          <w:sz w:val="24"/>
        </w:rPr>
        <w:t xml:space="preserve"> In addition, Greece made specific commitments to complete key structural reforms started under the programme in six key areas by agreed deadlines up to mid-2022, namely (i) fiscal and fiscal-structural policies, (ii) social welfare, (iii) financial stability, (iv) labour and product markets, (v) privatisation and (vi) the modernisation of public administration (</w:t>
      </w:r>
      <w:r>
        <w:rPr>
          <w:rFonts w:ascii="Times New Roman" w:hAnsi="Times New Roman" w:cs="Times New Roman"/>
          <w:noProof/>
          <w:color w:val="000000"/>
          <w:sz w:val="24"/>
          <w:vertAlign w:val="superscript"/>
        </w:rPr>
        <w:footnoteReference w:id="3"/>
      </w:r>
      <w:r>
        <w:rPr>
          <w:rFonts w:ascii="Times New Roman" w:hAnsi="Times New Roman" w:cs="Times New Roman"/>
          <w:noProof/>
          <w:color w:val="000000"/>
          <w:sz w:val="24"/>
        </w:rPr>
        <w:t xml:space="preserve">). In this context, 10 specific commitments were made with a deadline of end-2019, progress on which is assessed in this report, while follow-up actions to previous commitments are also monitored.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This report is based on the findings of a mission to Athens between 22 and 24 January 2020 and regular dialogue with the authorities.</w:t>
      </w:r>
      <w:r>
        <w:rPr>
          <w:rFonts w:ascii="Times New Roman" w:hAnsi="Times New Roman" w:cs="Times New Roman"/>
          <w:noProof/>
          <w:color w:val="000000"/>
          <w:sz w:val="24"/>
        </w:rPr>
        <w:t xml:space="preserve"> The mission was conducted by the Commission in liaison with the European Central Bank (</w:t>
      </w:r>
      <w:r>
        <w:rPr>
          <w:rFonts w:ascii="Times New Roman" w:hAnsi="Times New Roman" w:cs="Times New Roman"/>
          <w:noProof/>
          <w:color w:val="000000"/>
          <w:sz w:val="24"/>
          <w:vertAlign w:val="superscript"/>
        </w:rPr>
        <w:footnoteReference w:id="4"/>
      </w:r>
      <w:r>
        <w:rPr>
          <w:rFonts w:ascii="Times New Roman" w:hAnsi="Times New Roman" w:cs="Times New Roman"/>
          <w:noProof/>
          <w:color w:val="000000"/>
          <w:sz w:val="24"/>
        </w:rPr>
        <w:t xml:space="preserve">); the International Monetary Fund participated in the context of its Post Program Monitoring cycle, while the European Stability Mechanism participated in the context of its Early Warning System and in line with the Memorandum of Understanding of 27 April 2018 on working relations between the European Commission and European Stability Mechanism.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Enhanced surveillance provides a comprehensive framework for monitoring economic developments and the pursuit of policies needed to ensure a sustainable economic recovery</w:t>
      </w:r>
      <w:r>
        <w:rPr>
          <w:rFonts w:ascii="Times New Roman" w:hAnsi="Times New Roman" w:cs="Times New Roman"/>
          <w:noProof/>
          <w:color w:val="000000"/>
          <w:sz w:val="24"/>
        </w:rPr>
        <w:t>. To this end, this report includes an assessment of economic conditions in Greece (chapter 2); an assessment of implementation of reform commitments given by Greece to the European partners (chapters 3-8); and an update on sovereign financing conditions and debt repayment capacity (chapter 9). This report is issued alongside the Country Report for Greece, prepared in the context of the European Semester of economic and social policy coordination.</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Eurogroup on 22 June 2018 agreed that the package of debt relief measures for Greece should include incentives to ensure a strong and continuous implementation of the reform measures agreed in the programme.</w:t>
      </w:r>
      <w:r>
        <w:rPr>
          <w:rFonts w:ascii="Times New Roman" w:hAnsi="Times New Roman" w:cs="Times New Roman"/>
          <w:noProof/>
          <w:color w:val="000000"/>
          <w:sz w:val="24"/>
        </w:rPr>
        <w:t xml:space="preserve"> To this end, the implementation of some of the agreed debt measures – the abolition of the step-up interest rate margin related to the debt buy-back tranche of the European Financial Stability Facility (EFSF) programme as of 2018 and the restoration of the transfer of equivalent amounts to the income earned by euro-area national central banks on Greek government bonds held under the Agreement on Net Financial Assets (ANFA) and the Securities Market Programme (SMP) – will be made available to Greece subject to compliance with its commitments on reform continuity and completion, based on positive reports under enhanced surveillance. The return of these income equivalent amounts would be made available to Greece in semi-annual tranches of some €640 m up to mid-2022. The waiver of the step-up interest rate margin, for part of the loans extended by the European Financial Stability Facility, would reduce interest payments by some €220 m annually. It would be waived on a semi-annual basis until 2022 and permanently after 2022. Following the Eurogroup on 4 December 2019, the second tranche of policy-contingent debt measures has been completed, inter alia based on the assessment of the implementation of Greece’s commitments for mid-2019 in the enhanced surveillance report adopted by the Commission on 20 November 2019 (</w:t>
      </w:r>
      <w:r>
        <w:rPr>
          <w:rFonts w:ascii="Times New Roman" w:hAnsi="Times New Roman" w:cs="Times New Roman"/>
          <w:noProof/>
          <w:color w:val="000000"/>
          <w:sz w:val="24"/>
          <w:vertAlign w:val="superscript"/>
        </w:rPr>
        <w:footnoteReference w:id="5"/>
      </w:r>
      <w:r>
        <w:rPr>
          <w:rFonts w:ascii="Times New Roman" w:hAnsi="Times New Roman" w:cs="Times New Roman"/>
          <w:noProof/>
          <w:color w:val="000000"/>
          <w:sz w:val="24"/>
        </w:rPr>
        <w:t xml:space="preserve">). The current report assesses the implementation of Greece’s specific reform completion commitments for end-2019, the continuous commitments and its general reform continuity commitment. </w:t>
      </w:r>
    </w:p>
    <w:p>
      <w:pPr>
        <w:spacing w:after="240" w:line="240" w:lineRule="atLeast"/>
        <w:jc w:val="both"/>
        <w:rPr>
          <w:rFonts w:ascii="Times New Roman" w:hAnsi="Times New Roman" w:cs="Times New Roman"/>
          <w:noProof/>
          <w:color w:val="000000"/>
          <w:sz w:val="24"/>
        </w:rPr>
      </w:pPr>
    </w:p>
    <w:bookmarkEnd w:id="11"/>
    <w:p>
      <w:pPr>
        <w:spacing w:after="240" w:line="240" w:lineRule="atLeast"/>
        <w:jc w:val="both"/>
        <w:rPr>
          <w:rFonts w:ascii="Times New Roman" w:hAnsi="Times New Roman" w:cs="Times New Roman"/>
          <w:noProof/>
          <w:color w:val="000000"/>
          <w:sz w:val="24"/>
        </w:rPr>
        <w:sectPr>
          <w:headerReference w:type="even" r:id="rId40"/>
          <w:headerReference w:type="default" r:id="rId41"/>
          <w:footerReference w:type="even" r:id="rId42"/>
          <w:footerReference w:type="default" r:id="rId43"/>
          <w:headerReference w:type="first" r:id="rId44"/>
          <w:footerReference w:type="first" r:id="rId45"/>
          <w:footnotePr>
            <w:pos w:val="beneathText"/>
          </w:footnotePr>
          <w:endnotePr>
            <w:numFmt w:val="decimal"/>
            <w:numRestart w:val="eachSect"/>
          </w:endnotePr>
          <w:type w:val="oddPage"/>
          <w:pgSz w:w="11907" w:h="16839"/>
          <w:pgMar w:top="1984" w:right="1701" w:bottom="1417" w:left="1701" w:header="709" w:footer="709" w:gutter="0"/>
          <w:cols w:space="708"/>
          <w:titlePg/>
          <w:docGrid w:linePitch="360"/>
        </w:sectPr>
      </w:pPr>
    </w:p>
    <w:bookmarkStart w:id="13" w:name="GUID702E93A7F27D4674B446320224CC9B7A"/>
    <w:p>
      <w:pPr>
        <w:spacing w:after="240" w:line="240" w:lineRule="atLeast"/>
        <w:jc w:val="both"/>
        <w:rPr>
          <w:rFonts w:ascii="Times New Roman" w:hAnsi="Times New Roman" w:cs="Times New Roman"/>
          <w:noProof/>
          <w:vanish/>
          <w:color w:val="000000"/>
          <w:sz w:val="20"/>
        </w:rPr>
      </w:pPr>
      <w:r>
        <w:rPr>
          <w:rFonts w:ascii="Times New Roman" w:hAnsi="Times New Roman" w:cs="Times New Roman"/>
          <w:noProof/>
          <w:vanish/>
          <w:color w:val="000000"/>
          <w:sz w:val="20"/>
        </w:rPr>
        <w:fldChar w:fldCharType="begin"/>
      </w:r>
      <w:r>
        <w:rPr>
          <w:rFonts w:ascii="Times New Roman" w:hAnsi="Times New Roman" w:cs="Times New Roman"/>
          <w:noProof/>
          <w:color w:val="000000"/>
          <w:sz w:val="20"/>
        </w:rPr>
        <w:instrText xml:space="preserve"> TC "</w:instrText>
      </w:r>
      <w:bookmarkStart w:id="14" w:name="_Toc32921483"/>
      <w:r>
        <w:rPr>
          <w:rFonts w:ascii="Times New Roman" w:hAnsi="Times New Roman" w:cs="Times New Roman"/>
          <w:noProof/>
          <w:color w:val="000000"/>
          <w:sz w:val="20"/>
        </w:rPr>
        <w:instrText>2.</w:instrText>
      </w:r>
      <w:r>
        <w:rPr>
          <w:rFonts w:ascii="Times New Roman" w:hAnsi="Times New Roman" w:cs="Times New Roman"/>
          <w:noProof/>
          <w:color w:val="000000"/>
          <w:sz w:val="20"/>
        </w:rPr>
        <w:tab/>
        <w:instrText>Macroeconomic developments</w:instrText>
      </w:r>
      <w:bookmarkEnd w:id="14"/>
      <w:r>
        <w:rPr>
          <w:rFonts w:ascii="Times New Roman" w:hAnsi="Times New Roman" w:cs="Times New Roman"/>
          <w:noProof/>
          <w:color w:val="000000"/>
          <w:sz w:val="20"/>
        </w:rPr>
        <w:instrText xml:space="preserve">" \f \l 1 </w:instrText>
      </w:r>
      <w:r>
        <w:rPr>
          <w:rFonts w:ascii="Times New Roman" w:hAnsi="Times New Roman" w:cs="Times New Roman"/>
          <w:noProof/>
          <w:vanish/>
          <w:color w:val="000000"/>
          <w:sz w:val="20"/>
        </w:rPr>
        <w:fldChar w:fldCharType="end"/>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economic recovery continued in 2019 and is expected to strengthen going forward.</w:t>
      </w:r>
      <w:r>
        <w:rPr>
          <w:rFonts w:ascii="Times New Roman" w:hAnsi="Times New Roman" w:cs="Times New Roman"/>
          <w:noProof/>
          <w:color w:val="000000"/>
          <w:sz w:val="24"/>
        </w:rPr>
        <w:t xml:space="preserve"> With an average 0.7% quarter-on-quarter growth in the first three quarters of 2019, economic growth strengthened somewhat in 2019 and is expected to reach 2.2% for the year overall, well above the euro area average of 1.2%. GDP growth was mainly driven by exports, with a strong contribution of government consumption in the second quarter of 2019. A particularly positive tourism season boosted service exports but also goods exports remained resilient despite the lower growth in the euro area, which is the main export market for Greek products. Despite increases in disposable income, consumption growth remained low in the first three quarters of 2019, indicating that households continued to deleverage. Investment growth remained lower than expected in 2019, despite the sizable investment gap compared to the euro area average and the high economic sentiment indicators in the second half of 2019. Public investment is expected to have supported growth to a lesser extent than forecast given that the Public Investment Budget was not executed fully in 2019.</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For 2020 and 2021, the main drivers of growth are likely to be investment and private consumption, while exports are expected to grow at a slower pace.</w:t>
      </w:r>
      <w:r>
        <w:rPr>
          <w:rFonts w:ascii="Times New Roman" w:hAnsi="Times New Roman" w:cs="Times New Roman"/>
          <w:noProof/>
          <w:color w:val="000000"/>
          <w:sz w:val="24"/>
        </w:rPr>
        <w:t xml:space="preserve"> Positive expectations, on both producer and consumer side, and the tax reform package that reduces the corporate income tax in 2020 suggest that investment should be one of the main drivers of GDP growth in 2020 and 2021. Private consumption is likely to be supported by increasing wages and disposable incomes, and the steadily improving situation on the labour market. Export growth is likely to remain below the rates reached in 2018 and 2019 given the slower growth of Greece’s main export markets. </w:t>
      </w:r>
    </w:p>
    <w:tbl>
      <w:tblPr>
        <w:tblW w:w="0" w:type="auto"/>
        <w:tblLayout w:type="fixed"/>
        <w:tblCellMar>
          <w:left w:w="0" w:type="dxa"/>
          <w:right w:w="0" w:type="dxa"/>
        </w:tblCellMar>
        <w:tblLook w:val="0000" w:firstRow="0" w:lastRow="0" w:firstColumn="0" w:lastColumn="0" w:noHBand="0" w:noVBand="0"/>
      </w:tblPr>
      <w:tblGrid>
        <w:gridCol w:w="8505"/>
      </w:tblGrid>
      <w:tr>
        <w:trPr>
          <w:cantSplit/>
        </w:trPr>
        <w:tc>
          <w:tcPr>
            <w:tcW w:w="8505" w:type="dxa"/>
            <w:shd w:val="clear" w:color="auto" w:fill="auto"/>
          </w:tcPr>
          <w:p>
            <w:pPr>
              <w:keepNext/>
              <w:pBdr>
                <w:top w:val="single" w:sz="2" w:space="2" w:color="auto"/>
                <w:bottom w:val="single" w:sz="2" w:space="2" w:color="auto"/>
              </w:pBdr>
              <w:tabs>
                <w:tab w:val="left" w:pos="1020"/>
                <w:tab w:val="left" w:pos="1077"/>
                <w:tab w:val="left" w:pos="1134"/>
              </w:tabs>
              <w:spacing w:after="40" w:line="240" w:lineRule="auto"/>
              <w:ind w:left="1020" w:hanging="1020"/>
              <w:rPr>
                <w:rFonts w:ascii="Century Gothic" w:hAnsi="Century Gothic" w:cs="Times New Roman"/>
                <w:b/>
                <w:noProof/>
                <w:color w:val="333399"/>
                <w:sz w:val="18"/>
              </w:rPr>
            </w:pPr>
            <w:r>
              <w:rPr>
                <w:rFonts w:ascii="Century Gothic" w:hAnsi="Century Gothic" w:cs="Times New Roman"/>
                <w:noProof/>
                <w:color w:val="333399"/>
                <w:sz w:val="18"/>
              </w:rPr>
              <w:t>Graph 2.1:</w:t>
            </w:r>
            <w:r>
              <w:rPr>
                <w:rFonts w:ascii="Century Gothic" w:hAnsi="Century Gothic" w:cs="Times New Roman"/>
                <w:b/>
                <w:noProof/>
                <w:color w:val="333399"/>
                <w:sz w:val="18"/>
              </w:rPr>
              <w:tab/>
              <w:t>Real GDP and growth contributions</w:t>
            </w:r>
          </w:p>
        </w:tc>
      </w:tr>
      <w:tr>
        <w:trPr>
          <w:cantSplit/>
        </w:trPr>
        <w:tc>
          <w:tcPr>
            <w:tcW w:w="8505" w:type="dxa"/>
            <w:shd w:val="clear" w:color="auto" w:fill="auto"/>
          </w:tcPr>
          <w:p>
            <w:pPr>
              <w:keepNext/>
              <w:spacing w:after="0" w:line="240" w:lineRule="auto"/>
              <w:jc w:val="center"/>
              <w:rPr>
                <w:rFonts w:ascii="Times New Roman" w:hAnsi="Times New Roman" w:cs="Times New Roman"/>
                <w:noProof/>
                <w:color w:val="000000"/>
                <w:sz w:val="2"/>
              </w:rPr>
            </w:pPr>
            <w:r>
              <w:rPr>
                <w:rFonts w:ascii="Times New Roman" w:hAnsi="Times New Roman" w:cs="Times New Roman"/>
                <w:noProof/>
                <w:color w:val="000000"/>
                <w:sz w:val="24"/>
              </w:rPr>
              <w:fldChar w:fldCharType="begin"/>
            </w:r>
            <w:r>
              <w:rPr>
                <w:rFonts w:ascii="Times New Roman" w:hAnsi="Times New Roman" w:cs="Times New Roman"/>
                <w:noProof/>
                <w:color w:val="000000"/>
                <w:sz w:val="24"/>
              </w:rPr>
              <w:instrText xml:space="preserve"> TC "</w:instrText>
            </w:r>
            <w:bookmarkStart w:id="15" w:name="_Toc32919969"/>
            <w:r>
              <w:rPr>
                <w:rFonts w:ascii="Times New Roman" w:hAnsi="Times New Roman" w:cs="Times New Roman"/>
                <w:noProof/>
                <w:color w:val="000000"/>
                <w:sz w:val="24"/>
              </w:rPr>
              <w:instrText>2.1.</w:instrText>
            </w:r>
            <w:r>
              <w:rPr>
                <w:rFonts w:ascii="Times New Roman" w:hAnsi="Times New Roman" w:cs="Times New Roman"/>
                <w:noProof/>
                <w:color w:val="000000"/>
                <w:sz w:val="24"/>
              </w:rPr>
              <w:tab/>
              <w:instrText>Real GDP and growth contributions</w:instrText>
            </w:r>
            <w:bookmarkEnd w:id="15"/>
            <w:r>
              <w:rPr>
                <w:rFonts w:ascii="Times New Roman" w:hAnsi="Times New Roman" w:cs="Times New Roman"/>
                <w:noProof/>
                <w:color w:val="000000"/>
                <w:sz w:val="24"/>
              </w:rPr>
              <w:instrText xml:space="preserve">" \fgraph \l 5 </w:instrText>
            </w:r>
            <w:r>
              <w:rPr>
                <w:rFonts w:ascii="Times New Roman" w:hAnsi="Times New Roman" w:cs="Times New Roman"/>
                <w:noProof/>
                <w:color w:val="000000"/>
                <w:sz w:val="24"/>
              </w:rPr>
              <w:fldChar w:fldCharType="end"/>
            </w:r>
            <w:r>
              <w:rPr>
                <w:rFonts w:ascii="Times New Roman" w:hAnsi="Times New Roman" w:cs="Times New Roman"/>
                <w:noProof/>
                <w:color w:val="000000"/>
                <w:sz w:val="2"/>
                <w:lang w:eastAsia="en-GB"/>
              </w:rPr>
              <w:drawing>
                <wp:inline distT="0" distB="0" distL="0" distR="0">
                  <wp:extent cx="5388229" cy="2514816"/>
                  <wp:effectExtent l="0" t="0" r="0" b="0"/>
                  <wp:docPr id="1" name="Picture 1" descr="&lt;nbr&gt;&lt;GETTEXTFROMWORD&gt;&lt;/nbr&gt;&#10;&lt;title&gt;&lt;GETTEXTFROMWORD&gt;&lt;/title&gt;&#10;&lt;id&gt;78bd5d03-7c85-4201-a83e-cb25f8f6ec9c&lt;/id&gt;&#10;&lt;srcType&gt;EXCEL&lt;/srcType&gt;&#10;&lt;srcPath&gt;\\myintracomm-collab.ec.europa.eu@SSL\DavWWWRoot\dg\ECFIN\Country\GR\Shared Documents\POST-PROGRAMME\Enhanced surveillance\5th Report\Graphs-Tables\&lt;/srcPath&gt;&#10;&lt;srcName&gt;1_macro.xlsx&lt;/srcName&gt;&#10;&lt;type&gt;graph&lt;/type&gt;&#10; &lt;srcSheet&gt;Graph 1.1&lt;/srcSheet&gt;&#10; &lt;srcChartTitle&gt;Chart 1&lt;/srcChartTitle&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20-02-13T19:00:05&lt;/scrFileTime&gt;&#10;&lt;imageInformation&gt;&#10; &lt;dontScaleUp&gt;no&lt;/dontScaleUp&gt;&#10; &lt;usedpercentageofavailablewidth&gt;100&lt;/usedpercentageofavailablewidth&gt;&#10;&lt;/imageInformation&gt;&#10;&lt;url&gt;Chap2/Chap2-Graph-2.1.xlsx&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28A0092B-C50C-407E-A947-70E740481C1C}">
                                <a14:useLocalDpi xmlns:a14="http://schemas.microsoft.com/office/drawing/2010/main" val="0"/>
                              </a:ext>
                            </a:extLst>
                          </a:blip>
                          <a:srcRect/>
                          <a:stretch>
                            <a:fillRect/>
                          </a:stretch>
                        </pic:blipFill>
                        <pic:spPr>
                          <a:xfrm>
                            <a:off x="0" y="0"/>
                            <a:ext cx="5388229" cy="2514816"/>
                          </a:xfrm>
                          <a:prstGeom prst="rect">
                            <a:avLst/>
                          </a:prstGeom>
                        </pic:spPr>
                      </pic:pic>
                    </a:graphicData>
                  </a:graphic>
                </wp:inline>
              </w:drawing>
            </w:r>
            <w:r>
              <w:rPr>
                <w:rFonts w:ascii="Times New Roman" w:hAnsi="Times New Roman" w:cs="Times New Roman"/>
                <w:noProof/>
                <w:color w:val="000000"/>
                <w:sz w:val="2"/>
              </w:rPr>
              <w:t xml:space="preserve"> </w:t>
            </w:r>
          </w:p>
        </w:tc>
      </w:tr>
      <w:tr>
        <w:trPr>
          <w:cantSplit/>
        </w:trPr>
        <w:tc>
          <w:tcPr>
            <w:tcW w:w="8505" w:type="dxa"/>
            <w:shd w:val="clear" w:color="auto" w:fill="auto"/>
            <w:tcMar>
              <w:bottom w:w="240" w:type="dxa"/>
            </w:tcMar>
          </w:tcPr>
          <w:p>
            <w:pPr>
              <w:pBdr>
                <w:top w:val="single" w:sz="2" w:space="2" w:color="auto"/>
                <w:bottom w:val="single" w:sz="2" w:space="2" w:color="auto"/>
              </w:pBdr>
              <w:spacing w:after="0" w:line="240" w:lineRule="auto"/>
              <w:rPr>
                <w:rFonts w:ascii="Century Gothic" w:hAnsi="Century Gothic" w:cs="Times New Roman"/>
                <w:noProof/>
                <w:color w:val="000000"/>
                <w:sz w:val="18"/>
              </w:rPr>
            </w:pPr>
            <w:r>
              <w:rPr>
                <w:rFonts w:ascii="Century Gothic" w:hAnsi="Century Gothic" w:cs="Times New Roman"/>
                <w:b/>
                <w:i/>
                <w:noProof/>
                <w:color w:val="000000"/>
                <w:sz w:val="18"/>
              </w:rPr>
              <w:t>Source:</w:t>
            </w:r>
            <w:r>
              <w:rPr>
                <w:rFonts w:ascii="Century Gothic" w:hAnsi="Century Gothic" w:cs="Times New Roman"/>
                <w:noProof/>
                <w:color w:val="000000"/>
                <w:sz w:val="18"/>
              </w:rPr>
              <w:t xml:space="preserve"> European Commission </w:t>
            </w:r>
          </w:p>
        </w:tc>
      </w:tr>
    </w:tbl>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recovery of the labour market is expected to continue whereas inflation is forecast to remain muted in the short term.</w:t>
      </w:r>
      <w:r>
        <w:rPr>
          <w:rFonts w:ascii="Times New Roman" w:hAnsi="Times New Roman" w:cs="Times New Roman"/>
          <w:noProof/>
          <w:color w:val="000000"/>
          <w:sz w:val="24"/>
        </w:rPr>
        <w:t xml:space="preserve"> In line with the domestic driven economic recovery, employment is expected to increase steadily. Unemployment, while still the highest in the EU, decreased to 16.5% in November 2019 (national data), substantially down from its peak of 27.5% in 2013, and is expected to decrease further to 14% in 2021. Employment growth remained stable at 2.1% average quarterly year on year growth in the first three quarters of 2019 despite the minimum wage increase in February 2019. Inflation reached 0.5% in 2019, mostly on account of subdued growth of energy prices and the decreases in value added tax rates on certain goods in May 2019. For 2020 and 2021, inflation is forecast to gradually increase up to 0.9%, as wages increase.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forecast remains subject to both upside and downside risks. </w:t>
      </w:r>
      <w:r>
        <w:rPr>
          <w:rFonts w:ascii="Times New Roman" w:hAnsi="Times New Roman" w:cs="Times New Roman"/>
          <w:noProof/>
          <w:color w:val="000000"/>
          <w:sz w:val="24"/>
        </w:rPr>
        <w:t>Latest developments in leading indicators together with recent statistical revisions point to upside risks for 2019 and 2020</w:t>
      </w:r>
      <w:r>
        <w:rPr>
          <w:rFonts w:ascii="Times New Roman" w:hAnsi="Times New Roman" w:cs="Times New Roman"/>
          <w:b/>
          <w:noProof/>
          <w:color w:val="000000"/>
          <w:sz w:val="24"/>
        </w:rPr>
        <w:t>.</w:t>
      </w:r>
      <w:r>
        <w:rPr>
          <w:rFonts w:ascii="Times New Roman" w:hAnsi="Times New Roman" w:cs="Times New Roman"/>
          <w:noProof/>
          <w:color w:val="000000"/>
          <w:sz w:val="24"/>
        </w:rPr>
        <w:t xml:space="preserve"> Depending on the development of the tourism and transport industries, service exports could surprise with strong growth again. Greece’s export market shares continued to strengthen in 2019 and the forecast assumes that the trend will remain modest given the slowly increasing unit labour cost. Keeping wage growth in line with productivity developments would be instrumental in supporting the investment recovery and export growth. Other downside risks are related to the uncertain geopolitical situation and lasting political tensions in the wider region as well as the under-execution of the Public Investment Budget and the related negative effects on the recovery of domestic demand. The projection is contingent upon maintaining the reform path agreed under enhanced surveillance. In particular, provision of investment financing though the banking sector will depend on a swift implementation of financial sector reforms, devised to support banks’ intermediation capacity. </w:t>
      </w:r>
    </w:p>
    <w:tbl>
      <w:tblPr>
        <w:tblW w:w="0" w:type="auto"/>
        <w:tblLayout w:type="fixed"/>
        <w:tblCellMar>
          <w:left w:w="0" w:type="dxa"/>
          <w:right w:w="0" w:type="dxa"/>
        </w:tblCellMar>
        <w:tblLook w:val="0000" w:firstRow="0" w:lastRow="0" w:firstColumn="0" w:lastColumn="0" w:noHBand="0" w:noVBand="0"/>
      </w:tblPr>
      <w:tblGrid>
        <w:gridCol w:w="8505"/>
      </w:tblGrid>
      <w:tr>
        <w:trPr>
          <w:cantSplit/>
          <w:trHeight w:val="20"/>
        </w:trPr>
        <w:tc>
          <w:tcPr>
            <w:tcW w:w="8505" w:type="dxa"/>
            <w:shd w:val="clear" w:color="auto" w:fill="auto"/>
          </w:tcPr>
          <w:p>
            <w:pPr>
              <w:keepNext/>
              <w:spacing w:after="0" w:line="240" w:lineRule="auto"/>
              <w:jc w:val="both"/>
              <w:rPr>
                <w:rFonts w:ascii="Times New Roman" w:hAnsi="Times New Roman" w:cs="Times New Roman"/>
                <w:noProof/>
                <w:color w:val="000000"/>
                <w:sz w:val="2"/>
              </w:rPr>
            </w:pPr>
          </w:p>
        </w:tc>
      </w:tr>
      <w:tr>
        <w:trPr>
          <w:cantSplit/>
        </w:trPr>
        <w:tc>
          <w:tcPr>
            <w:tcW w:w="8505" w:type="dxa"/>
            <w:shd w:val="clear" w:color="auto" w:fill="auto"/>
          </w:tcPr>
          <w:p>
            <w:pPr>
              <w:keepNext/>
              <w:pBdr>
                <w:top w:val="single" w:sz="2" w:space="2" w:color="auto"/>
                <w:bottom w:val="single" w:sz="2" w:space="2" w:color="auto"/>
              </w:pBdr>
              <w:tabs>
                <w:tab w:val="left" w:pos="1020"/>
                <w:tab w:val="left" w:pos="1077"/>
                <w:tab w:val="left" w:pos="1134"/>
              </w:tabs>
              <w:spacing w:after="40" w:line="240" w:lineRule="auto"/>
              <w:ind w:left="1020" w:hanging="1020"/>
              <w:rPr>
                <w:rFonts w:ascii="Century Gothic" w:hAnsi="Century Gothic" w:cs="Times New Roman"/>
                <w:b/>
                <w:noProof/>
                <w:color w:val="333399"/>
                <w:sz w:val="18"/>
              </w:rPr>
            </w:pPr>
            <w:r>
              <w:rPr>
                <w:rFonts w:ascii="Century Gothic" w:hAnsi="Century Gothic" w:cs="Times New Roman"/>
                <w:noProof/>
                <w:color w:val="333399"/>
                <w:sz w:val="18"/>
              </w:rPr>
              <w:t>Table 2.1:</w:t>
            </w:r>
            <w:r>
              <w:rPr>
                <w:rFonts w:ascii="Century Gothic" w:hAnsi="Century Gothic" w:cs="Times New Roman"/>
                <w:b/>
                <w:noProof/>
                <w:color w:val="333399"/>
                <w:sz w:val="18"/>
              </w:rPr>
              <w:tab/>
              <w:t>Summary of the main macroeconomic variables</w:t>
            </w:r>
          </w:p>
        </w:tc>
      </w:tr>
      <w:tr>
        <w:trPr>
          <w:cantSplit/>
        </w:trPr>
        <w:tc>
          <w:tcPr>
            <w:tcW w:w="8505" w:type="dxa"/>
            <w:shd w:val="clear" w:color="auto" w:fill="auto"/>
          </w:tcPr>
          <w:p>
            <w:pPr>
              <w:keepNext/>
              <w:spacing w:after="0" w:line="240" w:lineRule="auto"/>
              <w:jc w:val="center"/>
              <w:rPr>
                <w:rFonts w:ascii="Times New Roman" w:hAnsi="Times New Roman" w:cs="Times New Roman"/>
                <w:noProof/>
                <w:color w:val="000000"/>
                <w:sz w:val="2"/>
              </w:rPr>
            </w:pPr>
            <w:r>
              <w:rPr>
                <w:rFonts w:ascii="Times New Roman" w:hAnsi="Times New Roman" w:cs="Times New Roman"/>
                <w:noProof/>
                <w:color w:val="000000"/>
                <w:sz w:val="24"/>
              </w:rPr>
              <w:fldChar w:fldCharType="begin"/>
            </w:r>
            <w:r>
              <w:rPr>
                <w:rFonts w:ascii="Times New Roman" w:hAnsi="Times New Roman" w:cs="Times New Roman"/>
                <w:noProof/>
                <w:color w:val="000000"/>
                <w:sz w:val="24"/>
              </w:rPr>
              <w:instrText xml:space="preserve"> TC "</w:instrText>
            </w:r>
            <w:bookmarkStart w:id="16" w:name="_Toc32919965"/>
            <w:r>
              <w:rPr>
                <w:rFonts w:ascii="Times New Roman" w:hAnsi="Times New Roman" w:cs="Times New Roman"/>
                <w:noProof/>
                <w:color w:val="000000"/>
                <w:sz w:val="24"/>
              </w:rPr>
              <w:instrText>2.1.</w:instrText>
            </w:r>
            <w:r>
              <w:rPr>
                <w:rFonts w:ascii="Times New Roman" w:hAnsi="Times New Roman" w:cs="Times New Roman"/>
                <w:noProof/>
                <w:color w:val="000000"/>
                <w:sz w:val="24"/>
              </w:rPr>
              <w:tab/>
              <w:instrText>Summary of the main macroeconomic variables</w:instrText>
            </w:r>
            <w:bookmarkEnd w:id="16"/>
            <w:r>
              <w:rPr>
                <w:rFonts w:ascii="Times New Roman" w:hAnsi="Times New Roman" w:cs="Times New Roman"/>
                <w:noProof/>
                <w:color w:val="000000"/>
                <w:sz w:val="24"/>
              </w:rPr>
              <w:instrText xml:space="preserve">" \ftable \l 5 </w:instrText>
            </w:r>
            <w:r>
              <w:rPr>
                <w:rFonts w:ascii="Times New Roman" w:hAnsi="Times New Roman" w:cs="Times New Roman"/>
                <w:noProof/>
                <w:color w:val="000000"/>
                <w:sz w:val="24"/>
              </w:rPr>
              <w:fldChar w:fldCharType="end"/>
            </w:r>
            <w:r>
              <w:rPr>
                <w:rFonts w:ascii="Times New Roman" w:hAnsi="Times New Roman" w:cs="Times New Roman"/>
                <w:noProof/>
                <w:color w:val="000000"/>
                <w:sz w:val="2"/>
                <w:lang w:eastAsia="en-GB"/>
              </w:rPr>
              <w:drawing>
                <wp:inline distT="0" distB="0" distL="0" distR="0">
                  <wp:extent cx="5388229" cy="649375"/>
                  <wp:effectExtent l="0" t="0" r="3175" b="0"/>
                  <wp:docPr id="6" name="Picture 6" descr="&lt;nbr&gt;&lt;GETTEXTFROMWORD&gt;&lt;/nbr&gt;&#10;&lt;title&gt;&lt;GETTEXTFROMWORD&gt;&lt;/title&gt;&#10;&lt;id&gt;7b811c00-e8ba-4d0c-9f3c-832299d88156&lt;/id&gt;&#10;&lt;srcType&gt;EXCEL&lt;/srcType&gt;&#10;&lt;srcPath&gt;\\myintracomm-collab.ec.europa.eu@SSL\DavWWWRoot\dg\ECFIN\Country\GR\Shared Documents\POST-PROGRAMME\Enhanced surveillance\5th Report\Graphs-Tables\&lt;/srcPath&gt;&#10;&lt;srcName&gt;1_macro.xlsx&lt;/srcName&gt;&#10;&lt;type&gt;table&lt;/type&gt;&#10; &lt;srcSheet&gt;Table 1.1&lt;/srcSheet&gt;&#10; &lt;srcRange&gt;R1C2:R4C8&lt;/srcRange&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20-02-13T19:00:05&lt;/scrFileTime&gt;&#10;&lt;imageInformation&gt;&#10; &lt;dontScaleUp&gt;no&lt;/dontScaleUp&gt;&#10; &lt;usedpercentageofavailablewidth&gt;100&lt;/usedpercentageofavailablewidth&gt;&#10;&lt;/imageInformation&gt;&#10;&lt;url&gt;Chap2/Chap2-Table-2.0.xlsx&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388229" cy="649375"/>
                          </a:xfrm>
                          <a:prstGeom prst="rect">
                            <a:avLst/>
                          </a:prstGeom>
                        </pic:spPr>
                      </pic:pic>
                    </a:graphicData>
                  </a:graphic>
                </wp:inline>
              </w:drawing>
            </w:r>
            <w:r>
              <w:rPr>
                <w:rFonts w:ascii="Times New Roman" w:hAnsi="Times New Roman" w:cs="Times New Roman"/>
                <w:noProof/>
                <w:color w:val="000000"/>
                <w:sz w:val="2"/>
              </w:rPr>
              <w:t xml:space="preserve"> </w:t>
            </w:r>
          </w:p>
        </w:tc>
      </w:tr>
      <w:tr>
        <w:trPr>
          <w:cantSplit/>
        </w:trPr>
        <w:tc>
          <w:tcPr>
            <w:tcW w:w="8505" w:type="dxa"/>
            <w:shd w:val="clear" w:color="auto" w:fill="auto"/>
          </w:tcPr>
          <w:p>
            <w:pPr>
              <w:keepNext/>
              <w:pBdr>
                <w:top w:val="single" w:sz="2" w:space="2" w:color="auto"/>
                <w:bottom w:val="single" w:sz="2" w:space="2" w:color="auto"/>
              </w:pBdr>
              <w:spacing w:after="0" w:line="240" w:lineRule="auto"/>
              <w:rPr>
                <w:rFonts w:ascii="Century Gothic" w:hAnsi="Century Gothic" w:cs="Times New Roman"/>
                <w:noProof/>
                <w:color w:val="000000"/>
                <w:sz w:val="18"/>
              </w:rPr>
            </w:pPr>
            <w:r>
              <w:rPr>
                <w:rFonts w:ascii="Century Gothic" w:hAnsi="Century Gothic" w:cs="Times New Roman"/>
                <w:b/>
                <w:i/>
                <w:noProof/>
                <w:color w:val="000000"/>
                <w:sz w:val="18"/>
              </w:rPr>
              <w:t>Source:</w:t>
            </w:r>
            <w:r>
              <w:rPr>
                <w:rFonts w:ascii="Century Gothic" w:hAnsi="Century Gothic" w:cs="Times New Roman"/>
                <w:noProof/>
                <w:color w:val="000000"/>
                <w:sz w:val="18"/>
              </w:rPr>
              <w:t xml:space="preserve"> European Commission </w:t>
            </w:r>
          </w:p>
        </w:tc>
      </w:tr>
      <w:tr>
        <w:trPr>
          <w:cantSplit/>
          <w:trHeight w:val="20"/>
        </w:trPr>
        <w:tc>
          <w:tcPr>
            <w:tcW w:w="8505" w:type="dxa"/>
            <w:shd w:val="clear" w:color="auto" w:fill="auto"/>
            <w:tcMar>
              <w:bottom w:w="240" w:type="dxa"/>
            </w:tcMar>
          </w:tcPr>
          <w:p>
            <w:pPr>
              <w:spacing w:after="0" w:line="240" w:lineRule="auto"/>
              <w:jc w:val="both"/>
              <w:rPr>
                <w:rFonts w:ascii="Times New Roman" w:hAnsi="Times New Roman" w:cs="Times New Roman"/>
                <w:noProof/>
                <w:color w:val="000000"/>
                <w:sz w:val="2"/>
              </w:rPr>
            </w:pPr>
          </w:p>
        </w:tc>
      </w:tr>
      <w:bookmarkEnd w:id="13"/>
    </w:tbl>
    <w:p>
      <w:pPr>
        <w:spacing w:after="240" w:line="240" w:lineRule="atLeast"/>
        <w:jc w:val="both"/>
        <w:rPr>
          <w:rFonts w:ascii="Times New Roman" w:hAnsi="Times New Roman" w:cs="Times New Roman"/>
          <w:noProof/>
          <w:color w:val="000000"/>
          <w:sz w:val="24"/>
        </w:rPr>
        <w:sectPr>
          <w:headerReference w:type="even" r:id="rId48"/>
          <w:headerReference w:type="default" r:id="rId49"/>
          <w:footerReference w:type="even" r:id="rId50"/>
          <w:footerReference w:type="default" r:id="rId51"/>
          <w:headerReference w:type="first" r:id="rId52"/>
          <w:footerReference w:type="first" r:id="rId53"/>
          <w:footnotePr>
            <w:pos w:val="beneathText"/>
          </w:footnotePr>
          <w:endnotePr>
            <w:numFmt w:val="decimal"/>
            <w:numRestart w:val="eachSect"/>
          </w:endnotePr>
          <w:type w:val="oddPage"/>
          <w:pgSz w:w="11907" w:h="16839"/>
          <w:pgMar w:top="1984" w:right="1701" w:bottom="1417" w:left="1701" w:header="709" w:footer="709" w:gutter="0"/>
          <w:cols w:space="708"/>
          <w:titlePg/>
          <w:docGrid w:linePitch="360"/>
        </w:sectPr>
      </w:pPr>
    </w:p>
    <w:bookmarkStart w:id="17" w:name="GUIDE78120E40B864337B4F0C1D40B92548A"/>
    <w:p>
      <w:pPr>
        <w:spacing w:after="240" w:line="240" w:lineRule="atLeast"/>
        <w:jc w:val="both"/>
        <w:rPr>
          <w:rFonts w:ascii="Times New Roman" w:hAnsi="Times New Roman" w:cs="Times New Roman"/>
          <w:noProof/>
          <w:vanish/>
          <w:color w:val="000000"/>
          <w:sz w:val="20"/>
        </w:rPr>
      </w:pPr>
      <w:r>
        <w:rPr>
          <w:rFonts w:ascii="Times New Roman" w:hAnsi="Times New Roman" w:cs="Times New Roman"/>
          <w:noProof/>
          <w:vanish/>
          <w:color w:val="000000"/>
          <w:sz w:val="20"/>
        </w:rPr>
        <w:fldChar w:fldCharType="begin"/>
      </w:r>
      <w:r>
        <w:rPr>
          <w:rFonts w:ascii="Times New Roman" w:hAnsi="Times New Roman" w:cs="Times New Roman"/>
          <w:noProof/>
          <w:color w:val="000000"/>
          <w:sz w:val="20"/>
        </w:rPr>
        <w:instrText xml:space="preserve"> TC "</w:instrText>
      </w:r>
      <w:bookmarkStart w:id="18" w:name="_Toc32921484"/>
      <w:r>
        <w:rPr>
          <w:rFonts w:ascii="Times New Roman" w:hAnsi="Times New Roman" w:cs="Times New Roman"/>
          <w:noProof/>
          <w:color w:val="000000"/>
          <w:sz w:val="20"/>
        </w:rPr>
        <w:instrText>3.</w:instrText>
      </w:r>
      <w:r>
        <w:rPr>
          <w:rFonts w:ascii="Times New Roman" w:hAnsi="Times New Roman" w:cs="Times New Roman"/>
          <w:noProof/>
          <w:color w:val="000000"/>
          <w:sz w:val="20"/>
        </w:rPr>
        <w:tab/>
        <w:instrText>Fiscal and fiscal-structural policies</w:instrText>
      </w:r>
      <w:bookmarkEnd w:id="18"/>
      <w:r>
        <w:rPr>
          <w:rFonts w:ascii="Times New Roman" w:hAnsi="Times New Roman" w:cs="Times New Roman"/>
          <w:noProof/>
          <w:color w:val="000000"/>
          <w:sz w:val="20"/>
        </w:rPr>
        <w:instrText xml:space="preserve">" \f \l 1 </w:instrText>
      </w:r>
      <w:r>
        <w:rPr>
          <w:rFonts w:ascii="Times New Roman" w:hAnsi="Times New Roman" w:cs="Times New Roman"/>
          <w:noProof/>
          <w:vanish/>
          <w:color w:val="000000"/>
          <w:sz w:val="20"/>
        </w:rPr>
        <w:fldChar w:fldCharType="end"/>
      </w: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19" w:name="_Toc32921485"/>
      <w:r>
        <w:rPr>
          <w:rFonts w:ascii="Century Gothic" w:hAnsi="Century Gothic" w:cs="Times New Roman"/>
          <w:b/>
          <w:caps/>
          <w:noProof/>
          <w:color w:val="333399"/>
        </w:rPr>
        <w:t>3.1.</w:t>
      </w:r>
      <w:r>
        <w:rPr>
          <w:rFonts w:ascii="Century Gothic" w:hAnsi="Century Gothic" w:cs="Times New Roman"/>
          <w:b/>
          <w:caps/>
          <w:noProof/>
          <w:color w:val="333399"/>
        </w:rPr>
        <w:tab/>
        <w:t>FISCAL DEVELOPMENTS AND OUTLOOK</w:t>
      </w:r>
      <w:bookmarkEnd w:id="19"/>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Based on the preliminary data for 2019, Greece is set to overachieve the primary surplus target of 3.5% of GDP, outperforming its fiscal targets for the fifth year in a row. </w:t>
      </w:r>
      <w:r>
        <w:rPr>
          <w:rFonts w:ascii="Times New Roman" w:hAnsi="Times New Roman" w:cs="Times New Roman"/>
          <w:noProof/>
          <w:color w:val="000000"/>
          <w:sz w:val="24"/>
        </w:rPr>
        <w:t>In view of the emerging fiscal space based on updated revenue and expenditure estimates towards the end of 2019, and following consultation with the European institutions, the authorities distributed €186 million of social benefits to vulnerable households and cleared a pending public service obligation to the Public Power Corporation with an amount of close to €200 million from the ordinary budget rather than from the contingency reserves. The amount of the social dividend was calibrated to safeguard a distance of 0.2% of GDP compared to the fiscal target to cater for possible statistical revisions. The primary surplus is expected to reach around 4% of GDP in 2019 including these payments, above the 3.8% of GDP projected in the 4</w:t>
      </w:r>
      <w:r>
        <w:rPr>
          <w:rFonts w:ascii="Times New Roman" w:hAnsi="Times New Roman" w:cs="Times New Roman"/>
          <w:noProof/>
          <w:color w:val="000000"/>
          <w:sz w:val="24"/>
          <w:vertAlign w:val="superscript"/>
        </w:rPr>
        <w:t>th</w:t>
      </w:r>
      <w:r>
        <w:rPr>
          <w:rFonts w:ascii="Times New Roman" w:hAnsi="Times New Roman" w:cs="Times New Roman"/>
          <w:noProof/>
          <w:color w:val="000000"/>
          <w:sz w:val="24"/>
        </w:rPr>
        <w:t xml:space="preserve"> enhanced surveillance report, which had not included these measures. The headline surplus is expected to have reached around 1.6% of GDP (</w:t>
      </w:r>
      <w:r>
        <w:rPr>
          <w:rFonts w:ascii="Times New Roman" w:hAnsi="Times New Roman" w:cs="Times New Roman"/>
          <w:noProof/>
          <w:color w:val="000000"/>
          <w:sz w:val="24"/>
          <w:vertAlign w:val="superscript"/>
        </w:rPr>
        <w:footnoteReference w:id="6"/>
      </w:r>
      <w:r>
        <w:rPr>
          <w:rFonts w:ascii="Times New Roman" w:hAnsi="Times New Roman" w:cs="Times New Roman"/>
          <w:noProof/>
          <w:color w:val="000000"/>
          <w:sz w:val="24"/>
        </w:rPr>
        <w:t xml:space="preserve">) in 2019, compared with the euro area average deficit of 0.8% of GDP expected in the Commission 2019 autumn forecast.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expected over-performance can be attributed mainly to a better revenue outturn at the end of the year, which is partly due to one-off factors.</w:t>
      </w:r>
      <w:r>
        <w:rPr>
          <w:rFonts w:ascii="Times New Roman" w:hAnsi="Times New Roman" w:cs="Times New Roman"/>
          <w:noProof/>
          <w:color w:val="000000"/>
          <w:sz w:val="24"/>
        </w:rPr>
        <w:t xml:space="preserve"> General government revenues turned out stronger than expected in the previous report, primarily due to higher receipts from social contributions by around 0.2% of GDP, which are partly linked to the start of the 120 instalment scheme, and higher tax revenues by around 0.1% of GDP, after deducting tax refunds. In addition, some one-off repayments contributed to the revenues in December by 0.1% of GDP, inter alia from the European Investment Bank. Net of the end-year payments, expenditure would have been lower by 0.2% of GDP compared to the forecast in November 2019, mainly on account of lower consumption expenditure, which comes on top of the sizeable reduction in spending ceilings in 2019 implemented together with the 2020 budget.</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While having a broadly neutral impact on the balance, general government investment was by 1.1% of GDP lower than initially planned, marking 2019 as yet another year of very sizeable underspending. </w:t>
      </w:r>
      <w:r>
        <w:rPr>
          <w:rFonts w:ascii="Times New Roman" w:hAnsi="Times New Roman" w:cs="Times New Roman"/>
          <w:noProof/>
          <w:color w:val="000000"/>
          <w:sz w:val="24"/>
        </w:rPr>
        <w:t xml:space="preserve">Based on preliminary data, general government investment expenditure is estimated to be lower by 0.6% of GDP compared to the authorities’ latest projection from November 2019. However, the observed under-execution comes on top of the downward revision of 0.5% of GDP implemented in November 2019, which raises the overall underspending on investment to 1.1% of GDP (€2.2 billion) compared to the initial plan. The lower execution was accompanied by lower drawing of EU funds, which broadly neutralised the impact on the general government balance.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Continued undershooting of investment expenditure weighs on growth and is a growing concern. Efforts to remedy the situation are in early stages of implementation.</w:t>
      </w:r>
      <w:r>
        <w:rPr>
          <w:rFonts w:ascii="Times New Roman" w:hAnsi="Times New Roman" w:cs="Times New Roman"/>
          <w:noProof/>
          <w:color w:val="000000"/>
          <w:sz w:val="24"/>
        </w:rPr>
        <w:t xml:space="preserve"> From a fiscal perspective, the low capacity to monitor and forecast investment spending hinders effective management of fiscal policy and results in significant deviations between execution and forecasts, which impairs an efficient budget allocation. To address this problem, the authorities have started to implement a detailed action plan adopted in November 2019, as discussed in the 4</w:t>
      </w:r>
      <w:r>
        <w:rPr>
          <w:rFonts w:ascii="Times New Roman" w:hAnsi="Times New Roman" w:cs="Times New Roman"/>
          <w:noProof/>
          <w:color w:val="000000"/>
          <w:sz w:val="24"/>
          <w:vertAlign w:val="superscript"/>
        </w:rPr>
        <w:t>th</w:t>
      </w:r>
      <w:r>
        <w:rPr>
          <w:rFonts w:ascii="Times New Roman" w:hAnsi="Times New Roman" w:cs="Times New Roman"/>
          <w:noProof/>
          <w:color w:val="000000"/>
          <w:sz w:val="24"/>
        </w:rPr>
        <w:t xml:space="preserve"> enhanced surveillance report. According to the progress report shared with the European institutions in January 2020, the actions that were scheduled to be completed by end-2019 have been implemented and detailed time-plans were shared regarding the future actions. From a structural perspective, the persistent underspending points to operational and administrative issues and a lack of a pipeline of mature projects. According to the National Development Plan, which is currently being drafted and would apply from 2021, government entities will be expected to set-up a programme of investments, including strategic goals and medium-term policy targets. Additionally, the authorities plan to create an investment project preparation facility as a fast track mechanism to prepare major bankable investment projects, whether nationally funded or co-funded with EU funds. This is expected to help to a more targeted and increased execution of the public investment budget, also in relation to the technical work on the possible use of the SMP-ANFA income equivalent amounts for agreed investments (see also below).</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measures included in the 2020 Budget are being implemented and will be re-assessed in the next enhanced surveillance report.</w:t>
      </w:r>
      <w:r>
        <w:rPr>
          <w:rFonts w:ascii="Times New Roman" w:hAnsi="Times New Roman" w:cs="Times New Roman"/>
          <w:noProof/>
          <w:color w:val="000000"/>
          <w:sz w:val="24"/>
        </w:rPr>
        <w:t xml:space="preserve"> A quantitative re-assessment will be necessary for the increase in municipality levies. Since its adoption in autumn, the government amended (</w:t>
      </w:r>
      <w:r>
        <w:rPr>
          <w:rFonts w:ascii="Times New Roman" w:hAnsi="Times New Roman" w:cs="Times New Roman"/>
          <w:noProof/>
          <w:color w:val="000000"/>
          <w:sz w:val="24"/>
          <w:vertAlign w:val="superscript"/>
        </w:rPr>
        <w:footnoteReference w:id="7"/>
      </w:r>
      <w:r>
        <w:rPr>
          <w:rFonts w:ascii="Times New Roman" w:hAnsi="Times New Roman" w:cs="Times New Roman"/>
          <w:noProof/>
          <w:color w:val="000000"/>
          <w:sz w:val="24"/>
        </w:rPr>
        <w:t>) this measure, waiving the retroactive billings for those who declare the correct surface area of their real estate by the end of March 2020. This change raises concerns from a structural perspective, as it could be considered as a tax amnesty and thus eroding payment discipline. It also disadvantages those who had already submitted correct declarations and hence had to pay the retroactive amounts in the past. Moreover, the retroactive payments were an important part of the fiscal revenues expected from the measure and cancelling them reduces the fiscal space. At the end of November 2019, the government also adopted a measure on the tax-deductibility of 40% of service costs relating to building upgrades from the personal income tax as long as they were paid through electronic means of payment. This measure is consistent with Greece’s strategy in its National Energy and Climate Plan to promote energy efficiency, which could possibly help investments under the European Green Deal. It is expected to have a fiscal impact only from 2021. The European institutions will provide an updated fiscal projection in the 6</w:t>
      </w:r>
      <w:r>
        <w:rPr>
          <w:rFonts w:ascii="Times New Roman" w:hAnsi="Times New Roman" w:cs="Times New Roman"/>
          <w:noProof/>
          <w:color w:val="000000"/>
          <w:sz w:val="24"/>
          <w:vertAlign w:val="superscript"/>
        </w:rPr>
        <w:t>th</w:t>
      </w:r>
      <w:r>
        <w:rPr>
          <w:rFonts w:ascii="Times New Roman" w:hAnsi="Times New Roman" w:cs="Times New Roman"/>
          <w:noProof/>
          <w:color w:val="000000"/>
          <w:sz w:val="24"/>
        </w:rPr>
        <w:t xml:space="preserve"> enhanced surveillance report, along with the assessment of Greece’s Stability Programme.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While potential further growth-friendly fiscal measures for 2021 are yet to be fleshed out, the Greek authorities announced their intention to adopt a set of additional measures for 2020 subject to fiscal space.</w:t>
      </w:r>
      <w:r>
        <w:rPr>
          <w:rFonts w:ascii="Times New Roman" w:hAnsi="Times New Roman" w:cs="Times New Roman"/>
          <w:noProof/>
          <w:color w:val="000000"/>
          <w:sz w:val="24"/>
        </w:rPr>
        <w:t xml:space="preserve"> Since the adoption of the 2020 budget, the government has announced a number of possible further tax reduction measures, conditional on emerging fiscal space. Among others, the government is aiming to further reduce the ENFIA property tax while increasing its base, aiming for a fiscally neutral rebalancing. In addition, the authorities are planning a gradual reduction of the special solidarity levy, a further reduction of social security contributions, which would probably lead to the postponement of the reduction of the corporate income tax to 20%, announced in July 2019. A quantitative and qualitative assessment of such measures will be carried out when the exact timing and parameters will become known.</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Given the accelerating migration flows, the authorities pointed out that the current migration adjustor (</w:t>
      </w:r>
      <w:r>
        <w:rPr>
          <w:rFonts w:ascii="Times New Roman" w:hAnsi="Times New Roman" w:cs="Times New Roman"/>
          <w:noProof/>
          <w:color w:val="000000"/>
          <w:sz w:val="24"/>
          <w:vertAlign w:val="superscript"/>
        </w:rPr>
        <w:footnoteReference w:id="8"/>
      </w:r>
      <w:r>
        <w:rPr>
          <w:rFonts w:ascii="Times New Roman" w:hAnsi="Times New Roman" w:cs="Times New Roman"/>
          <w:b/>
          <w:noProof/>
          <w:color w:val="000000"/>
          <w:sz w:val="24"/>
        </w:rPr>
        <w:t>) does not capture fully the total costs of the migration crisis.</w:t>
      </w:r>
      <w:r>
        <w:rPr>
          <w:rFonts w:ascii="Times New Roman" w:hAnsi="Times New Roman" w:cs="Times New Roman"/>
          <w:noProof/>
          <w:color w:val="000000"/>
          <w:sz w:val="24"/>
        </w:rPr>
        <w:t xml:space="preserve"> Based on a report shared by the authorities, the actual expenditure related to the management of the migration flows is much higher than the expenditure currently included in the programme adjustor. The ceiling of the adjustor was set at 0.2% of GDP during the programme, but based on the current methodology the actual amounts deducted from the primary balance are consistently well below this level. The issues that have hindered the use of the migration adjustor are currently investigated, with a view to clarifying the eligible costs that adequately reflect the current situation. The authorities also committed to identifying and addressing factors that obstruct the full use of the available EU funding, bearing in mind that the adjustor is designed to cover domestic costs and hence defined in net terms (after deducting EU migration funds).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are planning to address the aspects of the 2016 pension reform that were found unconstitutional by the Council of State in a fiscally neutral manner.</w:t>
      </w:r>
      <w:r>
        <w:rPr>
          <w:rFonts w:ascii="Times New Roman" w:hAnsi="Times New Roman" w:cs="Times New Roman"/>
          <w:noProof/>
          <w:color w:val="000000"/>
          <w:sz w:val="24"/>
        </w:rPr>
        <w:t xml:space="preserve"> Sustaining the cost within the spending ceiling of the Ministry of Labour is in line with the commitment given by the authorities in the 2020 budget. The authorities are currently legislating accordingly to replace the current 13th pension with an annual social budget reserve. The fiscal neutrality is achieved by using part of the fiscal cost currently budgeted for the 13</w:t>
      </w:r>
      <w:r>
        <w:rPr>
          <w:rFonts w:ascii="Times New Roman" w:hAnsi="Times New Roman" w:cs="Times New Roman"/>
          <w:noProof/>
          <w:color w:val="000000"/>
          <w:sz w:val="24"/>
          <w:vertAlign w:val="superscript"/>
        </w:rPr>
        <w:t>th</w:t>
      </w:r>
      <w:r>
        <w:rPr>
          <w:rFonts w:ascii="Times New Roman" w:hAnsi="Times New Roman" w:cs="Times New Roman"/>
          <w:noProof/>
          <w:color w:val="000000"/>
          <w:sz w:val="24"/>
        </w:rPr>
        <w:t xml:space="preserve"> pension. The remaining part will cover the cost of other social welfare and health policies in view of high poverty rates among non-pensioners and the compressed health care budget. Section 4 provides an overall assessment of the pension reform.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2020 Medium-Term Fiscal Strategy will need to accommodate the cost of clearing the stock of already called state guarantees for bank loans worth 1.1% of GDP within five years.</w:t>
      </w:r>
      <w:r>
        <w:rPr>
          <w:rFonts w:ascii="Times New Roman" w:hAnsi="Times New Roman" w:cs="Times New Roman"/>
          <w:noProof/>
          <w:color w:val="000000"/>
          <w:sz w:val="24"/>
        </w:rPr>
        <w:t xml:space="preserve"> The stock may increase further in the future, given that the total stock of outstanding state guarantees in question is estimated at €3.4 billion (1.8% of GDP). As discussed in section 5.2, the authorities have provided a plan, which includes the necessary actions to shorten the examination period of the called guarantees to less than four years. Additionally, a detailed time-plan of payments was prepared which comprises a small payment of €77 million by end of the year, while for the next years an average clearance of €480 million is planned. Given that the length of the payment period is partly a function of external factors outside the control of the authorities, i.e. court cases, the authorities also shared data on the amount of claims under litigation that are prone to delays, and thus might affect the fiscal impact and/or its timing. A proper risk management based on data on the not-yet-called guarantees would facilitate assessment of fiscal risks for the coming years. Finally, the timely implementation of the plan depends on the banks’ cooperation regarding the upload of necessary documentation to the e-repository (see Section 5.2 for further analysis).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Greece’s fiscal and economic outlook has improved overall.</w:t>
      </w:r>
      <w:r>
        <w:rPr>
          <w:rFonts w:ascii="Times New Roman" w:hAnsi="Times New Roman" w:cs="Times New Roman"/>
          <w:noProof/>
          <w:color w:val="000000"/>
          <w:sz w:val="24"/>
        </w:rPr>
        <w:t xml:space="preserve"> The continued solid fiscal performance and the growth-friendly policy agenda have made their impact on the economic climate as sentiment indicators approach pre-crisis levels. Greece has been successful at re-entering the sovereign bond markets achieving historically low yields. Yield spreads have substantially narrowed in the past year and the improved outlook for the Greek economy has led to gradual upgrading of Greece's credit rating.  Upholding reform commitments will be key to sustaining medium and long-term growth prospects.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Despite the positive outlook, Greece’s public finances continue to face fiscal risks with respect to ongoing court cases, which are difficult to quantify at this stage.</w:t>
      </w:r>
      <w:r>
        <w:rPr>
          <w:rFonts w:ascii="Times New Roman" w:hAnsi="Times New Roman" w:cs="Times New Roman"/>
          <w:noProof/>
          <w:color w:val="000000"/>
          <w:sz w:val="24"/>
        </w:rPr>
        <w:t xml:space="preserve"> Notwithstanding the Council of State rulings of 2015 (</w:t>
      </w:r>
      <w:r>
        <w:rPr>
          <w:rFonts w:ascii="Times New Roman" w:hAnsi="Times New Roman" w:cs="Times New Roman"/>
          <w:noProof/>
          <w:color w:val="000000"/>
          <w:sz w:val="24"/>
          <w:vertAlign w:val="superscript"/>
        </w:rPr>
        <w:footnoteReference w:id="9"/>
      </w:r>
      <w:r>
        <w:rPr>
          <w:rFonts w:ascii="Times New Roman" w:hAnsi="Times New Roman" w:cs="Times New Roman"/>
          <w:noProof/>
          <w:color w:val="000000"/>
          <w:sz w:val="24"/>
        </w:rPr>
        <w:t>) and 2019 (</w:t>
      </w:r>
      <w:r>
        <w:rPr>
          <w:rFonts w:ascii="Times New Roman" w:hAnsi="Times New Roman" w:cs="Times New Roman"/>
          <w:noProof/>
          <w:color w:val="000000"/>
          <w:sz w:val="24"/>
          <w:vertAlign w:val="superscript"/>
        </w:rPr>
        <w:footnoteReference w:id="10"/>
      </w:r>
      <w:r>
        <w:rPr>
          <w:rFonts w:ascii="Times New Roman" w:hAnsi="Times New Roman" w:cs="Times New Roman"/>
          <w:noProof/>
          <w:color w:val="000000"/>
          <w:sz w:val="24"/>
        </w:rPr>
        <w:t xml:space="preserve">) regarding the 2012 pension cuts and 2016 pension reform respectively, a large number of cases claiming retroactive payments to pensioners are still pending in courts, while some lower courts have ruled against these decisions. To solve this problem, the Council of State decided to rule on all retroactive claims in a so-called pilot trial. This will ensure a harmonised approach and prevent contradictory court decisions. The Plenary session of the Council of State will have to address three key issues related to retroactivity (see also graph 3.1): </w:t>
      </w:r>
    </w:p>
    <w:p>
      <w:pPr>
        <w:tabs>
          <w:tab w:val="left" w:pos="340"/>
        </w:tabs>
        <w:spacing w:after="240" w:line="240" w:lineRule="atLeast"/>
        <w:ind w:left="340" w:hanging="340"/>
        <w:jc w:val="both"/>
        <w:rPr>
          <w:rFonts w:ascii="Times New Roman" w:hAnsi="Times New Roman" w:cs="Times New Roman"/>
          <w:noProof/>
          <w:color w:val="000000"/>
          <w:sz w:val="24"/>
        </w:rPr>
      </w:pPr>
      <w:r>
        <w:rPr>
          <w:rFonts w:ascii="Times New Roman" w:hAnsi="Times New Roman" w:cs="Times New Roman"/>
          <w:noProof/>
          <w:color w:val="000000"/>
          <w:sz w:val="24"/>
        </w:rPr>
        <w:t>1.</w:t>
      </w:r>
      <w:r>
        <w:rPr>
          <w:rFonts w:ascii="Times New Roman" w:hAnsi="Times New Roman" w:cs="Times New Roman"/>
          <w:noProof/>
          <w:color w:val="000000"/>
          <w:sz w:val="24"/>
        </w:rPr>
        <w:tab/>
      </w:r>
      <w:r>
        <w:rPr>
          <w:rFonts w:ascii="Times New Roman" w:hAnsi="Times New Roman" w:cs="Times New Roman"/>
          <w:i/>
          <w:noProof/>
          <w:color w:val="000000"/>
          <w:sz w:val="24"/>
        </w:rPr>
        <w:t>Could the 2016 pension law apply retrospectively?</w:t>
      </w:r>
      <w:r>
        <w:rPr>
          <w:rFonts w:ascii="Times New Roman" w:hAnsi="Times New Roman" w:cs="Times New Roman"/>
          <w:noProof/>
          <w:color w:val="000000"/>
          <w:sz w:val="24"/>
        </w:rPr>
        <w:t xml:space="preserve"> The pension reform kept the existing pensions at the levels existing on 31 December 2014, i.e. after the pension cuts implemented in 2012. However, according to a June 2015 Court of State’s ruling, the 2012 pension cuts became unconstitutional from the date of the ruling’s publication, creating a window between the June 2015 ruling and May 2016, when the pension reform came to effect, for which the pilot trial will need to clarify whether possible retroactive amounts can be awarded. </w:t>
      </w:r>
    </w:p>
    <w:p>
      <w:pPr>
        <w:tabs>
          <w:tab w:val="left" w:pos="340"/>
        </w:tabs>
        <w:spacing w:after="240" w:line="240" w:lineRule="atLeast"/>
        <w:ind w:left="340" w:hanging="340"/>
        <w:jc w:val="both"/>
        <w:rPr>
          <w:rFonts w:ascii="Times New Roman" w:hAnsi="Times New Roman" w:cs="Times New Roman"/>
          <w:noProof/>
          <w:color w:val="000000"/>
          <w:sz w:val="24"/>
        </w:rPr>
      </w:pPr>
      <w:r>
        <w:rPr>
          <w:rFonts w:ascii="Times New Roman" w:hAnsi="Times New Roman" w:cs="Times New Roman"/>
          <w:noProof/>
          <w:color w:val="000000"/>
          <w:sz w:val="24"/>
        </w:rPr>
        <w:t>2.</w:t>
      </w:r>
      <w:r>
        <w:rPr>
          <w:rFonts w:ascii="Times New Roman" w:hAnsi="Times New Roman" w:cs="Times New Roman"/>
          <w:noProof/>
          <w:color w:val="000000"/>
          <w:sz w:val="24"/>
        </w:rPr>
        <w:tab/>
      </w:r>
      <w:r>
        <w:rPr>
          <w:rFonts w:ascii="Times New Roman" w:hAnsi="Times New Roman" w:cs="Times New Roman"/>
          <w:i/>
          <w:noProof/>
          <w:color w:val="000000"/>
          <w:sz w:val="24"/>
        </w:rPr>
        <w:t>Was it legal that the 2016 pension law indirectly re-enacted the 2012 cuts?</w:t>
      </w:r>
      <w:r>
        <w:rPr>
          <w:rFonts w:ascii="Times New Roman" w:hAnsi="Times New Roman" w:cs="Times New Roman"/>
          <w:noProof/>
          <w:color w:val="000000"/>
          <w:sz w:val="24"/>
        </w:rPr>
        <w:t xml:space="preserve"> As mentioned, the May 2016 pension reform kept existing pensions at levels following the cuts implemented in 2012, while putting in place a new pension formula for new pensions and a notional recalculation of old pensions (the freeze of pension indexation will result to the elimination of positive differences to actual pensions over time via inflation, or repaid if the actual pension was lower than under the new formula). The pilot trial will clarify possible retroactive amounts from the period of May 2016 to the January 2019 recalculation of pensions.</w:t>
      </w:r>
    </w:p>
    <w:p>
      <w:pPr>
        <w:tabs>
          <w:tab w:val="left" w:pos="340"/>
        </w:tabs>
        <w:spacing w:after="240" w:line="240" w:lineRule="atLeast"/>
        <w:ind w:left="340" w:hanging="340"/>
        <w:jc w:val="both"/>
        <w:rPr>
          <w:rFonts w:ascii="Times New Roman" w:hAnsi="Times New Roman" w:cs="Times New Roman"/>
          <w:noProof/>
          <w:color w:val="000000"/>
          <w:sz w:val="24"/>
        </w:rPr>
      </w:pPr>
      <w:r>
        <w:rPr>
          <w:rFonts w:ascii="Times New Roman" w:hAnsi="Times New Roman" w:cs="Times New Roman"/>
          <w:noProof/>
          <w:color w:val="000000"/>
          <w:sz w:val="24"/>
        </w:rPr>
        <w:t>3.</w:t>
      </w:r>
      <w:r>
        <w:rPr>
          <w:rFonts w:ascii="Times New Roman" w:hAnsi="Times New Roman" w:cs="Times New Roman"/>
          <w:noProof/>
          <w:color w:val="000000"/>
          <w:sz w:val="24"/>
        </w:rPr>
        <w:tab/>
      </w:r>
      <w:r>
        <w:rPr>
          <w:rFonts w:ascii="Times New Roman" w:hAnsi="Times New Roman" w:cs="Times New Roman"/>
          <w:i/>
          <w:noProof/>
          <w:color w:val="000000"/>
          <w:sz w:val="24"/>
        </w:rPr>
        <w:t>Is it consistent with the European Convention of Human Rights that pensioners who had not filed a petition before the 2015 Council of State ruling were excluded from receiving the retroactive amounts?</w:t>
      </w:r>
      <w:r>
        <w:rPr>
          <w:rFonts w:ascii="Times New Roman" w:hAnsi="Times New Roman" w:cs="Times New Roman"/>
          <w:noProof/>
          <w:color w:val="000000"/>
          <w:sz w:val="24"/>
        </w:rPr>
        <w:t xml:space="preserve"> Based on the 2015 Court of State’s ruling, only claims submitted before the date of its publication are eligible for a refund and the period of refund starts from the date of the reduction. This decision will clarify possible retroactive amounts for the period January 2013 until June 2015.</w:t>
      </w:r>
    </w:p>
    <w:tbl>
      <w:tblPr>
        <w:tblW w:w="0" w:type="auto"/>
        <w:tblLayout w:type="fixed"/>
        <w:tblCellMar>
          <w:left w:w="0" w:type="dxa"/>
          <w:right w:w="0" w:type="dxa"/>
        </w:tblCellMar>
        <w:tblLook w:val="0000" w:firstRow="0" w:lastRow="0" w:firstColumn="0" w:lastColumn="0" w:noHBand="0" w:noVBand="0"/>
      </w:tblPr>
      <w:tblGrid>
        <w:gridCol w:w="8505"/>
      </w:tblGrid>
      <w:tr>
        <w:trPr>
          <w:cantSplit/>
        </w:trPr>
        <w:tc>
          <w:tcPr>
            <w:tcW w:w="8505" w:type="dxa"/>
            <w:shd w:val="clear" w:color="auto" w:fill="auto"/>
          </w:tcPr>
          <w:p>
            <w:pPr>
              <w:keepNext/>
              <w:pBdr>
                <w:top w:val="single" w:sz="2" w:space="2" w:color="auto"/>
                <w:bottom w:val="single" w:sz="2" w:space="2" w:color="auto"/>
              </w:pBdr>
              <w:tabs>
                <w:tab w:val="left" w:pos="1020"/>
                <w:tab w:val="left" w:pos="1077"/>
                <w:tab w:val="left" w:pos="1134"/>
              </w:tabs>
              <w:spacing w:after="40" w:line="240" w:lineRule="auto"/>
              <w:ind w:left="1020" w:hanging="1020"/>
              <w:rPr>
                <w:rFonts w:ascii="Century Gothic" w:hAnsi="Century Gothic" w:cs="Times New Roman"/>
                <w:b/>
                <w:noProof/>
                <w:color w:val="333399"/>
                <w:sz w:val="18"/>
              </w:rPr>
            </w:pPr>
            <w:r>
              <w:rPr>
                <w:rFonts w:ascii="Century Gothic" w:hAnsi="Century Gothic" w:cs="Times New Roman"/>
                <w:noProof/>
                <w:color w:val="333399"/>
                <w:sz w:val="18"/>
              </w:rPr>
              <w:t>Graph 3.1:</w:t>
            </w:r>
            <w:r>
              <w:rPr>
                <w:rFonts w:ascii="Century Gothic" w:hAnsi="Century Gothic" w:cs="Times New Roman"/>
                <w:b/>
                <w:noProof/>
                <w:color w:val="333399"/>
                <w:sz w:val="18"/>
              </w:rPr>
              <w:tab/>
              <w:t>Pensions timeline</w:t>
            </w:r>
          </w:p>
        </w:tc>
      </w:tr>
      <w:tr>
        <w:trPr>
          <w:cantSplit/>
        </w:trPr>
        <w:tc>
          <w:tcPr>
            <w:tcW w:w="8505" w:type="dxa"/>
            <w:shd w:val="clear" w:color="auto" w:fill="auto"/>
          </w:tcPr>
          <w:p>
            <w:pPr>
              <w:keepNext/>
              <w:spacing w:after="0" w:line="240" w:lineRule="auto"/>
              <w:jc w:val="center"/>
              <w:rPr>
                <w:rFonts w:ascii="Times New Roman" w:hAnsi="Times New Roman" w:cs="Times New Roman"/>
                <w:noProof/>
                <w:color w:val="000000"/>
                <w:sz w:val="2"/>
              </w:rPr>
            </w:pPr>
            <w:r>
              <w:rPr>
                <w:rFonts w:ascii="Times New Roman" w:hAnsi="Times New Roman" w:cs="Times New Roman"/>
                <w:noProof/>
                <w:color w:val="000000"/>
                <w:sz w:val="24"/>
              </w:rPr>
              <w:fldChar w:fldCharType="begin"/>
            </w:r>
            <w:r>
              <w:rPr>
                <w:rFonts w:ascii="Times New Roman" w:hAnsi="Times New Roman" w:cs="Times New Roman"/>
                <w:noProof/>
                <w:color w:val="000000"/>
                <w:sz w:val="24"/>
              </w:rPr>
              <w:instrText xml:space="preserve"> TC "</w:instrText>
            </w:r>
            <w:bookmarkStart w:id="20" w:name="_Toc32919970"/>
            <w:r>
              <w:rPr>
                <w:rFonts w:ascii="Times New Roman" w:hAnsi="Times New Roman" w:cs="Times New Roman"/>
                <w:noProof/>
                <w:color w:val="000000"/>
                <w:sz w:val="24"/>
              </w:rPr>
              <w:instrText>3.1.</w:instrText>
            </w:r>
            <w:r>
              <w:rPr>
                <w:rFonts w:ascii="Times New Roman" w:hAnsi="Times New Roman" w:cs="Times New Roman"/>
                <w:noProof/>
                <w:color w:val="000000"/>
                <w:sz w:val="24"/>
              </w:rPr>
              <w:tab/>
              <w:instrText>Pensions timeline</w:instrText>
            </w:r>
            <w:bookmarkEnd w:id="20"/>
            <w:r>
              <w:rPr>
                <w:rFonts w:ascii="Times New Roman" w:hAnsi="Times New Roman" w:cs="Times New Roman"/>
                <w:noProof/>
                <w:color w:val="000000"/>
                <w:sz w:val="24"/>
              </w:rPr>
              <w:instrText xml:space="preserve">" \fgraph \l 5 </w:instrText>
            </w:r>
            <w:r>
              <w:rPr>
                <w:rFonts w:ascii="Times New Roman" w:hAnsi="Times New Roman" w:cs="Times New Roman"/>
                <w:noProof/>
                <w:color w:val="000000"/>
                <w:sz w:val="24"/>
              </w:rPr>
              <w:fldChar w:fldCharType="end"/>
            </w:r>
            <w:r>
              <w:rPr>
                <w:rFonts w:ascii="Times New Roman" w:hAnsi="Times New Roman" w:cs="Times New Roman"/>
                <w:noProof/>
                <w:color w:val="000000"/>
                <w:sz w:val="2"/>
                <w:lang w:eastAsia="en-GB"/>
              </w:rPr>
              <w:drawing>
                <wp:inline distT="0" distB="0" distL="0" distR="0">
                  <wp:extent cx="5232854" cy="1559089"/>
                  <wp:effectExtent l="0" t="0" r="6350" b="3175"/>
                  <wp:docPr id="4" name="Picture 4" descr="&lt;nbr&gt;&lt;GETTEXTFROMWORD&gt;&lt;/nbr&gt;&#10;&lt;title&gt;&lt;GETTEXTFROMWORD&gt;&lt;/title&gt;&#10;&lt;id&gt;7620b70f-4e95-4e67-a33a-de39ad99a80b&lt;/id&gt;&#10;&lt;srcType&gt;IMAGE&lt;/srcType&gt;&#10;&lt;srcPath&gt;\\myintracomm-collab.ec.europa.eu@SSL\DavWWWRoot\dg\ECFIN\Country\GR\Shared Documents\POST-PROGRAMME\Enhanced surveillance\5th Report\Graphs-Tables\&lt;/srcPath&gt;&#10;&lt;srcName&gt;3_fiscal_pensions_timeline.jpg&lt;/srcName&gt;&#10;&lt;type&gt;graph&lt;/type&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20-01-30T11:57:25&lt;/scrFileTime&gt;&#10;&lt;imageInformation&gt;&#10; &lt;dontScaleUp&gt;no&lt;/dontScaleUp&gt;&#10; &lt;usedpercentageofavailablewidth&gt;97.1163980828345&lt;/usedpercentageofavailablewidth&gt;&#10;&lt;/imageInformation&gt;&#10;&lt;url&gt;Chap2/Chap2-Graph-3.0.jpg&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54">
                            <a:extLst>
                              <a:ext uri="{28A0092B-C50C-407E-A947-70E740481C1C}">
                                <a14:useLocalDpi xmlns:a14="http://schemas.microsoft.com/office/drawing/2010/main"/>
                              </a:ext>
                            </a:extLst>
                          </a:blip>
                          <a:stretch>
                            <a:fillRect/>
                          </a:stretch>
                        </pic:blipFill>
                        <pic:spPr>
                          <a:xfrm>
                            <a:off x="0" y="0"/>
                            <a:ext cx="5232854" cy="1559089"/>
                          </a:xfrm>
                          <a:prstGeom prst="rect">
                            <a:avLst/>
                          </a:prstGeom>
                        </pic:spPr>
                      </pic:pic>
                    </a:graphicData>
                  </a:graphic>
                </wp:inline>
              </w:drawing>
            </w:r>
          </w:p>
        </w:tc>
      </w:tr>
      <w:tr>
        <w:trPr>
          <w:cantSplit/>
        </w:trPr>
        <w:tc>
          <w:tcPr>
            <w:tcW w:w="8505" w:type="dxa"/>
            <w:shd w:val="clear" w:color="auto" w:fill="auto"/>
            <w:tcMar>
              <w:bottom w:w="240" w:type="dxa"/>
            </w:tcMar>
          </w:tcPr>
          <w:p>
            <w:pPr>
              <w:pBdr>
                <w:top w:val="single" w:sz="2" w:space="2" w:color="auto"/>
                <w:bottom w:val="single" w:sz="2" w:space="2" w:color="auto"/>
              </w:pBdr>
              <w:spacing w:after="0" w:line="240" w:lineRule="auto"/>
              <w:rPr>
                <w:rFonts w:ascii="Century Gothic" w:hAnsi="Century Gothic" w:cs="Times New Roman"/>
                <w:noProof/>
                <w:color w:val="000000"/>
                <w:sz w:val="18"/>
              </w:rPr>
            </w:pPr>
            <w:r>
              <w:rPr>
                <w:rFonts w:ascii="Century Gothic" w:hAnsi="Century Gothic" w:cs="Times New Roman"/>
                <w:b/>
                <w:i/>
                <w:noProof/>
                <w:color w:val="000000"/>
                <w:sz w:val="18"/>
              </w:rPr>
              <w:t>Source:</w:t>
            </w:r>
            <w:r>
              <w:rPr>
                <w:rFonts w:ascii="Century Gothic" w:hAnsi="Century Gothic" w:cs="Times New Roman"/>
                <w:noProof/>
                <w:color w:val="000000"/>
                <w:sz w:val="18"/>
              </w:rPr>
              <w:t xml:space="preserve"> European Commission</w:t>
            </w:r>
          </w:p>
        </w:tc>
      </w:tr>
    </w:tbl>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An additional fiscal risk stems from the litigation cases of Attikos Helios, a company operating in the tourism and hospitality industry, against the Public Real Estate Company (ETAD).</w:t>
      </w:r>
      <w:r>
        <w:rPr>
          <w:rFonts w:ascii="Times New Roman" w:hAnsi="Times New Roman" w:cs="Times New Roman"/>
          <w:noProof/>
          <w:color w:val="000000"/>
          <w:sz w:val="24"/>
        </w:rPr>
        <w:t xml:space="preserve"> The case is ongoing, as the Public Real Estate Company has filed petitions for the annulment of recent arbitration awards, currently pending before the Athens Court of Appeal.</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Additional fiscal pressures might be caused by the planned arrangements concerning the private supplementary pension fund (LEPETE) of the National Bank of Greece (a private commercial bank).</w:t>
      </w:r>
      <w:r>
        <w:rPr>
          <w:rFonts w:ascii="Times New Roman" w:hAnsi="Times New Roman" w:cs="Times New Roman"/>
          <w:noProof/>
          <w:color w:val="000000"/>
          <w:sz w:val="24"/>
        </w:rPr>
        <w:t xml:space="preserve"> According to the plan that is under negotiation between the government and the National Bank of Greece, the cost of future pensions would be shared between the two parties. The plan foresees that some €40 million would be borne by the National Bank of Greece annually until 2030. The remaining cost will be taken over by the State. The risk to public finances lies in the fact that if and when the State formally would take over the pension obligations of the supplementary pension fund of National Bank of Greece, this would be recorded as capital transfer in the year of the decision, with a negative impact on the general government balance equal to the net present value of future pension obligations. The final impact will also depend on the rulings in two pending court cases, one concerning pensioners’ claims against the bank and the other concerning the bank’s claims against the state.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Technical discussions on the possible use of SMP-ANFA income equivalents for reducing gross financing needs or other agreed investments have started. </w:t>
      </w:r>
      <w:r>
        <w:rPr>
          <w:rFonts w:ascii="Times New Roman" w:hAnsi="Times New Roman" w:cs="Times New Roman"/>
          <w:noProof/>
          <w:color w:val="000000"/>
          <w:sz w:val="24"/>
        </w:rPr>
        <w:t>This follows up on the respective mandate given by the Eurogroup in December 2019 (</w:t>
      </w:r>
      <w:r>
        <w:rPr>
          <w:rFonts w:ascii="Times New Roman" w:hAnsi="Times New Roman" w:cs="Times New Roman"/>
          <w:noProof/>
          <w:color w:val="000000"/>
          <w:sz w:val="24"/>
          <w:vertAlign w:val="superscript"/>
        </w:rPr>
        <w:footnoteReference w:id="11"/>
      </w:r>
      <w:r>
        <w:rPr>
          <w:rFonts w:ascii="Times New Roman" w:hAnsi="Times New Roman" w:cs="Times New Roman"/>
          <w:noProof/>
          <w:color w:val="000000"/>
          <w:sz w:val="24"/>
        </w:rPr>
        <w:t>). The authorities shared their initial considerations regarding the use of SMP-ANFA income equivalents and related impact on the structural balance during the enhanced surveillance mission, and the European institutions are engaging with the authorities at technical level, with a view to reporting back to the Eurogroup in June 2020. The authorities also proposed to consider establishing a fiscal smoothing mechanism allowing to take into account the past over-performance of primary surplus targets in the following year, as well as reducing the primary surplus target up to 2022. Any proposal which alters the agreement reached with European partners in June 2018, would need to be discussed at the Eurogroup and take into account the constraints on the structural balance in the context of compliance with the EU fiscal framework and debt sustainability.</w:t>
      </w: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21" w:name="_Toc32921486"/>
      <w:r>
        <w:rPr>
          <w:rFonts w:ascii="Century Gothic" w:hAnsi="Century Gothic" w:cs="Times New Roman"/>
          <w:b/>
          <w:caps/>
          <w:noProof/>
          <w:color w:val="333399"/>
        </w:rPr>
        <w:t>3.2.</w:t>
      </w:r>
      <w:r>
        <w:rPr>
          <w:rFonts w:ascii="Century Gothic" w:hAnsi="Century Gothic" w:cs="Times New Roman"/>
          <w:b/>
          <w:caps/>
          <w:noProof/>
          <w:color w:val="333399"/>
        </w:rPr>
        <w:tab/>
        <w:t>tax policy</w:t>
      </w:r>
      <w:bookmarkEnd w:id="21"/>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Important progress has been made towards the broadening of the tax base for the 2020 ENFIA Property tax exercise, widening the inclusion of the national population covered by the zonal system from 85% to 98%.</w:t>
      </w:r>
      <w:r>
        <w:rPr>
          <w:rFonts w:ascii="Times New Roman" w:hAnsi="Times New Roman" w:cs="Times New Roman"/>
          <w:noProof/>
          <w:color w:val="000000"/>
          <w:sz w:val="24"/>
        </w:rPr>
        <w:t xml:space="preserve"> The existing 10 200 objective property tax value zones have been digitised and an additional 3 600 new property tax zones have been defined covering the remainder of the urban planned areas. A new nationwide revaluation exercise using certified valuers is planned to be completed by March 2020. The new objective tax values including those for the new zones are planned to be finalised by May and are expected to align the objective tax values to market prices, which is a mid-2020 specific commitment. In parallel, a detailed tax policy assessment will be made of the impact of the new valuations on property tax revenues. The 2020 budget implies an almost fiscally-neutral property tax exercise based on the new values, with a small increase of €140 million in ENFIA revenues compared to 2019. The base widening might give scope to restructure property tax rates and thresholds. The property tax reforms will benefit from technical support by the European Commission. The key objectives are to expand the objective value zone system to the rest of the country, digitally link the property value system to the cadastre, and improve valuation methods particularly of commercial properties.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adopted a Tax Law in December 2019, including the agreed 2020 budget tax measures and a number of other welcome tax reforms.</w:t>
      </w:r>
      <w:r>
        <w:rPr>
          <w:rFonts w:ascii="Times New Roman" w:hAnsi="Times New Roman" w:cs="Times New Roman"/>
          <w:noProof/>
          <w:color w:val="000000"/>
          <w:sz w:val="24"/>
        </w:rPr>
        <w:t xml:space="preserve"> Key non-budget tax reform measures included stronger regulations on digital short-term rental platforms, the abolition of withholding tax on corporate bonds to open up the domestic bond market, and some tax concessions to encourage the development of share option schemes, employer funding of annual passes for public transport, and the take-up of electronic vehicles. Concerning the 3-year time-limited value-added tax exemption for construction, the authorities adopted the secondary legislation by the end of January 2020 for the applicable procedure and the required documentation that must be submitted by the applicants. Overall, some 60 pieces of secondary legislation are required for the implementation of the Tax Law and these will be provided by April 2020.</w:t>
      </w: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22" w:name="_Toc32921487"/>
      <w:r>
        <w:rPr>
          <w:rFonts w:ascii="Century Gothic" w:hAnsi="Century Gothic" w:cs="Times New Roman"/>
          <w:b/>
          <w:caps/>
          <w:noProof/>
          <w:color w:val="333399"/>
        </w:rPr>
        <w:t>3.3.</w:t>
      </w:r>
      <w:r>
        <w:rPr>
          <w:rFonts w:ascii="Century Gothic" w:hAnsi="Century Gothic" w:cs="Times New Roman"/>
          <w:b/>
          <w:caps/>
          <w:noProof/>
          <w:color w:val="333399"/>
        </w:rPr>
        <w:tab/>
        <w:t>Revenue Administration</w:t>
      </w:r>
      <w:bookmarkEnd w:id="22"/>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Staffing numbers increased at the Independent Authority for Public Revenue during 2019 but fell short of the end-2019 target (a specific commitment).</w:t>
      </w:r>
      <w:r>
        <w:rPr>
          <w:rFonts w:ascii="Times New Roman" w:hAnsi="Times New Roman" w:cs="Times New Roman"/>
          <w:noProof/>
          <w:color w:val="000000"/>
          <w:sz w:val="24"/>
        </w:rPr>
        <w:t xml:space="preserve"> The number of staff at the Authority increased in 2019 to 11 902 compared to 11 487 at the start of 2019. However, given the accumulation of previous delays, the actual staffing level remained lower than the intermediate target set for end-2019 at 12 500. The new permanent staff recruited in 2019 (540 in total) are currently undertaking a nine-month induction training and are expected to take up their respective job assignments by August 2020. Technical support is provided through the European Commission to tailor the training in accordance to the needs of the core functions and integrating best practices.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complementary measures agreed in view of the undershooting of the staffing target, have seen overall good progress, in particular as concerns the human resources reform and housing issues, while more limited progress has been achieved on the IT-related issues. All three measures are expected to advance further until the end of April 2020</w:t>
      </w:r>
      <w:r>
        <w:rPr>
          <w:rFonts w:ascii="Times New Roman" w:hAnsi="Times New Roman" w:cs="Times New Roman"/>
          <w:noProof/>
          <w:color w:val="000000"/>
          <w:sz w:val="24"/>
        </w:rPr>
        <w:t>. On human resources reform, the supplementary grading legislation has been adopted (</w:t>
      </w:r>
      <w:r>
        <w:rPr>
          <w:rFonts w:ascii="Times New Roman" w:hAnsi="Times New Roman" w:cs="Times New Roman"/>
          <w:noProof/>
          <w:color w:val="000000"/>
          <w:sz w:val="24"/>
          <w:vertAlign w:val="superscript"/>
        </w:rPr>
        <w:footnoteReference w:id="12"/>
      </w:r>
      <w:r>
        <w:rPr>
          <w:rFonts w:ascii="Times New Roman" w:hAnsi="Times New Roman" w:cs="Times New Roman"/>
          <w:noProof/>
          <w:color w:val="000000"/>
          <w:sz w:val="24"/>
        </w:rPr>
        <w:t>). The supplementary wage grid legislation, which will define the remuneration framework depending on the official’s grading, is expected to be adopted by the end of April, which should allow for the new system to be implemented as of 1 July 2020. Regarding the IT framework, although five key areas (</w:t>
      </w:r>
      <w:r>
        <w:rPr>
          <w:rFonts w:ascii="Times New Roman" w:hAnsi="Times New Roman" w:cs="Times New Roman"/>
          <w:noProof/>
          <w:color w:val="000000"/>
          <w:sz w:val="24"/>
          <w:vertAlign w:val="superscript"/>
        </w:rPr>
        <w:footnoteReference w:id="13"/>
      </w:r>
      <w:r>
        <w:rPr>
          <w:rFonts w:ascii="Times New Roman" w:hAnsi="Times New Roman" w:cs="Times New Roman"/>
          <w:noProof/>
          <w:color w:val="000000"/>
          <w:sz w:val="24"/>
        </w:rPr>
        <w:t>) have been identified where competencies and resources between the Authority and the General Secretariat for Information Services of the Public Administration (Ministry of Digital Governance) will need to be clarified, a timeline has not yet been shared by the authorities. It is expected that the competencies and resource allocation will have been confirmed by April 2020, which should allow for the Service Level Agreement to be agreed by mid-2020. Finally, regarding the move of the Authority’s headquarter services into one location, a detailed roadmap has been defined with the decision for the public entity currently occupying the premises to move out as well the offer for the Authority to secure its lease expected by March 2020. According to the roadmap, the Authority is expected to move into its new premises by April 2021. A swift implementation of these complementary measures would be instrumental in getting the staffing target back on track and underpinning the effectiveness of the Authority.</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are planning to adopt a more ambitious plan to combat smuggling, including strengthening the operational capacity of the Operational Coordination Centre (SEK), which has seen its capacity reduced as the secondments have not been renewed and primary legislation to address this issue remains pending.</w:t>
      </w:r>
      <w:r>
        <w:rPr>
          <w:rFonts w:ascii="Times New Roman" w:hAnsi="Times New Roman" w:cs="Times New Roman"/>
          <w:noProof/>
          <w:color w:val="000000"/>
          <w:sz w:val="24"/>
        </w:rPr>
        <w:t xml:space="preserve"> The Centre, which was established as a programme commitment, has the mission to fight the smuggling of excisable products, through the coordination of the services involved in prosecution, and to collect and analyse intelligence in order to optimize the effectiveness of controls carried out by law enforcement authorities in the context of joint actions. The ambitious plan being developed by the authorities would see the membership of the steering committee governing the Centre at the level of deputy ministers of the relevant service (</w:t>
      </w:r>
      <w:r>
        <w:rPr>
          <w:rFonts w:ascii="Times New Roman" w:hAnsi="Times New Roman" w:cs="Times New Roman"/>
          <w:noProof/>
          <w:color w:val="000000"/>
          <w:sz w:val="24"/>
          <w:vertAlign w:val="superscript"/>
        </w:rPr>
        <w:footnoteReference w:id="14"/>
      </w:r>
      <w:r>
        <w:rPr>
          <w:rFonts w:ascii="Times New Roman" w:hAnsi="Times New Roman" w:cs="Times New Roman"/>
          <w:noProof/>
          <w:color w:val="000000"/>
          <w:sz w:val="24"/>
        </w:rPr>
        <w:t xml:space="preserve">) and with the participation of the Authority at the Governor level. This more high-level buy-in is expected to result in a more efficient coordination. The Centre will operationally remain integrated into the structure of the Authority and will see its overall capacity being enhanced. As a first step, legislation to extend the secondments periods allowed and upgrading the Centre’s top management position is expected to be adopted shortly. The authorities are also committed to review the intelligence legislation with technical support provided through the European Commission, in order to bring it closer to best practices.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Work is ongoing on a number of key projects, including an IT system for an end-to-end collection system (a mid-2021 specific commitment) and the ‘model collection office’, while plans for introducing electronic invoicing in 2020 are advancing.</w:t>
      </w:r>
      <w:r>
        <w:rPr>
          <w:rFonts w:ascii="Times New Roman" w:hAnsi="Times New Roman" w:cs="Times New Roman"/>
          <w:noProof/>
          <w:color w:val="000000"/>
          <w:sz w:val="24"/>
        </w:rPr>
        <w:t xml:space="preserve"> The model collection office has been launched as a pilot office for introducing modern collection tools with technical support provided through the European Commission. Secondary legislation on indirect audit methods is expected to be adopted by March 2020. In addition, a successful roll-out of the model collection office by mid-2020 will require appropriate premises to be identified and the needed staff to be transferred. As concerns indirect audit methods, a guideline manual has been finalised, which should allow for the integration of these methods to complement and support the overall audit function. The Independent Authority is also advancing in its digital transformation through the introduction of the Digital Accounting and Tax Application ‘myDATA’ and the implementation of electronic bookkeeping, while electronic invoicing is expected to be introduced during 2020. In addition to developing a robust software, it is important that the analytical capacity of the Independent Authority to process the collected data is further strengthened. Finally, plans are being developed to move towards a system of online cash registers, and primary legislation has been drafted to further strengthen the relevant legal framework, including the legal sanctions foreseen for tampering with the software.</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renewal of the mandate of the Governor of the Independent Authority provides for continuity and will facilitate its transformation into an efficient and effective tax authority in line with best practices.</w:t>
      </w:r>
      <w:r>
        <w:rPr>
          <w:rFonts w:ascii="Times New Roman" w:hAnsi="Times New Roman" w:cs="Times New Roman"/>
          <w:noProof/>
          <w:color w:val="000000"/>
          <w:sz w:val="24"/>
        </w:rPr>
        <w:t xml:space="preserve"> Most of the key performance indicators (see table 3.1) of the Independent Authority were met for 2019, in particular targets were met or exceeded on areas linked to the application of modern collection tools, for example prioritizing that no new debt is created. Further, while the target for proportion of fresh tax audit cases compared to the overall number of completed audits (see Key Performance Indicator 4) was not met, significant progress was still made compared to the situation in 2018, although important work remains to be done in this area, such as establishing proper IT systems to facilitate the analytical work.</w:t>
      </w:r>
    </w:p>
    <w:tbl>
      <w:tblPr>
        <w:tblW w:w="0" w:type="auto"/>
        <w:tblLayout w:type="fixed"/>
        <w:tblCellMar>
          <w:left w:w="0" w:type="dxa"/>
          <w:right w:w="0" w:type="dxa"/>
        </w:tblCellMar>
        <w:tblLook w:val="0000" w:firstRow="0" w:lastRow="0" w:firstColumn="0" w:lastColumn="0" w:noHBand="0" w:noVBand="0"/>
      </w:tblPr>
      <w:tblGrid>
        <w:gridCol w:w="8505"/>
      </w:tblGrid>
      <w:tr>
        <w:trPr>
          <w:cantSplit/>
          <w:trHeight w:val="20"/>
        </w:trPr>
        <w:tc>
          <w:tcPr>
            <w:tcW w:w="8505" w:type="dxa"/>
            <w:shd w:val="clear" w:color="auto" w:fill="auto"/>
          </w:tcPr>
          <w:p>
            <w:pPr>
              <w:keepNext/>
              <w:spacing w:after="0" w:line="240" w:lineRule="auto"/>
              <w:jc w:val="both"/>
              <w:rPr>
                <w:rFonts w:ascii="Times New Roman" w:hAnsi="Times New Roman" w:cs="Times New Roman"/>
                <w:noProof/>
                <w:color w:val="000000"/>
                <w:sz w:val="2"/>
              </w:rPr>
            </w:pPr>
          </w:p>
        </w:tc>
      </w:tr>
      <w:tr>
        <w:trPr>
          <w:cantSplit/>
        </w:trPr>
        <w:tc>
          <w:tcPr>
            <w:tcW w:w="8505" w:type="dxa"/>
            <w:shd w:val="clear" w:color="auto" w:fill="auto"/>
          </w:tcPr>
          <w:p>
            <w:pPr>
              <w:keepNext/>
              <w:pBdr>
                <w:top w:val="single" w:sz="2" w:space="2" w:color="auto"/>
                <w:bottom w:val="single" w:sz="2" w:space="2" w:color="auto"/>
              </w:pBdr>
              <w:tabs>
                <w:tab w:val="left" w:pos="1020"/>
                <w:tab w:val="left" w:pos="1077"/>
                <w:tab w:val="left" w:pos="1134"/>
              </w:tabs>
              <w:spacing w:after="40" w:line="240" w:lineRule="auto"/>
              <w:ind w:left="1020" w:hanging="1020"/>
              <w:rPr>
                <w:rFonts w:ascii="Century Gothic" w:hAnsi="Century Gothic" w:cs="Times New Roman"/>
                <w:b/>
                <w:noProof/>
                <w:color w:val="333399"/>
                <w:sz w:val="18"/>
              </w:rPr>
            </w:pPr>
            <w:r>
              <w:rPr>
                <w:rFonts w:ascii="Century Gothic" w:hAnsi="Century Gothic" w:cs="Times New Roman"/>
                <w:noProof/>
                <w:color w:val="333399"/>
                <w:sz w:val="18"/>
              </w:rPr>
              <w:t>Table 3.1:</w:t>
            </w:r>
            <w:r>
              <w:rPr>
                <w:rFonts w:ascii="Century Gothic" w:hAnsi="Century Gothic" w:cs="Times New Roman"/>
                <w:b/>
                <w:noProof/>
                <w:color w:val="333399"/>
                <w:sz w:val="18"/>
              </w:rPr>
              <w:tab/>
              <w:t>Key Performance Indicators of the Independent Authority (fourth quarter of 2019)</w:t>
            </w:r>
          </w:p>
        </w:tc>
      </w:tr>
      <w:tr>
        <w:trPr>
          <w:cantSplit/>
        </w:trPr>
        <w:tc>
          <w:tcPr>
            <w:tcW w:w="8505" w:type="dxa"/>
            <w:shd w:val="clear" w:color="auto" w:fill="auto"/>
          </w:tcPr>
          <w:p>
            <w:pPr>
              <w:keepNext/>
              <w:spacing w:after="0" w:line="240" w:lineRule="auto"/>
              <w:jc w:val="center"/>
              <w:rPr>
                <w:rFonts w:ascii="Times New Roman" w:hAnsi="Times New Roman" w:cs="Times New Roman"/>
                <w:noProof/>
                <w:color w:val="000000"/>
                <w:sz w:val="2"/>
              </w:rPr>
            </w:pPr>
            <w:r>
              <w:rPr>
                <w:rFonts w:ascii="Times New Roman" w:hAnsi="Times New Roman" w:cs="Times New Roman"/>
                <w:noProof/>
                <w:color w:val="000000"/>
                <w:sz w:val="24"/>
              </w:rPr>
              <w:fldChar w:fldCharType="begin"/>
            </w:r>
            <w:r>
              <w:rPr>
                <w:rFonts w:ascii="Times New Roman" w:hAnsi="Times New Roman" w:cs="Times New Roman"/>
                <w:noProof/>
                <w:color w:val="000000"/>
                <w:sz w:val="24"/>
              </w:rPr>
              <w:instrText xml:space="preserve"> TC "</w:instrText>
            </w:r>
            <w:bookmarkStart w:id="23" w:name="_Toc32919966"/>
            <w:r>
              <w:rPr>
                <w:rFonts w:ascii="Times New Roman" w:hAnsi="Times New Roman" w:cs="Times New Roman"/>
                <w:noProof/>
                <w:color w:val="000000"/>
                <w:sz w:val="24"/>
              </w:rPr>
              <w:instrText>3.1.</w:instrText>
            </w:r>
            <w:r>
              <w:rPr>
                <w:rFonts w:ascii="Times New Roman" w:hAnsi="Times New Roman" w:cs="Times New Roman"/>
                <w:noProof/>
                <w:color w:val="000000"/>
                <w:sz w:val="24"/>
              </w:rPr>
              <w:tab/>
              <w:instrText>Key Performance Indicators of the Independent Authority (fourth quarter of 2019)</w:instrText>
            </w:r>
            <w:bookmarkEnd w:id="23"/>
            <w:r>
              <w:rPr>
                <w:rFonts w:ascii="Times New Roman" w:hAnsi="Times New Roman" w:cs="Times New Roman"/>
                <w:noProof/>
                <w:color w:val="000000"/>
                <w:sz w:val="24"/>
              </w:rPr>
              <w:instrText xml:space="preserve">" \ftable \l 5 </w:instrText>
            </w:r>
            <w:r>
              <w:rPr>
                <w:rFonts w:ascii="Times New Roman" w:hAnsi="Times New Roman" w:cs="Times New Roman"/>
                <w:noProof/>
                <w:color w:val="000000"/>
                <w:sz w:val="24"/>
              </w:rPr>
              <w:fldChar w:fldCharType="end"/>
            </w:r>
            <w:r>
              <w:rPr>
                <w:rFonts w:ascii="Times New Roman" w:hAnsi="Times New Roman" w:cs="Times New Roman"/>
                <w:noProof/>
                <w:color w:val="000000"/>
                <w:sz w:val="2"/>
                <w:lang w:eastAsia="en-GB"/>
              </w:rPr>
              <w:drawing>
                <wp:inline distT="0" distB="0" distL="0" distR="0">
                  <wp:extent cx="5388229" cy="3144242"/>
                  <wp:effectExtent l="0" t="0" r="3175" b="0"/>
                  <wp:docPr id="3" name="Picture 3" descr="&lt;nbr&gt;&lt;GETTEXTFROMWORD&gt;&lt;/nbr&gt;&#10;&lt;title&gt;&lt;GETTEXTFROMWORD&gt;&lt;/title&gt;&#10;&lt;id&gt;2c0ff5d2-caee-4415-894a-ac7e89bb7e1a&lt;/id&gt;&#10;&lt;srcType&gt;EXCEL&lt;/srcType&gt;&#10;&lt;srcPath&gt;\\myintracomm-collab.ec.europa.eu@SSL\DavWWWRoot\dg\ECFIN\Country\GR\Shared Documents\POST-PROGRAMME\Enhanced surveillance\5th Report\Graphs-Tables\&lt;/srcPath&gt;&#10;&lt;srcName&gt;3_fiscal.xlsx&lt;/srcName&gt;&#10;&lt;type&gt;table&lt;/type&gt;&#10; &lt;srcSheet&gt;B3 KPI&lt;/srcSheet&gt;&#10; &lt;srcRange&gt;R3C2:R15C12&lt;/srcRange&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20-02-17T10:41:17&lt;/scrFileTime&gt;&#10;&lt;imageInformation&gt;&#10; &lt;dontScaleUp&gt;no&lt;/dontScaleUp&gt;&#10; &lt;usedpercentageofavailablewidth&gt;100&lt;/usedpercentageofavailablewidth&gt;&#10;&lt;/imageInformation&gt;&#10;&lt;url&gt;Chap2/Chap2-Table-3.0.xlsx&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5388229" cy="3144242"/>
                          </a:xfrm>
                          <a:prstGeom prst="rect">
                            <a:avLst/>
                          </a:prstGeom>
                        </pic:spPr>
                      </pic:pic>
                    </a:graphicData>
                  </a:graphic>
                </wp:inline>
              </w:drawing>
            </w:r>
            <w:r>
              <w:rPr>
                <w:rFonts w:ascii="Times New Roman" w:hAnsi="Times New Roman" w:cs="Times New Roman"/>
                <w:noProof/>
                <w:color w:val="000000"/>
                <w:sz w:val="2"/>
              </w:rPr>
              <w:t xml:space="preserve"> </w:t>
            </w:r>
          </w:p>
        </w:tc>
      </w:tr>
      <w:tr>
        <w:trPr>
          <w:cantSplit/>
        </w:trPr>
        <w:tc>
          <w:tcPr>
            <w:tcW w:w="8505" w:type="dxa"/>
            <w:shd w:val="clear" w:color="auto" w:fill="auto"/>
          </w:tcPr>
          <w:p>
            <w:pPr>
              <w:keepNext/>
              <w:pBdr>
                <w:top w:val="single" w:sz="2" w:space="2" w:color="auto"/>
                <w:bottom w:val="single" w:sz="2" w:space="2" w:color="auto"/>
              </w:pBdr>
              <w:spacing w:after="0" w:line="240" w:lineRule="auto"/>
              <w:rPr>
                <w:rFonts w:ascii="Century Gothic" w:hAnsi="Century Gothic" w:cs="Times New Roman"/>
                <w:noProof/>
                <w:color w:val="000000"/>
                <w:sz w:val="18"/>
              </w:rPr>
            </w:pPr>
            <w:r>
              <w:rPr>
                <w:rFonts w:ascii="Century Gothic" w:hAnsi="Century Gothic" w:cs="Times New Roman"/>
                <w:b/>
                <w:i/>
                <w:noProof/>
                <w:color w:val="000000"/>
                <w:sz w:val="18"/>
              </w:rPr>
              <w:t>Source:</w:t>
            </w:r>
            <w:r>
              <w:rPr>
                <w:rFonts w:ascii="Century Gothic" w:hAnsi="Century Gothic" w:cs="Times New Roman"/>
                <w:noProof/>
                <w:color w:val="000000"/>
                <w:sz w:val="18"/>
              </w:rPr>
              <w:t xml:space="preserve"> Independent Authority for Public Revenue</w:t>
            </w:r>
          </w:p>
        </w:tc>
      </w:tr>
      <w:tr>
        <w:trPr>
          <w:cantSplit/>
          <w:trHeight w:val="20"/>
        </w:trPr>
        <w:tc>
          <w:tcPr>
            <w:tcW w:w="8505" w:type="dxa"/>
            <w:shd w:val="clear" w:color="auto" w:fill="auto"/>
            <w:tcMar>
              <w:bottom w:w="240" w:type="dxa"/>
            </w:tcMar>
          </w:tcPr>
          <w:p>
            <w:pPr>
              <w:spacing w:after="0" w:line="240" w:lineRule="auto"/>
              <w:jc w:val="both"/>
              <w:rPr>
                <w:rFonts w:ascii="Times New Roman" w:hAnsi="Times New Roman" w:cs="Times New Roman"/>
                <w:noProof/>
                <w:color w:val="000000"/>
                <w:sz w:val="2"/>
              </w:rPr>
            </w:pPr>
          </w:p>
        </w:tc>
      </w:tr>
    </w:tbl>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Joint Centre for the Collection of Social Security Debt met its debt collection target for 2019.</w:t>
      </w:r>
      <w:r>
        <w:rPr>
          <w:rFonts w:ascii="Times New Roman" w:hAnsi="Times New Roman" w:cs="Times New Roman"/>
          <w:noProof/>
          <w:color w:val="000000"/>
          <w:sz w:val="24"/>
        </w:rPr>
        <w:t xml:space="preserve"> The actual collection exceeded the target by 7.6%, as €1 471 million were collected compared to a target of €1 367 million. New debt was slightly reduced in 2019, but since a significant contributing factor may have been the new 120 instalment scheme, it remains to be seen if this trend reversal will be maintained in 2020. The Joint Centre has also set a more ambitious target for 2020 as it aims to collect €1.38 billion of debt. However, the secondary legislation that would allow the Joint Centre to directly apply the classification of ‘uncollectable’ debt used by the Independent Authority remains pending.</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revised basic instalment scheme came into effect on 1 January 2020, while the decision to reopen the 120 instalment scheme for social security contributions has raised serious concerns about further abetting the already weak payment discipline in Greece.</w:t>
      </w:r>
      <w:r>
        <w:rPr>
          <w:rFonts w:ascii="Times New Roman" w:hAnsi="Times New Roman" w:cs="Times New Roman"/>
          <w:noProof/>
          <w:color w:val="000000"/>
          <w:sz w:val="24"/>
        </w:rPr>
        <w:t xml:space="preserve"> In autumn 2019, the Greek government had signalled that the 120 instalment scheme for tax and social security debt would be the final opportunity for debt settlement under such favourable terms. The schemes, which follow a number of similar ad hoc schemes adopted in the past decade, were closed as planned by early October, but the instalment scheme for social security contributions was then re-opened, with the authorities arguing that many debtors had involuntarily dropped out due to an error in the IT system. However, the adopted legal provision that made re-entering possible did not limit the eligibility to debtors that had experienced IT issues, which meant that debtors who genuinely failed to comply with the rules could also re-enter. This implicitly represents an extension of the instalment scheme. The adopted legal provision allows for re-entry up to end-May 2020, which appears disproportionately long to address the underlying technical issues. It is therefore welcomed that the authorities have submitted an amendment to this law that will shorten the window for re-entry from the end of May to the end of March 2020 and will also limit the eligibility to re-enter to those who dropped out due the IT issues mentioned above. The revised basic instalment scheme – assessed in the 4</w:t>
      </w:r>
      <w:r>
        <w:rPr>
          <w:rFonts w:ascii="Times New Roman" w:hAnsi="Times New Roman" w:cs="Times New Roman"/>
          <w:noProof/>
          <w:color w:val="000000"/>
          <w:sz w:val="24"/>
          <w:vertAlign w:val="superscript"/>
        </w:rPr>
        <w:t>th</w:t>
      </w:r>
      <w:r>
        <w:rPr>
          <w:rFonts w:ascii="Times New Roman" w:hAnsi="Times New Roman" w:cs="Times New Roman"/>
          <w:noProof/>
          <w:color w:val="000000"/>
          <w:sz w:val="24"/>
        </w:rPr>
        <w:t xml:space="preserve"> enhanced surveillance report – is expected to become operational at end-February 2020. The scheme will provide an opportunity, under specific conditions, for tax and social security debt to be repaid in up to 24 monthly instalments, and up to 48 instalments for specific categories of taxes (e.g. the inheritance tax). </w:t>
      </w: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24" w:name="_Toc32921488"/>
      <w:r>
        <w:rPr>
          <w:rFonts w:ascii="Century Gothic" w:hAnsi="Century Gothic" w:cs="Times New Roman"/>
          <w:b/>
          <w:caps/>
          <w:noProof/>
          <w:color w:val="333399"/>
        </w:rPr>
        <w:t>3.4.</w:t>
      </w:r>
      <w:r>
        <w:rPr>
          <w:rFonts w:ascii="Century Gothic" w:hAnsi="Century Gothic" w:cs="Times New Roman"/>
          <w:b/>
          <w:caps/>
          <w:noProof/>
          <w:color w:val="333399"/>
        </w:rPr>
        <w:tab/>
        <w:t>Public Finance Management</w:t>
      </w:r>
      <w:bookmarkEnd w:id="24"/>
    </w:p>
    <w:p>
      <w:pPr>
        <w:keepNext/>
        <w:tabs>
          <w:tab w:val="left" w:pos="567"/>
        </w:tabs>
        <w:spacing w:before="80" w:after="160" w:line="240" w:lineRule="atLeast"/>
        <w:ind w:left="567" w:hanging="567"/>
        <w:jc w:val="both"/>
        <w:outlineLvl w:val="3"/>
        <w:rPr>
          <w:rFonts w:ascii="Century Gothic" w:hAnsi="Century Gothic" w:cs="Times New Roman"/>
          <w:noProof/>
          <w:color w:val="333399"/>
        </w:rPr>
      </w:pPr>
      <w:bookmarkStart w:id="25" w:name="_Toc32921489"/>
      <w:r>
        <w:rPr>
          <w:rFonts w:ascii="Century Gothic" w:hAnsi="Century Gothic" w:cs="Times New Roman"/>
          <w:noProof/>
          <w:color w:val="333399"/>
        </w:rPr>
        <w:t>3.4.1.</w:t>
      </w:r>
      <w:r>
        <w:rPr>
          <w:rFonts w:ascii="Century Gothic" w:hAnsi="Century Gothic" w:cs="Times New Roman"/>
          <w:noProof/>
          <w:color w:val="333399"/>
        </w:rPr>
        <w:tab/>
        <w:t xml:space="preserve"> Arrears</w:t>
      </w:r>
      <w:bookmarkEnd w:id="25"/>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stock of net arrears reached €1.2 billion at end-2019, €220 million above the targets set in the October 2019 clearance plan. </w:t>
      </w:r>
      <w:r>
        <w:rPr>
          <w:rFonts w:ascii="Times New Roman" w:hAnsi="Times New Roman" w:cs="Times New Roman"/>
          <w:noProof/>
          <w:color w:val="000000"/>
          <w:sz w:val="24"/>
        </w:rPr>
        <w:t>Compared to August 2019, the stock of net arrears decreased by €50 million. On the one hand, some subsectors show encouraging results. The Independent Authority for Public Revenue paid its tax refunds in line with the targets set in the plan. Hospitals fully cleared their net arrears already in October 2019 and they have been decreasing their gross stock since July. Clearance in Social security funds and extra-budgetary funds is broadly on track. On the other hand, problems remain with pension claims, local governments and state arrears. More than half of the €220 million slippage can be attributed to pension claims, which have been increasing between May and December 2019, contrary to the plan. This deviation is due to inefficiencies and complexities in the clearance process and in computing accurately the net stock of arrears (</w:t>
      </w:r>
      <w:r>
        <w:rPr>
          <w:rFonts w:ascii="Times New Roman" w:hAnsi="Times New Roman" w:cs="Times New Roman"/>
          <w:noProof/>
          <w:color w:val="000000"/>
          <w:sz w:val="24"/>
          <w:vertAlign w:val="superscript"/>
        </w:rPr>
        <w:footnoteReference w:id="15"/>
      </w:r>
      <w:r>
        <w:rPr>
          <w:rFonts w:ascii="Times New Roman" w:hAnsi="Times New Roman" w:cs="Times New Roman"/>
          <w:noProof/>
          <w:color w:val="000000"/>
          <w:sz w:val="24"/>
        </w:rPr>
        <w:t>); the authorities also report an unforeseen increase in the number of applications due to the instalments scheme (</w:t>
      </w:r>
      <w:r>
        <w:rPr>
          <w:rFonts w:ascii="Times New Roman" w:hAnsi="Times New Roman" w:cs="Times New Roman"/>
          <w:noProof/>
          <w:color w:val="000000"/>
          <w:sz w:val="24"/>
          <w:vertAlign w:val="superscript"/>
        </w:rPr>
        <w:footnoteReference w:id="16"/>
      </w:r>
      <w:r>
        <w:rPr>
          <w:rFonts w:ascii="Times New Roman" w:hAnsi="Times New Roman" w:cs="Times New Roman"/>
          <w:noProof/>
          <w:color w:val="000000"/>
          <w:sz w:val="24"/>
        </w:rPr>
        <w:t xml:space="preserve">). Slippages in local governments and the state account for the other half of the underperformance. The authorities expect part of the local governments’ arrears to be written-off as their limitation period has elapsed. This would reduce the stock, but without injecting liquidity to the private sector through actual clearance. </w:t>
      </w:r>
    </w:p>
    <w:tbl>
      <w:tblPr>
        <w:tblW w:w="0" w:type="auto"/>
        <w:tblLayout w:type="fixed"/>
        <w:tblCellMar>
          <w:left w:w="0" w:type="dxa"/>
          <w:right w:w="0" w:type="dxa"/>
        </w:tblCellMar>
        <w:tblLook w:val="0000" w:firstRow="0" w:lastRow="0" w:firstColumn="0" w:lastColumn="0" w:noHBand="0" w:noVBand="0"/>
      </w:tblPr>
      <w:tblGrid>
        <w:gridCol w:w="8505"/>
      </w:tblGrid>
      <w:tr>
        <w:trPr>
          <w:cantSplit/>
          <w:trHeight w:val="20"/>
        </w:trPr>
        <w:tc>
          <w:tcPr>
            <w:tcW w:w="8505" w:type="dxa"/>
            <w:shd w:val="clear" w:color="auto" w:fill="auto"/>
          </w:tcPr>
          <w:p>
            <w:pPr>
              <w:keepNext/>
              <w:spacing w:after="0" w:line="240" w:lineRule="auto"/>
              <w:jc w:val="both"/>
              <w:rPr>
                <w:rFonts w:ascii="Times New Roman" w:hAnsi="Times New Roman" w:cs="Times New Roman"/>
                <w:noProof/>
                <w:color w:val="000000"/>
                <w:sz w:val="2"/>
              </w:rPr>
            </w:pPr>
          </w:p>
        </w:tc>
      </w:tr>
      <w:tr>
        <w:trPr>
          <w:cantSplit/>
        </w:trPr>
        <w:tc>
          <w:tcPr>
            <w:tcW w:w="8505" w:type="dxa"/>
            <w:shd w:val="clear" w:color="auto" w:fill="auto"/>
          </w:tcPr>
          <w:p>
            <w:pPr>
              <w:keepNext/>
              <w:pBdr>
                <w:top w:val="single" w:sz="2" w:space="2" w:color="auto"/>
                <w:bottom w:val="single" w:sz="2" w:space="2" w:color="auto"/>
              </w:pBdr>
              <w:tabs>
                <w:tab w:val="left" w:pos="1020"/>
                <w:tab w:val="left" w:pos="1077"/>
                <w:tab w:val="left" w:pos="1134"/>
              </w:tabs>
              <w:spacing w:after="40" w:line="240" w:lineRule="auto"/>
              <w:ind w:left="1020" w:hanging="1020"/>
              <w:rPr>
                <w:rFonts w:ascii="Century Gothic" w:hAnsi="Century Gothic" w:cs="Times New Roman"/>
                <w:b/>
                <w:noProof/>
                <w:color w:val="333399"/>
                <w:sz w:val="18"/>
              </w:rPr>
            </w:pPr>
            <w:r>
              <w:rPr>
                <w:rFonts w:ascii="Century Gothic" w:hAnsi="Century Gothic" w:cs="Times New Roman"/>
                <w:noProof/>
                <w:color w:val="333399"/>
                <w:sz w:val="18"/>
              </w:rPr>
              <w:t>Table 3.2:</w:t>
            </w:r>
            <w:r>
              <w:rPr>
                <w:rFonts w:ascii="Century Gothic" w:hAnsi="Century Gothic" w:cs="Times New Roman"/>
                <w:b/>
                <w:noProof/>
                <w:color w:val="333399"/>
                <w:sz w:val="18"/>
              </w:rPr>
              <w:tab/>
              <w:t>Arrears clearance plan</w:t>
            </w:r>
          </w:p>
        </w:tc>
      </w:tr>
      <w:tr>
        <w:trPr>
          <w:cantSplit/>
        </w:trPr>
        <w:tc>
          <w:tcPr>
            <w:tcW w:w="8505" w:type="dxa"/>
            <w:shd w:val="clear" w:color="auto" w:fill="auto"/>
          </w:tcPr>
          <w:p>
            <w:pPr>
              <w:keepNext/>
              <w:spacing w:after="0" w:line="240" w:lineRule="auto"/>
              <w:jc w:val="center"/>
              <w:rPr>
                <w:rFonts w:ascii="Times New Roman" w:hAnsi="Times New Roman" w:cs="Times New Roman"/>
                <w:noProof/>
                <w:color w:val="000000"/>
                <w:sz w:val="2"/>
              </w:rPr>
            </w:pPr>
            <w:r>
              <w:rPr>
                <w:rFonts w:ascii="Times New Roman" w:hAnsi="Times New Roman" w:cs="Times New Roman"/>
                <w:noProof/>
                <w:color w:val="000000"/>
                <w:sz w:val="24"/>
              </w:rPr>
              <w:fldChar w:fldCharType="begin"/>
            </w:r>
            <w:r>
              <w:rPr>
                <w:rFonts w:ascii="Times New Roman" w:hAnsi="Times New Roman" w:cs="Times New Roman"/>
                <w:noProof/>
                <w:color w:val="000000"/>
                <w:sz w:val="24"/>
              </w:rPr>
              <w:instrText xml:space="preserve"> TC "</w:instrText>
            </w:r>
            <w:bookmarkStart w:id="26" w:name="_Toc32919967"/>
            <w:r>
              <w:rPr>
                <w:rFonts w:ascii="Times New Roman" w:hAnsi="Times New Roman" w:cs="Times New Roman"/>
                <w:noProof/>
                <w:color w:val="000000"/>
                <w:sz w:val="24"/>
              </w:rPr>
              <w:instrText>3.2.</w:instrText>
            </w:r>
            <w:r>
              <w:rPr>
                <w:rFonts w:ascii="Times New Roman" w:hAnsi="Times New Roman" w:cs="Times New Roman"/>
                <w:noProof/>
                <w:color w:val="000000"/>
                <w:sz w:val="24"/>
              </w:rPr>
              <w:tab/>
              <w:instrText>Arrears clearance plan</w:instrText>
            </w:r>
            <w:bookmarkEnd w:id="26"/>
            <w:r>
              <w:rPr>
                <w:rFonts w:ascii="Times New Roman" w:hAnsi="Times New Roman" w:cs="Times New Roman"/>
                <w:noProof/>
                <w:color w:val="000000"/>
                <w:sz w:val="24"/>
              </w:rPr>
              <w:instrText xml:space="preserve">" \ftable \l 5 </w:instrText>
            </w:r>
            <w:r>
              <w:rPr>
                <w:rFonts w:ascii="Times New Roman" w:hAnsi="Times New Roman" w:cs="Times New Roman"/>
                <w:noProof/>
                <w:color w:val="000000"/>
                <w:sz w:val="24"/>
              </w:rPr>
              <w:fldChar w:fldCharType="end"/>
            </w:r>
            <w:r>
              <w:rPr>
                <w:rFonts w:ascii="Times New Roman" w:hAnsi="Times New Roman" w:cs="Times New Roman"/>
                <w:noProof/>
                <w:color w:val="000000"/>
                <w:sz w:val="2"/>
                <w:lang w:eastAsia="en-GB"/>
              </w:rPr>
              <w:drawing>
                <wp:inline distT="0" distB="0" distL="0" distR="0">
                  <wp:extent cx="5388229" cy="1408352"/>
                  <wp:effectExtent l="0" t="0" r="3175" b="1905"/>
                  <wp:docPr id="2" name="Picture 2" descr="&lt;nbr&gt;&lt;GETTEXTFROMWORD&gt;&lt;/nbr&gt;&#10;&lt;title&gt;&lt;GETTEXTFROMWORD&gt;&lt;/title&gt;&#10;&lt;id&gt;eb3d0697-d91d-4d72-b8d8-a2472447005a&lt;/id&gt;&#10;&lt;srcType&gt;EXCEL&lt;/srcType&gt;&#10;&lt;srcPath&gt;\\myintracomm-collab.ec.europa.eu@SSL\DavWWWRoot\dg\ECFIN\Country\GR\Shared Documents\POST-PROGRAMME\Enhanced surveillance\5th Report\Graphs-Tables\&lt;/srcPath&gt;&#10;&lt;srcName&gt;3_fiscal.xlsx&lt;/srcName&gt;&#10;&lt;type&gt;table&lt;/type&gt;&#10; &lt;srcSheet&gt;Arrears&lt;/srcSheet&gt;&#10; &lt;srcRange&gt;R2C1:R21C29&lt;/srcRange&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20-02-17T10:41:17&lt;/scrFileTime&gt;&#10;&lt;imageInformation&gt;&#10; &lt;dontScaleUp&gt;no&lt;/dontScaleUp&gt;&#10; &lt;usedpercentageofavailablewidth&gt;100&lt;/usedpercentageofavailablewidth&gt;&#10;&lt;/imageInformation&gt;&#10;&lt;url&gt;Chap2/Chap2-Table-3.2.xlsx&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388229" cy="1408352"/>
                          </a:xfrm>
                          <a:prstGeom prst="rect">
                            <a:avLst/>
                          </a:prstGeom>
                        </pic:spPr>
                      </pic:pic>
                    </a:graphicData>
                  </a:graphic>
                </wp:inline>
              </w:drawing>
            </w:r>
            <w:r>
              <w:rPr>
                <w:rFonts w:ascii="Times New Roman" w:hAnsi="Times New Roman" w:cs="Times New Roman"/>
                <w:noProof/>
                <w:color w:val="000000"/>
                <w:sz w:val="2"/>
              </w:rPr>
              <w:t xml:space="preserve"> </w:t>
            </w:r>
          </w:p>
        </w:tc>
      </w:tr>
      <w:tr>
        <w:trPr>
          <w:cantSplit/>
        </w:trPr>
        <w:tc>
          <w:tcPr>
            <w:tcW w:w="8505" w:type="dxa"/>
            <w:shd w:val="clear" w:color="auto" w:fill="auto"/>
          </w:tcPr>
          <w:p>
            <w:pPr>
              <w:keepNext/>
              <w:pBdr>
                <w:top w:val="single" w:sz="2" w:space="2" w:color="auto"/>
                <w:bottom w:val="single" w:sz="2" w:space="2" w:color="auto"/>
              </w:pBdr>
              <w:spacing w:after="0" w:line="240" w:lineRule="auto"/>
              <w:rPr>
                <w:rFonts w:ascii="Century Gothic" w:hAnsi="Century Gothic" w:cs="Times New Roman"/>
                <w:noProof/>
                <w:color w:val="000000"/>
                <w:sz w:val="18"/>
              </w:rPr>
            </w:pPr>
            <w:r>
              <w:rPr>
                <w:rFonts w:ascii="Century Gothic" w:hAnsi="Century Gothic" w:cs="Times New Roman"/>
                <w:b/>
                <w:i/>
                <w:noProof/>
                <w:color w:val="000000"/>
                <w:sz w:val="18"/>
              </w:rPr>
              <w:t>Source:</w:t>
            </w:r>
            <w:r>
              <w:rPr>
                <w:rFonts w:ascii="Century Gothic" w:hAnsi="Century Gothic" w:cs="Times New Roman"/>
                <w:noProof/>
                <w:color w:val="000000"/>
                <w:sz w:val="18"/>
              </w:rPr>
              <w:t xml:space="preserve"> European Commission</w:t>
            </w:r>
          </w:p>
        </w:tc>
      </w:tr>
      <w:tr>
        <w:trPr>
          <w:cantSplit/>
          <w:trHeight w:val="20"/>
        </w:trPr>
        <w:tc>
          <w:tcPr>
            <w:tcW w:w="8505" w:type="dxa"/>
            <w:shd w:val="clear" w:color="auto" w:fill="auto"/>
            <w:tcMar>
              <w:bottom w:w="240" w:type="dxa"/>
            </w:tcMar>
          </w:tcPr>
          <w:p>
            <w:pPr>
              <w:spacing w:after="0" w:line="240" w:lineRule="auto"/>
              <w:jc w:val="both"/>
              <w:rPr>
                <w:rFonts w:ascii="Times New Roman" w:hAnsi="Times New Roman" w:cs="Times New Roman"/>
                <w:noProof/>
                <w:color w:val="000000"/>
                <w:sz w:val="2"/>
              </w:rPr>
            </w:pPr>
          </w:p>
        </w:tc>
      </w:tr>
    </w:tbl>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have prepared additional measures to remedy the observed slippages against the clearance targets, focusing in particular on pension arrears, and have already started implementing some of them.</w:t>
      </w:r>
      <w:r>
        <w:rPr>
          <w:rFonts w:ascii="Times New Roman" w:hAnsi="Times New Roman" w:cs="Times New Roman"/>
          <w:noProof/>
          <w:color w:val="000000"/>
          <w:sz w:val="24"/>
        </w:rPr>
        <w:t xml:space="preserve"> In this regard, the recently established Steering Committee, which oversees the implementation of the clearance plan, proved helpful to facilitate the exchange of information and best practises among the subsectors. In addition, the General Accounting Office passed a number of legislative amendments to regulate payments of certain arrears, and implemented a new electronic platform with a view to improving the monitoring and reporting of arrears across general government entities. Moreover, hospital procurement is being redesigned within a medium-term framework that involves a centralization of procurements through the seven regional health organisations (</w:t>
      </w:r>
      <w:r>
        <w:rPr>
          <w:rFonts w:ascii="Times New Roman" w:hAnsi="Times New Roman" w:cs="Times New Roman"/>
          <w:noProof/>
          <w:color w:val="000000"/>
          <w:sz w:val="24"/>
          <w:vertAlign w:val="superscript"/>
        </w:rPr>
        <w:footnoteReference w:id="17"/>
      </w:r>
      <w:r>
        <w:rPr>
          <w:rFonts w:ascii="Times New Roman" w:hAnsi="Times New Roman" w:cs="Times New Roman"/>
          <w:noProof/>
          <w:color w:val="000000"/>
          <w:sz w:val="24"/>
        </w:rPr>
        <w:t xml:space="preserve">). Finally, new actions are being prepared to speed up processing of pension claims, including additional training, setting quantitative targets per employee, sharing of experience between the Health Fund and the Pension Fund, and reallocating personnel. In addition, an increase in the temporary pensions is being considered.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With a view to abiding by the clearance targets set in the October 2019 clearance plan, the authorities expect to deploy the new IT system as of June 2020 and that the measures would be sufficient to fully clear the old pension claims by mid-2021.</w:t>
      </w:r>
      <w:r>
        <w:rPr>
          <w:rFonts w:ascii="Times New Roman" w:hAnsi="Times New Roman" w:cs="Times New Roman"/>
          <w:noProof/>
          <w:color w:val="000000"/>
          <w:sz w:val="24"/>
        </w:rPr>
        <w:t xml:space="preserve"> The deployment of the IT system would free up resources to work with the old pension claims. Accelerating the increase or reallocation of personnel before June 2020 would be instrumental in clearing the long outstanding pension claims. Overall, the authorities remain committed to the October 2019 clearance plan, despite the temporary slippage. To achieve this, further mitigations actions may help the subsectors that are lagging behind.</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While the net stock decreased in 2019, new arrears continue to be created, which points to weaknesses in the payment chain and internal control functions.</w:t>
      </w:r>
      <w:r>
        <w:rPr>
          <w:rFonts w:ascii="Times New Roman" w:hAnsi="Times New Roman" w:cs="Times New Roman"/>
          <w:noProof/>
          <w:color w:val="000000"/>
          <w:sz w:val="24"/>
        </w:rPr>
        <w:t xml:space="preserve"> The steering committee oversees the full implementation of the remaining recommendations suggested by the Hellenic Court of Auditors and monitors the whole clearance process. Additional streamlining of the payment chain would improve the timeliness of payments. Specific recommendations to this effect were provided through a European Commission technical support project delivered by the International Monetary Fund in January 2020. The General Accounting Office committed to carefully examine the recommendations and to adopt mitigation actions when necessary. In the context of establishing timely payment chains, the lack of effective internal control mechanisms is still a cause of concern and a factor slowing down the processing of payments, especially in entities where the ex-ante audits performed by the Court of Auditors have recently been phased out. The Court is conducting a broad survey on internal controls across the government and any other public entity with a view to accelerating the establishment of effective internal control systems in the public sector until the end of the current year, providing guidance if necessary (</w:t>
      </w:r>
      <w:r>
        <w:rPr>
          <w:rFonts w:ascii="Times New Roman" w:hAnsi="Times New Roman" w:cs="Times New Roman"/>
          <w:noProof/>
          <w:color w:val="000000"/>
          <w:sz w:val="24"/>
          <w:vertAlign w:val="superscript"/>
        </w:rPr>
        <w:footnoteReference w:id="18"/>
      </w:r>
      <w:r>
        <w:rPr>
          <w:rFonts w:ascii="Times New Roman" w:hAnsi="Times New Roman" w:cs="Times New Roman"/>
          <w:noProof/>
          <w:color w:val="000000"/>
          <w:sz w:val="24"/>
        </w:rPr>
        <w:t>) .</w:t>
      </w:r>
    </w:p>
    <w:p>
      <w:pPr>
        <w:keepNext/>
        <w:tabs>
          <w:tab w:val="left" w:pos="567"/>
        </w:tabs>
        <w:spacing w:before="80" w:after="160" w:line="240" w:lineRule="atLeast"/>
        <w:ind w:left="567" w:hanging="567"/>
        <w:jc w:val="both"/>
        <w:outlineLvl w:val="3"/>
        <w:rPr>
          <w:rFonts w:ascii="Century Gothic" w:hAnsi="Century Gothic" w:cs="Times New Roman"/>
          <w:noProof/>
          <w:color w:val="333399"/>
        </w:rPr>
      </w:pPr>
      <w:bookmarkStart w:id="27" w:name="_Toc32921490"/>
      <w:r>
        <w:rPr>
          <w:rFonts w:ascii="Century Gothic" w:hAnsi="Century Gothic" w:cs="Times New Roman"/>
          <w:noProof/>
          <w:color w:val="333399"/>
        </w:rPr>
        <w:t>3.4.2.</w:t>
      </w:r>
      <w:r>
        <w:rPr>
          <w:rFonts w:ascii="Century Gothic" w:hAnsi="Century Gothic" w:cs="Times New Roman"/>
          <w:noProof/>
          <w:color w:val="333399"/>
        </w:rPr>
        <w:tab/>
        <w:t>Treasury Single Account</w:t>
      </w:r>
      <w:bookmarkEnd w:id="27"/>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framework for the cash monitoring of the general government Treasury account system has been put in place, while a pilot project on cash forecasting is being implemented (both are end-2019 specific commitments).</w:t>
      </w:r>
      <w:r>
        <w:rPr>
          <w:rFonts w:ascii="Times New Roman" w:hAnsi="Times New Roman" w:cs="Times New Roman"/>
          <w:noProof/>
          <w:color w:val="000000"/>
          <w:sz w:val="24"/>
        </w:rPr>
        <w:t xml:space="preserve"> All significant general government entities have opened accounts at the Bank of Greece, which administers the Treasury account system, and use it to receive state grants or subsidies. However, some small entities have not joined the scheme yet. Even if these entities do not have significant cash reserves, the General Accounting Office is aware of the importance of including them in the scheme and foresee to take steps shortly to ensure full compliance. Excess liquidity of general government entities is being transferred to the Treasury Single Account under the supervision of the Public Debt Management Agency, which is closely monitoring the entities’ accounts in commercial banks. A pilot project on cash forecasting for the entities with a budget of more than €50 million started at the end of 2019. By October 2020, the authorities plan to develop a strategy for rolling out the cash forecasting project to the rest of the entities. In view of its complexity, the project would be assessed based on an interim report due by end-March and a draft roll-out strategy by end-April. In addition, the authorities are progressing with the rationalisation of cash accounts, including the reduction of payment orders in paper form.</w:t>
      </w:r>
    </w:p>
    <w:p>
      <w:pPr>
        <w:keepNext/>
        <w:tabs>
          <w:tab w:val="left" w:pos="567"/>
        </w:tabs>
        <w:spacing w:before="80" w:after="160" w:line="240" w:lineRule="atLeast"/>
        <w:ind w:left="567" w:hanging="567"/>
        <w:jc w:val="both"/>
        <w:outlineLvl w:val="3"/>
        <w:rPr>
          <w:rFonts w:ascii="Century Gothic" w:hAnsi="Century Gothic" w:cs="Times New Roman"/>
          <w:noProof/>
          <w:color w:val="333399"/>
        </w:rPr>
      </w:pPr>
      <w:bookmarkStart w:id="28" w:name="_Toc32921491"/>
      <w:r>
        <w:rPr>
          <w:rFonts w:ascii="Century Gothic" w:hAnsi="Century Gothic" w:cs="Times New Roman"/>
          <w:noProof/>
          <w:color w:val="333399"/>
        </w:rPr>
        <w:t>3.4.3.</w:t>
      </w:r>
      <w:r>
        <w:rPr>
          <w:rFonts w:ascii="Century Gothic" w:hAnsi="Century Gothic" w:cs="Times New Roman"/>
          <w:noProof/>
          <w:color w:val="333399"/>
        </w:rPr>
        <w:tab/>
        <w:t>Chart of Accounts</w:t>
      </w:r>
      <w:bookmarkEnd w:id="28"/>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overall implementation of the Unified Chart of Accounts is progressing, but its implementation in the Public Investment Budget remains a challenge. </w:t>
      </w:r>
      <w:r>
        <w:rPr>
          <w:rFonts w:ascii="Times New Roman" w:hAnsi="Times New Roman" w:cs="Times New Roman"/>
          <w:noProof/>
          <w:color w:val="000000"/>
          <w:sz w:val="24"/>
        </w:rPr>
        <w:t>The governance structure of the Chart of Accounts project has been considerably reinforced and benefitted from a high-level political commitment. The Chart of Accounts is now regarded as a broad public finance management tool, encompassing procurement and e</w:t>
      </w:r>
      <w:r>
        <w:rPr>
          <w:rFonts w:ascii="Times New Roman" w:hAnsi="Times New Roman" w:cs="Times New Roman"/>
          <w:noProof/>
          <w:color w:val="000000"/>
          <w:sz w:val="24"/>
        </w:rPr>
        <w:noBreakHyphen/>
        <w:t>invoicing. Steps are underway to ensure proper staffing of the implementing entity and to enhance the Chart with functional classifications with a view to designing an efficient new budgetary framework that could also be used as a performance budgeting tool. The implementation of the Chart of Accounts in the Public Investment Budget is not showing sufficient progress. The revised plan prepared by the authorities only partially addresses the issues, as it focuses mostly on the execution phase of investment budget, with little attention paid to the budget planning phase and the implementation of accrual accounting principle.</w:t>
      </w:r>
    </w:p>
    <w:p>
      <w:pPr>
        <w:spacing w:after="240" w:line="240" w:lineRule="atLeast"/>
        <w:jc w:val="both"/>
        <w:rPr>
          <w:rFonts w:ascii="Times New Roman" w:hAnsi="Times New Roman" w:cs="Times New Roman"/>
          <w:noProof/>
          <w:color w:val="000000"/>
          <w:sz w:val="24"/>
        </w:rPr>
      </w:pPr>
    </w:p>
    <w:bookmarkEnd w:id="17"/>
    <w:p>
      <w:pPr>
        <w:spacing w:after="240" w:line="240" w:lineRule="atLeast"/>
        <w:jc w:val="both"/>
        <w:rPr>
          <w:rFonts w:ascii="Times New Roman" w:hAnsi="Times New Roman" w:cs="Times New Roman"/>
          <w:noProof/>
          <w:color w:val="000000"/>
          <w:sz w:val="24"/>
        </w:rPr>
        <w:sectPr>
          <w:headerReference w:type="even" r:id="rId57"/>
          <w:headerReference w:type="default" r:id="rId58"/>
          <w:footerReference w:type="even" r:id="rId59"/>
          <w:footerReference w:type="default" r:id="rId60"/>
          <w:headerReference w:type="first" r:id="rId61"/>
          <w:footerReference w:type="first" r:id="rId62"/>
          <w:footnotePr>
            <w:pos w:val="beneathText"/>
          </w:footnotePr>
          <w:endnotePr>
            <w:numFmt w:val="decimal"/>
            <w:numRestart w:val="eachSect"/>
          </w:endnotePr>
          <w:type w:val="oddPage"/>
          <w:pgSz w:w="11907" w:h="16839"/>
          <w:pgMar w:top="1984" w:right="1701" w:bottom="1417" w:left="1701" w:header="709" w:footer="709" w:gutter="0"/>
          <w:cols w:space="708"/>
          <w:titlePg/>
          <w:docGrid w:linePitch="360"/>
        </w:sectPr>
      </w:pPr>
    </w:p>
    <w:bookmarkStart w:id="29" w:name="GUID949329DD625F4953BF4F7EC29C7A8838"/>
    <w:p>
      <w:pPr>
        <w:spacing w:after="240" w:line="240" w:lineRule="atLeast"/>
        <w:jc w:val="both"/>
        <w:rPr>
          <w:rFonts w:ascii="Times New Roman" w:hAnsi="Times New Roman" w:cs="Times New Roman"/>
          <w:noProof/>
          <w:vanish/>
          <w:color w:val="000000"/>
          <w:sz w:val="20"/>
        </w:rPr>
      </w:pPr>
      <w:r>
        <w:rPr>
          <w:rFonts w:ascii="Times New Roman" w:hAnsi="Times New Roman" w:cs="Times New Roman"/>
          <w:noProof/>
          <w:vanish/>
          <w:color w:val="000000"/>
          <w:sz w:val="20"/>
        </w:rPr>
        <w:fldChar w:fldCharType="begin"/>
      </w:r>
      <w:r>
        <w:rPr>
          <w:rFonts w:ascii="Times New Roman" w:hAnsi="Times New Roman" w:cs="Times New Roman"/>
          <w:noProof/>
          <w:color w:val="000000"/>
          <w:sz w:val="20"/>
        </w:rPr>
        <w:instrText xml:space="preserve"> TC "</w:instrText>
      </w:r>
      <w:bookmarkStart w:id="30" w:name="_Toc32921492"/>
      <w:r>
        <w:rPr>
          <w:rFonts w:ascii="Times New Roman" w:hAnsi="Times New Roman" w:cs="Times New Roman"/>
          <w:noProof/>
          <w:color w:val="000000"/>
          <w:sz w:val="20"/>
        </w:rPr>
        <w:instrText>4.</w:instrText>
      </w:r>
      <w:r>
        <w:rPr>
          <w:rFonts w:ascii="Times New Roman" w:hAnsi="Times New Roman" w:cs="Times New Roman"/>
          <w:noProof/>
          <w:color w:val="000000"/>
          <w:sz w:val="20"/>
        </w:rPr>
        <w:tab/>
        <w:instrText>Social welfare</w:instrText>
      </w:r>
      <w:bookmarkEnd w:id="30"/>
      <w:r>
        <w:rPr>
          <w:rFonts w:ascii="Times New Roman" w:hAnsi="Times New Roman" w:cs="Times New Roman"/>
          <w:noProof/>
          <w:color w:val="000000"/>
          <w:sz w:val="20"/>
        </w:rPr>
        <w:instrText xml:space="preserve">" \f \l 1 </w:instrText>
      </w:r>
      <w:r>
        <w:rPr>
          <w:rFonts w:ascii="Times New Roman" w:hAnsi="Times New Roman" w:cs="Times New Roman"/>
          <w:noProof/>
          <w:vanish/>
          <w:color w:val="000000"/>
          <w:sz w:val="20"/>
        </w:rPr>
        <w:fldChar w:fldCharType="end"/>
      </w: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31" w:name="_Toc32921493"/>
      <w:r>
        <w:rPr>
          <w:rFonts w:ascii="Century Gothic" w:hAnsi="Century Gothic" w:cs="Times New Roman"/>
          <w:b/>
          <w:caps/>
          <w:noProof/>
          <w:color w:val="333399"/>
        </w:rPr>
        <w:t>4.1.</w:t>
      </w:r>
      <w:r>
        <w:rPr>
          <w:rFonts w:ascii="Century Gothic" w:hAnsi="Century Gothic" w:cs="Times New Roman"/>
          <w:b/>
          <w:caps/>
          <w:noProof/>
          <w:color w:val="333399"/>
        </w:rPr>
        <w:tab/>
        <w:t>pensions</w:t>
      </w:r>
      <w:bookmarkEnd w:id="31"/>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In order to comply with the Council of State decision on the 2016 pension reform, new (increased) accrual rates for careers above 30 years are set to be introduced retroactively as from 1 October 2019.</w:t>
      </w:r>
      <w:r>
        <w:rPr>
          <w:rFonts w:ascii="Times New Roman" w:hAnsi="Times New Roman" w:cs="Times New Roman"/>
          <w:noProof/>
          <w:color w:val="000000"/>
          <w:sz w:val="24"/>
        </w:rPr>
        <w:t xml:space="preserve"> This adjustment is to ensure that the replacement rates for long insurance periods will be slightly higher than 50% as requested by the Council of State. According to the actuarial projections by the authorities, expenditure should remain virtually unchanged as a share of GDP until 2047 compared with the trajectory before this adjustment. This is because the projected impact of the new measures is below 0.5% of GDP and the authorities plan to finance this by eliminating the annual one-off benefit (i.e. the 13</w:t>
      </w:r>
      <w:r>
        <w:rPr>
          <w:rFonts w:ascii="Times New Roman" w:hAnsi="Times New Roman" w:cs="Times New Roman"/>
          <w:noProof/>
          <w:color w:val="000000"/>
          <w:sz w:val="24"/>
          <w:vertAlign w:val="superscript"/>
        </w:rPr>
        <w:t>th</w:t>
      </w:r>
      <w:r>
        <w:rPr>
          <w:rFonts w:ascii="Times New Roman" w:hAnsi="Times New Roman" w:cs="Times New Roman"/>
          <w:noProof/>
          <w:color w:val="000000"/>
          <w:sz w:val="24"/>
        </w:rPr>
        <w:t xml:space="preserve"> payment to pensioners introduced in 2019) to finance the additional costs. The measure will lead to very high average replacement rates by European standards. This is especially the case for those with long careers with pensionable earnings at or below the average wage.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In order to comply with the Council of State decision, the authorities are also planning to replace the current system of contributions for the self-employed.</w:t>
      </w:r>
      <w:r>
        <w:rPr>
          <w:rFonts w:ascii="Times New Roman" w:hAnsi="Times New Roman" w:cs="Times New Roman"/>
          <w:noProof/>
          <w:color w:val="000000"/>
          <w:sz w:val="24"/>
        </w:rPr>
        <w:t xml:space="preserve"> The authorities plan to introduce a new system, which will give the self-employed the freedom to choose amongst six levels of contributions unrelated to their actual income. Currently 80% of self-employed are paying the minimum contribution of €130 per month, which is less than the envisaged lowest contribution level (€155 per month). The authorities expect that around 80% of the self-employed will chose the lowest level of contributions, and thus the fiscal impact is likely to be broadly neutral in the short-term.</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Council of State also ruled unconstitutional the cut of supplementary pensions introduced in 2014 for persons whose combined supplementary and main pension exceeded €1 300, and the authorities are planning to reinstate the pre-2014 supplementary pension rules</w:t>
      </w:r>
      <w:r>
        <w:rPr>
          <w:rFonts w:ascii="Times New Roman" w:hAnsi="Times New Roman" w:cs="Times New Roman"/>
          <w:noProof/>
          <w:color w:val="000000"/>
          <w:sz w:val="24"/>
        </w:rPr>
        <w:t>. The fiscal cost is estimated at €290 million annually, plus €72 million for retroactive payments for the three last months of 2019. The measure will lead to an overall deficit of the supplementary pension system of some €1.1 billion over the period 2020-2024, which the authorities plan to cover through the sale of a part of the assets of the Supplementary Pension Fund (ETEAEP).</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have developed an action plan to remedy the delays with the completion of the setup of the Single Social Security Fund (EFKA), a mid-2020 specific commitment.</w:t>
      </w:r>
      <w:r>
        <w:rPr>
          <w:rFonts w:ascii="Times New Roman" w:hAnsi="Times New Roman" w:cs="Times New Roman"/>
          <w:noProof/>
          <w:color w:val="000000"/>
          <w:sz w:val="24"/>
        </w:rPr>
        <w:t xml:space="preserve"> An ambitious action plan for the digitalisation of the Single Social Security Fund will start to be implemented in the coming months. The authorities’ action plan envisages the unification of the IT systems of all the previous funds and the digitalisation of all services provided by the end of 2020. The digitalisation of pension awards should be completed by June 2021. As for the progress of pending pension applications, the authorities stated that they have missed their end-2019 target, and they committed to taking corrective measures (see also section 3.2.1 on arrears). The authorities have also announced the decision to merge the Supplementary Pension Fund into the Single Social Security Fund in order to improve the efficiency of the pension system also through reduced administrative costs. </w:t>
      </w: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32" w:name="_Toc32921494"/>
      <w:r>
        <w:rPr>
          <w:rFonts w:ascii="Century Gothic" w:hAnsi="Century Gothic" w:cs="Times New Roman"/>
          <w:b/>
          <w:caps/>
          <w:noProof/>
          <w:color w:val="333399"/>
        </w:rPr>
        <w:t>4.2.</w:t>
      </w:r>
      <w:r>
        <w:rPr>
          <w:rFonts w:ascii="Century Gothic" w:hAnsi="Century Gothic" w:cs="Times New Roman"/>
          <w:b/>
          <w:caps/>
          <w:noProof/>
          <w:color w:val="333399"/>
        </w:rPr>
        <w:tab/>
        <w:t>healthcare</w:t>
      </w:r>
      <w:bookmarkEnd w:id="32"/>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Administrative procedures for the clawback collection (a continuous commitment) have resumed, but the process will take longer to be finalised, also due to the introduction of a new instalment scheme in 2019.</w:t>
      </w:r>
      <w:r>
        <w:rPr>
          <w:rFonts w:ascii="Times New Roman" w:hAnsi="Times New Roman" w:cs="Times New Roman"/>
          <w:noProof/>
          <w:color w:val="000000"/>
          <w:sz w:val="24"/>
        </w:rPr>
        <w:t xml:space="preserve"> Concerning pharmaceuticals, typically the largest source of clawbacks, for the first semester of 2019 the largest part was collected (€330 million out of €410 million). The second semester of 2019 will have to be collected by June 2020. For providers (private clinics, as well as providers of diagnostic and other health care services), collection has not started for the years 2018 and 2019, but the relevant Ministerial Decision to introduce the 120 instalments scheme should be published soon. The delay is due to a late (end-2019) definition of the expenditure ceilings for 2019 by item of spending. The definition of 2020 spending ceilings for each category of private providers is also still outstanding.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are planning to take structural measures to limit the size of the clawback amounts.</w:t>
      </w:r>
      <w:r>
        <w:rPr>
          <w:rFonts w:ascii="Times New Roman" w:hAnsi="Times New Roman" w:cs="Times New Roman"/>
          <w:noProof/>
          <w:color w:val="000000"/>
          <w:sz w:val="24"/>
        </w:rPr>
        <w:t xml:space="preserve"> The clawback amounts, especially as concerns pharmaceuticals, are still increasing. The estimated amount to be collected for 2019 stands at €1.3 billion, which represents an increase of €200 million (18%) from 2018. For providers, a clawback of €300 million is expected for 2019, in line with the level of 2018. With a view to correcting this trend, the authorities are planning to strengthen the efforts on the implementation of compulsory prescription/treatment protocols, which aim to curb inappropriate prescribing behaviours, and to strengthen their capacity in pharmaceuticals price negotiation. The latter is expected to yield substantial savings considering the current sizeable share of the budget going to high-cost drugs, which is expected to increase in the future due to the arrival of new innovative drugs. To further promote the reduction of the clawback, the European institutions have encouraged the authorities to consider a revision/redesign of the clawback mechanism to strengthen all stakeholder engagement, such as, for instance, by including an element of risk-sharing.</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Progress in setting up a comprehensive network of primary health care units (a mid-2020 specific commitment) has resumed following the announced redesign of the system.</w:t>
      </w:r>
      <w:r>
        <w:rPr>
          <w:rFonts w:ascii="Times New Roman" w:hAnsi="Times New Roman" w:cs="Times New Roman"/>
          <w:noProof/>
          <w:color w:val="000000"/>
          <w:sz w:val="24"/>
        </w:rPr>
        <w:t xml:space="preserve"> The authorities submitted a new action plan, where the provision of primary health care is based on a network of existing Health Centres and private contracted doctors. According to the new project, the remaining 120 Local Health Units (the ‘TOMYs’) can become operational within the premises of existing Health Centres, which would then offer an expanded set of services. Overcoming the infrastructural issues previously due to the need to find new suitable premises for the Local Health Units, progress may accelerate over the coming months, so the revised strategy is a welcome step that should speed up the achievement of the Eurogroup commitment. However, the recruitment of additional family doctors is still lagging behind schedule, and an adequate number of family doctors to achieve full population coverage is not yet available. This gap still acts as a bottleneck to the full rollout of the primary care network. Fundamental features of the commitment such as compulsory registration and gatekeeping are still only partially implemented. As only 1.6 million citizens have been able to register with a family doctor so far, the completion of the network with full population coverage by mid-2020 will not be possible, but the new strategy addresses some of the key sources of delay thus far and the authorities are confident to be able to finalise the full roll-out of the primary health care system and to fully implement gatekeeping and referral by the end of the year.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Reaching the target of a 30% share of centralised procurement (a mid-2020 specific commitment) will be challenging in view of accumulated delays, but the planned launching of decentralised procurement at regional level has the potential to speed up the process.</w:t>
      </w:r>
      <w:r>
        <w:rPr>
          <w:rFonts w:ascii="Times New Roman" w:hAnsi="Times New Roman" w:cs="Times New Roman"/>
          <w:noProof/>
          <w:color w:val="000000"/>
          <w:sz w:val="24"/>
        </w:rPr>
        <w:t xml:space="preserve"> The authorities have submitted a revised strategy for centralised procurement, while in parallel transforming the new central body for health procurement to a private-law legal entity. The new strategy envisages decentralised procurement at regional level, which should make procedures administratively less cumbersome, speed up the tendering process and offer more opportunities to apply. With this new strategy, the commitment to achieve a substantial (30%) share of goods procured by centralised procurement by mid-2020 appears ambitious but authorities are confident to be able to achieve it. It seems that the Price Observatory, a key element of efficient procurement at decentralised level, has not been used consistently in the last years. However, the authorities plan to re-operationalise it to ensure that all avoidable inefficient spending is rectified as swiftly as possible.</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Having declined over the course of the last decade, health care spending has fallen below the EU average. Careful monitoring of the needs and an increase of the financing of the sector need to be considered by the authorities to ensure that sufficient resources are available. </w:t>
      </w:r>
      <w:r>
        <w:rPr>
          <w:rFonts w:ascii="Times New Roman" w:hAnsi="Times New Roman" w:cs="Times New Roman"/>
          <w:noProof/>
          <w:color w:val="000000"/>
          <w:sz w:val="24"/>
        </w:rPr>
        <w:t>Measured as a share of GDP, public health care spending in Greece currently stands at around 4.9%, having decreased from 2009, when it stood at 6.5% of GDP. Although this data understates the actual expenditure and needs to be adjusted upward with the level of yearly clawbacks, as these are not captured by the official statistics, an overall below EU average spending and reports of operational disruptions in some hospitals may be indicative of a need to increase the financial envelope. The budget of public hospitals has to be of adequate magnitude to continuously meet the needs of the population. With a view to this, the use of future available fiscal space and a redistribution of social spending should be targeted to alleviate this pressure and to ensure uninterrupted patient access to high quality services.</w:t>
      </w: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33" w:name="_Toc32921495"/>
      <w:r>
        <w:rPr>
          <w:rFonts w:ascii="Century Gothic" w:hAnsi="Century Gothic" w:cs="Times New Roman"/>
          <w:b/>
          <w:caps/>
          <w:noProof/>
          <w:color w:val="333399"/>
        </w:rPr>
        <w:t>4.3.</w:t>
      </w:r>
      <w:r>
        <w:rPr>
          <w:rFonts w:ascii="Century Gothic" w:hAnsi="Century Gothic" w:cs="Times New Roman"/>
          <w:b/>
          <w:caps/>
          <w:noProof/>
          <w:color w:val="333399"/>
        </w:rPr>
        <w:tab/>
        <w:t>Social safety nets</w:t>
      </w:r>
      <w:bookmarkEnd w:id="33"/>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reform of the disability benefits framework (a mid-2019 specific commitment) is advancing but with significant delays outside the control of the authorities.</w:t>
      </w:r>
      <w:r>
        <w:rPr>
          <w:rFonts w:ascii="Times New Roman" w:hAnsi="Times New Roman" w:cs="Times New Roman"/>
          <w:noProof/>
          <w:color w:val="000000"/>
          <w:sz w:val="24"/>
        </w:rPr>
        <w:t xml:space="preserve"> While the upgrading and simplification of the administrative processes to determine the disability status is progressing, the new approach based on both medical and functional assessment is still to be adopted. The new methodology should have been developed on the basis of the evaluation of a pilot project. This, however, encountered significant delays for reasons outside the control of the authorities. A first draft final report was delivered in December 2019, while the final evaluation report is pending. Some issues have emerged already from the draft report, which point to potential difficulties in implementing the new methodology (notably, how to ensure the reliability of a self-reported assessment of functionality). In view of these issues, the authorities have agreed to provide a new revised timeline for its national rollout by April 2020. Finally, the authorities have announced their intention to prepare a National Action Plan on Disability shortly, going beyond the revision of disability assessment, to review the whole set of benefits and services for the disabled, in view of strengthening the provision of in-kind benefits and services for the disabled. The reform of disability assessment should be an element of this broader Action Plan.</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Regarding the review of the system of subsidies for local public transport, the evaluation study (an end-2019 specific commitment) will be completed by end April 2020. </w:t>
      </w:r>
      <w:r>
        <w:rPr>
          <w:rFonts w:ascii="Times New Roman" w:hAnsi="Times New Roman" w:cs="Times New Roman"/>
          <w:noProof/>
          <w:color w:val="000000"/>
          <w:sz w:val="24"/>
        </w:rPr>
        <w:t xml:space="preserve">The delay is due to the many distinct beneficiaries (ten different population groups receive these types of subsidies) and the involvement of a number of different ministries.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Major steps have been taken to improve the efficiency, effectiveness and adequacy of the social welfare system, however poverty remains high (the highest in the EU at 31.8%).</w:t>
      </w:r>
      <w:r>
        <w:rPr>
          <w:rFonts w:ascii="Times New Roman" w:hAnsi="Times New Roman" w:cs="Times New Roman"/>
          <w:noProof/>
          <w:color w:val="000000"/>
          <w:sz w:val="24"/>
        </w:rPr>
        <w:t xml:space="preserve"> According to the latest available data, between 2017 and 2018, the share of people at risk of poverty or social exclusion (AROPE) declined from 34.8% to 31.8%, while the percentage of severe material deprivation decreased from 21.1% to 16.7%.  The introduction of a guaranteed minimum income scheme and the housing benefit for rental costs for vulnerable households have been significant measures. Nevertheless, the level of the guaranteed minimum income scheme (at €200 per month) remains low and there is no permanent support for vulnerable homeowners with a mortgage. There is currently a system of protection of primary residences under the Household Insolvency (Katseli) law and therefore covering only non-performing mortgages, which however will expire in April 2020. Therefore, part of the 13</w:t>
      </w:r>
      <w:r>
        <w:rPr>
          <w:rFonts w:ascii="Times New Roman" w:hAnsi="Times New Roman" w:cs="Times New Roman"/>
          <w:noProof/>
          <w:color w:val="000000"/>
          <w:sz w:val="24"/>
          <w:vertAlign w:val="superscript"/>
        </w:rPr>
        <w:t>th</w:t>
      </w:r>
      <w:r>
        <w:rPr>
          <w:rFonts w:ascii="Times New Roman" w:hAnsi="Times New Roman" w:cs="Times New Roman"/>
          <w:noProof/>
          <w:color w:val="000000"/>
          <w:sz w:val="24"/>
        </w:rPr>
        <w:t xml:space="preserve"> pension could be used for social welfare policies such as an increase in the guaranteed minimum income scheme or a housing scheme for vulnerable homeowners with a mortgage.</w:t>
      </w:r>
    </w:p>
    <w:p>
      <w:pPr>
        <w:spacing w:after="240" w:line="240" w:lineRule="atLeast"/>
        <w:jc w:val="both"/>
        <w:rPr>
          <w:rFonts w:ascii="Times New Roman" w:hAnsi="Times New Roman" w:cs="Times New Roman"/>
          <w:noProof/>
          <w:color w:val="000000"/>
          <w:sz w:val="24"/>
        </w:rPr>
      </w:pPr>
    </w:p>
    <w:bookmarkEnd w:id="29"/>
    <w:p>
      <w:pPr>
        <w:spacing w:after="240" w:line="240" w:lineRule="atLeast"/>
        <w:jc w:val="both"/>
        <w:rPr>
          <w:rFonts w:ascii="Times New Roman" w:hAnsi="Times New Roman" w:cs="Times New Roman"/>
          <w:noProof/>
          <w:color w:val="000000"/>
          <w:sz w:val="24"/>
        </w:rPr>
        <w:sectPr>
          <w:headerReference w:type="even" r:id="rId63"/>
          <w:headerReference w:type="default" r:id="rId64"/>
          <w:footerReference w:type="even" r:id="rId65"/>
          <w:footerReference w:type="default" r:id="rId66"/>
          <w:headerReference w:type="first" r:id="rId67"/>
          <w:footerReference w:type="first" r:id="rId68"/>
          <w:footnotePr>
            <w:pos w:val="beneathText"/>
          </w:footnotePr>
          <w:endnotePr>
            <w:numFmt w:val="decimal"/>
            <w:numRestart w:val="eachSect"/>
          </w:endnotePr>
          <w:type w:val="oddPage"/>
          <w:pgSz w:w="11907" w:h="16839"/>
          <w:pgMar w:top="1984" w:right="1701" w:bottom="1417" w:left="1701" w:header="709" w:footer="709" w:gutter="0"/>
          <w:cols w:space="708"/>
          <w:titlePg/>
          <w:docGrid w:linePitch="360"/>
        </w:sectPr>
      </w:pPr>
    </w:p>
    <w:bookmarkStart w:id="34" w:name="GUID78AFC062899E4F548DE1DA174F80CBF4"/>
    <w:p>
      <w:pPr>
        <w:spacing w:after="240" w:line="240" w:lineRule="atLeast"/>
        <w:jc w:val="both"/>
        <w:rPr>
          <w:rFonts w:ascii="Times New Roman" w:hAnsi="Times New Roman" w:cs="Times New Roman"/>
          <w:noProof/>
          <w:vanish/>
          <w:color w:val="000000"/>
          <w:sz w:val="20"/>
        </w:rPr>
      </w:pPr>
      <w:r>
        <w:rPr>
          <w:rFonts w:ascii="Times New Roman" w:hAnsi="Times New Roman" w:cs="Times New Roman"/>
          <w:noProof/>
          <w:vanish/>
          <w:color w:val="000000"/>
          <w:sz w:val="20"/>
        </w:rPr>
        <w:fldChar w:fldCharType="begin"/>
      </w:r>
      <w:r>
        <w:rPr>
          <w:rFonts w:ascii="Times New Roman" w:hAnsi="Times New Roman" w:cs="Times New Roman"/>
          <w:noProof/>
          <w:color w:val="000000"/>
          <w:sz w:val="20"/>
        </w:rPr>
        <w:instrText xml:space="preserve"> TC "</w:instrText>
      </w:r>
      <w:bookmarkStart w:id="35" w:name="_Toc32921496"/>
      <w:r>
        <w:rPr>
          <w:rFonts w:ascii="Times New Roman" w:hAnsi="Times New Roman" w:cs="Times New Roman"/>
          <w:noProof/>
          <w:color w:val="000000"/>
          <w:sz w:val="20"/>
        </w:rPr>
        <w:instrText>5.</w:instrText>
      </w:r>
      <w:r>
        <w:rPr>
          <w:rFonts w:ascii="Times New Roman" w:hAnsi="Times New Roman" w:cs="Times New Roman"/>
          <w:noProof/>
          <w:color w:val="000000"/>
          <w:sz w:val="20"/>
        </w:rPr>
        <w:tab/>
        <w:instrText>Financial sector</w:instrText>
      </w:r>
      <w:bookmarkEnd w:id="35"/>
      <w:r>
        <w:rPr>
          <w:rFonts w:ascii="Times New Roman" w:hAnsi="Times New Roman" w:cs="Times New Roman"/>
          <w:noProof/>
          <w:color w:val="000000"/>
          <w:sz w:val="20"/>
        </w:rPr>
        <w:instrText xml:space="preserve">" \f \l 1 </w:instrText>
      </w:r>
      <w:r>
        <w:rPr>
          <w:rFonts w:ascii="Times New Roman" w:hAnsi="Times New Roman" w:cs="Times New Roman"/>
          <w:noProof/>
          <w:vanish/>
          <w:color w:val="000000"/>
          <w:sz w:val="20"/>
        </w:rPr>
        <w:fldChar w:fldCharType="end"/>
      </w: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36" w:name="_Toc32921497"/>
      <w:r>
        <w:rPr>
          <w:rFonts w:ascii="Century Gothic" w:hAnsi="Century Gothic" w:cs="Times New Roman"/>
          <w:b/>
          <w:caps/>
          <w:noProof/>
          <w:color w:val="333399"/>
        </w:rPr>
        <w:t>5.1.</w:t>
      </w:r>
      <w:r>
        <w:rPr>
          <w:rFonts w:ascii="Century Gothic" w:hAnsi="Century Gothic" w:cs="Times New Roman"/>
          <w:b/>
          <w:caps/>
          <w:noProof/>
          <w:color w:val="333399"/>
        </w:rPr>
        <w:tab/>
        <w:t>FINANCIAL SECTOR DEVELOPMENTS</w:t>
      </w:r>
      <w:bookmarkEnd w:id="36"/>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Following the abolition of capital controls in September 2019, the banking sector continued to strengthen but legacy risks and challenges remain high.</w:t>
      </w:r>
      <w:r>
        <w:rPr>
          <w:rFonts w:ascii="Times New Roman" w:hAnsi="Times New Roman" w:cs="Times New Roman"/>
          <w:noProof/>
          <w:color w:val="000000"/>
          <w:sz w:val="24"/>
        </w:rPr>
        <w:t xml:space="preserve"> Domestic deposits continued their upward trend, growing by 4.8% after the lifting of the capital controls. This has further reinforced the liquidity situation of Greek banks (see graph 5.1), which should facilitate compliance with the Liquidity Coverage Ratio requirement by mid-2020. Banks’ profitability is showing signs of recovery, supported by an improving economy and continuous efforts to reduce recurring operating and headcount costs, reflected in an average cost-to-income ratio comfortably below the EU average (51.4% compared to 64.2%). However, their Return-on-Equity is still among the lowest in the EU (2.9% annualised compared to an EU average of 6.2%) and is partly driven by non-recurrent trading income stemming from the banks’ government bond portfolio. As a result, the profitability outlook of Greek banks remains low and exposed to the current environment of subdued evolution in interest income, given the relatively small contribution of commission income to operating profit. The quality of revenues, in particular, is adversely affected by high amounts of interest income from non-performing loans, which are accrued but may not be collected, implying that sales of non-performing loans also have a negative impact on net interest income. As a result, banks are i) adjusting their business models towards a higher share of fee income, trying to balance client reaction over a recent upward trend in transaction fees with a more sustainable growth of their e-payments, bancassurance and asset management business, while ii) looking at ways to increase lending by expanding their client base.</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banks are compliant with their capital requirements but the capital structure is largely dependent on state-related assets, specifically due to the high amount of deferred tax credits.</w:t>
      </w:r>
      <w:r>
        <w:rPr>
          <w:rFonts w:ascii="Times New Roman" w:hAnsi="Times New Roman" w:cs="Times New Roman"/>
          <w:noProof/>
          <w:color w:val="000000"/>
          <w:sz w:val="24"/>
        </w:rPr>
        <w:t xml:space="preserve"> Banks’ average common equity tier 1 ratio on a consolidated basis stands at 15.9% at the end of September 2019, up from 15.6% in June 2019, partly due to the issuance of a Tier 2 capital instrument by one systemic bank in July and an overall reduction of risk-weighted exposures. Deferred Tax Credits of the four systemic banks as of end of September 2019 continue to represent a substantial part (55.5%) of the systemic banks’ Common Equity Tier 1 capital, amounting to €15.5 billion. Deferred tax credits greatly increase the sovereign-bank nexus. More specifically, deferred tax credits may be converted into tax credits, i.e. irrevocable claims towards the Greek state, while in exchange banks would need to issue equity in favour of the State. Moreover, Greek banks are exposed in the near future to the upcoming increase in capital demand (</w:t>
      </w:r>
      <w:r>
        <w:rPr>
          <w:rFonts w:ascii="Times New Roman" w:hAnsi="Times New Roman" w:cs="Times New Roman"/>
          <w:noProof/>
          <w:color w:val="000000"/>
          <w:sz w:val="24"/>
          <w:vertAlign w:val="superscript"/>
        </w:rPr>
        <w:footnoteReference w:id="19"/>
      </w:r>
      <w:r>
        <w:rPr>
          <w:rFonts w:ascii="Times New Roman" w:hAnsi="Times New Roman" w:cs="Times New Roman"/>
          <w:noProof/>
          <w:color w:val="000000"/>
          <w:sz w:val="24"/>
        </w:rPr>
        <w:t>) and the implementation of new rules leading banks to gradually write down non-performing exposures (</w:t>
      </w:r>
      <w:r>
        <w:rPr>
          <w:rFonts w:ascii="Times New Roman" w:hAnsi="Times New Roman" w:cs="Times New Roman"/>
          <w:noProof/>
          <w:color w:val="000000"/>
          <w:sz w:val="24"/>
          <w:vertAlign w:val="superscript"/>
        </w:rPr>
        <w:footnoteReference w:id="20"/>
      </w:r>
      <w:r>
        <w:rPr>
          <w:rFonts w:ascii="Times New Roman" w:hAnsi="Times New Roman" w:cs="Times New Roman"/>
          <w:noProof/>
          <w:color w:val="000000"/>
          <w:sz w:val="24"/>
        </w:rPr>
        <w:t>), as well as the cost of the non-performing loans’ reduction strategy and the necessary gradual phasing out of beneficial transitional prudential arrangements (</w:t>
      </w:r>
      <w:r>
        <w:rPr>
          <w:rFonts w:ascii="Times New Roman" w:hAnsi="Times New Roman" w:cs="Times New Roman"/>
          <w:noProof/>
          <w:color w:val="000000"/>
          <w:sz w:val="24"/>
          <w:vertAlign w:val="superscript"/>
        </w:rPr>
        <w:footnoteReference w:id="21"/>
      </w:r>
      <w:r>
        <w:rPr>
          <w:rFonts w:ascii="Times New Roman" w:hAnsi="Times New Roman" w:cs="Times New Roman"/>
          <w:noProof/>
          <w:color w:val="000000"/>
          <w:sz w:val="24"/>
        </w:rPr>
        <w:t xml:space="preserve">). At the same time, credit institutions are regaining access to the market for long-term unsecured subordinated debt, while funding costs are declining but are still high. </w:t>
      </w:r>
    </w:p>
    <w:tbl>
      <w:tblPr>
        <w:tblW w:w="0" w:type="auto"/>
        <w:tblLayout w:type="fixed"/>
        <w:tblCellMar>
          <w:left w:w="0" w:type="dxa"/>
          <w:right w:w="0" w:type="dxa"/>
        </w:tblCellMar>
        <w:tblLook w:val="0000" w:firstRow="0" w:lastRow="0" w:firstColumn="0" w:lastColumn="0" w:noHBand="0" w:noVBand="0"/>
      </w:tblPr>
      <w:tblGrid>
        <w:gridCol w:w="8505"/>
      </w:tblGrid>
      <w:tr>
        <w:trPr>
          <w:cantSplit/>
        </w:trPr>
        <w:tc>
          <w:tcPr>
            <w:tcW w:w="8505" w:type="dxa"/>
            <w:shd w:val="clear" w:color="auto" w:fill="auto"/>
          </w:tcPr>
          <w:p>
            <w:pPr>
              <w:keepNext/>
              <w:pBdr>
                <w:top w:val="single" w:sz="2" w:space="2" w:color="auto"/>
                <w:bottom w:val="single" w:sz="2" w:space="2" w:color="auto"/>
              </w:pBdr>
              <w:tabs>
                <w:tab w:val="left" w:pos="1020"/>
                <w:tab w:val="left" w:pos="1077"/>
                <w:tab w:val="left" w:pos="1134"/>
              </w:tabs>
              <w:spacing w:after="40" w:line="240" w:lineRule="auto"/>
              <w:ind w:left="1020" w:hanging="1020"/>
              <w:rPr>
                <w:rFonts w:ascii="Century Gothic" w:hAnsi="Century Gothic" w:cs="Times New Roman"/>
                <w:b/>
                <w:noProof/>
                <w:color w:val="333399"/>
                <w:sz w:val="18"/>
              </w:rPr>
            </w:pPr>
            <w:r>
              <w:rPr>
                <w:rFonts w:ascii="Century Gothic" w:hAnsi="Century Gothic" w:cs="Times New Roman"/>
                <w:noProof/>
                <w:color w:val="333399"/>
                <w:sz w:val="18"/>
              </w:rPr>
              <w:t>Graph 5.1:</w:t>
            </w:r>
            <w:r>
              <w:rPr>
                <w:rFonts w:ascii="Century Gothic" w:hAnsi="Century Gothic" w:cs="Times New Roman"/>
                <w:b/>
                <w:noProof/>
                <w:color w:val="333399"/>
                <w:sz w:val="18"/>
              </w:rPr>
              <w:tab/>
              <w:t>Bank deposits (left) and total borrowing from the Eurosystem (right)</w:t>
            </w:r>
          </w:p>
        </w:tc>
      </w:tr>
      <w:tr>
        <w:trPr>
          <w:cantSplit/>
        </w:trPr>
        <w:tc>
          <w:tcPr>
            <w:tcW w:w="8505" w:type="dxa"/>
            <w:shd w:val="clear" w:color="auto" w:fill="auto"/>
          </w:tcPr>
          <w:p>
            <w:pPr>
              <w:keepNext/>
              <w:spacing w:after="0" w:line="240" w:lineRule="auto"/>
              <w:jc w:val="center"/>
              <w:rPr>
                <w:rFonts w:ascii="Times New Roman" w:hAnsi="Times New Roman" w:cs="Times New Roman"/>
                <w:noProof/>
                <w:color w:val="000000"/>
                <w:sz w:val="2"/>
              </w:rPr>
            </w:pPr>
            <w:r>
              <w:rPr>
                <w:rFonts w:ascii="Times New Roman" w:hAnsi="Times New Roman" w:cs="Times New Roman"/>
                <w:noProof/>
                <w:color w:val="000000"/>
                <w:sz w:val="24"/>
              </w:rPr>
              <w:fldChar w:fldCharType="begin"/>
            </w:r>
            <w:r>
              <w:rPr>
                <w:rFonts w:ascii="Times New Roman" w:hAnsi="Times New Roman" w:cs="Times New Roman"/>
                <w:noProof/>
                <w:color w:val="000000"/>
                <w:sz w:val="24"/>
              </w:rPr>
              <w:instrText xml:space="preserve"> TC "</w:instrText>
            </w:r>
            <w:bookmarkStart w:id="37" w:name="_Toc32919971"/>
            <w:r>
              <w:rPr>
                <w:rFonts w:ascii="Times New Roman" w:hAnsi="Times New Roman" w:cs="Times New Roman"/>
                <w:noProof/>
                <w:color w:val="000000"/>
                <w:sz w:val="24"/>
              </w:rPr>
              <w:instrText>5.1.</w:instrText>
            </w:r>
            <w:r>
              <w:rPr>
                <w:rFonts w:ascii="Times New Roman" w:hAnsi="Times New Roman" w:cs="Times New Roman"/>
                <w:noProof/>
                <w:color w:val="000000"/>
                <w:sz w:val="24"/>
              </w:rPr>
              <w:tab/>
              <w:instrText>Bank deposits (left) and total borrowing from the Eurosystem (right)</w:instrText>
            </w:r>
            <w:bookmarkEnd w:id="37"/>
            <w:r>
              <w:rPr>
                <w:rFonts w:ascii="Times New Roman" w:hAnsi="Times New Roman" w:cs="Times New Roman"/>
                <w:noProof/>
                <w:color w:val="000000"/>
                <w:sz w:val="24"/>
              </w:rPr>
              <w:instrText xml:space="preserve">" \fgraph \l 5 </w:instrText>
            </w:r>
            <w:r>
              <w:rPr>
                <w:rFonts w:ascii="Times New Roman" w:hAnsi="Times New Roman" w:cs="Times New Roman"/>
                <w:noProof/>
                <w:color w:val="000000"/>
                <w:sz w:val="24"/>
              </w:rPr>
              <w:fldChar w:fldCharType="end"/>
            </w:r>
            <w:r>
              <w:rPr>
                <w:rFonts w:ascii="Times New Roman" w:hAnsi="Times New Roman" w:cs="Times New Roman"/>
                <w:noProof/>
                <w:color w:val="000000"/>
                <w:sz w:val="2"/>
                <w:lang w:eastAsia="en-GB"/>
              </w:rPr>
              <w:drawing>
                <wp:inline distT="0" distB="0" distL="0" distR="0">
                  <wp:extent cx="5388229" cy="1649729"/>
                  <wp:effectExtent l="0" t="0" r="3175" b="0"/>
                  <wp:docPr id="5" name="Picture 5" descr="&lt;nbr&gt;&lt;GETTEXTFROMWORD&gt;&lt;/nbr&gt;&#10;&lt;title&gt;&lt;GETTEXTFROMWORD&gt;&lt;/title&gt;&#10;&lt;id&gt;2cdf108b-0d5d-4795-b0f9-cd0fa3a3612c&lt;/id&gt;&#10;&lt;srcType&gt;EXCEL&lt;/srcType&gt;&#10;&lt;srcPath&gt;\\myintracomm-collab.ec.europa.eu@SSL\DavWWWRoot\dg\ECFIN\Country\GR\Shared Documents\POST-PROGRAMME\Enhanced surveillance\5th Report\Graphs-Tables\&lt;/srcPath&gt;&#10;&lt;srcName&gt;5_financial.xlsx&lt;/srcName&gt;&#10;&lt;type&gt;clusterofgraphs&lt;/type&gt;&#10; &lt;srcSheet&gt;Graph 5.1&lt;/srcSheet&gt;&#10; &lt;individualNumbers&gt;no&lt;/individualNumbers&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20-02-18T10:27:50&lt;/scrFileTime&gt;&#10;&lt;imageInformation&gt;&#10; &lt;dontScaleUp&gt;no&lt;/dontScaleUp&gt;&#10; &lt;usedpercentageofavailablewidth&gt;100&lt;/usedpercentageofavailablewidth&gt;&#10;&lt;/imageInformation&gt;&#10;&lt;url&gt;Chap2/Chap2-Graph-5.1.xlsx&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69">
                            <a:extLst>
                              <a:ext uri="{28A0092B-C50C-407E-A947-70E740481C1C}">
                                <a14:useLocalDpi xmlns:a14="http://schemas.microsoft.com/office/drawing/2010/main" val="0"/>
                              </a:ext>
                            </a:extLst>
                          </a:blip>
                          <a:srcRect/>
                          <a:stretch>
                            <a:fillRect/>
                          </a:stretch>
                        </pic:blipFill>
                        <pic:spPr>
                          <a:xfrm>
                            <a:off x="0" y="0"/>
                            <a:ext cx="5388229" cy="1649729"/>
                          </a:xfrm>
                          <a:prstGeom prst="rect">
                            <a:avLst/>
                          </a:prstGeom>
                        </pic:spPr>
                      </pic:pic>
                    </a:graphicData>
                  </a:graphic>
                </wp:inline>
              </w:drawing>
            </w:r>
            <w:r>
              <w:rPr>
                <w:rFonts w:ascii="Times New Roman" w:hAnsi="Times New Roman" w:cs="Times New Roman"/>
                <w:noProof/>
                <w:color w:val="000000"/>
                <w:sz w:val="2"/>
              </w:rPr>
              <w:t xml:space="preserve"> </w:t>
            </w:r>
          </w:p>
        </w:tc>
      </w:tr>
      <w:tr>
        <w:trPr>
          <w:cantSplit/>
        </w:trPr>
        <w:tc>
          <w:tcPr>
            <w:tcW w:w="8505" w:type="dxa"/>
            <w:shd w:val="clear" w:color="auto" w:fill="auto"/>
            <w:tcMar>
              <w:bottom w:w="240" w:type="dxa"/>
            </w:tcMar>
          </w:tcPr>
          <w:p>
            <w:pPr>
              <w:pBdr>
                <w:top w:val="single" w:sz="2" w:space="2" w:color="auto"/>
                <w:bottom w:val="single" w:sz="2" w:space="2" w:color="auto"/>
              </w:pBdr>
              <w:spacing w:after="0" w:line="240" w:lineRule="auto"/>
              <w:rPr>
                <w:rFonts w:ascii="Century Gothic" w:hAnsi="Century Gothic" w:cs="Times New Roman"/>
                <w:noProof/>
                <w:color w:val="000000"/>
                <w:sz w:val="18"/>
              </w:rPr>
            </w:pPr>
            <w:r>
              <w:rPr>
                <w:rFonts w:ascii="Century Gothic" w:hAnsi="Century Gothic" w:cs="Times New Roman"/>
                <w:b/>
                <w:i/>
                <w:noProof/>
                <w:color w:val="000000"/>
                <w:sz w:val="18"/>
              </w:rPr>
              <w:t>Source:</w:t>
            </w:r>
            <w:r>
              <w:rPr>
                <w:rFonts w:ascii="Century Gothic" w:hAnsi="Century Gothic" w:cs="Times New Roman"/>
                <w:noProof/>
                <w:color w:val="000000"/>
                <w:sz w:val="18"/>
              </w:rPr>
              <w:t xml:space="preserve"> European Central Bank, International Monetary Fund </w:t>
            </w:r>
          </w:p>
        </w:tc>
      </w:tr>
    </w:tbl>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pace of reduction of non-performing loans accelerated in 2019 but non-performing loan ratios remain very high.</w:t>
      </w:r>
      <w:r>
        <w:rPr>
          <w:rFonts w:ascii="Times New Roman" w:hAnsi="Times New Roman" w:cs="Times New Roman"/>
          <w:noProof/>
          <w:color w:val="000000"/>
          <w:sz w:val="24"/>
        </w:rPr>
        <w:t xml:space="preserve"> The decline in the stock of non-performing loans has accelerated in 2019, falling by €36 billion from its peak of €107.2 billion in March 2016, reaching €71.2 billion by end-September 2019 (see graph 5.2), representing a ratio of 42.1% of total customer loans, compared to 43.6% in the previous quarter. This was mainly driven by a reduction in the stock of consumer and business non-performing loans by more than 7% in the third quarter of 2019, compared to a more lacklustre performance in residential non-performing loans (-1.5% fall in the stock). The difficulties in tackling the mortgage non-performing loan book partly reflect the effect of restrictions in collateral enforcement and the related strategic defaults. However, the recent rebound in real estate prices, albeit geographically uneven and from very low levels, is a first sign that collateral valuation conditions may improve going forward, when the real estate market gains momentum and depth in terms of transactions. Notwithstanding the progress made, the still very high levels of non-performing loans severely hamper banks’ credit intermediation capabilities, thus preventing them to lend to the economy and consequently support growth.</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Sales and write-offs have been the main drivers behind the reduction of non-performing loans so far, while the internal capacity of banks to work out non-performing loans continues to be very low.</w:t>
      </w:r>
      <w:r>
        <w:rPr>
          <w:rFonts w:ascii="Times New Roman" w:hAnsi="Times New Roman" w:cs="Times New Roman"/>
          <w:noProof/>
          <w:color w:val="000000"/>
          <w:sz w:val="24"/>
        </w:rPr>
        <w:t xml:space="preserve"> Sales of non-performing loans have exceeded €7.1 billion (</w:t>
      </w:r>
      <w:r>
        <w:rPr>
          <w:rFonts w:ascii="Times New Roman" w:hAnsi="Times New Roman" w:cs="Times New Roman"/>
          <w:noProof/>
          <w:color w:val="000000"/>
          <w:sz w:val="24"/>
          <w:vertAlign w:val="superscript"/>
        </w:rPr>
        <w:footnoteReference w:id="22"/>
      </w:r>
      <w:r>
        <w:rPr>
          <w:rFonts w:ascii="Times New Roman" w:hAnsi="Times New Roman" w:cs="Times New Roman"/>
          <w:noProof/>
          <w:color w:val="000000"/>
          <w:sz w:val="24"/>
        </w:rPr>
        <w:t xml:space="preserve">) in the first nine months of 2019, while write-offs contributed an additional €3.1 billion of NPL reduction. The secondary market for non-performing loans is expected to grow further on the back of significant sales and securitisations, some of which have already been launched and are expected to be completed within the first half of 2020, supported by the newly adopted asset protection scheme. However, the amount of ‘cured’ non-performing loans, i.e. the rate of non-performing loans for which repayments have re-started, was weaker in the third quarter of 2019 relative to a quarter before, and fell below the amounts of newly created non-performing loans. Moreover, re-default rates on restructured loans with re-negotiated terms remain high, while collections and liquidations remain at low levels. Overall, banks continue to accelerate their efforts to reduce their stock of non-performing loans, mainly through outright sales compared to loan restructuring solutions. </w:t>
      </w:r>
    </w:p>
    <w:tbl>
      <w:tblPr>
        <w:tblW w:w="0" w:type="auto"/>
        <w:tblLayout w:type="fixed"/>
        <w:tblCellMar>
          <w:left w:w="0" w:type="dxa"/>
          <w:right w:w="0" w:type="dxa"/>
        </w:tblCellMar>
        <w:tblLook w:val="0000" w:firstRow="0" w:lastRow="0" w:firstColumn="0" w:lastColumn="0" w:noHBand="0" w:noVBand="0"/>
      </w:tblPr>
      <w:tblGrid>
        <w:gridCol w:w="8505"/>
      </w:tblGrid>
      <w:tr>
        <w:trPr>
          <w:cantSplit/>
        </w:trPr>
        <w:tc>
          <w:tcPr>
            <w:tcW w:w="8505" w:type="dxa"/>
            <w:shd w:val="clear" w:color="auto" w:fill="auto"/>
          </w:tcPr>
          <w:p>
            <w:pPr>
              <w:keepNext/>
              <w:pBdr>
                <w:top w:val="single" w:sz="2" w:space="2" w:color="auto"/>
                <w:bottom w:val="single" w:sz="2" w:space="2" w:color="auto"/>
              </w:pBdr>
              <w:tabs>
                <w:tab w:val="left" w:pos="1020"/>
                <w:tab w:val="left" w:pos="1077"/>
                <w:tab w:val="left" w:pos="1134"/>
              </w:tabs>
              <w:spacing w:after="40" w:line="240" w:lineRule="auto"/>
              <w:ind w:left="1020" w:hanging="1020"/>
              <w:rPr>
                <w:rFonts w:ascii="Century Gothic" w:hAnsi="Century Gothic" w:cs="Times New Roman"/>
                <w:b/>
                <w:noProof/>
                <w:color w:val="333399"/>
                <w:sz w:val="18"/>
              </w:rPr>
            </w:pPr>
            <w:r>
              <w:rPr>
                <w:rFonts w:ascii="Century Gothic" w:hAnsi="Century Gothic" w:cs="Times New Roman"/>
                <w:noProof/>
                <w:color w:val="333399"/>
                <w:sz w:val="18"/>
              </w:rPr>
              <w:t>Graph 5.2:</w:t>
            </w:r>
            <w:r>
              <w:rPr>
                <w:rFonts w:ascii="Century Gothic" w:hAnsi="Century Gothic" w:cs="Times New Roman"/>
                <w:b/>
                <w:noProof/>
                <w:color w:val="333399"/>
                <w:sz w:val="18"/>
              </w:rPr>
              <w:tab/>
              <w:t>Non-performing loans as a % of total customer loans (left) and changes in their stock in the third quarter of 2019 (right: million EUR)</w:t>
            </w:r>
          </w:p>
        </w:tc>
      </w:tr>
      <w:tr>
        <w:trPr>
          <w:cantSplit/>
        </w:trPr>
        <w:tc>
          <w:tcPr>
            <w:tcW w:w="8505" w:type="dxa"/>
            <w:shd w:val="clear" w:color="auto" w:fill="auto"/>
          </w:tcPr>
          <w:p>
            <w:pPr>
              <w:keepNext/>
              <w:spacing w:after="0" w:line="240" w:lineRule="auto"/>
              <w:jc w:val="center"/>
              <w:rPr>
                <w:rFonts w:ascii="Times New Roman" w:hAnsi="Times New Roman" w:cs="Times New Roman"/>
                <w:noProof/>
                <w:color w:val="000000"/>
                <w:sz w:val="2"/>
              </w:rPr>
            </w:pPr>
            <w:r>
              <w:rPr>
                <w:rFonts w:ascii="Times New Roman" w:hAnsi="Times New Roman" w:cs="Times New Roman"/>
                <w:noProof/>
                <w:color w:val="000000"/>
                <w:sz w:val="24"/>
              </w:rPr>
              <w:fldChar w:fldCharType="begin"/>
            </w:r>
            <w:r>
              <w:rPr>
                <w:rFonts w:ascii="Times New Roman" w:hAnsi="Times New Roman" w:cs="Times New Roman"/>
                <w:noProof/>
                <w:color w:val="000000"/>
                <w:sz w:val="24"/>
              </w:rPr>
              <w:instrText xml:space="preserve"> TC "</w:instrText>
            </w:r>
            <w:bookmarkStart w:id="38" w:name="_Toc32919972"/>
            <w:r>
              <w:rPr>
                <w:rFonts w:ascii="Times New Roman" w:hAnsi="Times New Roman" w:cs="Times New Roman"/>
                <w:noProof/>
                <w:color w:val="000000"/>
                <w:sz w:val="24"/>
              </w:rPr>
              <w:instrText>5.2.</w:instrText>
            </w:r>
            <w:r>
              <w:rPr>
                <w:rFonts w:ascii="Times New Roman" w:hAnsi="Times New Roman" w:cs="Times New Roman"/>
                <w:noProof/>
                <w:color w:val="000000"/>
                <w:sz w:val="24"/>
              </w:rPr>
              <w:tab/>
              <w:instrText>Non-performing loans as a % of total customer loans (left) and changes in their stock in the third quarter of 2019 (right: million EUR)</w:instrText>
            </w:r>
            <w:bookmarkEnd w:id="38"/>
            <w:r>
              <w:rPr>
                <w:rFonts w:ascii="Times New Roman" w:hAnsi="Times New Roman" w:cs="Times New Roman"/>
                <w:noProof/>
                <w:color w:val="000000"/>
                <w:sz w:val="24"/>
              </w:rPr>
              <w:instrText xml:space="preserve">" \fgraph \l 5 </w:instrText>
            </w:r>
            <w:r>
              <w:rPr>
                <w:rFonts w:ascii="Times New Roman" w:hAnsi="Times New Roman" w:cs="Times New Roman"/>
                <w:noProof/>
                <w:color w:val="000000"/>
                <w:sz w:val="24"/>
              </w:rPr>
              <w:fldChar w:fldCharType="end"/>
            </w:r>
            <w:r>
              <w:rPr>
                <w:rFonts w:ascii="Times New Roman" w:hAnsi="Times New Roman" w:cs="Times New Roman"/>
                <w:noProof/>
                <w:color w:val="000000"/>
                <w:sz w:val="2"/>
                <w:lang w:eastAsia="en-GB"/>
              </w:rPr>
              <w:drawing>
                <wp:inline distT="0" distB="0" distL="0" distR="0">
                  <wp:extent cx="5388229" cy="1468538"/>
                  <wp:effectExtent l="0" t="0" r="0" b="0"/>
                  <wp:docPr id="16" name="Picture 16" descr="&lt;nbr&gt;&lt;GETTEXTFROMWORD&gt;&lt;/nbr&gt;&#10;&lt;title&gt;&lt;GETTEXTFROMWORD&gt;&lt;/title&gt;&#10;&lt;id&gt;97ae4eb6-3ce9-4ffc-8902-438270a53406&lt;/id&gt;&#10;&lt;srcType&gt;EXCEL&lt;/srcType&gt;&#10;&lt;srcPath&gt;\\myintracomm-collab.ec.europa.eu@SSL\DavWWWRoot\dg\ECFIN\Country\GR\Shared Documents\POST-PROGRAMME\Enhanced surveillance\5th Report\Graphs-Tables\&lt;/srcPath&gt;&#10;&lt;srcName&gt;5_financial.xlsx&lt;/srcName&gt;&#10;&lt;type&gt;clusterofgraphs&lt;/type&gt;&#10; &lt;srcSheet&gt;Graph 5.2&lt;/srcSheet&gt;&#10; &lt;individualNumbers&gt;no&lt;/individualNumbers&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20-02-18T10:27:50&lt;/scrFileTime&gt;&#10;&lt;imageInformation&gt;&#10; &lt;dontScaleUp&gt;no&lt;/dontScaleUp&gt;&#10; &lt;usedpercentageofavailablewidth&gt;100&lt;/usedpercentageofavailablewidth&gt;&#10;&lt;/imageInformation&gt;&#10;&lt;url&gt;Chap2/Chap2-Graph-5.2.xlsx&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70">
                            <a:extLst>
                              <a:ext uri="{28A0092B-C50C-407E-A947-70E740481C1C}">
                                <a14:useLocalDpi xmlns:a14="http://schemas.microsoft.com/office/drawing/2010/main" val="0"/>
                              </a:ext>
                            </a:extLst>
                          </a:blip>
                          <a:srcRect/>
                          <a:stretch>
                            <a:fillRect/>
                          </a:stretch>
                        </pic:blipFill>
                        <pic:spPr>
                          <a:xfrm>
                            <a:off x="0" y="0"/>
                            <a:ext cx="5388229" cy="1468538"/>
                          </a:xfrm>
                          <a:prstGeom prst="rect">
                            <a:avLst/>
                          </a:prstGeom>
                        </pic:spPr>
                      </pic:pic>
                    </a:graphicData>
                  </a:graphic>
                </wp:inline>
              </w:drawing>
            </w:r>
            <w:r>
              <w:rPr>
                <w:rFonts w:ascii="Times New Roman" w:hAnsi="Times New Roman" w:cs="Times New Roman"/>
                <w:noProof/>
                <w:color w:val="000000"/>
                <w:sz w:val="2"/>
              </w:rPr>
              <w:t xml:space="preserve"> </w:t>
            </w:r>
          </w:p>
        </w:tc>
      </w:tr>
      <w:tr>
        <w:trPr>
          <w:cantSplit/>
        </w:trPr>
        <w:tc>
          <w:tcPr>
            <w:tcW w:w="8505" w:type="dxa"/>
            <w:shd w:val="clear" w:color="auto" w:fill="auto"/>
            <w:tcMar>
              <w:bottom w:w="240" w:type="dxa"/>
            </w:tcMar>
          </w:tcPr>
          <w:p>
            <w:pPr>
              <w:pBdr>
                <w:top w:val="single" w:sz="2" w:space="2" w:color="auto"/>
                <w:bottom w:val="single" w:sz="2" w:space="2" w:color="auto"/>
              </w:pBdr>
              <w:spacing w:after="0" w:line="240" w:lineRule="auto"/>
              <w:rPr>
                <w:rFonts w:ascii="Century Gothic" w:hAnsi="Century Gothic" w:cs="Times New Roman"/>
                <w:noProof/>
                <w:color w:val="000000"/>
                <w:sz w:val="18"/>
              </w:rPr>
            </w:pPr>
            <w:r>
              <w:rPr>
                <w:rFonts w:ascii="Century Gothic" w:hAnsi="Century Gothic" w:cs="Times New Roman"/>
                <w:b/>
                <w:i/>
                <w:noProof/>
                <w:color w:val="000000"/>
                <w:sz w:val="18"/>
              </w:rPr>
              <w:t>Source:</w:t>
            </w:r>
            <w:r>
              <w:rPr>
                <w:rFonts w:ascii="Century Gothic" w:hAnsi="Century Gothic" w:cs="Times New Roman"/>
                <w:noProof/>
                <w:color w:val="000000"/>
                <w:sz w:val="18"/>
              </w:rPr>
              <w:t xml:space="preserve"> Bank of Greece</w:t>
            </w:r>
          </w:p>
        </w:tc>
      </w:tr>
    </w:tbl>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successful and speedy implementation of the Hercules asset protection scheme could accelerate the reduction of non-performing loans of the four systemic banks.</w:t>
      </w:r>
      <w:r>
        <w:rPr>
          <w:rFonts w:ascii="Times New Roman" w:hAnsi="Times New Roman" w:cs="Times New Roman"/>
          <w:noProof/>
          <w:color w:val="000000"/>
          <w:sz w:val="24"/>
        </w:rPr>
        <w:t xml:space="preserve"> The scheme (</w:t>
      </w:r>
      <w:r>
        <w:rPr>
          <w:rFonts w:ascii="Times New Roman" w:hAnsi="Times New Roman" w:cs="Times New Roman"/>
          <w:noProof/>
          <w:color w:val="000000"/>
          <w:sz w:val="24"/>
          <w:vertAlign w:val="superscript"/>
        </w:rPr>
        <w:footnoteReference w:id="23"/>
      </w:r>
      <w:r>
        <w:rPr>
          <w:rFonts w:ascii="Times New Roman" w:hAnsi="Times New Roman" w:cs="Times New Roman"/>
          <w:noProof/>
          <w:color w:val="000000"/>
          <w:sz w:val="24"/>
        </w:rPr>
        <w:t>), which will run over an 18-month period with a planned envelope of maximum €12 billion of state guarantees, aims at allowing banks to securitise and transfer non-performing loans out of their balance sheets. Under the scheme, a state guarantee will be provided for the senior notes of the securitisations, against remuneration priced at market terms. All four systemic banks have expressed interest to participate in the scheme and are in the process of updating their strategies for the reduction of non-performing loans. The banks plan to frontload their actions to the extent possible given the implied cost of capital of these transactions and the banks’ current capital position. The focus now falls on the successful and timely implementation of the scheme. The value of the portfolios that are envisaged to be securitised under the Hercules asset protection scheme will also be affected by the progress made in the implementation of the policy actions outlined below.</w:t>
      </w:r>
    </w:p>
    <w:tbl>
      <w:tblPr>
        <w:tblpPr w:bottomFromText="240" w:horzAnchor="margin" w:tblpYSpec="top"/>
        <w:tblOverlap w:val="never"/>
        <w:tblW w:w="0" w:type="auto"/>
        <w:tblLayout w:type="fixed"/>
        <w:tblCellMar>
          <w:left w:w="0" w:type="dxa"/>
          <w:right w:w="0" w:type="dxa"/>
        </w:tblCellMar>
        <w:tblLook w:val="0000" w:firstRow="0" w:lastRow="0" w:firstColumn="0" w:lastColumn="0" w:noHBand="0" w:noVBand="0"/>
      </w:tblPr>
      <w:tblGrid>
        <w:gridCol w:w="8505"/>
      </w:tblGrid>
      <w:tr>
        <w:trPr>
          <w:cantSplit/>
          <w:trHeight w:val="20"/>
        </w:trPr>
        <w:tc>
          <w:tcPr>
            <w:tcW w:w="8505" w:type="dxa"/>
            <w:shd w:val="clear" w:color="auto" w:fill="auto"/>
          </w:tcPr>
          <w:p>
            <w:pPr>
              <w:keepNext/>
              <w:spacing w:after="0" w:line="240" w:lineRule="auto"/>
              <w:jc w:val="both"/>
              <w:rPr>
                <w:rFonts w:ascii="Times New Roman" w:hAnsi="Times New Roman" w:cs="Times New Roman"/>
                <w:noProof/>
                <w:color w:val="000000"/>
                <w:sz w:val="2"/>
              </w:rPr>
            </w:pPr>
            <w:r>
              <w:rPr>
                <w:rFonts w:ascii="Times New Roman" w:hAnsi="Times New Roman" w:cs="Times New Roman"/>
                <w:noProof/>
                <w:color w:val="000000"/>
                <w:sz w:val="2"/>
              </w:rPr>
              <w:fldChar w:fldCharType="begin"/>
            </w:r>
            <w:r>
              <w:rPr>
                <w:rFonts w:ascii="Times New Roman" w:hAnsi="Times New Roman" w:cs="Times New Roman"/>
                <w:noProof/>
                <w:color w:val="000000"/>
                <w:sz w:val="2"/>
              </w:rPr>
              <w:instrText xml:space="preserve"> TC "</w:instrText>
            </w:r>
            <w:bookmarkStart w:id="39" w:name="_Toc32919968"/>
            <w:r>
              <w:rPr>
                <w:rFonts w:ascii="Times New Roman" w:hAnsi="Times New Roman" w:cs="Times New Roman"/>
                <w:noProof/>
                <w:color w:val="000000"/>
                <w:sz w:val="2"/>
              </w:rPr>
              <w:instrText>5.1.</w:instrText>
            </w:r>
            <w:r>
              <w:rPr>
                <w:rFonts w:ascii="Times New Roman" w:hAnsi="Times New Roman" w:cs="Times New Roman"/>
                <w:noProof/>
                <w:color w:val="000000"/>
                <w:sz w:val="2"/>
              </w:rPr>
              <w:tab/>
              <w:instrText>Main financial stability indicators</w:instrText>
            </w:r>
            <w:bookmarkEnd w:id="39"/>
            <w:r>
              <w:rPr>
                <w:rFonts w:ascii="Times New Roman" w:hAnsi="Times New Roman" w:cs="Times New Roman"/>
                <w:noProof/>
                <w:color w:val="000000"/>
                <w:sz w:val="2"/>
              </w:rPr>
              <w:instrText xml:space="preserve">" \ftable \l 5 </w:instrText>
            </w:r>
            <w:r>
              <w:rPr>
                <w:rFonts w:ascii="Times New Roman" w:hAnsi="Times New Roman" w:cs="Times New Roman"/>
                <w:noProof/>
                <w:color w:val="000000"/>
                <w:sz w:val="2"/>
              </w:rPr>
              <w:fldChar w:fldCharType="end"/>
            </w:r>
          </w:p>
        </w:tc>
      </w:tr>
      <w:tr>
        <w:trPr>
          <w:cantSplit/>
        </w:trPr>
        <w:tc>
          <w:tcPr>
            <w:tcW w:w="8505" w:type="dxa"/>
            <w:shd w:val="clear" w:color="auto" w:fill="auto"/>
          </w:tcPr>
          <w:p>
            <w:pPr>
              <w:keepNext/>
              <w:pBdr>
                <w:top w:val="single" w:sz="2" w:space="2" w:color="auto"/>
                <w:bottom w:val="single" w:sz="2" w:space="2" w:color="auto"/>
              </w:pBdr>
              <w:tabs>
                <w:tab w:val="left" w:pos="1020"/>
                <w:tab w:val="left" w:pos="1077"/>
                <w:tab w:val="left" w:pos="1134"/>
              </w:tabs>
              <w:spacing w:after="40" w:line="240" w:lineRule="auto"/>
              <w:ind w:left="1020" w:hanging="1020"/>
              <w:rPr>
                <w:rFonts w:ascii="Century Gothic" w:hAnsi="Century Gothic" w:cs="Times New Roman"/>
                <w:b/>
                <w:noProof/>
                <w:color w:val="333399"/>
                <w:sz w:val="18"/>
              </w:rPr>
            </w:pPr>
            <w:r>
              <w:rPr>
                <w:rFonts w:ascii="Century Gothic" w:hAnsi="Century Gothic" w:cs="Times New Roman"/>
                <w:noProof/>
                <w:color w:val="333399"/>
                <w:sz w:val="18"/>
              </w:rPr>
              <w:t>Table 5.1:</w:t>
            </w:r>
            <w:r>
              <w:rPr>
                <w:rFonts w:ascii="Century Gothic" w:hAnsi="Century Gothic" w:cs="Times New Roman"/>
                <w:b/>
                <w:noProof/>
                <w:color w:val="333399"/>
                <w:sz w:val="18"/>
              </w:rPr>
              <w:tab/>
              <w:t>Main financial stability indicators</w:t>
            </w:r>
          </w:p>
        </w:tc>
      </w:tr>
      <w:tr>
        <w:trPr>
          <w:cantSplit/>
        </w:trPr>
        <w:tc>
          <w:tcPr>
            <w:tcW w:w="8505" w:type="dxa"/>
            <w:shd w:val="clear" w:color="auto" w:fill="auto"/>
          </w:tcPr>
          <w:p>
            <w:pPr>
              <w:keepNext/>
              <w:spacing w:after="0" w:line="240" w:lineRule="auto"/>
              <w:jc w:val="center"/>
              <w:rPr>
                <w:rFonts w:ascii="Times New Roman" w:hAnsi="Times New Roman" w:cs="Times New Roman"/>
                <w:noProof/>
                <w:color w:val="000000"/>
                <w:sz w:val="2"/>
              </w:rPr>
            </w:pPr>
            <w:r>
              <w:rPr>
                <w:rFonts w:ascii="Times New Roman" w:hAnsi="Times New Roman" w:cs="Times New Roman"/>
                <w:noProof/>
                <w:color w:val="000000"/>
                <w:sz w:val="2"/>
                <w:lang w:eastAsia="en-GB"/>
              </w:rPr>
              <w:drawing>
                <wp:inline distT="0" distB="0" distL="0" distR="0">
                  <wp:extent cx="5400929" cy="1278950"/>
                  <wp:effectExtent l="0" t="0" r="9525" b="0"/>
                  <wp:docPr id="7" name="Picture 7" descr="&lt;nbr&gt;&lt;GETTEXTFROMWORD&gt;&lt;/nbr&gt;&#10;&lt;title&gt;&lt;GETTEXTFROMWORD&gt;&lt;/title&gt;&#10;&lt;id&gt;d670430b-9be0-4b4c-9347-685617aada10&lt;/id&gt;&#10;&lt;srcType&gt;EXCEL&lt;/srcType&gt;&#10;&lt;srcPath&gt;\\myintracomm-collab.ec.europa.eu@SSL\DavWWWRoot\dg\ECFIN\Country\GR\Shared Documents\POST-PROGRAMME\Enhanced surveillance\5th Report\Graphs-Tables\&lt;/srcPath&gt;&#10;&lt;srcName&gt;5_financial.xlsx&lt;/srcName&gt;&#10;&lt;type&gt;table&lt;/type&gt;&#10; &lt;srcSheet&gt;Table 5.1&lt;/srcSheet&gt;&#10; &lt;srcRange&gt;R4C2:R15C13&lt;/srcRange&gt;&#10;&lt;pos&gt;top&lt;/pos&gt;&#10;&lt;numbering&gt;internal&lt;/numbering&gt;&#10;&lt;manNumb&gt;no&lt;/manNumb&gt;&#10; &lt;insFtn&gt;yes&lt;/insFtn&gt;&#10; &lt;insSrc&gt;yes&lt;/insSrc&gt;&#10; &lt;ftnText&gt;&lt;GETTEXTFROMWORD&gt;&lt;/ftnText&gt;&#10; &lt;shpSrc&gt;&lt;GETTEXTFROMWORD&gt;&lt;/shpSrc&gt;&#10;&lt;multi&gt;no&lt;/multi&gt;&#10;&lt;statAnn&gt;no&lt;/statAnn&gt;&#10;&lt;float&gt;no&lt;/float&gt;&#10;&lt;bottomShapePageNumber&gt;-1&lt;/bottomShapePageNumber&gt;&#10;&lt;version&gt;2&lt;/version&gt;&#10;&lt;scrFileTime&gt;2020-02-18T10:27:50&lt;/scrFileTime&gt;&#10;&lt;imageInformation&gt;&#10; &lt;dontScaleUp&gt;no&lt;/dontScaleUp&gt;&#10; &lt;usedpercentageofavailablewidth&gt;100&lt;/usedpercentageofavailablewidth&gt;&#10;&lt;/imageInformation&gt;&#10;&lt;url&gt;Chap2/Chap2-Table-5.1.xlsx&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5400929" cy="1278950"/>
                          </a:xfrm>
                          <a:prstGeom prst="rect">
                            <a:avLst/>
                          </a:prstGeom>
                        </pic:spPr>
                      </pic:pic>
                    </a:graphicData>
                  </a:graphic>
                </wp:inline>
              </w:drawing>
            </w:r>
            <w:r>
              <w:rPr>
                <w:rFonts w:ascii="Times New Roman" w:hAnsi="Times New Roman" w:cs="Times New Roman"/>
                <w:noProof/>
                <w:color w:val="000000"/>
                <w:sz w:val="2"/>
              </w:rPr>
              <w:t xml:space="preserve"> </w:t>
            </w:r>
          </w:p>
        </w:tc>
      </w:tr>
      <w:tr>
        <w:trPr>
          <w:cantSplit/>
        </w:trPr>
        <w:tc>
          <w:tcPr>
            <w:tcW w:w="8505" w:type="dxa"/>
            <w:shd w:val="clear" w:color="auto" w:fill="auto"/>
          </w:tcPr>
          <w:p>
            <w:pPr>
              <w:keepNext/>
              <w:pBdr>
                <w:top w:val="single" w:sz="2" w:space="2" w:color="auto"/>
                <w:bottom w:val="single" w:sz="2" w:space="2" w:color="auto"/>
              </w:pBdr>
              <w:spacing w:after="0" w:line="240" w:lineRule="auto"/>
              <w:rPr>
                <w:rFonts w:ascii="Century Gothic" w:hAnsi="Century Gothic" w:cs="Times New Roman"/>
                <w:noProof/>
                <w:color w:val="000000"/>
                <w:sz w:val="18"/>
              </w:rPr>
            </w:pPr>
            <w:r>
              <w:rPr>
                <w:rFonts w:ascii="Century Gothic" w:hAnsi="Century Gothic" w:cs="Times New Roman"/>
                <w:noProof/>
                <w:color w:val="000000"/>
                <w:sz w:val="18"/>
              </w:rPr>
              <w:t>(1) As % of total loans</w:t>
            </w:r>
            <w:r>
              <w:rPr>
                <w:rFonts w:ascii="Century Gothic" w:hAnsi="Century Gothic" w:cs="Times New Roman"/>
                <w:noProof/>
                <w:color w:val="000000"/>
                <w:sz w:val="18"/>
              </w:rPr>
              <w:br/>
              <w:t>(2) Annualised data</w:t>
            </w:r>
          </w:p>
          <w:p>
            <w:pPr>
              <w:keepNext/>
              <w:pBdr>
                <w:top w:val="single" w:sz="2" w:space="2" w:color="auto"/>
                <w:bottom w:val="single" w:sz="2" w:space="2" w:color="auto"/>
              </w:pBdr>
              <w:spacing w:after="0" w:line="240" w:lineRule="auto"/>
              <w:rPr>
                <w:rFonts w:ascii="Century Gothic" w:hAnsi="Century Gothic" w:cs="Times New Roman"/>
                <w:noProof/>
                <w:color w:val="000000"/>
                <w:sz w:val="18"/>
              </w:rPr>
            </w:pPr>
            <w:r>
              <w:rPr>
                <w:rFonts w:ascii="Century Gothic" w:hAnsi="Century Gothic" w:cs="Times New Roman"/>
                <w:b/>
                <w:i/>
                <w:noProof/>
                <w:color w:val="000000"/>
                <w:sz w:val="18"/>
              </w:rPr>
              <w:t>Source:</w:t>
            </w:r>
            <w:r>
              <w:rPr>
                <w:rFonts w:ascii="Century Gothic" w:hAnsi="Century Gothic" w:cs="Times New Roman"/>
                <w:noProof/>
                <w:color w:val="000000"/>
                <w:sz w:val="18"/>
              </w:rPr>
              <w:t xml:space="preserve"> ECB - CBD2 - Consolidated Banking data; own calculations</w:t>
            </w:r>
          </w:p>
        </w:tc>
      </w:tr>
      <w:tr>
        <w:trPr>
          <w:cantSplit/>
          <w:trHeight w:val="20"/>
        </w:trPr>
        <w:tc>
          <w:tcPr>
            <w:tcW w:w="8505" w:type="dxa"/>
            <w:shd w:val="clear" w:color="auto" w:fill="auto"/>
          </w:tcPr>
          <w:p>
            <w:pPr>
              <w:spacing w:after="0" w:line="240" w:lineRule="auto"/>
              <w:jc w:val="both"/>
              <w:rPr>
                <w:rFonts w:ascii="Times New Roman" w:hAnsi="Times New Roman" w:cs="Times New Roman"/>
                <w:noProof/>
                <w:color w:val="000000"/>
                <w:sz w:val="2"/>
              </w:rPr>
            </w:pPr>
          </w:p>
        </w:tc>
      </w:tr>
    </w:tbl>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In 2019, net bank lending to non-financial corporations has further improved, while credit growth to households remained negative, against the background of a further decrease in lending rates. </w:t>
      </w:r>
      <w:r>
        <w:rPr>
          <w:rFonts w:ascii="Times New Roman" w:hAnsi="Times New Roman" w:cs="Times New Roman"/>
          <w:noProof/>
          <w:color w:val="000000"/>
          <w:sz w:val="24"/>
        </w:rPr>
        <w:t>The rebound in net bank lending to companies has continued unabated in 2019, although with a somewhat reduced pace towards the end of the year. According to the Bank of Greece, this recovery in credit growth was driven by loans to large corporations, while the year-on-year change of credit towards small- and medium-sized companies remains negative. However, the Survey on the Access to Finance of Enterprises pointed to an improvement in access to credit for small firms. The growth rate of loans to households continued to remain negative in the same period, particularly for mortgage lending, which reflects to a large extent the evolution of demand, as evidenced by the Bank Lending Survey(Graph 5.3). Bank lending rates followed a mild downward trend in 2019 despite higher loan demand, reflecting overall a decline in risk-free market reference rates on account of further monetary policy accommodation. While the lending spread for non-financial corporations remained unchanged over the course of the year, the one for households declined over the second half of 2019 but remained overall at an elevated level, 109 basis points higher than the one for corporates as of end-December 2019. Normalisation of the banking sector is vital to restore banks’ capabilities to provide credit to the economy.</w:t>
      </w:r>
    </w:p>
    <w:tbl>
      <w:tblPr>
        <w:tblW w:w="0" w:type="auto"/>
        <w:tblLayout w:type="fixed"/>
        <w:tblCellMar>
          <w:left w:w="0" w:type="dxa"/>
          <w:right w:w="0" w:type="dxa"/>
        </w:tblCellMar>
        <w:tblLook w:val="0000" w:firstRow="0" w:lastRow="0" w:firstColumn="0" w:lastColumn="0" w:noHBand="0" w:noVBand="0"/>
      </w:tblPr>
      <w:tblGrid>
        <w:gridCol w:w="8505"/>
      </w:tblGrid>
      <w:tr>
        <w:trPr>
          <w:cantSplit/>
        </w:trPr>
        <w:tc>
          <w:tcPr>
            <w:tcW w:w="8505" w:type="dxa"/>
            <w:shd w:val="clear" w:color="auto" w:fill="auto"/>
          </w:tcPr>
          <w:p>
            <w:pPr>
              <w:keepNext/>
              <w:pBdr>
                <w:top w:val="single" w:sz="2" w:space="2" w:color="auto"/>
                <w:bottom w:val="single" w:sz="2" w:space="2" w:color="auto"/>
              </w:pBdr>
              <w:tabs>
                <w:tab w:val="left" w:pos="1020"/>
                <w:tab w:val="left" w:pos="1077"/>
                <w:tab w:val="left" w:pos="1134"/>
              </w:tabs>
              <w:spacing w:after="40" w:line="240" w:lineRule="auto"/>
              <w:ind w:left="1020" w:hanging="1020"/>
              <w:rPr>
                <w:rFonts w:ascii="Century Gothic" w:hAnsi="Century Gothic" w:cs="Times New Roman"/>
                <w:b/>
                <w:noProof/>
                <w:color w:val="333399"/>
                <w:sz w:val="18"/>
              </w:rPr>
            </w:pPr>
            <w:r>
              <w:rPr>
                <w:rFonts w:ascii="Century Gothic" w:hAnsi="Century Gothic" w:cs="Times New Roman"/>
                <w:noProof/>
                <w:color w:val="333399"/>
                <w:sz w:val="18"/>
              </w:rPr>
              <w:t>Graph 5.3:</w:t>
            </w:r>
            <w:r>
              <w:rPr>
                <w:rFonts w:ascii="Century Gothic" w:hAnsi="Century Gothic" w:cs="Times New Roman"/>
                <w:b/>
                <w:noProof/>
                <w:color w:val="333399"/>
                <w:sz w:val="18"/>
              </w:rPr>
              <w:tab/>
              <w:t>Bank credit to non-financial corporations and households</w:t>
            </w:r>
          </w:p>
        </w:tc>
      </w:tr>
      <w:tr>
        <w:trPr>
          <w:cantSplit/>
        </w:trPr>
        <w:tc>
          <w:tcPr>
            <w:tcW w:w="8505" w:type="dxa"/>
            <w:shd w:val="clear" w:color="auto" w:fill="auto"/>
          </w:tcPr>
          <w:p>
            <w:pPr>
              <w:keepNext/>
              <w:spacing w:after="0" w:line="240" w:lineRule="auto"/>
              <w:jc w:val="center"/>
              <w:rPr>
                <w:rFonts w:ascii="Times New Roman" w:hAnsi="Times New Roman" w:cs="Times New Roman"/>
                <w:noProof/>
                <w:color w:val="000000"/>
                <w:sz w:val="2"/>
              </w:rPr>
            </w:pPr>
            <w:r>
              <w:rPr>
                <w:rFonts w:ascii="Times New Roman" w:hAnsi="Times New Roman" w:cs="Times New Roman"/>
                <w:noProof/>
                <w:color w:val="000000"/>
                <w:sz w:val="24"/>
              </w:rPr>
              <w:fldChar w:fldCharType="begin"/>
            </w:r>
            <w:r>
              <w:rPr>
                <w:rFonts w:ascii="Times New Roman" w:hAnsi="Times New Roman" w:cs="Times New Roman"/>
                <w:noProof/>
                <w:color w:val="000000"/>
                <w:sz w:val="24"/>
              </w:rPr>
              <w:instrText xml:space="preserve"> TC "</w:instrText>
            </w:r>
            <w:bookmarkStart w:id="40" w:name="_Toc32919973"/>
            <w:r>
              <w:rPr>
                <w:rFonts w:ascii="Times New Roman" w:hAnsi="Times New Roman" w:cs="Times New Roman"/>
                <w:noProof/>
                <w:color w:val="000000"/>
                <w:sz w:val="24"/>
              </w:rPr>
              <w:instrText>5.3.</w:instrText>
            </w:r>
            <w:r>
              <w:rPr>
                <w:rFonts w:ascii="Times New Roman" w:hAnsi="Times New Roman" w:cs="Times New Roman"/>
                <w:noProof/>
                <w:color w:val="000000"/>
                <w:sz w:val="24"/>
              </w:rPr>
              <w:tab/>
              <w:instrText>Bank credit to non-financial corporations and households</w:instrText>
            </w:r>
            <w:bookmarkEnd w:id="40"/>
            <w:r>
              <w:rPr>
                <w:rFonts w:ascii="Times New Roman" w:hAnsi="Times New Roman" w:cs="Times New Roman"/>
                <w:noProof/>
                <w:color w:val="000000"/>
                <w:sz w:val="24"/>
              </w:rPr>
              <w:instrText xml:space="preserve">" \fgraph \l 5 </w:instrText>
            </w:r>
            <w:r>
              <w:rPr>
                <w:rFonts w:ascii="Times New Roman" w:hAnsi="Times New Roman" w:cs="Times New Roman"/>
                <w:noProof/>
                <w:color w:val="000000"/>
                <w:sz w:val="24"/>
              </w:rPr>
              <w:fldChar w:fldCharType="end"/>
            </w:r>
            <w:r>
              <w:rPr>
                <w:rFonts w:ascii="Times New Roman" w:hAnsi="Times New Roman" w:cs="Times New Roman"/>
                <w:noProof/>
                <w:color w:val="000000"/>
                <w:sz w:val="2"/>
                <w:lang w:eastAsia="en-GB"/>
              </w:rPr>
              <w:drawing>
                <wp:inline distT="0" distB="0" distL="0" distR="0">
                  <wp:extent cx="5388229" cy="1825853"/>
                  <wp:effectExtent l="0" t="0" r="3175" b="0"/>
                  <wp:docPr id="17" name="Picture 17" descr="&lt;nbr&gt;&lt;GETTEXTFROMWORD&gt;&lt;/nbr&gt;&#10;&lt;title&gt;&lt;GETTEXTFROMWORD&gt;&lt;/title&gt;&#10;&lt;id&gt;da569caf-b2ef-481b-be6a-9ee54de96f0e&lt;/id&gt;&#10;&lt;srcType&gt;EXCEL&lt;/srcType&gt;&#10;&lt;srcPath&gt;\\myintracomm-collab.ec.europa.eu@SSL\DavWWWRoot\dg\ECFIN\Country\GR\Shared Documents\POST-PROGRAMME\Enhanced surveillance\5th Report\Graphs-Tables\&lt;/srcPath&gt;&#10;&lt;srcName&gt;5_financial.xlsx&lt;/srcName&gt;&#10;&lt;type&gt;clusterofgraphs&lt;/type&gt;&#10; &lt;srcSheet&gt;Graph 5.3&lt;/srcSheet&gt;&#10; &lt;individualNumbers&gt;no&lt;/individualNumbers&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20-02-18T10:27:50&lt;/scrFileTime&gt;&#10;&lt;imageInformation&gt;&#10; &lt;dontScaleUp&gt;no&lt;/dontScaleUp&gt;&#10; &lt;usedpercentageofavailablewidth&gt;100&lt;/usedpercentageofavailablewidth&gt;&#10;&lt;/imageInformation&gt;&#10;&lt;url&gt;Chap2/Chap2-Graph-5.3.xlsx&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2">
                            <a:extLst>
                              <a:ext uri="{28A0092B-C50C-407E-A947-70E740481C1C}">
                                <a14:useLocalDpi xmlns:a14="http://schemas.microsoft.com/office/drawing/2010/main" val="0"/>
                              </a:ext>
                            </a:extLst>
                          </a:blip>
                          <a:srcRect/>
                          <a:stretch>
                            <a:fillRect/>
                          </a:stretch>
                        </pic:blipFill>
                        <pic:spPr>
                          <a:xfrm>
                            <a:off x="0" y="0"/>
                            <a:ext cx="5388229" cy="1825853"/>
                          </a:xfrm>
                          <a:prstGeom prst="rect">
                            <a:avLst/>
                          </a:prstGeom>
                        </pic:spPr>
                      </pic:pic>
                    </a:graphicData>
                  </a:graphic>
                </wp:inline>
              </w:drawing>
            </w:r>
            <w:r>
              <w:rPr>
                <w:rFonts w:ascii="Times New Roman" w:hAnsi="Times New Roman" w:cs="Times New Roman"/>
                <w:noProof/>
                <w:color w:val="000000"/>
                <w:sz w:val="2"/>
              </w:rPr>
              <w:t xml:space="preserve"> </w:t>
            </w:r>
          </w:p>
        </w:tc>
      </w:tr>
      <w:tr>
        <w:trPr>
          <w:cantSplit/>
        </w:trPr>
        <w:tc>
          <w:tcPr>
            <w:tcW w:w="8505" w:type="dxa"/>
            <w:shd w:val="clear" w:color="auto" w:fill="auto"/>
            <w:tcMar>
              <w:bottom w:w="240" w:type="dxa"/>
            </w:tcMar>
          </w:tcPr>
          <w:p>
            <w:pPr>
              <w:pBdr>
                <w:top w:val="single" w:sz="2" w:space="2" w:color="auto"/>
                <w:bottom w:val="single" w:sz="2" w:space="2" w:color="auto"/>
              </w:pBdr>
              <w:spacing w:after="0" w:line="240" w:lineRule="auto"/>
              <w:rPr>
                <w:rFonts w:ascii="Century Gothic" w:hAnsi="Century Gothic" w:cs="Times New Roman"/>
                <w:noProof/>
                <w:color w:val="000000"/>
                <w:sz w:val="18"/>
              </w:rPr>
            </w:pPr>
            <w:r>
              <w:rPr>
                <w:rFonts w:ascii="Century Gothic" w:hAnsi="Century Gothic" w:cs="Times New Roman"/>
                <w:b/>
                <w:i/>
                <w:noProof/>
                <w:color w:val="000000"/>
                <w:sz w:val="18"/>
              </w:rPr>
              <w:t>Source:</w:t>
            </w:r>
            <w:r>
              <w:rPr>
                <w:rFonts w:ascii="Century Gothic" w:hAnsi="Century Gothic" w:cs="Times New Roman"/>
                <w:noProof/>
                <w:color w:val="000000"/>
                <w:sz w:val="18"/>
              </w:rPr>
              <w:t xml:space="preserve"> Bank of Greece</w:t>
            </w:r>
          </w:p>
        </w:tc>
      </w:tr>
    </w:tbl>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41" w:name="_Toc32921498"/>
      <w:r>
        <w:rPr>
          <w:rFonts w:ascii="Century Gothic" w:hAnsi="Century Gothic" w:cs="Times New Roman"/>
          <w:b/>
          <w:caps/>
          <w:noProof/>
          <w:color w:val="333399"/>
        </w:rPr>
        <w:t>5.2.</w:t>
      </w:r>
      <w:r>
        <w:rPr>
          <w:rFonts w:ascii="Century Gothic" w:hAnsi="Century Gothic" w:cs="Times New Roman"/>
          <w:b/>
          <w:caps/>
          <w:noProof/>
          <w:color w:val="333399"/>
        </w:rPr>
        <w:tab/>
        <w:t>FINANCIAL SECTOR POLICIES</w:t>
      </w:r>
      <w:bookmarkEnd w:id="41"/>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are working on reforming the fragmented insolvency framework currently in place, in a way that contributes to a viable reduction in private and public debt in the near term, while accelerating the pace of implementation of the existing tools for the resolution of non-performing loans and improving their effectiveness.</w:t>
      </w:r>
      <w:r>
        <w:rPr>
          <w:rFonts w:ascii="Times New Roman" w:hAnsi="Times New Roman" w:cs="Times New Roman"/>
          <w:noProof/>
          <w:color w:val="000000"/>
          <w:sz w:val="24"/>
        </w:rPr>
        <w:t xml:space="preserve"> The actions outlined below are monitored and assessed under enhanced surveillance as part of the continuous specific commitment to </w:t>
      </w:r>
      <w:r>
        <w:rPr>
          <w:rFonts w:ascii="Times New Roman" w:hAnsi="Times New Roman" w:cs="Times New Roman"/>
          <w:i/>
          <w:noProof/>
          <w:color w:val="000000"/>
          <w:sz w:val="24"/>
        </w:rPr>
        <w:t>“continue to implement reforms aimed at restoring the health of the banking system, including resolution efforts for the non-performing loans”</w:t>
      </w:r>
      <w:r>
        <w:rPr>
          <w:rFonts w:ascii="Times New Roman" w:hAnsi="Times New Roman" w:cs="Times New Roman"/>
          <w:noProof/>
          <w:color w:val="000000"/>
          <w:sz w:val="24"/>
        </w:rPr>
        <w:t xml:space="preserve">. </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Harmonisation of the insolvency framework</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Preparatory work on the harmonisation and integration of the corporate and personal insolvency regimes is proceeding, and the new framework is planned to be adopted by the end of April 2020, in line with commitments, replacing several of the currently existing mechanisms for facilitating debt restructuring (</w:t>
      </w:r>
      <w:r>
        <w:rPr>
          <w:rFonts w:ascii="Times New Roman" w:hAnsi="Times New Roman" w:cs="Times New Roman"/>
          <w:noProof/>
          <w:color w:val="000000"/>
          <w:sz w:val="24"/>
          <w:vertAlign w:val="superscript"/>
        </w:rPr>
        <w:footnoteReference w:id="24"/>
      </w:r>
      <w:r>
        <w:rPr>
          <w:rFonts w:ascii="Times New Roman" w:hAnsi="Times New Roman" w:cs="Times New Roman"/>
          <w:b/>
          <w:noProof/>
          <w:color w:val="000000"/>
          <w:sz w:val="24"/>
        </w:rPr>
        <w:t xml:space="preserve">). </w:t>
      </w:r>
      <w:r>
        <w:rPr>
          <w:rFonts w:ascii="Times New Roman" w:hAnsi="Times New Roman" w:cs="Times New Roman"/>
          <w:noProof/>
          <w:color w:val="000000"/>
          <w:sz w:val="24"/>
        </w:rPr>
        <w:t xml:space="preserve">Further to the elaboration of a concept paper, a draft version of the National Private Debt Resolution Strategy was delivered to the authorities in mid-December 2019, supported through technical support of the European Commission. The Working Group set up by the authorities is currently working on the draft legal text of the new insolvency framework with a view to adopting the legislation by end-April 2020. Independently of the implementation of the new framework, the Primary Residence Protection scheme will also expire by end April.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new integrated insolvency framework should facilitate dealing with the total outstanding debt, amounting to approximately €244.5 billion, by addressing existing legal shortcomings.</w:t>
      </w:r>
      <w:r>
        <w:rPr>
          <w:rFonts w:ascii="Times New Roman" w:hAnsi="Times New Roman" w:cs="Times New Roman"/>
          <w:noProof/>
          <w:color w:val="000000"/>
          <w:sz w:val="24"/>
        </w:rPr>
        <w:t xml:space="preserve"> The total outstanding business debt in the economy amounts to €158.2 billion, while that of individuals to €86.3 billion. The authorities relayed broad outlines of the reforms, although key details about the regime remain to be clarified. In that regard, the new system is expected to tackle current statutory obstacles to dealing with excessive indebtedness, such as the non-availability of a bankruptcy procedure for non-merchants (</w:t>
      </w:r>
      <w:r>
        <w:rPr>
          <w:rFonts w:ascii="Times New Roman" w:hAnsi="Times New Roman" w:cs="Times New Roman"/>
          <w:noProof/>
          <w:color w:val="000000"/>
          <w:sz w:val="24"/>
          <w:vertAlign w:val="superscript"/>
        </w:rPr>
        <w:footnoteReference w:id="25"/>
      </w:r>
      <w:r>
        <w:rPr>
          <w:rFonts w:ascii="Times New Roman" w:hAnsi="Times New Roman" w:cs="Times New Roman"/>
          <w:noProof/>
          <w:color w:val="000000"/>
          <w:sz w:val="24"/>
        </w:rPr>
        <w:t>), procedural complexity and inefficiency of the currently existing framework, departure of several of the existing mechanisms from bankruptcy principles, non-complementarity and fragmentation of insolvency mechanisms and the risk of procedural abuses, especially as to judicial suspensions. The new system also aims at addressing general obstacles observed in procedures legislated and used to-date, such as informational asymmetry and limited cooperation among creditors, slow judicial processes, lack of a sound payment culture and disproportionality between profitability/disposable income and overall debt levels. The new framework will be designed to facilitate restructurings and expedite liquidation while ensuring harmonisation with EU Directive 1023/2019 on restructuring and insolvency (</w:t>
      </w:r>
      <w:r>
        <w:rPr>
          <w:rFonts w:ascii="Times New Roman" w:hAnsi="Times New Roman" w:cs="Times New Roman"/>
          <w:noProof/>
          <w:color w:val="000000"/>
          <w:sz w:val="24"/>
          <w:vertAlign w:val="superscript"/>
        </w:rPr>
        <w:footnoteReference w:id="26"/>
      </w:r>
      <w:r>
        <w:rPr>
          <w:rFonts w:ascii="Times New Roman" w:hAnsi="Times New Roman" w:cs="Times New Roman"/>
          <w:noProof/>
          <w:color w:val="000000"/>
          <w:sz w:val="24"/>
        </w:rPr>
        <w:t>).</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A preliminary outline of the draft law has been prepared by the authorities and is currently under assessment by the institutions, pending further elaboration.</w:t>
      </w:r>
      <w:r>
        <w:rPr>
          <w:rFonts w:ascii="Times New Roman" w:hAnsi="Times New Roman" w:cs="Times New Roman"/>
          <w:noProof/>
          <w:color w:val="000000"/>
          <w:sz w:val="24"/>
        </w:rPr>
        <w:t xml:space="preserve"> Based on preliminary information, the authorities are contemplating a framework, which would initially rely on pre-judicial settlement, supported by electronic means, in an attempt to reach an amicable debt restructuring. Failing that, a judicial procedure could automatically be engaged, to define the settlement and mandate the liquidation of assets and the distribution of the proceeds to the creditors by an insolvency administrator. The authorities are aiming to provide tailored mechanisms to address the specific needs and circumstances of each class of debtors: large corporations, small and medium-term enterprises, small traders and non-merchants. The authorities are also considering standardized proposals for creditors with small debts, while large ones would be channelled to a negotiation process with creditors, facilitated by an insolvency administrator. An auditing mechanism would be established to identify strategic defaulters and ex post controls to that end would also be introduced. In general, the design of the pre-judicial phase would aim at avoiding undermining the payment culture with automated solutions, which cannot be objected to by creditors.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relayed that the revamped bankruptcy proceedings, including those for personal insolvency, will ensure that, in line with bankruptcy principles, the right of secured creditors to liquidate assets and enforce on collateral, including primary residences, is not in any way adversely affected.</w:t>
      </w:r>
      <w:r>
        <w:rPr>
          <w:rFonts w:ascii="Times New Roman" w:hAnsi="Times New Roman" w:cs="Times New Roman"/>
          <w:noProof/>
          <w:color w:val="000000"/>
          <w:sz w:val="24"/>
        </w:rPr>
        <w:t xml:space="preserve"> The current situation allows for overly lengthy periods of suspension of enforcement actions, mainly as a result of appointing distant hearing dates for household insolvency cases, a situation very detrimental for the resolution of non-performing loans. The reform will ensure that foreclosure procedures will not be impeded by insolvency proceedings. The claims of all creditors, public and private, will be eligible for a write-off, and their hierarchy in distributing the proceeds of liquidation will be defined according to the Code of Civil Procedure and in line with the provisions of the above-mentioned EU Directive on restructuring and insolvency. Mechanisms incentivising an early start to collective bargaining proceedings will be introduced. Discharge of indebted individuals would ensue within a reasonable timeframe, while safety nets for the most vulnerable debtors will be provided as a matter of social policy, outside the context of the insolvency framework and will not affect the rights of creditors. An insolvency observatory will be created to monitor the implementation of the new framework and identify the need for potential revisions.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successful implementation of the new framework will crucially hinge on effective acceleration and optimization of judicial insolvency processes.</w:t>
      </w:r>
      <w:r>
        <w:rPr>
          <w:rFonts w:ascii="Times New Roman" w:hAnsi="Times New Roman" w:cs="Times New Roman"/>
          <w:noProof/>
          <w:color w:val="000000"/>
          <w:sz w:val="24"/>
        </w:rPr>
        <w:t xml:space="preserve"> Congestion in courts, particularly the largest ones, coupled with lack of financial expertise and insufficient IT skills are the main causes of the slow processing rate of cases (see also below Section 8.2). Dealing with them will be instrumental to safeguarding the unhindered implementation of the new framework. Broadening the use of IT and of a digitised reporting system to collect reliable statistical data from the courts would help to simplify or eliminate unnecessary clerical tasks, assist the bankruptcy court officials (judges, insolvency administrators) in the performance of their duties and accelerate the conduct of proceedings. In addition, the swift creation or expansion of collateral databases, including the cadastre (see also below Section 6.2), would help courts and the insolvency practitioners in locating assets and in identifying fraudulent asset transfers.</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Clearing of the household insolvency backlog</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Greek authorities submitted an update on the state of play of the ongoing efforts to develop an action plan for accelerating the clearance of the household insolvency backlog, which they have committed to present by end-March 2020.</w:t>
      </w:r>
      <w:r>
        <w:rPr>
          <w:rFonts w:ascii="Times New Roman" w:hAnsi="Times New Roman" w:cs="Times New Roman"/>
          <w:noProof/>
          <w:color w:val="000000"/>
          <w:sz w:val="24"/>
        </w:rPr>
        <w:t xml:space="preserve"> According to the Ministry of Justice, 86 174 cases were pending at end-December 2019 (</w:t>
      </w:r>
      <w:r>
        <w:rPr>
          <w:rFonts w:ascii="Times New Roman" w:hAnsi="Times New Roman" w:cs="Times New Roman"/>
          <w:noProof/>
          <w:color w:val="000000"/>
          <w:sz w:val="24"/>
          <w:vertAlign w:val="superscript"/>
        </w:rPr>
        <w:footnoteReference w:id="27"/>
      </w:r>
      <w:r>
        <w:rPr>
          <w:rFonts w:ascii="Times New Roman" w:hAnsi="Times New Roman" w:cs="Times New Roman"/>
          <w:noProof/>
          <w:color w:val="000000"/>
          <w:sz w:val="24"/>
        </w:rPr>
        <w:t xml:space="preserve">), a lacklustre performance compared to a target of 61 910 for December 2019. Moreover, more than 40% of the cases have a hearing date scheduled for after 2020. A comprehensive action plan for accelerating the clearance of the household insolvency backlog was expected by end-December 2019. The authorities have now committed to present it by end-March 2020.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Based on preliminary information, the new action plan is expected to make use of different techniques in order to realistically cut the period between the filing of a case and its hearing by the court, and facilitate the eligibility control of presented evidence.</w:t>
      </w:r>
      <w:r>
        <w:rPr>
          <w:rFonts w:ascii="Times New Roman" w:hAnsi="Times New Roman" w:cs="Times New Roman"/>
          <w:noProof/>
          <w:color w:val="000000"/>
          <w:sz w:val="24"/>
        </w:rPr>
        <w:t xml:space="preserve"> These will include the mandatory rescheduling, by means of an electronic platform, for cases with a hearing date beyond January 2021, the electronic servicing of documents and the abolition of the hearing in favour of a trial in chambers, the introduction of a predefined minimum documentary content accompanying petitions, and the introduction of a mechanism for the objective determination of the commercial value of primary residences at the pre-trial stage. Upon finalization of the plan, the relevant software for the electronic platform will be designed and the relevant logistics planned. All legal provisions required for the implementation of the action plan will be drafted and posted for public consultation by end-April 2020, and tabled in Parliament for adoption by mid-May 2020. Recent experience also indicates that the possibility to bring forward court hearings of household insolvency cases through the Primary Residence Protection scheme platform, offered to creditors as of November 2019, failed to meet its envisaged effect. Actions to ensure that the information is appropriately used in ongoing judicial processes could be covered in the context of the action plan to be delivered soon.</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Clearing the backlog of called state guarantees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have committed to accelerate the implementation of the action plan for the clearance of the backlog of called guarantees, which remains considerable.</w:t>
      </w:r>
      <w:r>
        <w:rPr>
          <w:rFonts w:ascii="Times New Roman" w:hAnsi="Times New Roman" w:cs="Times New Roman"/>
          <w:noProof/>
          <w:color w:val="000000"/>
          <w:sz w:val="24"/>
        </w:rPr>
        <w:t xml:space="preserve"> Existing bottlenecks in the clearance process have resulted in a backlog of unprocessed guarantee claims, which entails 735 912 claims, amounting to approximately €2.1 billion. The backlog of called and not processed guarantees has been gradually building up since 2012, making the solution increasingly problematic, while it may increase further in the future, given that the total stock of outstanding state guarantees in question exceeds €3 billion. As some of the calls are reaching their statute of limitation, the banks tend to take recourse to litigation with a view to preserving their claims. Such a set-up presents high costs for both the banks and the state. Moreover, it puts additional pressure on the already existing court congestion.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Notably, the authorities intend to speed-up the processing compared to the October 2019 action plan from seven to four years with a view for a swift clearance of the backlog.</w:t>
      </w:r>
      <w:r>
        <w:rPr>
          <w:rFonts w:ascii="Times New Roman" w:hAnsi="Times New Roman" w:cs="Times New Roman"/>
          <w:noProof/>
          <w:color w:val="000000"/>
          <w:sz w:val="24"/>
        </w:rPr>
        <w:t xml:space="preserve"> The plan foresees the processing of all currently called guarantees for corporate loans by end 2022 and loans for natural person by end 2023. The payment of claims is expected to follow immediately after the examination of each claim has been finalised, except for claims that (i) are subject to litigation and cannot be paid before the court cases are completed and (ii) cases where additional documentation needs to be provided by the creditors. For such cases, the payments are expected to be made in a period of one additional year after the processing of the claim, latest by end 2025. In addition to upgrading the existing IT platform (e-repository), the revised action plan aims to increase the number of staff to deal with the backlog. While the latest plan is a significant improvement, ensuring considerable payments already in 2020, with visible results by mid-year, and further exploring ways to process the guarantees scheduled for 2024 still in 2023 as well as a swift resolution of cases under litigation would enhance the effectiveness of the action plan and send the right signal vis-à-vis future payments from the state towards the financial system. As mentioned in section 3.1, the fiscal cost of the envisaged clearance path is expected to be incorporated in the 2020 update of the Medium-term Fiscal Strategy. The implementation of the action plan for clearance of called state guarantees will be carefully monitored.</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Other initiatives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performance of e-auctions by banks to liquidate their collateral continues to have limited impact and to fall short of expectations. </w:t>
      </w:r>
      <w:r>
        <w:rPr>
          <w:rFonts w:ascii="Times New Roman" w:hAnsi="Times New Roman" w:cs="Times New Roman"/>
          <w:noProof/>
          <w:color w:val="000000"/>
          <w:sz w:val="24"/>
        </w:rPr>
        <w:t>The share of e-auctions that were cancelled or unsuccessful in the fourth quarter of 2019, remains at very high levels (above 75%), despite a rebound in the number of conducted e-auctions, following a poor third quarter. Legal issues that impede the success of e-auctions mainly relate to legal challenges available to debtors to suspend enforcement, which usually require court involvement. Moreover, the high percentage of ‘barren’ auctions, i.e. auctions which took place but no bids were placed, which account for around 55% of those conducted, signals that in these cases the initial reserve price is too high to settle in the current market, even by the creditor triggering the auction. A price reduction mechanism comprising elements of automaticity could significantly contribute to the success of the auctions in this respect. In approximately 75% of the cases (</w:t>
      </w:r>
      <w:r>
        <w:rPr>
          <w:rFonts w:ascii="Times New Roman" w:hAnsi="Times New Roman" w:cs="Times New Roman"/>
          <w:noProof/>
          <w:color w:val="000000"/>
          <w:sz w:val="24"/>
          <w:vertAlign w:val="superscript"/>
        </w:rPr>
        <w:footnoteReference w:id="28"/>
      </w:r>
      <w:r>
        <w:rPr>
          <w:rFonts w:ascii="Times New Roman" w:hAnsi="Times New Roman" w:cs="Times New Roman"/>
          <w:noProof/>
          <w:color w:val="000000"/>
          <w:sz w:val="24"/>
        </w:rPr>
        <w:t xml:space="preserve">), the successfully auctioned real estate assets were still acquired (re-possessed) by banks. This is a particular concern, given the growing stock of foreclosed assets of Greek banks. A thorough identification and assessment of impediments leading to the cancellation or suspension of e-auctions has been undertaken.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Progress in addressing the impediments to successful e-auctions remains limited, as the authorities have so far not presented a comprehensive analysis of the underlying reasons, including a proposal with possible legislative remedies.</w:t>
      </w:r>
      <w:r>
        <w:rPr>
          <w:rFonts w:ascii="Times New Roman" w:hAnsi="Times New Roman" w:cs="Times New Roman"/>
          <w:noProof/>
          <w:color w:val="000000"/>
          <w:sz w:val="24"/>
        </w:rPr>
        <w:t xml:space="preserve"> The authorities acknowledged the existence of impediments leading to the frequent failures of e-auctions conducted by banks to liquidate their collateral. They commit to implement actions to prevent cases of procedural abuse, including by putting in place an effective procedural mechanism for dealing with price adjustment requests, so as to deal with the high percentage of unsuccessful auctions and avoiding a lengthy process of judicial adjustment of the price. Concretely, the authorities plan to entrust an inter-ministerial working group, involving the Ministries of Finance, Justice and Growth and Investments, real-estate experts and legal practitioners, with proposing amendments to the Code of Civil Procedure, notably in relation to the setting of the reserve price and the conduct of repeat auctions according to the Code of Civil Procedure. The authorities also intend to adopt legislative amendments prescribed by the findings of the working group by end-April 2020. Finally, the authorities plan to enhance the user-friendliness of the platform, notably by uploading photographs of the properties as well as detailed descriptions accessible by non-specialists. These efforts are aimed at accelerating the conduct of successful e-auctions in 2020. A review, and further streamlining, of the legal means available to debtors for suspending or challenging enforcement proceedings, also covering legislation outside the Code of Civil Procedure, could further improve the success rate of e-auctions.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primary residence protection scheme, which is due to expire by end-April 2020, shows little signs of being used by debtors to help start repaying their mortgages.</w:t>
      </w:r>
      <w:r>
        <w:rPr>
          <w:rFonts w:ascii="Times New Roman" w:hAnsi="Times New Roman" w:cs="Times New Roman"/>
          <w:noProof/>
          <w:color w:val="000000"/>
          <w:sz w:val="24"/>
        </w:rPr>
        <w:t xml:space="preserve"> Pursuant to the introduction of a number of amendments to the law, adopted last fall and simplifying the requirements for applying to the platform, the pace of participation has picked up but remains feeble. According to data provided by the Greek authorities on 17 February 2020, 44 924 users have started drafting an application, of whom only 2 218 eventually concluded and submitted it to the relevant bank. Over the same period, banks extended 836 proposals to debtors, 380 of which were accepted by the latter. Only 240 requests for a state subsidy have been accepted, with another 140 pending. The success rate of the long-term restructuring plans envisaged by and provided under the scheme remains unknown. The authorities have reiterated their commitment that the Primary Residence Protection will expire at end-April 2020.</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completed their assessment of the implementation of the reformed Code of Civil Procedure, and formulated proposals for the legislative adoption of improvements in line with commitments.</w:t>
      </w:r>
      <w:r>
        <w:rPr>
          <w:rFonts w:ascii="Times New Roman" w:hAnsi="Times New Roman" w:cs="Times New Roman"/>
          <w:noProof/>
          <w:color w:val="000000"/>
          <w:sz w:val="24"/>
        </w:rPr>
        <w:t xml:space="preserve"> The working group that was formed in February 2019 with the mandate for assessing the implementation record of the reformed Code of Civil Procedure issued its comprehensive evaluation report in January 2020, based on the collection of stakeholders’ feedback to questionnaires. The report contains concrete proposals for potentially needed legislative amendments. It will be followed by the formation of a law-drafting committee that will be entrusted with examining the proposals, assessing the need for legislative action and drafting the requisite amendments and accompanying explanatory report by mid-July 2020.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submitted a draft legislative proposal for the creation of a special department for the provision of training magistrate court judges, who are the ones dealing with household insolvency cases.</w:t>
      </w:r>
      <w:r>
        <w:rPr>
          <w:rFonts w:ascii="Times New Roman" w:hAnsi="Times New Roman" w:cs="Times New Roman"/>
          <w:noProof/>
          <w:color w:val="000000"/>
          <w:sz w:val="24"/>
        </w:rPr>
        <w:t xml:space="preserve"> The authorities intend to enact the relevant amendments to the law on the National School of Judges by end-March 2020 and are expected to provide by that time information on the syllabus regarding the financial training of judges, that would include courses on financial and accounting subject matters, with an emphasis on issues frequently encountered in the course of the judicial processing of financial and insolvency cases. The authorities are also proceeding with the appointment of successful candidates for clerical court positions based on recently completed Supreme Council for Civil Personnel Selection competition.</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An amendment reinstating the favourable tax treatment of loan write-offs that had expired at the end of 2018 has been adopted and will provide an incentive for debt restructurings.</w:t>
      </w:r>
      <w:r>
        <w:rPr>
          <w:rFonts w:ascii="Times New Roman" w:hAnsi="Times New Roman" w:cs="Times New Roman"/>
          <w:noProof/>
          <w:color w:val="000000"/>
          <w:sz w:val="24"/>
        </w:rPr>
        <w:t xml:space="preserve"> The relevant provision (</w:t>
      </w:r>
      <w:r>
        <w:rPr>
          <w:rFonts w:ascii="Times New Roman" w:hAnsi="Times New Roman" w:cs="Times New Roman"/>
          <w:noProof/>
          <w:color w:val="000000"/>
          <w:sz w:val="24"/>
          <w:vertAlign w:val="superscript"/>
        </w:rPr>
        <w:footnoteReference w:id="29"/>
      </w:r>
      <w:r>
        <w:rPr>
          <w:rFonts w:ascii="Times New Roman" w:hAnsi="Times New Roman" w:cs="Times New Roman"/>
          <w:noProof/>
          <w:color w:val="000000"/>
          <w:sz w:val="24"/>
        </w:rPr>
        <w:t xml:space="preserve">) stipulates that the amount of the write-off (for restructurings concluded up to end-2019) will not be considered as an income of the debtor and will thus be exempted from the tax levied on donations. This measure effectively addresses the disincentives to restructurings caused by the expiry of the previous tax treatment. An extension of the treatment to restructurings conducted after 2019 would provide an additional relief.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are considering adjusting the legislative framework on deferred tax credits to ensure smooth operability.</w:t>
      </w:r>
      <w:r>
        <w:rPr>
          <w:rFonts w:ascii="Times New Roman" w:hAnsi="Times New Roman" w:cs="Times New Roman"/>
          <w:noProof/>
          <w:color w:val="000000"/>
          <w:sz w:val="24"/>
        </w:rPr>
        <w:t xml:space="preserve"> Notably, clarifying the use of deferred tax credits in resolution has been an outstanding issue for a long time. Completing and implementing the primary and secondary legislation is very important to help safeguard the loss-absorbing capacity of the banks’ capital.</w:t>
      </w: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42" w:name="_Toc32921499"/>
      <w:r>
        <w:rPr>
          <w:rFonts w:ascii="Century Gothic" w:hAnsi="Century Gothic" w:cs="Times New Roman"/>
          <w:b/>
          <w:caps/>
          <w:noProof/>
          <w:color w:val="333399"/>
        </w:rPr>
        <w:t>5.3.</w:t>
      </w:r>
      <w:r>
        <w:rPr>
          <w:rFonts w:ascii="Century Gothic" w:hAnsi="Century Gothic" w:cs="Times New Roman"/>
          <w:b/>
          <w:caps/>
          <w:noProof/>
          <w:color w:val="333399"/>
        </w:rPr>
        <w:tab/>
        <w:t>hellenic financial stability fund</w:t>
      </w:r>
      <w:bookmarkEnd w:id="42"/>
      <w:r>
        <w:rPr>
          <w:rFonts w:ascii="Century Gothic" w:hAnsi="Century Gothic" w:cs="Times New Roman"/>
          <w:b/>
          <w:caps/>
          <w:noProof/>
          <w:color w:val="333399"/>
        </w:rPr>
        <w:t xml:space="preserve">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Fund continued exercising its shareholding rights in the four systemic banks, focusing on improving the banks’ governance, assessing their business models, and progressing with the implementation of its Exit Strategy.</w:t>
      </w:r>
      <w:r>
        <w:rPr>
          <w:rFonts w:ascii="Times New Roman" w:hAnsi="Times New Roman" w:cs="Times New Roman"/>
          <w:noProof/>
          <w:color w:val="000000"/>
          <w:sz w:val="24"/>
        </w:rPr>
        <w:t xml:space="preserve"> During the last months, the Fund (i) has been actively involved with the Ministry of Finance and other stakeholders in the development of the Hercules law; (ii) has been working, as a part of its Exit Strategy, on an initiative to develop and communicate its shareholder expectations for all systemic banks, challenging their strategies and business plans, with the view to promote value-enhancing initiatives, and (iii) continued its efforts to facilitate the management and resolution of the non-performing exposures of the systemic banks. The discussions between the Fund and the Ministry of Finance on the potential involvement of the authorities in the final stage of the divestment and the legal protection for the Fund’s governing bodies and staff have not yet been finalised. Preserving the Fund’s independence remains a cornerstone in the process toward restoring the health of the banking sector.</w:t>
      </w:r>
    </w:p>
    <w:p>
      <w:pPr>
        <w:spacing w:after="240" w:line="240" w:lineRule="atLeast"/>
        <w:jc w:val="both"/>
        <w:rPr>
          <w:rFonts w:ascii="Times New Roman" w:hAnsi="Times New Roman" w:cs="Times New Roman"/>
          <w:noProof/>
          <w:color w:val="000000"/>
          <w:sz w:val="24"/>
          <w:lang w:val="en-US"/>
        </w:rPr>
      </w:pPr>
    </w:p>
    <w:bookmarkEnd w:id="34"/>
    <w:p>
      <w:pPr>
        <w:spacing w:after="240" w:line="240" w:lineRule="atLeast"/>
        <w:jc w:val="both"/>
        <w:rPr>
          <w:rFonts w:ascii="Times New Roman" w:hAnsi="Times New Roman" w:cs="Times New Roman"/>
          <w:noProof/>
          <w:color w:val="000000"/>
          <w:sz w:val="24"/>
          <w:lang w:val="en-US"/>
        </w:rPr>
        <w:sectPr>
          <w:headerReference w:type="even" r:id="rId73"/>
          <w:headerReference w:type="default" r:id="rId74"/>
          <w:footerReference w:type="even" r:id="rId75"/>
          <w:footerReference w:type="default" r:id="rId76"/>
          <w:headerReference w:type="first" r:id="rId77"/>
          <w:footerReference w:type="first" r:id="rId78"/>
          <w:footnotePr>
            <w:pos w:val="beneathText"/>
          </w:footnotePr>
          <w:endnotePr>
            <w:numFmt w:val="decimal"/>
            <w:numRestart w:val="eachSect"/>
          </w:endnotePr>
          <w:type w:val="oddPage"/>
          <w:pgSz w:w="11907" w:h="16839"/>
          <w:pgMar w:top="1984" w:right="1701" w:bottom="1417" w:left="1701" w:header="709" w:footer="709" w:gutter="0"/>
          <w:cols w:space="708"/>
          <w:titlePg/>
          <w:docGrid w:linePitch="360"/>
        </w:sectPr>
      </w:pPr>
    </w:p>
    <w:bookmarkStart w:id="43" w:name="GUIDAA852D53266B43A38D6C0B6362BF7DD0"/>
    <w:p>
      <w:pPr>
        <w:spacing w:after="240" w:line="240" w:lineRule="atLeast"/>
        <w:jc w:val="both"/>
        <w:rPr>
          <w:rFonts w:ascii="Times New Roman" w:hAnsi="Times New Roman" w:cs="Times New Roman"/>
          <w:noProof/>
          <w:vanish/>
          <w:color w:val="000000"/>
          <w:sz w:val="20"/>
        </w:rPr>
      </w:pPr>
      <w:r>
        <w:rPr>
          <w:rFonts w:ascii="Times New Roman" w:hAnsi="Times New Roman" w:cs="Times New Roman"/>
          <w:noProof/>
          <w:vanish/>
          <w:color w:val="000000"/>
          <w:sz w:val="20"/>
        </w:rPr>
        <w:fldChar w:fldCharType="begin"/>
      </w:r>
      <w:r>
        <w:rPr>
          <w:rFonts w:ascii="Times New Roman" w:hAnsi="Times New Roman" w:cs="Times New Roman"/>
          <w:noProof/>
          <w:color w:val="000000"/>
          <w:sz w:val="20"/>
        </w:rPr>
        <w:instrText xml:space="preserve"> TC "</w:instrText>
      </w:r>
      <w:bookmarkStart w:id="44" w:name="_Toc32921500"/>
      <w:r>
        <w:rPr>
          <w:rFonts w:ascii="Times New Roman" w:hAnsi="Times New Roman" w:cs="Times New Roman"/>
          <w:noProof/>
          <w:color w:val="000000"/>
          <w:sz w:val="20"/>
        </w:rPr>
        <w:instrText>6.</w:instrText>
      </w:r>
      <w:r>
        <w:rPr>
          <w:rFonts w:ascii="Times New Roman" w:hAnsi="Times New Roman" w:cs="Times New Roman"/>
          <w:noProof/>
          <w:color w:val="000000"/>
          <w:sz w:val="20"/>
        </w:rPr>
        <w:tab/>
        <w:instrText>Labour and product markets</w:instrText>
      </w:r>
      <w:bookmarkEnd w:id="44"/>
      <w:r>
        <w:rPr>
          <w:rFonts w:ascii="Times New Roman" w:hAnsi="Times New Roman" w:cs="Times New Roman"/>
          <w:noProof/>
          <w:color w:val="000000"/>
          <w:sz w:val="20"/>
        </w:rPr>
        <w:instrText xml:space="preserve">" \f \l 1 </w:instrText>
      </w:r>
      <w:r>
        <w:rPr>
          <w:rFonts w:ascii="Times New Roman" w:hAnsi="Times New Roman" w:cs="Times New Roman"/>
          <w:noProof/>
          <w:vanish/>
          <w:color w:val="000000"/>
          <w:sz w:val="20"/>
        </w:rPr>
        <w:fldChar w:fldCharType="end"/>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authorities are preparing a new National Growth Strategy. </w:t>
      </w:r>
      <w:r>
        <w:rPr>
          <w:rFonts w:ascii="Times New Roman" w:hAnsi="Times New Roman" w:cs="Times New Roman"/>
          <w:noProof/>
          <w:color w:val="000000"/>
          <w:sz w:val="24"/>
        </w:rPr>
        <w:t>The new Strategy, which is due to be completed by mid-2020, is expected to introduce a set of measures to be implemented over four years, including on addressing reform priorities, improving framework conditions and developing key economic sectors with a view to addressing competitiveness issues, and boosting exports and investment. Following the adoption of the Development Law in October 2019, the authorities are also working towards the preparation of secondary legislation, as the issuance of relevant ministerial decisions and presidential decrees is a pre-condition to making operational specific provisions of the new framework.</w:t>
      </w: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45" w:name="_Toc32921501"/>
      <w:r>
        <w:rPr>
          <w:rFonts w:ascii="Century Gothic" w:hAnsi="Century Gothic" w:cs="Times New Roman"/>
          <w:b/>
          <w:caps/>
          <w:noProof/>
          <w:color w:val="333399"/>
        </w:rPr>
        <w:t>6.1.</w:t>
      </w:r>
      <w:r>
        <w:rPr>
          <w:rFonts w:ascii="Century Gothic" w:hAnsi="Century Gothic" w:cs="Times New Roman"/>
          <w:b/>
          <w:caps/>
          <w:noProof/>
          <w:color w:val="333399"/>
        </w:rPr>
        <w:tab/>
        <w:t>LABOUR MARKET</w:t>
      </w:r>
      <w:bookmarkEnd w:id="45"/>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Labour</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committed to safeguard competitiveness, as a continuous commitment, when carrying out an annual update of the minimum wage, based on the ex post assessment of the recent increase in the minimum wage by the World Bank and mindful of the requirement of the Greek legislation to also safeguard purchasing power.</w:t>
      </w:r>
      <w:r>
        <w:rPr>
          <w:rFonts w:ascii="Times New Roman" w:hAnsi="Times New Roman" w:cs="Times New Roman"/>
          <w:noProof/>
          <w:color w:val="000000"/>
          <w:sz w:val="24"/>
        </w:rPr>
        <w:t xml:space="preserve"> The ex post assessment of the 10.9% increase of the minimum wage as well as of the abolition of the sub-minimum wage for youth,</w:t>
      </w:r>
      <w:r>
        <w:rPr>
          <w:rFonts w:ascii="Times New Roman" w:eastAsia="Times New Roman" w:hAnsi="Times New Roman" w:cs="Times New Roman"/>
          <w:noProof/>
          <w:color w:val="000000"/>
          <w:sz w:val="24"/>
          <w:szCs w:val="24"/>
        </w:rPr>
        <w:t xml:space="preserve"> which took place in February 2019, </w:t>
      </w:r>
      <w:r>
        <w:rPr>
          <w:rFonts w:ascii="Times New Roman" w:hAnsi="Times New Roman" w:cs="Times New Roman"/>
          <w:noProof/>
          <w:color w:val="000000"/>
          <w:sz w:val="24"/>
        </w:rPr>
        <w:t xml:space="preserve"> is now under preparation with the technical support of the World Bank provided through the European Commission and the report will be completed by end-March. The launch of the consultation process with the social partners and all relevant stakeholders for the next update as prescribed by the Law 4172/2013 took place on 15 February 2020. Following this consultation and a report with recommendations by a committee of independent experts specifically appointed for this purpose, the government shall determine the new level of the minimum wage. The law posits that this should be based on a sound economic analysis taking into account the state of the economy, the growth rate, productivity, prices, competitiveness, employment, unemployment, incomes and wages as well as the findings of the ex post evaluation of the previous increase. The procedure is expected to be concluded in June of 2020 with the issuance of a ministerial decision establishing the new level of the minimum wage.</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authorities have completed the implementation of the 2017-2019 action plan to fight undeclared work, an end-2019 specific commitment, and are now in the process of preparing a follow up. </w:t>
      </w:r>
      <w:r>
        <w:rPr>
          <w:rFonts w:ascii="Times New Roman" w:hAnsi="Times New Roman" w:cs="Times New Roman"/>
          <w:noProof/>
          <w:color w:val="000000"/>
          <w:sz w:val="24"/>
        </w:rPr>
        <w:t>The 2017-2019 action plan promoted an integrated approach to undeclared work, including measures to reinforce the cooperation among different institutions and improve the capacity to detect undeclared work. The authorities are now designing a follow-up to it. In January 2020, the fines for undeclared work were revised based on the following criteria: (i) the gravity of the infringement; (ii) the number of employees; (iii) the repeated penalties for similar infringements; (iv) the number of workers affected; and (v) the size the business. The new fines range from €300 for small offences in firms with 1 to 10 employees to €8 000 for very high offenses in firms with more than 250 employees. The authorities are preparing for the first time a code of ethics for inspection as well as training and education of inspectors inspired by best EU practices. A series of workshops are foreseen for the exchange of technical expertise. These measures have been accompanied by a number of additional recent steps to limit the abusive use of part-time work, which often masks undeclared full-time work. These notably include an increase in the overtime remuneration for part-time workers, the recording of working time in a new digital platform as well as an e-registry for no-compliant firms.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have prepared an action plan for the nationwide expansion of a new delivery model for active labour market policies, thus progressing towards completing the rollout of the Social Solidarity Income scheme, which is an end-2019 specific commitment</w:t>
      </w:r>
      <w:r>
        <w:rPr>
          <w:rFonts w:ascii="Times New Roman" w:hAnsi="Times New Roman" w:cs="Times New Roman"/>
          <w:noProof/>
          <w:color w:val="000000"/>
          <w:sz w:val="24"/>
        </w:rPr>
        <w:t>. Historically, active labour market programmes in Greece have consisted mainly of temporary wage subsidy programmes and public work schemes. The updated action plan gives a more strategic focus on promoting long-term and sustainable employment growth by pursuing a more integrated approach, centred on the provision of quality measures (including vocational education and training, reskilling and upskilling programmes) that are targeted to the needs of the local labour markets and are tailored to characteristics of the individual jobseekers. Following an initial pilot project, the authorities are preparing an action plan in collaboration through a European Commission technical support project delivered by the World Bank to expand the new delivery model to three other regions capturing sufficient diversity in the settings (urban, suburban and rural) and sectors (tourism, technology, manufacturing, agribusiness, etc.). These will be targeted to i) older workers, ii) long-term unemployed, iii) female labour force participation, iv) technical professions; v) apprenticeships and the youth to combat brain drain. Given the complexity of the project and the time needed for the implementation of the pilot projects, it was agreed with the previous administration that full rollout of the labour market (re-integration) elements of the Social Solidarity Income scheme by end-2019 is not achievable, and that the nation-wide expansion will take place in July 2020.</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Education</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Greek authorities have embarked on an ambitious agenda for a comprehensive education reform. </w:t>
      </w:r>
      <w:r>
        <w:rPr>
          <w:rFonts w:ascii="Times New Roman" w:hAnsi="Times New Roman" w:cs="Times New Roman"/>
          <w:noProof/>
          <w:color w:val="000000"/>
          <w:sz w:val="24"/>
        </w:rPr>
        <w:t xml:space="preserve">This goes beyond Eurogroup commitments, but is relevant macroeconomically and from the social policy perspective, as it addresses skill mismatches, enhances growth and </w:t>
      </w:r>
      <w:r>
        <w:rPr>
          <w:rFonts w:ascii="Times New Roman" w:eastAsia="Times New Roman" w:hAnsi="Times New Roman" w:cs="Times New Roman"/>
          <w:noProof/>
          <w:color w:val="000000"/>
          <w:sz w:val="24"/>
          <w:szCs w:val="24"/>
        </w:rPr>
        <w:t>helps to reduce poverty and improve the social situation</w:t>
      </w:r>
      <w:r>
        <w:rPr>
          <w:rFonts w:ascii="Times New Roman" w:hAnsi="Times New Roman" w:cs="Times New Roman"/>
          <w:noProof/>
          <w:color w:val="000000"/>
          <w:sz w:val="24"/>
        </w:rPr>
        <w:t>. The reforms aim to address the challenges described in the Country Report 2020, such as the need to enhance the quality of public schools, upgrade vocational education and training and improve the quality of higher education institutions to address the skills gap. Specifically: Greece ranks as one of the bottom of EU countries on the skills matching dimension of the European Skills Index, with one of the highest over-qualification rates of tertiary graduates (31.6%) and qualification mismatches among the EU countries. This is also corroborated by the latest PISA results, according to which Greece ranks significantly below the OECD average in literacy, mathematics and science. With regards to digital education, only 46% of people aged 16-74 appear to have at least basic digital skills, while 31% have no digital skills at all (EU average: 17%).</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A new law on higher education has been adopted upgrading the quality assurance agency and linking funding of the universities with performance. The new agency will assess the higher education institutions and the degrees that they offer, and will propose restructuring when needed. </w:t>
      </w:r>
      <w:r>
        <w:rPr>
          <w:rFonts w:ascii="Times New Roman" w:hAnsi="Times New Roman" w:cs="Times New Roman"/>
          <w:noProof/>
          <w:color w:val="000000"/>
          <w:sz w:val="24"/>
        </w:rPr>
        <w:t xml:space="preserve">80% of the public funding will be distributed based on quantitative criteria, and 20% will be based on achievement of agreed performance targets. The law also liberalizes research grants, which will bring new sources of income to the universities. The link of research with industry is a matter that requires attention, as only a small portion of the research is turned into new patents. To boost internationalization of the Greek higher education system, legislation is being developed to introduce double and joint degrees with foreign universities as well as to offer study programmes in foreign languages. The authorities plan in the near future to reform the university governance and increase the autonomy and accountability of universities.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A number of changes to compulsory education are in the pipeline. </w:t>
      </w:r>
      <w:r>
        <w:rPr>
          <w:rFonts w:ascii="Times New Roman" w:hAnsi="Times New Roman" w:cs="Times New Roman"/>
          <w:noProof/>
          <w:color w:val="000000"/>
          <w:sz w:val="24"/>
        </w:rPr>
        <w:t xml:space="preserve">The authorities are proceeding with the full implementation of the pre-school mandatory two-year programme. They also announced measures to address the poor educational outcomes of pupils and the wide performance gap between different areas and schools. Model schools will be strengthened to act as a role model for other schools. Regarding soft and digital skills, the authorities plan to promote critical thinking by introducing multiple books, to introduce changes in the curricula and to increase the number of subjects that are examined. School self-evaluation is planned to be implemented as from the next academic year coupled with massive teacher training of 40 000 teachers. The authorities have also embarked on the recruitment of 15 000 permanent teachers over two years to renew the aging teacher population that will replace temporary posts in accordance with the annual hiring plan.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support a higher degree of pedagogical and administrative autonomy for schools and promote extroversion by increasing foreign language courses and exchanges with foreign schools.</w:t>
      </w:r>
      <w:r>
        <w:rPr>
          <w:rFonts w:ascii="Times New Roman" w:hAnsi="Times New Roman" w:cs="Times New Roman"/>
          <w:noProof/>
          <w:color w:val="000000"/>
          <w:sz w:val="24"/>
        </w:rPr>
        <w:t xml:space="preserve"> It will be important to link greater autonomy with the necessary support for educational staff and well-designed accountability. The authorities envisage to use private-public partnerships for school building, and to make a wider use of the private sector when it comes to IT and training.</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To address the gap between education and actual needs of the labour market the government plans to introduce early career guidance from the beginning of lower secondary education. </w:t>
      </w:r>
      <w:r>
        <w:rPr>
          <w:rFonts w:ascii="Times New Roman" w:hAnsi="Times New Roman" w:cs="Times New Roman"/>
          <w:noProof/>
          <w:color w:val="000000"/>
          <w:sz w:val="24"/>
        </w:rPr>
        <w:t>It also aims to upgrade the status of the vocational pathway, to promote internships for high school students and to encourage the collaboration of universities and companies through the institutionalization of internships.</w:t>
      </w: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46" w:name="_Toc32921502"/>
      <w:r>
        <w:rPr>
          <w:rFonts w:ascii="Century Gothic" w:hAnsi="Century Gothic" w:cs="Times New Roman"/>
          <w:b/>
          <w:caps/>
          <w:noProof/>
          <w:color w:val="333399"/>
        </w:rPr>
        <w:t>6.2.</w:t>
      </w:r>
      <w:r>
        <w:rPr>
          <w:rFonts w:ascii="Century Gothic" w:hAnsi="Century Gothic" w:cs="Times New Roman"/>
          <w:b/>
          <w:caps/>
          <w:noProof/>
          <w:color w:val="333399"/>
        </w:rPr>
        <w:tab/>
        <w:t>PRODUCT MARKETS AND COMPETITIVENESS</w:t>
      </w:r>
      <w:bookmarkEnd w:id="46"/>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Competitiveness and export performance have improved over the last years in response to broad-based structural reforms, but the projected deterioration in net exports calls for a stronger focus on boosting productivity and attracting investment. </w:t>
      </w:r>
      <w:r>
        <w:rPr>
          <w:rFonts w:ascii="Times New Roman" w:hAnsi="Times New Roman" w:cs="Times New Roman"/>
          <w:noProof/>
          <w:color w:val="000000"/>
          <w:sz w:val="24"/>
        </w:rPr>
        <w:t xml:space="preserve">Export levels, in part aided by increased cost competitiveness, reached 36.1% of GDP in 2018. However, with growing wages and domestically driven economic growth, and the economic slowdown in Greece’s export markets, a more pronounced approach to addressing remaining structural weaknesses would enhance non-price competitiveness, leveraging both exports and investments. </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Economic diplomacy</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Progress on areas of economic diplomacy and trade facilitation, which are expected to contribute to strengthening Greece’s export performance, has been hampered due to incomplete institutional arrangements. </w:t>
      </w:r>
      <w:r>
        <w:rPr>
          <w:rFonts w:ascii="Times New Roman" w:hAnsi="Times New Roman" w:cs="Times New Roman"/>
          <w:noProof/>
          <w:color w:val="000000"/>
          <w:sz w:val="24"/>
        </w:rPr>
        <w:t>Legislation enlarging the mandate and responsibilities of the Ministry of Foreign Affairs on economic diplomacy – originally planned for end-2019 – is now expected by March 2020. The strategy itself is expected to be completed by April 2020. A solid legal footing for the single authority on all relevant initiatives would allow the government to reap the synergies and policy cohesiveness associated with a coordinated approach. Further, in the absence of adjustments to governance structures and inter-ministerial arrangements, the Ministry of Foreign Affairs has no official role in terms of the work conducted on removing administrative impediments to trade. In fact, limited progress has been achieved in implementing the revised Action Plan that sets out trade facilitation initiatives for the next years, notably relating to the setting-up of the integrated Single Window system for imports and exports. Further, whilst the tendering process for important projects under the export promotion Action plan led by the said Ministry is progressing, the Action Plan would benefit from greater links with the wider trade facilitation and investment promotion perspective.</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 xml:space="preserve">Investment licensing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Despite some delays mostly caused by factors outside the authorities’ control, work on investment licensing is largely on track and the authorities remain committed to completing the reform within the agreed deadlines. </w:t>
      </w:r>
      <w:r>
        <w:rPr>
          <w:rFonts w:ascii="Times New Roman" w:hAnsi="Times New Roman" w:cs="Times New Roman"/>
          <w:noProof/>
          <w:color w:val="000000"/>
          <w:sz w:val="24"/>
        </w:rPr>
        <w:t xml:space="preserve">The authorities enhanced the administrative capacity of the Better Regulatory Delivery Directorate in charge of coordinating the investment licensing reform and will receive further technical support from the European Commission, to be delivered by the World Bank. The scope of the new project will include support to the authorities for i) the extension of the licensing reform to selected key sectors not yet covered; ii) the extension of the implementation of the inspections reform framework; iii) capacity building and outreach of the Better Regulatory Delivery Directorate; and iv) the development of the IT system. These are positive steps, which are expected to accelerate progress in light of the high workload that remains to be completed.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Regarding the full deployment of the relevant IT system to support the investment licensing framework (end-2019 specific commitment), the tendering process for the procurement of the system has been delayed, due to an appeal that was submitted against the awarding of the contract.</w:t>
      </w:r>
      <w:r>
        <w:rPr>
          <w:rFonts w:ascii="Times New Roman" w:hAnsi="Times New Roman" w:cs="Times New Roman"/>
          <w:noProof/>
          <w:color w:val="000000"/>
          <w:sz w:val="24"/>
        </w:rPr>
        <w:t xml:space="preserve"> It is noted that given the size of the project and the anticipated length of the tendering procedure, it was agreed with the previous administration that full implementation of the IT system by end-2019 is not achievable and that the commitment would be assessed on the basis of the conclusion of the relevant tendering procedure by end-2019 and a 34-month implementation timeline for the completion of the project, which was also included in the tender documents. The revised action plan agreed with the current administration is also in line with this implementation horizon, with the conclusion of the project being scheduled for November 2022. In view of the pending appeal case, more clarity will be provided following the decision of the responsible appeal review body in March, with April being the most optimistic scenario for the signature of the contract, depending on the outcome of this appeal review.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Work on the implementation of the inspections framework law, a mid-2020 specific commitment, is progressing largely on track with the revised action plan, save for few delays. </w:t>
      </w:r>
      <w:r>
        <w:rPr>
          <w:rFonts w:ascii="Times New Roman" w:hAnsi="Times New Roman" w:cs="Times New Roman"/>
          <w:noProof/>
          <w:color w:val="000000"/>
          <w:sz w:val="24"/>
        </w:rPr>
        <w:t>Most sector-specific tools regarding food safety have been fully developed and are ready to be legislated, with the exception of the enforcement management model and the complaint management system. As regards the tools for the environmental protection domain, despite few delays with respect to the revised action plan, work seems to be at a mature stage and is expected to be completed by end-April. The on-site training of inspectors regarding these domains has been completed. Regarding product safety, the authorities expect to develop sector-specific tools by end-May, with the support of an external advisor.</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authorities remain committed to meeting the mid-2020 specific commitment for the extension of simplification of the investment licencing procedures in the remaining sectors of the economy, despite some delays. </w:t>
      </w:r>
      <w:r>
        <w:rPr>
          <w:rFonts w:ascii="Times New Roman" w:hAnsi="Times New Roman" w:cs="Times New Roman"/>
          <w:noProof/>
          <w:color w:val="000000"/>
          <w:sz w:val="24"/>
        </w:rPr>
        <w:t>The authorities drafted primary legislation on the simplification of the primary sector, which according to the revised action plan was due to be adopted by end-2019. The relevant services would thus need to swiftly proceed with the finalisation and adoption of all relevant primary and secondary legislation in order to avoid further delays in this respect. Regarding the simplification of the next sector (i.e. transport), the authorities aim to complete the mapping of activities shortly, with a view to concluding the review and finalise the proposals for simplification by end-April. Regarding the post-secondary education and vocational training sector, the authorities established the relevant structures and began to work on this sector, with the aim of finalising proposals for simplification by end-May. The mid-2020 deadline is considered challenging for the last two sectors (i.e. transport and post-secondary education and vocational training).</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aim at concluding the revision of the nuisance classification by mid-2020, well ahead of the mid-2021 specific commitment.</w:t>
      </w:r>
      <w:r>
        <w:rPr>
          <w:rFonts w:ascii="Times New Roman" w:hAnsi="Times New Roman" w:cs="Times New Roman"/>
          <w:noProof/>
          <w:color w:val="000000"/>
          <w:sz w:val="24"/>
        </w:rPr>
        <w:t xml:space="preserve"> The authorities signed a contract with a technical advisor to support them in the steps needed for the alignment of nuisance classification with the environmental classification system, leading to the issuance of a Joint Ministerial Decision by mid-2020, as per the relevant provision adopted in the Development Law in October 2019. Work is largely on track with the revised action plan, with the first deliverable completed. This concerns the preparation of the report on the assessment of the current situation, which was presented by the advisor to the Working Group and social partners in January. The next steps include the specification and implementation of the methodology for the categorisation of activities. The authorities remain committed to the ongoing engagement of social partners in the process, which is considered highly beneficial to this reform area.</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authorities are also working on further measures to improve aspects of the licensing framework, in particular the environmental licensing and inspection frameworks. </w:t>
      </w:r>
      <w:r>
        <w:rPr>
          <w:rFonts w:ascii="Times New Roman" w:hAnsi="Times New Roman" w:cs="Times New Roman"/>
          <w:noProof/>
          <w:color w:val="000000"/>
          <w:sz w:val="24"/>
        </w:rPr>
        <w:t>To this end, they are drafting primary legislation to simplify the process for renewing and amending environmental permits, due by March 2020, and secondary legislation for the certification of external environmental assessors, with a view to issue the relevant Presidential Decree by mid-2020 – the latter being a pending requirement since the ESM programme. With respect to inspections, the said primary legislation will also contain provisions to re-organise the administrative framework for carrying out inspections, whilst the authorities are also preparing secondary legislation for the certification of external inspectors, with a view to submit the draft Presidential Decree to the Council of State by March 2020. The latter would be an important step towards addressing the weaknesses of the enforcement framework, as well as creating new jobs in the private sector.</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authorities remain committed to ensuring continuity of reforms adopted under the programme. </w:t>
      </w:r>
      <w:r>
        <w:rPr>
          <w:rFonts w:ascii="Times New Roman" w:hAnsi="Times New Roman" w:cs="Times New Roman"/>
          <w:noProof/>
          <w:color w:val="000000"/>
          <w:sz w:val="24"/>
        </w:rPr>
        <w:t>They are reviewing provisions legislated by the previous administration in the area of thematic tourism (</w:t>
      </w:r>
      <w:r>
        <w:rPr>
          <w:rFonts w:ascii="Times New Roman" w:hAnsi="Times New Roman" w:cs="Times New Roman"/>
          <w:noProof/>
          <w:color w:val="000000"/>
          <w:sz w:val="24"/>
          <w:vertAlign w:val="superscript"/>
        </w:rPr>
        <w:footnoteReference w:id="30"/>
      </w:r>
      <w:r>
        <w:rPr>
          <w:rFonts w:ascii="Times New Roman" w:hAnsi="Times New Roman" w:cs="Times New Roman"/>
          <w:noProof/>
          <w:color w:val="000000"/>
          <w:sz w:val="24"/>
        </w:rPr>
        <w:t>) to identify and address any potential deviations with the principles of the investment licensing reform by September 2020. To this end, and also with a view to streamlining the administrative burden on producers and buyers of milk, it would be helpful to review secondary legislation on measures to control the milk market (</w:t>
      </w:r>
      <w:r>
        <w:rPr>
          <w:rFonts w:ascii="Times New Roman" w:hAnsi="Times New Roman" w:cs="Times New Roman"/>
          <w:noProof/>
          <w:color w:val="000000"/>
          <w:sz w:val="24"/>
          <w:vertAlign w:val="superscript"/>
        </w:rPr>
        <w:footnoteReference w:id="31"/>
      </w:r>
      <w:r>
        <w:rPr>
          <w:rFonts w:ascii="Times New Roman" w:hAnsi="Times New Roman" w:cs="Times New Roman"/>
          <w:noProof/>
          <w:color w:val="000000"/>
          <w:sz w:val="24"/>
        </w:rPr>
        <w:t>) and adopt any necessary amendments. Given that other bills containing provisions relevant to licensing are currently being prepared by various services within the administration, the ongoing engagement and enhanced role of the BRDD in the scrutiny of these would act as a safeguard.</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Cadastre</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cadastre project is progressing overall well despite some delays mainly due to a slow response of the public in declaring their properties.</w:t>
      </w:r>
      <w:r>
        <w:rPr>
          <w:rFonts w:ascii="Times New Roman" w:hAnsi="Times New Roman" w:cs="Times New Roman"/>
          <w:noProof/>
          <w:color w:val="000000"/>
          <w:sz w:val="24"/>
        </w:rPr>
        <w:t xml:space="preserve"> Additional delays were encountered in five contracts that were not awarded as lawsuits were filed by unsuccessful bidders. As a result, it is estimated that only 33% of the cadastral mapping will be completed by June 2020, while the Eurogroup target of 45% will be reached by May 2021.</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After two years of implementation, the Road Map for the completion of the cadastre has been revised.</w:t>
      </w:r>
      <w:r>
        <w:rPr>
          <w:rFonts w:ascii="Times New Roman" w:hAnsi="Times New Roman" w:cs="Times New Roman"/>
          <w:noProof/>
          <w:color w:val="000000"/>
          <w:sz w:val="24"/>
        </w:rPr>
        <w:t xml:space="preserve"> The authorities have moved the deadline for the final completion of the cadastral mapping, which is a mid-2021 specific commitment, to May 2022. The problem with the delayed declarations has been overcome and in all but three contracts the number of declarations received allows to go to the next phase of the mapping. The completion of the remaining 6% of forest maps, that for technical reasons remained pending in relation to the mid-2019 commitment, is on track and the whole exercise of ratification of the forest maps will be completed on time by December 2020 for the entire country. The Management Information System, that was set-up to monitor progress of the cadastre surveys and report monthly is preforming well and proved its usefulness as a management tool.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Progress towards a full establishment of the cadastral agency, a mid-2020 specific commitment, has been limited. </w:t>
      </w:r>
      <w:r>
        <w:rPr>
          <w:rFonts w:ascii="Times New Roman" w:hAnsi="Times New Roman" w:cs="Times New Roman"/>
          <w:noProof/>
          <w:color w:val="000000"/>
          <w:sz w:val="24"/>
        </w:rPr>
        <w:t>As of today, only six cadastral offices have opened. In order to accelerate the transition, the Hellenic Cadastre plans to open 17 offices, one in each Regional Unit (Regions and portions of Regions in Regions with a large population) and delegate the opening of the 72 sub-offices to the Regional Offices. For this sufficient administrative and financial autonomy will be delegated, without which this commitment would be at risk.</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In order to migrate to a fully digitalized system, the Road Map foresees to accelerate the digitalization of deeds.</w:t>
      </w:r>
      <w:r>
        <w:rPr>
          <w:rFonts w:ascii="Times New Roman" w:hAnsi="Times New Roman" w:cs="Times New Roman"/>
          <w:noProof/>
          <w:color w:val="000000"/>
          <w:sz w:val="24"/>
        </w:rPr>
        <w:t xml:space="preserve"> This is a major exercise as it is estimated that there are approximately 1 billion pages to scan and digitalize. The Hellenic Cadastre also is working on the completion of the recruitment of the management team with the appointment of three Deputy General Managers, the recruitment of a “migration team” needed for the transition from mortgage offices to cadastral offices, and the re-integration of a number of lawyers to supervise the legal part of the cadastral mapping.</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In the longer term, the authorities intend to examine the introduction of some simplifications in the structure of Hellenic Cadastre given that at the final stage all transactions will be done electronically.</w:t>
      </w:r>
      <w:r>
        <w:rPr>
          <w:rFonts w:ascii="Times New Roman" w:hAnsi="Times New Roman" w:cs="Times New Roman"/>
          <w:noProof/>
          <w:color w:val="000000"/>
          <w:sz w:val="24"/>
        </w:rPr>
        <w:t xml:space="preserve"> This will be made possible after the full digitization of all of deeds, which will allow the gradual abolition of the 72 sub-offices. </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Energy</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Progress towards the completion of Greece’s energy market commitments continued with the initial submission of revised proposals to attempt to remedy the anti-trust concerns until the full phase out of lignite, along with the formulation of an overall strategy for energy and climate. </w:t>
      </w:r>
      <w:r>
        <w:rPr>
          <w:rFonts w:ascii="Times New Roman" w:hAnsi="Times New Roman" w:cs="Times New Roman"/>
          <w:noProof/>
          <w:color w:val="000000"/>
          <w:sz w:val="24"/>
        </w:rPr>
        <w:t xml:space="preserve">Following the failure of the lignite divestment in July 2019, in November 2019 Greece communicated its intention to submit revised remedies by January 2020 to address the outstanding competition concerns related to the privileged access to lignite-fired generation granted by the Public Power Company and finally comply with the Commission’s decision and Court’s judgements, in line with the programme commitment.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In the past few months, Greece has engaged in discussions with the Commission about options for allowing Public Power Company’s competitors to compete on the market</w:t>
      </w:r>
      <w:r>
        <w:rPr>
          <w:rFonts w:ascii="Times New Roman" w:hAnsi="Times New Roman" w:cs="Times New Roman"/>
          <w:noProof/>
          <w:color w:val="000000"/>
          <w:sz w:val="24"/>
        </w:rPr>
        <w:t xml:space="preserve"> by having access to a share of the existing and operating lignite-based generation until the full phase out of lignite in the country. Once these revised remedies are made binding, the authorities will be expected to support and fully implement them. Addressing the longstanding distortions on the wholesale market will increase the degree of competition in the Greek electricity market, setting the basis for further investments and helping Greece reform its energy sector.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implementation of the target model for the electricity market, a specific commitment rescheduled for mid-2020, is progressing largely according to the schedule. </w:t>
      </w:r>
      <w:r>
        <w:rPr>
          <w:rFonts w:ascii="Times New Roman" w:hAnsi="Times New Roman" w:cs="Times New Roman"/>
          <w:noProof/>
          <w:color w:val="000000"/>
          <w:sz w:val="24"/>
        </w:rPr>
        <w:t xml:space="preserve">Since the last report, Greece has made steps forward, such as the approval of the spot markets clearing rulebook. Almost all of the remaining technical rules will, based on new timelines, be completed and submitted to the regulatory authority for approval by January 31st. Regular stakeholder workshops and trainings are taking place in order to prepare the market participants for the new market. Although there are some delays in the delivery of some balancing market components by the contractor, the deadline of the go-live of the local day-ahead, intraday and balancing markets remains June 2020. Further work for the coupling with the Bulgarian and Italian markets has taken place ensuring that the local market will be coupled without undue delays after the spot market go-live.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National Energy and Climate Plan (NECP) adopted in December 2019 in accordance with Regulation (EU) 2018/1999 on the Governance of the Energy Union and Climate Action outlines the 2030 energy strategy of Greece, based around the early decommissioning of lignite plants</w:t>
      </w:r>
      <w:r>
        <w:rPr>
          <w:rFonts w:ascii="Times New Roman" w:hAnsi="Times New Roman" w:cs="Times New Roman"/>
          <w:noProof/>
          <w:color w:val="000000"/>
          <w:sz w:val="24"/>
        </w:rPr>
        <w:t>. Greece submitted its plans in advance of other Member States, including its 2050 Long-term Climate Strategy. The final National Energy and Climate Plan showed renewed ambition compared to the 2019 version with an increase of targets in renewable generation, energy efficiency and a decrease in CO</w:t>
      </w:r>
      <w:r>
        <w:rPr>
          <w:rFonts w:ascii="Times New Roman" w:hAnsi="Times New Roman" w:cs="Times New Roman"/>
          <w:noProof/>
          <w:color w:val="000000"/>
          <w:sz w:val="24"/>
          <w:vertAlign w:val="subscript"/>
        </w:rPr>
        <w:t>2</w:t>
      </w:r>
      <w:r>
        <w:rPr>
          <w:rFonts w:ascii="Times New Roman" w:hAnsi="Times New Roman" w:cs="Times New Roman"/>
          <w:noProof/>
          <w:color w:val="000000"/>
          <w:sz w:val="24"/>
        </w:rPr>
        <w:t xml:space="preserve"> emissions. Much of this is a result of the plan for early decommissioning of lignite. There will be many social challenges to face, particularly in certain regions that are highly dependent on the lignite industry (see also the 2020 Country Report). However, in line with the Commission’s Green New Deal and Just Transition Mechanism, targeted support to those regions is at hand, so that the opportunities such a move provides can be explored, in cooperation with the Commission. At a national level, Greece set up an inter-ministerial committee to discuss the transition. Finally, Greece also pre-notified two state aid schemes, for interruptibility and flexibility.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Public Power Corporation presented its new business plan, giving details on its planned timeline for lignite plants decommissioning and ideas for new business ventures</w:t>
      </w:r>
      <w:r>
        <w:rPr>
          <w:rFonts w:ascii="Times New Roman" w:hAnsi="Times New Roman" w:cs="Times New Roman"/>
          <w:noProof/>
          <w:color w:val="000000"/>
          <w:sz w:val="24"/>
        </w:rPr>
        <w:t>. Further details are yet to be fleshed out, including the timing of its planned closures of the mines, which feed the generation plants. However, it is clear the company is aiming for a bold transformation in coming years, founded on the decommissioning plan that underpins Greece’s energy strategy. After its strong efforts to stabilise its finances, the results of which were seen in its positive annual report, the further development and implementation of the business plan will be its mid-term focus. The Public Power Corporation provisions of the recent energy law puts in place corporate governance rules, which are being implemented, giving the company a chance to operate more at an “arm’s length” from the government and engage in procurement in line with best practices. As of December 2019 (</w:t>
      </w:r>
      <w:r>
        <w:rPr>
          <w:rFonts w:ascii="Times New Roman" w:hAnsi="Times New Roman" w:cs="Times New Roman"/>
          <w:noProof/>
          <w:color w:val="000000"/>
          <w:sz w:val="24"/>
          <w:vertAlign w:val="superscript"/>
        </w:rPr>
        <w:footnoteReference w:id="32"/>
      </w:r>
      <w:r>
        <w:rPr>
          <w:rFonts w:ascii="Times New Roman" w:hAnsi="Times New Roman" w:cs="Times New Roman"/>
          <w:noProof/>
          <w:color w:val="000000"/>
          <w:sz w:val="24"/>
        </w:rPr>
        <w:t>), its retail share in the interconnected system stood at 71.8%, slightly higher than November’s 69.8%. However this generally continues a downward trend, though it should be noted that this varies substantially by customer class. The Public Power Company remains more or less the sole provider to high voltage consumers, whilst at medium voltage and low voltage these shares are much lower, at 52.5% and 73.5% respectively. Given the opening of the market, discussions are ongoing about the rules for universal supply, to make sure that any new obligations on certain providers to supply to all customers will be applied in a proportionate way.</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Initial estimates are that the Renewable Energy Sources Special Account will remain in slight surplus for 2019 despite dipping in the 3</w:t>
      </w:r>
      <w:r>
        <w:rPr>
          <w:rFonts w:ascii="Times New Roman" w:hAnsi="Times New Roman" w:cs="Times New Roman"/>
          <w:b/>
          <w:noProof/>
          <w:color w:val="000000"/>
          <w:sz w:val="24"/>
          <w:vertAlign w:val="superscript"/>
        </w:rPr>
        <w:t>rd</w:t>
      </w:r>
      <w:r>
        <w:rPr>
          <w:rFonts w:ascii="Times New Roman" w:hAnsi="Times New Roman" w:cs="Times New Roman"/>
          <w:b/>
          <w:noProof/>
          <w:color w:val="000000"/>
          <w:sz w:val="24"/>
        </w:rPr>
        <w:t xml:space="preserve"> quarter, in the context of the programme commitment to achieve a sustained surplus. </w:t>
      </w:r>
      <w:r>
        <w:rPr>
          <w:rFonts w:ascii="Times New Roman" w:hAnsi="Times New Roman" w:cs="Times New Roman"/>
          <w:noProof/>
          <w:color w:val="000000"/>
          <w:sz w:val="24"/>
        </w:rPr>
        <w:t>This was likely caused by the elimination of the supplier surcharge and the reduction of the renewable energy levy. Greece has announced intentions to take a sustainable approach to keep the account in balance, such as increasing the inflows of Emissions Trading System carbon allowances. Such an approach for a predictable balance going forward is welcome; the forthcoming projection of the Special Account from the renewables market operator (DAPEEP) will be an important element. Views from market participants indicate that cash-flow issues have stabilised, which is an encouraging sign. The final renewable energies auction of 2019 took place in December with some success, though it is unclear what system will be in place for the future.</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From a more international outlook, Greece’s development as an ‘energy hub’ made strides with the agreement between Greece, Israel and Cyprus on the EastMed gas pipeline</w:t>
      </w:r>
      <w:r>
        <w:rPr>
          <w:rFonts w:ascii="Times New Roman" w:hAnsi="Times New Roman" w:cs="Times New Roman"/>
          <w:noProof/>
          <w:color w:val="000000"/>
          <w:sz w:val="24"/>
        </w:rPr>
        <w:t xml:space="preserve">. Leaders from Greece, Cyprus and Israel signed an accord to start the ambitious project of nearly 2 000 km of pipeline designed to bring gas from the Cyprus area onto European markets, connecting to projects such as the TransAdriatic Pipeline. Other opportunities in gas are positive, such as the Greece-Bulgaria Interconnector currently in construction and the already applicable rules for reverse flow on the Trans-Balkan pipeline, while electricity connections such as the EuroAsia with Cyprus explored may develop further. </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Water</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information system to monitor the performance of water companies throughout the country completed its first year of operation.</w:t>
      </w:r>
      <w:r>
        <w:rPr>
          <w:rFonts w:ascii="Times New Roman" w:hAnsi="Times New Roman" w:cs="Times New Roman"/>
          <w:noProof/>
          <w:color w:val="000000"/>
          <w:sz w:val="24"/>
        </w:rPr>
        <w:t xml:space="preserve"> The platform includes information on cost recovery, infrastructural investments, planned human resources and drinking water quality across the country, among others. In the first year of operation, the authorities took several actions to ensure that the system is operational and that the information received is reliable and proceeded to continuous verifications and corrections on the information received in 2017-2018. As of today, the number of registered users representing water supply service providers has increased to 719, up from 456 reported in the fourth enhanced surveillance report, but only 205 of these have introduced data for 2018. The reliability of the data is a concern, in particular in agriculture, which accounts for about 85% of the total water consumption. The data is often inconsistent, incorrect, or ignores major components such as the cost of energy.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There has been no progress on the implementation of the 2019 strategic and operational plans that will inter alia streamline the authorities’ supervisory activities.</w:t>
      </w:r>
      <w:r>
        <w:rPr>
          <w:rFonts w:ascii="Times New Roman" w:hAnsi="Times New Roman" w:cs="Times New Roman"/>
          <w:noProof/>
          <w:color w:val="000000"/>
          <w:sz w:val="24"/>
        </w:rPr>
        <w:t xml:space="preserve"> Many municipalities and irrigation suppliers lack the appropriate staff and competence to be able to feed the system with valuable information and they are in need of support with training if the information system is to become operational and fulfil its purpose.</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Regarding sewerage, the government intends to pass legislation that would allow subsidising private connections.</w:t>
      </w:r>
      <w:r>
        <w:rPr>
          <w:rFonts w:ascii="Times New Roman" w:hAnsi="Times New Roman" w:cs="Times New Roman"/>
          <w:noProof/>
          <w:color w:val="000000"/>
          <w:sz w:val="24"/>
        </w:rPr>
        <w:t xml:space="preserve"> The authorities also intend to involve the private sector in the supervision of the construction and the operation of the sewage treatment plants. This will be useful in particular for small municipalities that do not have the technical capacity to properly supervise the works nor to manage the sewage treatment plants. </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Transport and Logistics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adopted the Strategic Transport Master Plan for Greece.</w:t>
      </w:r>
      <w:r>
        <w:rPr>
          <w:rFonts w:ascii="Times New Roman" w:hAnsi="Times New Roman" w:cs="Times New Roman"/>
          <w:noProof/>
          <w:color w:val="000000"/>
          <w:sz w:val="24"/>
        </w:rPr>
        <w:t xml:space="preserve"> The Master Plan identifies future policies and investments in the transport sector. The plan covers all transport modes for the years 2027 and 2037, the necessary supporting planning tools as well as accompanying capacity-building activities. The next step now is to proceed to the operational use of the Master Plan including actions that will enable the use of structural funds from the programming period 2021-27. These include regional plans and work on urban mobility in order to satisfy the enabling condition for 2021-2027 EU funding of transport projects.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There are long delays in the construction of co-financed infrastructure projects. </w:t>
      </w:r>
      <w:r>
        <w:rPr>
          <w:rFonts w:ascii="Times New Roman" w:hAnsi="Times New Roman" w:cs="Times New Roman"/>
          <w:noProof/>
          <w:color w:val="000000"/>
          <w:sz w:val="24"/>
        </w:rPr>
        <w:t>This undermine the development of railways in Greece and may lead to the loss of already paid out or committed EU financial resources. To address this situation in the railway sector, the authorities are considering to restructure the public company in charge of constructing and equipping the railway network. Several contracts for new projects continue to be delayed (Athens metro line 4, Patra-Pyrgos motorway, Amvrakia – Aktio highway, Athens and Thessaloniki busses). The development of projects for the accessibility of the port of Thessaloniki has also encountered delays. While the port has a great potential as a freight gateway to the Balkans and Eastern Europe, and has recently been privatized, its functioning is seriously hampered by poor or inexistent rail and road connections to the hinterland.</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Thriasio logistics complex remains unutilized</w:t>
      </w:r>
      <w:r>
        <w:rPr>
          <w:rFonts w:ascii="Times New Roman" w:hAnsi="Times New Roman" w:cs="Times New Roman"/>
          <w:noProof/>
          <w:color w:val="000000"/>
          <w:sz w:val="24"/>
        </w:rPr>
        <w:t>. Once fully operational, this investment – co-financed with EU funds – could give a big boost to rail freight and the overall competitiveness of the country. The concession contract for the private freight centre has not been activated as the contract was ratified before notification and clearance by relevant Commission Services for the involved State Aid. The tender for the management and operation of the park of 1 450 hectares is also severely delayed. The European Commission has started the procedures for recovering EU structural funds contributions by the Cohesion Fund and European Regional Development Fund.</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situation of the Public Transport Company of Thessaloniki (OASTH) continuous to raise concerns.</w:t>
      </w:r>
      <w:r>
        <w:rPr>
          <w:rFonts w:ascii="Times New Roman" w:hAnsi="Times New Roman" w:cs="Times New Roman"/>
          <w:noProof/>
          <w:color w:val="000000"/>
          <w:sz w:val="24"/>
        </w:rPr>
        <w:t xml:space="preserve"> The government nationalized the company in 2017 in order to undertake a substantial restructuring and generate savings on an expensive private concession. The authorities have recently decided to extend the lifetime of the company to 2022, as opposed to initial plans to liquidate it and replace by a new entity. The authorities have expressed their intention to prepare a restructuring plan in order to reduce the operating costs to a sustainable level. </w:t>
      </w:r>
    </w:p>
    <w:bookmarkEnd w:id="43"/>
    <w:p>
      <w:pPr>
        <w:spacing w:after="240" w:line="240" w:lineRule="atLeast"/>
        <w:jc w:val="both"/>
        <w:rPr>
          <w:rFonts w:ascii="Times New Roman" w:hAnsi="Times New Roman" w:cs="Times New Roman"/>
          <w:noProof/>
          <w:color w:val="000000"/>
          <w:sz w:val="24"/>
        </w:rPr>
        <w:sectPr>
          <w:headerReference w:type="even" r:id="rId79"/>
          <w:headerReference w:type="default" r:id="rId80"/>
          <w:footerReference w:type="even" r:id="rId81"/>
          <w:footerReference w:type="default" r:id="rId82"/>
          <w:headerReference w:type="first" r:id="rId83"/>
          <w:footerReference w:type="first" r:id="rId84"/>
          <w:footnotePr>
            <w:pos w:val="beneathText"/>
          </w:footnotePr>
          <w:endnotePr>
            <w:numFmt w:val="decimal"/>
            <w:numRestart w:val="eachSect"/>
          </w:endnotePr>
          <w:type w:val="oddPage"/>
          <w:pgSz w:w="11907" w:h="16839"/>
          <w:pgMar w:top="1984" w:right="1701" w:bottom="1417" w:left="1701" w:header="709" w:footer="709" w:gutter="0"/>
          <w:cols w:space="708"/>
          <w:titlePg/>
          <w:docGrid w:linePitch="360"/>
        </w:sectPr>
      </w:pPr>
    </w:p>
    <w:bookmarkStart w:id="47" w:name="GUIDBE92E89EC67745EABD0A7E03CCB1CCEF"/>
    <w:p>
      <w:pPr>
        <w:spacing w:after="240" w:line="240" w:lineRule="atLeast"/>
        <w:jc w:val="both"/>
        <w:rPr>
          <w:rFonts w:ascii="Times New Roman" w:hAnsi="Times New Roman" w:cs="Times New Roman"/>
          <w:noProof/>
          <w:vanish/>
          <w:color w:val="000000"/>
          <w:sz w:val="20"/>
        </w:rPr>
      </w:pPr>
      <w:r>
        <w:rPr>
          <w:rFonts w:ascii="Times New Roman" w:hAnsi="Times New Roman" w:cs="Times New Roman"/>
          <w:noProof/>
          <w:vanish/>
          <w:color w:val="000000"/>
          <w:sz w:val="20"/>
        </w:rPr>
        <w:fldChar w:fldCharType="begin"/>
      </w:r>
      <w:r>
        <w:rPr>
          <w:rFonts w:ascii="Times New Roman" w:hAnsi="Times New Roman" w:cs="Times New Roman"/>
          <w:noProof/>
          <w:color w:val="000000"/>
          <w:sz w:val="20"/>
        </w:rPr>
        <w:instrText xml:space="preserve"> TC "</w:instrText>
      </w:r>
      <w:bookmarkStart w:id="48" w:name="_Toc32921503"/>
      <w:r>
        <w:rPr>
          <w:rFonts w:ascii="Times New Roman" w:hAnsi="Times New Roman" w:cs="Times New Roman"/>
          <w:noProof/>
          <w:color w:val="000000"/>
          <w:sz w:val="20"/>
        </w:rPr>
        <w:instrText>7.</w:instrText>
      </w:r>
      <w:r>
        <w:rPr>
          <w:rFonts w:ascii="Times New Roman" w:hAnsi="Times New Roman" w:cs="Times New Roman"/>
          <w:noProof/>
          <w:color w:val="000000"/>
          <w:sz w:val="20"/>
        </w:rPr>
        <w:tab/>
        <w:instrText>Hellenic Corporation of Assets and Participations (HCAP) and privatisation</w:instrText>
      </w:r>
      <w:bookmarkEnd w:id="48"/>
      <w:r>
        <w:rPr>
          <w:rFonts w:ascii="Times New Roman" w:hAnsi="Times New Roman" w:cs="Times New Roman"/>
          <w:noProof/>
          <w:color w:val="000000"/>
          <w:sz w:val="20"/>
        </w:rPr>
        <w:instrText xml:space="preserve">" \f \l 1 </w:instrText>
      </w:r>
      <w:r>
        <w:rPr>
          <w:rFonts w:ascii="Times New Roman" w:hAnsi="Times New Roman" w:cs="Times New Roman"/>
          <w:noProof/>
          <w:vanish/>
          <w:color w:val="000000"/>
          <w:sz w:val="20"/>
        </w:rPr>
        <w:fldChar w:fldCharType="end"/>
      </w: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49" w:name="_Toc32921504"/>
      <w:r>
        <w:rPr>
          <w:rFonts w:ascii="Century Gothic" w:hAnsi="Century Gothic" w:cs="Times New Roman"/>
          <w:b/>
          <w:caps/>
          <w:noProof/>
          <w:color w:val="333399"/>
        </w:rPr>
        <w:t>7.1.</w:t>
      </w:r>
      <w:r>
        <w:rPr>
          <w:rFonts w:ascii="Century Gothic" w:hAnsi="Century Gothic" w:cs="Times New Roman"/>
          <w:b/>
          <w:caps/>
          <w:noProof/>
          <w:color w:val="333399"/>
        </w:rPr>
        <w:tab/>
        <w:t>HELLENIC CORPORATION OF ASSETS AND PARTICIPATIONS</w:t>
      </w:r>
      <w:bookmarkEnd w:id="49"/>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work of the Corporation on the key areas covered by the commitments to the Eurogroup is continuing.</w:t>
      </w:r>
      <w:r>
        <w:rPr>
          <w:rFonts w:ascii="Times New Roman" w:hAnsi="Times New Roman" w:cs="Times New Roman"/>
          <w:noProof/>
          <w:color w:val="000000"/>
          <w:sz w:val="24"/>
        </w:rPr>
        <w:t xml:space="preserve"> The implementation of the strategic plan is ongoing and the review of the Boards of state-owned enterprises is in its final phase. The transfer of the Olympic Athletic Centre (OAKA) will be delayed due to practical complexities, which are unavoidable due to the status of the asset. Since the publication of the fourth enhanced surveillance report in November 2019, progress has been made in improving corporate governance in state-owned enterprises. The implementation of the coordination mechanism, which governs the interaction between the authorities and the Corporation regarding the mandates, objectives and assignment of ‘special obligations’ to state-owned enterprises under the Corporation, either continued or was launched for all enterprises; the mandates for eight enterprises were finalised and submitted to the Cabinet Committee.</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authorities have exhibited strong engagement and support to the important work of the Corporation. </w:t>
      </w:r>
      <w:r>
        <w:rPr>
          <w:rFonts w:ascii="Times New Roman" w:hAnsi="Times New Roman" w:cs="Times New Roman"/>
          <w:noProof/>
          <w:color w:val="000000"/>
          <w:sz w:val="24"/>
        </w:rPr>
        <w:t xml:space="preserve">The authorities have coordinated the engagement between line ministries and the Corporation through the agreed coordination mechanism and significant progress has been achieved in the implementation of the coordination mechanism. Work is underway in updating the ministerial guidance, which will include financial return targets for the assets held by the Corporation.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authorities have stated their intention to clarify their expectations for the financial performance of the portfolio of companies held by the Corporation. </w:t>
      </w:r>
      <w:r>
        <w:rPr>
          <w:rFonts w:ascii="Times New Roman" w:hAnsi="Times New Roman" w:cs="Times New Roman"/>
          <w:noProof/>
          <w:color w:val="000000"/>
          <w:sz w:val="24"/>
        </w:rPr>
        <w:t xml:space="preserve">This would be done by setting out targets and benchmarks in Ministerial Guidance, as provided for in the law on governing the functioning of the Corporation. The ministerial guidance is currently being drafted. The authorities have advised an intention to set out robust and commercial benchmarks.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Corporation is continuing with the implementation of its strategic plan (a continuous commitment), which incorporates its overall approach for better management and use of the assets of the Greek State that became part of its portfolio. </w:t>
      </w:r>
      <w:r>
        <w:rPr>
          <w:rFonts w:ascii="Times New Roman" w:hAnsi="Times New Roman" w:cs="Times New Roman"/>
          <w:noProof/>
          <w:color w:val="000000"/>
          <w:sz w:val="24"/>
        </w:rPr>
        <w:t>The Corporation is implementing its strategic plan and monitoring the key performance indicators it has set for its direct subsidiaries and the non-listed other subsidiaries (state-owned enterprises with majority participations). The key performance indicators cover the following areas: enhancement of economic and public value, improvement of financial performance, corporate governance, improvement of quality of services offered to customers, operational efficiency and innovation. The Corporation is currently in the process of evaluating the progress made on the indicators for 2019 and finalising the ones for 2020. The strategic plan will be updated following the issuance of Ministerial Guidelines.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Corporation’s real estate portfolio shows some signs of improvement following its restructuring but these are below expectations. </w:t>
      </w:r>
      <w:r>
        <w:rPr>
          <w:rFonts w:ascii="Times New Roman" w:hAnsi="Times New Roman" w:cs="Times New Roman"/>
          <w:noProof/>
          <w:color w:val="000000"/>
          <w:sz w:val="24"/>
        </w:rPr>
        <w:t xml:space="preserve">Achieving the full potential of the real estate portfolio remains a key challenge and should be a primary source of value creation. As yet, performance of the Public Properties Company is not reaching this potential. In November 2019, its two executive posts (the Chief Executive Officer and the second executive director) were filled. Furthermore, the Public Properties Company faces legal cases, which go back many years with great uncertainty in claims and economic impact. (see also section 3.1).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authorities have made some progress in evaluating a further package of real estate for transfer to the Corporation. </w:t>
      </w:r>
      <w:r>
        <w:rPr>
          <w:rFonts w:ascii="Times New Roman" w:hAnsi="Times New Roman" w:cs="Times New Roman"/>
          <w:noProof/>
          <w:color w:val="000000"/>
          <w:sz w:val="24"/>
        </w:rPr>
        <w:t>While a large package of real estate was identified for transfer in 2018, screening indicates that many properties are ineligible for the transfer. The authorities expect the screening process to be completed shortly.</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Corporation has continued its work on corporate governance, in particular regarding the review of the boards of the state-owned enterprises (a specific mid-2019 commitment), and improving internal and external audit capabilities. </w:t>
      </w:r>
      <w:r>
        <w:rPr>
          <w:rFonts w:ascii="Times New Roman" w:hAnsi="Times New Roman" w:cs="Times New Roman"/>
          <w:noProof/>
          <w:color w:val="000000"/>
          <w:sz w:val="24"/>
        </w:rPr>
        <w:t xml:space="preserve">The Corporation’s Board has recently completed the review/replacement of the Boards of Directors of the Central Market of Athens (OKAA). The assessment of the Board of Directors for the subsidiaries of the Athens Urban Transport Organisation, responsible for bus and metro transport, is expected to be completed in the coming weeks. Regarding the remaining state-owned enterprises, the assessment of the Board of the Hellenic Exhibition Organisation and the process for the selection of the new Board of the Greek Saltworks are about to commence. Candidates for the Chairs of the Audit Committees have been selected for all subsidiaries of the Corporation, which constitutes an important step forward in improving the governance culture generally. So far, the Corporation has identified and appointed some 65 Board members (executive and non-executive) in its enterprises through open, professional and transparent procedures.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Elaboration of new remuneration policy by the listed state-owned enterprises is being implemented. </w:t>
      </w:r>
      <w:r>
        <w:rPr>
          <w:rFonts w:ascii="Times New Roman" w:hAnsi="Times New Roman" w:cs="Times New Roman"/>
          <w:noProof/>
          <w:color w:val="000000"/>
          <w:sz w:val="24"/>
        </w:rPr>
        <w:t xml:space="preserve">Following the preparation of the principles and guidelines for the remuneration policy for the listed state-owned enterprises in September 2019, the Remuneration Committees of the Water Utility Company of Thessaloniki (EYATH) and the Public Power Corporation elaborated new remuneration policies with the assistance of external consultants. These policies were approved by the Corporation in the General Assemblies of the two companies in December 2019. Moreover, new remuneration policies for the Board of Directors of the Hellenic Post and Athens Urban Transport Organisation were approved by the Board of the Corporation.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In addition to the extensive work on governance, the Corporation is increasing its focus on operational improvements in state-owned enterprises, following the development of new business plans in 2018.</w:t>
      </w:r>
      <w:r>
        <w:rPr>
          <w:rFonts w:ascii="Times New Roman" w:hAnsi="Times New Roman" w:cs="Times New Roman"/>
          <w:noProof/>
          <w:color w:val="000000"/>
          <w:sz w:val="24"/>
        </w:rPr>
        <w:t xml:space="preserve"> A key challenge will be to effectively address the significant operational and financial issues in the Hellenic Post, which also faces a serious liquidity problem. The restructuring approach has not been finalised. The company will need to be restructured to reduce its cost base and to develop new and sustainable revenue streams over the medium to long term to ensure its viability.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authorities and the Corporation are implementing the coordination mechanism and have completed the process of mandates for eight companies. </w:t>
      </w:r>
      <w:r>
        <w:rPr>
          <w:rFonts w:ascii="Times New Roman" w:hAnsi="Times New Roman" w:cs="Times New Roman"/>
          <w:noProof/>
          <w:color w:val="000000"/>
          <w:sz w:val="24"/>
        </w:rPr>
        <w:t xml:space="preserve">The Cabinet Committee has met regularly since its reconstitution in November 2019. This has required coordination across various ministries to enable the government to ‘speak with one voice’ on the priorities regarding activities of state-owned enterprises under the coordination mechanism and expedite the procedural steps. In early February, the mandates for eight enterprises were finalised and are expected to be approved by the Cabinet Committee in the coming weeks.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transfer of the Olympic Athletic Centre, which was a specific end-2018 commitment, proves to be very complex, involving multiple stakeholders as well as a series of administrative (including maintenance requirements) and procurement steps.</w:t>
      </w:r>
      <w:r>
        <w:rPr>
          <w:rFonts w:ascii="Times New Roman" w:hAnsi="Times New Roman" w:cs="Times New Roman"/>
          <w:noProof/>
          <w:color w:val="000000"/>
          <w:sz w:val="24"/>
        </w:rPr>
        <w:t xml:space="preserve"> These include procurement for the repair or overhaul of significant facilities, in order to ensure that the asset is provided in a satisfactory condition. The authorities have taken a number of steps to proceed with this work, which include (i) the hiring of a technical advisor in July 2019 to review the current status of all the infrastructures and to prepare the tender documents for a main technical study, and (ii) the assignment of the responsibility of the project to the Ministry of Sports in order to streamline the management of the process. These measures are considered to be positive.</w:t>
      </w: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50" w:name="_Toc32921505"/>
      <w:r>
        <w:rPr>
          <w:rFonts w:ascii="Century Gothic" w:hAnsi="Century Gothic" w:cs="Times New Roman"/>
          <w:b/>
          <w:caps/>
          <w:noProof/>
          <w:color w:val="333399"/>
        </w:rPr>
        <w:t>7.2.</w:t>
      </w:r>
      <w:r>
        <w:rPr>
          <w:rFonts w:ascii="Century Gothic" w:hAnsi="Century Gothic" w:cs="Times New Roman"/>
          <w:b/>
          <w:caps/>
          <w:noProof/>
          <w:color w:val="333399"/>
        </w:rPr>
        <w:tab/>
        <w:t>IMPLEMENTATION OF THE ASSET DEVELOPMENT PLAN</w:t>
      </w:r>
      <w:bookmarkEnd w:id="50"/>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Implementation of the Asset Development Plan of the Hellenic Republic Asset Development Fund (TAIPED) is key to stimulate private investment, increase efficiency, and provide financing to the state.</w:t>
      </w:r>
      <w:r>
        <w:rPr>
          <w:rFonts w:ascii="Times New Roman" w:hAnsi="Times New Roman" w:cs="Times New Roman"/>
          <w:noProof/>
          <w:color w:val="000000"/>
          <w:sz w:val="24"/>
        </w:rPr>
        <w:t xml:space="preserve"> In June 2018, the authorities made a specific commitment to the Eurogroup to implement the Plan, which will be updated every six months, and in this context to complete the transactions on Hellenic Petroleum (HELPE) and the Marina of Alimos by mid-2019. Further, the authorities committed to complete the transactions on </w:t>
      </w:r>
      <w:r>
        <w:rPr>
          <w:rFonts w:ascii="Times New Roman" w:hAnsi="Times New Roman" w:cs="Times New Roman"/>
          <w:i/>
          <w:noProof/>
          <w:color w:val="000000"/>
          <w:sz w:val="24"/>
        </w:rPr>
        <w:t>Egnatia, Public Gas Corporation (DEPA) Commercial, Athens International Airport shares, Water Supply and Sewerage Companies of Athens and Thessaloniki and the regional ports of Alexandroupoli and Kavala.</w:t>
      </w:r>
      <w:r>
        <w:rPr>
          <w:rFonts w:ascii="Times New Roman" w:hAnsi="Times New Roman" w:cs="Times New Roman"/>
          <w:noProof/>
          <w:color w:val="000000"/>
          <w:sz w:val="24"/>
        </w:rPr>
        <w:t xml:space="preserve"> Additional commitments were taken for beyond 2019. Last, but not least, the Hellinikon transaction (development of the site of the former Athens International Airport, a specific end-2018 commitment) remained pending.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maintained momentum in the privatisation process and are making continued progress in the implementation of the Asset Development Plan.</w:t>
      </w:r>
      <w:r>
        <w:rPr>
          <w:rFonts w:ascii="Times New Roman" w:hAnsi="Times New Roman" w:cs="Times New Roman"/>
          <w:noProof/>
          <w:color w:val="000000"/>
          <w:sz w:val="24"/>
        </w:rPr>
        <w:t xml:space="preserve"> </w:t>
      </w:r>
      <w:r>
        <w:rPr>
          <w:rFonts w:ascii="Times New Roman" w:eastAsiaTheme="minorEastAsia" w:hAnsi="Times New Roman" w:cs="Times New Roman"/>
          <w:noProof/>
          <w:sz w:val="24"/>
        </w:rPr>
        <w:t xml:space="preserve">As mentioned in previous reports, the timeline of the flagship projects below has been affected by delays or factors largely outside the control of the authorities. </w:t>
      </w:r>
      <w:r>
        <w:rPr>
          <w:rFonts w:ascii="Times New Roman" w:hAnsi="Times New Roman" w:cs="Times New Roman"/>
          <w:noProof/>
          <w:color w:val="000000"/>
          <w:sz w:val="24"/>
        </w:rPr>
        <w:t>In particular:</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Hellinikon (an end-2018 specific commitment): </w:t>
      </w:r>
      <w:r>
        <w:rPr>
          <w:rFonts w:ascii="Times New Roman" w:hAnsi="Times New Roman" w:cs="Times New Roman"/>
          <w:noProof/>
          <w:color w:val="000000"/>
          <w:sz w:val="24"/>
        </w:rPr>
        <w:t xml:space="preserve">Despite the strong engagement of the authorities and intensified efforts to complete the conditions precedent to allow the transfer of shares to the preferred investor (Lamda), the financial closing is delayed due to complications in the tender process for the award of the casino licence. The current state of play on key elements is as follows: </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The tender process for awarding the casino licence is still ongoing. Complications have arisen in the process</w:t>
      </w:r>
      <w:r>
        <w:rPr>
          <w:rFonts w:ascii="Times New Roman" w:hAnsi="Times New Roman" w:cs="Times New Roman"/>
          <w:noProof/>
          <w:color w:val="000000"/>
          <w:sz w:val="24"/>
        </w:rPr>
        <w:t xml:space="preserve">. The evaluation of the legal documents submitted by the two bidders for the casino license led to the exclusion of one of the two bidders from the process. The excluded bidder has appealed against the decision and this could lead to a delay in the completion of the process by several months. </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The clarification of a number of issues through Joint Ministerial Decisions was a condition precedent</w:t>
      </w:r>
      <w:r>
        <w:rPr>
          <w:rFonts w:ascii="Times New Roman" w:hAnsi="Times New Roman" w:cs="Times New Roman"/>
          <w:noProof/>
          <w:color w:val="000000"/>
          <w:sz w:val="24"/>
        </w:rPr>
        <w:t>, which has been completed with the adoption of four Decisions between late August and early October 2019 (on the metropolitan park, the development zones for the casino area and beyond, and the urban planning zones).</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The relocation of the public users still on the site can be completed soon without any problems</w:t>
      </w:r>
      <w:r>
        <w:rPr>
          <w:rFonts w:ascii="Times New Roman" w:hAnsi="Times New Roman" w:cs="Times New Roman"/>
          <w:noProof/>
          <w:color w:val="000000"/>
          <w:sz w:val="24"/>
        </w:rPr>
        <w:t>; there is a problem with only one private user against whom two civil court litigations were pending, one of which resulted in September 2019 in a second instance court decision issued in favour of Hellinikon S.A., the Hellenic Republic and the Fund, paving the way for its enforcement and the resolution of the issue.</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Regarding the partition of the Hellinikon site, an agreement has been reached between all involved parties, which will be reflected in a contractual binding document planned to be executed and ratified by Parliament.</w:t>
      </w:r>
      <w:r>
        <w:rPr>
          <w:rFonts w:ascii="Times New Roman" w:hAnsi="Times New Roman" w:cs="Times New Roman"/>
          <w:noProof/>
          <w:color w:val="000000"/>
          <w:sz w:val="24"/>
        </w:rPr>
        <w:t xml:space="preserve"> </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Demolition of current buildings on the site:</w:t>
      </w:r>
      <w:r>
        <w:rPr>
          <w:rFonts w:ascii="Times New Roman" w:hAnsi="Times New Roman" w:cs="Times New Roman"/>
          <w:noProof/>
          <w:color w:val="000000"/>
          <w:sz w:val="24"/>
        </w:rPr>
        <w:t xml:space="preserve"> A legislative provision has been adopted on 12 February 2020 (Law 4663/2020), which makes possible the demolition of buildings on the site by Lamda.</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Marina of Alimos (a mid-2019 specific commitment):</w:t>
      </w:r>
      <w:r>
        <w:rPr>
          <w:rFonts w:ascii="Times New Roman" w:hAnsi="Times New Roman" w:cs="Times New Roman"/>
          <w:noProof/>
          <w:color w:val="000000"/>
          <w:sz w:val="24"/>
        </w:rPr>
        <w:t xml:space="preserve"> the Marina of Alimos is one of the largest marinas in the South-Eastern Mediterranean, located on the South-Eastern waterfront of Athens. The preferred investor was selected on 16 April 2019. The Court of Audit approved the tender procedure on 26 June 2019. The delay in the financial closing of the transaction is primarily due to the time taken for the due diligence process by banks required in financing the transaction.</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Hellenic Petroleum (a mid-2019 specific commitment): </w:t>
      </w:r>
      <w:r>
        <w:rPr>
          <w:rFonts w:ascii="Times New Roman" w:hAnsi="Times New Roman" w:cs="Times New Roman"/>
          <w:noProof/>
          <w:color w:val="000000"/>
          <w:sz w:val="24"/>
        </w:rPr>
        <w:t>The authorities are yet to decide on the approach to be followed after the failure of the first tender in mid-2019; a tentative timetable is expected by March 2020. No binding offers had been submitted for the joint sale (along with PanEuropean Oil and Industrial Holdings S.A., the other strategic shareholder of Hellenic Petroleum) of a majority stake (50.1%) and thus there was no positive outcome of the specific transaction. The financial closure is thus inevitably subject to significant delays. The ultimate decision as to the structure and the timing lies with the Greek authorities and it is expected to be determined on the basis of what provides the best commercial and strategic value for Greece.</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Sale of 30% of Athens International Airport (an end 2019 specific commitment):</w:t>
      </w:r>
      <w:r>
        <w:rPr>
          <w:rFonts w:ascii="Times New Roman" w:hAnsi="Times New Roman" w:cs="Times New Roman"/>
          <w:noProof/>
          <w:color w:val="000000"/>
          <w:sz w:val="24"/>
        </w:rPr>
        <w:t xml:space="preserve"> The tendering process is proceeding well. Ten investment parties expressed their interest to acquire a 30% stake in the first phase of the process concluded in October 2019. Following the evaluation of the investors’ proposals, on 31 January 2020 the Board of Directors of the Fund decided that nine investment parties are qualified to proceed to the Binding Offers Phase, thus effectively launching this phase. The financial closing of the transaction is expected before the end of the year.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Public Gas Corporation (an end 2019 specific commitment):</w:t>
      </w:r>
      <w:r>
        <w:rPr>
          <w:rFonts w:ascii="Times New Roman" w:hAnsi="Times New Roman" w:cs="Times New Roman"/>
          <w:noProof/>
          <w:color w:val="000000"/>
          <w:sz w:val="24"/>
        </w:rPr>
        <w:t xml:space="preserve"> The necessary amendment of the Energy Law was adopted in November 2019 (</w:t>
      </w:r>
      <w:r>
        <w:rPr>
          <w:rFonts w:ascii="Times New Roman" w:hAnsi="Times New Roman" w:cs="Times New Roman"/>
          <w:noProof/>
          <w:color w:val="000000"/>
          <w:sz w:val="24"/>
          <w:vertAlign w:val="superscript"/>
        </w:rPr>
        <w:footnoteReference w:id="33"/>
      </w:r>
      <w:r>
        <w:rPr>
          <w:rFonts w:ascii="Times New Roman" w:hAnsi="Times New Roman" w:cs="Times New Roman"/>
          <w:noProof/>
          <w:color w:val="000000"/>
          <w:sz w:val="24"/>
        </w:rPr>
        <w:t xml:space="preserve">). It includes the provisions for the partial demerger of the company, in line with the agreed termsheet. The law also includes provisions for the sale of the whole stake owned by the Fund, i.e. 65%, in both DEPA Commercial and DEPA Infrastructure. The international tender process for DEPA Infrastructure was launched on 9 December 2019, whereby the Fund and Hellenic Petroleum are acting as co-sellers (offering 100% of the share capital of DEPA Infrastructure).; the deadline for the submission of expressions of interest has been extended to 21 February 2020. Indications are that the tender is attracting strong interest, with the decision by the authorities to sell the whole stake being a major contributing factor. At the same time, the national energy regulator is expected to adopt a decision shortly on the regulatory framework for distribution system operators, which would bring further clarity to potential investors. The international tender process for the sale of 65% of the share capital of DEPA Commercial was launched on 23 January 2020. The deadline for the submission of expressions of interest is 6 March 2020.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Egnatia (an end-2019 specific commitment):</w:t>
      </w:r>
      <w:r>
        <w:rPr>
          <w:rFonts w:ascii="Times New Roman" w:hAnsi="Times New Roman" w:cs="Times New Roman"/>
          <w:noProof/>
          <w:color w:val="000000"/>
          <w:sz w:val="24"/>
        </w:rPr>
        <w:t xml:space="preserve"> The privatisation process for the Egnatia motorway entails the award of a long-term concession for the operation and maintenance of the motorway and its three vertical axes. The transaction has been characterised by systematic delays and problems, showing a lack of ownership. The authorities have stressed their commitment to proceed with the transaction. </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Following extensive discussions with all involved stakeholders, the Fund decided to extend the deadline for the submission of binding offers to 26 June 2020.</w:t>
      </w:r>
      <w:r>
        <w:rPr>
          <w:rFonts w:ascii="Times New Roman" w:hAnsi="Times New Roman" w:cs="Times New Roman"/>
          <w:noProof/>
          <w:color w:val="000000"/>
          <w:sz w:val="24"/>
        </w:rPr>
        <w:t xml:space="preserve"> The extension of the deadline gives adequate time for the completion of all required actions. Since the 4</w:t>
      </w:r>
      <w:r>
        <w:rPr>
          <w:rFonts w:ascii="Times New Roman" w:hAnsi="Times New Roman" w:cs="Times New Roman"/>
          <w:noProof/>
          <w:color w:val="000000"/>
          <w:sz w:val="24"/>
          <w:vertAlign w:val="superscript"/>
        </w:rPr>
        <w:t>th</w:t>
      </w:r>
      <w:r>
        <w:rPr>
          <w:rFonts w:ascii="Times New Roman" w:hAnsi="Times New Roman" w:cs="Times New Roman"/>
          <w:noProof/>
          <w:color w:val="000000"/>
          <w:sz w:val="24"/>
        </w:rPr>
        <w:t xml:space="preserve"> enhanced surveillance report, three frontal toll stations in Oreokastro (Thessaloniki), Asprovalta and Strymoniko, whose construction was completed in late 2018 or early 2019, were put into operation, while during the enhanced surveillance mission in January a detailed roadmap was given to the institutions, with a specific timetable for the implementation of all required pending actions by May 2020. There has been some progress but crucial actions remain pending and thus continuous follow up is required. In brief, progress has been made on the following actions:</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An Agreement has been achieved on the implementation of the new toll pricing policy</w:t>
      </w:r>
      <w:r>
        <w:rPr>
          <w:rFonts w:ascii="Times New Roman" w:hAnsi="Times New Roman" w:cs="Times New Roman"/>
          <w:noProof/>
          <w:color w:val="000000"/>
          <w:sz w:val="24"/>
        </w:rPr>
        <w:t xml:space="preserve"> approved by the Commission (specific timetable for a gradual implementation). </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 xml:space="preserve">The construction of more toll stations has been initiated. </w:t>
      </w:r>
      <w:r>
        <w:rPr>
          <w:rFonts w:ascii="Times New Roman" w:hAnsi="Times New Roman" w:cs="Times New Roman"/>
          <w:noProof/>
          <w:color w:val="000000"/>
          <w:sz w:val="24"/>
        </w:rPr>
        <w:t>In total, 23 lateral toll stations are under construction since July 2019.</w:t>
      </w:r>
      <w:r>
        <w:rPr>
          <w:rFonts w:ascii="Times New Roman" w:hAnsi="Times New Roman" w:cs="Times New Roman"/>
          <w:i/>
          <w:noProof/>
          <w:color w:val="000000"/>
          <w:sz w:val="24"/>
        </w:rPr>
        <w:t xml:space="preserve"> </w:t>
      </w:r>
    </w:p>
    <w:p>
      <w:pPr>
        <w:tabs>
          <w:tab w:val="num" w:pos="283"/>
        </w:tabs>
        <w:spacing w:after="240" w:line="240" w:lineRule="atLeast"/>
        <w:ind w:left="283" w:hanging="283"/>
        <w:jc w:val="both"/>
        <w:rPr>
          <w:rFonts w:ascii="Times New Roman" w:hAnsi="Times New Roman" w:cs="Times New Roman"/>
          <w:i/>
          <w:noProof/>
          <w:color w:val="000000"/>
          <w:sz w:val="24"/>
        </w:rPr>
      </w:pPr>
      <w:r>
        <w:rPr>
          <w:rFonts w:ascii="Times New Roman" w:hAnsi="Times New Roman" w:cs="Times New Roman"/>
          <w:i/>
          <w:noProof/>
          <w:color w:val="000000"/>
          <w:sz w:val="24"/>
        </w:rPr>
        <w:t xml:space="preserve">The Tunnel Licensing Authority has confirmed the necessary works for unrestricted licensing of tunnels (Category A licensing).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A number of actions however remain pending and the Ministry and Egnatia S.A. are expected to demonstrate commitment so that these will be completed before May 2020, namely</w:t>
      </w:r>
      <w:r>
        <w:rPr>
          <w:rFonts w:ascii="Times New Roman" w:hAnsi="Times New Roman" w:cs="Times New Roman"/>
          <w:noProof/>
          <w:color w:val="000000"/>
          <w:sz w:val="24"/>
        </w:rPr>
        <w:t>:</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Completion of the construction and operation of all toll stations (frontal and lateral)</w:t>
      </w:r>
      <w:r>
        <w:rPr>
          <w:rFonts w:ascii="Times New Roman" w:hAnsi="Times New Roman" w:cs="Times New Roman"/>
          <w:noProof/>
          <w:color w:val="000000"/>
          <w:sz w:val="24"/>
        </w:rPr>
        <w:t>;</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Licensing of all tunnels under category E (dangerous cargos excluded) by the Tunnel Licensing Authority (there have been extensive delays so far)</w:t>
      </w:r>
      <w:r>
        <w:rPr>
          <w:rFonts w:ascii="Times New Roman" w:hAnsi="Times New Roman" w:cs="Times New Roman"/>
          <w:noProof/>
          <w:color w:val="000000"/>
          <w:sz w:val="24"/>
        </w:rPr>
        <w:t xml:space="preserve">. </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Establishing clarity on the works needed for bridges to be classified as safe.</w:t>
      </w:r>
      <w:r>
        <w:rPr>
          <w:rFonts w:ascii="Times New Roman" w:hAnsi="Times New Roman" w:cs="Times New Roman"/>
          <w:noProof/>
          <w:color w:val="000000"/>
          <w:sz w:val="24"/>
        </w:rPr>
        <w:t xml:space="preserve"> Egnatia is expected to clearly define the measures to be taken as well as the cost for the bridges to be completely safe in the coming weeks. Once this is done, the specification of the allocation of risk between the concessionaire and the State will be set out in the concession agreement.</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Resolution by Egnatia S.A. of the open issues related to the motor service stations contracts regarding Eleftherochori, Oraiokastro, Ardanio and Sostis, that have been inactive since 2011.</w:t>
      </w:r>
      <w:r>
        <w:rPr>
          <w:rFonts w:ascii="Times New Roman" w:hAnsi="Times New Roman" w:cs="Times New Roman"/>
          <w:noProof/>
          <w:color w:val="000000"/>
          <w:sz w:val="24"/>
        </w:rPr>
        <w:t xml:space="preserve"> The Board of Egnatia has to decide immediately as to how they will proceed with these contracts in order for the issue to be handled in the concession agreement accordingly. </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Completion of the necessary actions (advisor appointment) for all the preparatory work necessary for the remaining land expropriations</w:t>
      </w:r>
      <w:r>
        <w:rPr>
          <w:rFonts w:ascii="Times New Roman" w:hAnsi="Times New Roman" w:cs="Times New Roman"/>
          <w:noProof/>
          <w:color w:val="000000"/>
          <w:sz w:val="24"/>
        </w:rPr>
        <w:t xml:space="preserve">, by Egnatia S.A. Signing of the agreement with the advisor and full engagement remains pending. </w:t>
      </w:r>
    </w:p>
    <w:p>
      <w:pPr>
        <w:tabs>
          <w:tab w:val="num" w:pos="283"/>
        </w:tabs>
        <w:spacing w:after="240" w:line="240" w:lineRule="atLeast"/>
        <w:ind w:left="283" w:hanging="283"/>
        <w:jc w:val="both"/>
        <w:rPr>
          <w:rFonts w:ascii="Times New Roman" w:hAnsi="Times New Roman" w:cs="Times New Roman"/>
          <w:noProof/>
          <w:color w:val="000000"/>
          <w:sz w:val="24"/>
        </w:rPr>
      </w:pPr>
      <w:r>
        <w:rPr>
          <w:rFonts w:ascii="Times New Roman" w:hAnsi="Times New Roman" w:cs="Times New Roman"/>
          <w:i/>
          <w:noProof/>
          <w:color w:val="000000"/>
          <w:sz w:val="24"/>
        </w:rPr>
        <w:t>Provision of all necessary pending environmental licensing by DIPA (Ministry of Environment).</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Regional Ports (an end-2019 specific commitment):</w:t>
      </w:r>
      <w:r>
        <w:rPr>
          <w:rFonts w:ascii="Times New Roman" w:hAnsi="Times New Roman" w:cs="Times New Roman"/>
          <w:noProof/>
          <w:color w:val="000000"/>
          <w:sz w:val="24"/>
        </w:rPr>
        <w:t xml:space="preserve"> The privatisation structure agreed with the previous government was the granting of sub-concessions for selected activities in each of the ten regional ports. The tender process was stalled following the May elections. Different options for the potential privatisation structures are available, namely (a) sale of majority share capital of each regional Port Authority to a private party, and (b) granting of the right to operate specific and/or combined port activities/services for the ten Port Authorities i.e. sub-concession of specific activities of each port.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are positive with respect to providing flexibility of choice on the privatisation transaction structure (i.e. sub-concession or sale of equity) so as to allow the best privatisation transaction structure to be chosen for each port.</w:t>
      </w:r>
      <w:r>
        <w:rPr>
          <w:rFonts w:ascii="Times New Roman" w:hAnsi="Times New Roman" w:cs="Times New Roman"/>
          <w:noProof/>
          <w:color w:val="000000"/>
          <w:sz w:val="24"/>
        </w:rPr>
        <w:t xml:space="preserve"> An agreement on the final text of the required legislative changes was reached in January 2020, giving the Fund the flexibility of choice (i.e. sub-concession, sale of equity). The legal amendment was adopted by Parliament on 12 February, whereas the Fund proceeded at the beginning of February to the launching of the Request for Proposal process for recruiting external consultants for the sale of equity for four ports. </w:t>
      </w:r>
    </w:p>
    <w:bookmarkEnd w:id="47"/>
    <w:p>
      <w:pPr>
        <w:spacing w:after="240" w:line="240" w:lineRule="atLeast"/>
        <w:jc w:val="both"/>
        <w:rPr>
          <w:rFonts w:ascii="Times New Roman" w:hAnsi="Times New Roman" w:cs="Times New Roman"/>
          <w:noProof/>
          <w:color w:val="000000"/>
          <w:sz w:val="24"/>
        </w:rPr>
        <w:sectPr>
          <w:headerReference w:type="even" r:id="rId85"/>
          <w:headerReference w:type="default" r:id="rId86"/>
          <w:footerReference w:type="even" r:id="rId87"/>
          <w:footerReference w:type="default" r:id="rId88"/>
          <w:headerReference w:type="first" r:id="rId89"/>
          <w:footerReference w:type="first" r:id="rId90"/>
          <w:footnotePr>
            <w:pos w:val="beneathText"/>
          </w:footnotePr>
          <w:endnotePr>
            <w:numFmt w:val="decimal"/>
            <w:numRestart w:val="eachSect"/>
          </w:endnotePr>
          <w:type w:val="oddPage"/>
          <w:pgSz w:w="11907" w:h="16839"/>
          <w:pgMar w:top="1984" w:right="1701" w:bottom="1417" w:left="1701" w:header="709" w:footer="709" w:gutter="0"/>
          <w:cols w:space="708"/>
          <w:titlePg/>
          <w:docGrid w:linePitch="360"/>
        </w:sectPr>
      </w:pPr>
    </w:p>
    <w:bookmarkStart w:id="51" w:name="GUID1D5B98333B614310B7BA408C19CE6342"/>
    <w:p>
      <w:pPr>
        <w:spacing w:after="240" w:line="240" w:lineRule="atLeast"/>
        <w:jc w:val="both"/>
        <w:rPr>
          <w:rFonts w:ascii="Times New Roman" w:hAnsi="Times New Roman" w:cs="Times New Roman"/>
          <w:noProof/>
          <w:vanish/>
          <w:color w:val="000000"/>
          <w:sz w:val="20"/>
        </w:rPr>
      </w:pPr>
      <w:r>
        <w:rPr>
          <w:rFonts w:ascii="Times New Roman" w:hAnsi="Times New Roman" w:cs="Times New Roman"/>
          <w:noProof/>
          <w:vanish/>
          <w:color w:val="000000"/>
          <w:sz w:val="20"/>
        </w:rPr>
        <w:fldChar w:fldCharType="begin"/>
      </w:r>
      <w:r>
        <w:rPr>
          <w:rFonts w:ascii="Times New Roman" w:hAnsi="Times New Roman" w:cs="Times New Roman"/>
          <w:noProof/>
          <w:color w:val="000000"/>
          <w:sz w:val="20"/>
        </w:rPr>
        <w:instrText xml:space="preserve"> TC "</w:instrText>
      </w:r>
      <w:bookmarkStart w:id="52" w:name="_Toc32921506"/>
      <w:r>
        <w:rPr>
          <w:rFonts w:ascii="Times New Roman" w:hAnsi="Times New Roman" w:cs="Times New Roman"/>
          <w:noProof/>
          <w:color w:val="000000"/>
          <w:sz w:val="20"/>
        </w:rPr>
        <w:instrText>8.</w:instrText>
      </w:r>
      <w:r>
        <w:rPr>
          <w:rFonts w:ascii="Times New Roman" w:hAnsi="Times New Roman" w:cs="Times New Roman"/>
          <w:noProof/>
          <w:color w:val="000000"/>
          <w:sz w:val="20"/>
        </w:rPr>
        <w:tab/>
        <w:instrText>Public administration and justice</w:instrText>
      </w:r>
      <w:bookmarkEnd w:id="52"/>
      <w:r>
        <w:rPr>
          <w:rFonts w:ascii="Times New Roman" w:hAnsi="Times New Roman" w:cs="Times New Roman"/>
          <w:noProof/>
          <w:color w:val="000000"/>
          <w:sz w:val="20"/>
        </w:rPr>
        <w:instrText xml:space="preserve">" \f \l 1 </w:instrText>
      </w:r>
      <w:r>
        <w:rPr>
          <w:rFonts w:ascii="Times New Roman" w:hAnsi="Times New Roman" w:cs="Times New Roman"/>
          <w:noProof/>
          <w:vanish/>
          <w:color w:val="000000"/>
          <w:sz w:val="20"/>
        </w:rPr>
        <w:fldChar w:fldCharType="end"/>
      </w: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53" w:name="_Toc32921507"/>
      <w:r>
        <w:rPr>
          <w:rFonts w:ascii="Century Gothic" w:hAnsi="Century Gothic" w:cs="Times New Roman"/>
          <w:b/>
          <w:caps/>
          <w:noProof/>
          <w:color w:val="333399"/>
        </w:rPr>
        <w:t>8.1.</w:t>
      </w:r>
      <w:r>
        <w:rPr>
          <w:rFonts w:ascii="Century Gothic" w:hAnsi="Century Gothic" w:cs="Times New Roman"/>
          <w:b/>
          <w:caps/>
          <w:noProof/>
          <w:color w:val="333399"/>
        </w:rPr>
        <w:tab/>
        <w:t>PUBLIC ADMINISTRATION</w:t>
      </w:r>
      <w:bookmarkEnd w:id="53"/>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Appointments of senior management positions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appointments of the Permanent Secretaries in the public administration are progressing and the selection process for Directors has resumed</w:t>
      </w:r>
      <w:r>
        <w:rPr>
          <w:rFonts w:ascii="Times New Roman" w:hAnsi="Times New Roman" w:cs="Times New Roman"/>
          <w:noProof/>
          <w:color w:val="000000"/>
          <w:sz w:val="24"/>
        </w:rPr>
        <w:t>. The job announcements for Permanent Secretaries were published on 26 November 2019. The Supreme Council for Civil Personnel Selection’s (ASEP) has published (</w:t>
      </w:r>
      <w:r>
        <w:rPr>
          <w:rFonts w:ascii="Times New Roman" w:hAnsi="Times New Roman" w:cs="Times New Roman"/>
          <w:noProof/>
          <w:color w:val="000000"/>
          <w:sz w:val="24"/>
          <w:vertAlign w:val="superscript"/>
        </w:rPr>
        <w:footnoteReference w:id="34"/>
      </w:r>
      <w:r>
        <w:rPr>
          <w:rFonts w:ascii="Times New Roman" w:hAnsi="Times New Roman" w:cs="Times New Roman"/>
          <w:noProof/>
          <w:color w:val="000000"/>
          <w:sz w:val="24"/>
        </w:rPr>
        <w:t>) the provisional reserve list for each ministry. According to the authorities, the appointments for the Permanent Secretaries posts (</w:t>
      </w:r>
      <w:r>
        <w:rPr>
          <w:rFonts w:ascii="Times New Roman" w:hAnsi="Times New Roman" w:cs="Times New Roman"/>
          <w:noProof/>
          <w:color w:val="000000"/>
          <w:sz w:val="24"/>
          <w:vertAlign w:val="superscript"/>
        </w:rPr>
        <w:footnoteReference w:id="35"/>
      </w:r>
      <w:r>
        <w:rPr>
          <w:rFonts w:ascii="Times New Roman" w:hAnsi="Times New Roman" w:cs="Times New Roman"/>
          <w:noProof/>
          <w:color w:val="000000"/>
          <w:sz w:val="24"/>
        </w:rPr>
        <w:t>) should be completed by March 2020. This is linked to the specific commitment by mid-2019 for completing the appointments of the top public officials, previously named as Administrative Secretaries. Regarding the selection procedures for directors and heads of division, the authorities are planning to introduce legal amendments for posts, for which the process has not yet been initiated, including attaching greater significance to previous experience, while at the same time safeguarding the Supreme Council’s (ASEP) role in chairing the selection panels. The remaining director posts are expected to be completed by August 2020. Finally, there is no progress in the exercise of appointments of managers of National Strategic Reference Framework (European Structural and Investment Funds) related structures, a process that was launched back in 2017 (</w:t>
      </w:r>
      <w:r>
        <w:rPr>
          <w:rFonts w:ascii="Times New Roman" w:hAnsi="Times New Roman" w:cs="Times New Roman"/>
          <w:noProof/>
          <w:color w:val="000000"/>
          <w:sz w:val="24"/>
          <w:vertAlign w:val="superscript"/>
        </w:rPr>
        <w:footnoteReference w:id="36"/>
      </w:r>
      <w:r>
        <w:rPr>
          <w:rFonts w:ascii="Times New Roman" w:hAnsi="Times New Roman" w:cs="Times New Roman"/>
          <w:noProof/>
          <w:color w:val="000000"/>
          <w:sz w:val="24"/>
        </w:rPr>
        <w:t>).</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have made some progress in setting up an open selection process for senior management posts at public sector entities (</w:t>
      </w:r>
      <w:r>
        <w:rPr>
          <w:rFonts w:ascii="Times New Roman" w:hAnsi="Times New Roman" w:cs="Times New Roman"/>
          <w:noProof/>
          <w:color w:val="000000"/>
          <w:sz w:val="24"/>
          <w:vertAlign w:val="superscript"/>
        </w:rPr>
        <w:footnoteReference w:id="37"/>
      </w:r>
      <w:r>
        <w:rPr>
          <w:rFonts w:ascii="Times New Roman" w:hAnsi="Times New Roman" w:cs="Times New Roman"/>
          <w:b/>
          <w:noProof/>
          <w:color w:val="000000"/>
          <w:sz w:val="24"/>
        </w:rPr>
        <w:t>), expected to be in place by May 2020 and to come into effect on 1 September 2020</w:t>
      </w:r>
      <w:r>
        <w:rPr>
          <w:rFonts w:ascii="Times New Roman" w:hAnsi="Times New Roman" w:cs="Times New Roman"/>
          <w:noProof/>
          <w:color w:val="000000"/>
          <w:sz w:val="24"/>
        </w:rPr>
        <w:t>. Implementing an open selection process as a standard framework for these legal entities will be instrumental in strengthening their professional management and sending a clear message for further depoliticisation of the public administration. In case some entities are not made subject to the standard framework, in view of specific public policy roles, it would be warranted to keep exceptions to a minimum, establish clear criteria underpinning such exceptions, and set out clear minimum standards for the appointments in these entities. It could also be considered to adopt a similar approach as for ministries, i.e. splitting policy and administrative responsibilities of senior management (see the next paragraph), thereby safeguarding institutional continuity. Further, for the other management posts (middle/junior) in these entities, a common selection procedure that mirrors the ongoing procedure at the ministries would also enhance transparency and could be considered by the authorities. The recent adoption of a specific selection procedure for the Hellenic Cadastre (</w:t>
      </w:r>
      <w:r>
        <w:rPr>
          <w:rFonts w:ascii="Times New Roman" w:hAnsi="Times New Roman" w:cs="Times New Roman"/>
          <w:noProof/>
          <w:color w:val="000000"/>
          <w:sz w:val="24"/>
          <w:vertAlign w:val="superscript"/>
        </w:rPr>
        <w:footnoteReference w:id="38"/>
      </w:r>
      <w:r>
        <w:rPr>
          <w:rFonts w:ascii="Times New Roman" w:hAnsi="Times New Roman" w:cs="Times New Roman"/>
          <w:noProof/>
          <w:color w:val="000000"/>
          <w:sz w:val="24"/>
        </w:rPr>
        <w:t xml:space="preserve">) sends a worrying signal, as the selection panel is established based on a decision of the Board of Directors, whose members have been directly appointed by the relevant minister. </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Improving the human resource management in the public administration</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have made continued progress in developing a Human Resources Management Strategy, whereas a majority of the digital organigrams and job descriptions (an end-2019 specific commitment) have been completed</w:t>
      </w:r>
      <w:r>
        <w:rPr>
          <w:rFonts w:ascii="Times New Roman" w:hAnsi="Times New Roman" w:cs="Times New Roman"/>
          <w:noProof/>
          <w:color w:val="000000"/>
          <w:sz w:val="24"/>
        </w:rPr>
        <w:t>. The requirement that any general government entity needs to have completed its digital organigram and job descriptions for all posts in order to request new staff is expected to strengthen the incentive for the remaining entities to complete these steps. That said, some large entities (incl. the Social Security Fund (EFKA) and the Employment Fund (OAED)) still need to be fully included in the exercise, which constitutes a priority for the authorities with a view to completing the rollout by end-April 2020. At the same time, the tenders on Human Resources System Support Services and Information System Operation Services are planned to be launched by April 2020. In October 2019, the authorities put in place a framework enabling public sector entities to link each job holder with a specific job description, thus creating the link with the Single Payment Authority. The authorities are expected to verify full compliance with this framework by April 2020.</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mobility system and performance assessment have been firmly established across the public administration and adjustments to further improve their efficiency are planned.</w:t>
      </w:r>
      <w:r>
        <w:rPr>
          <w:rFonts w:ascii="Times New Roman" w:hAnsi="Times New Roman" w:cs="Times New Roman"/>
          <w:noProof/>
          <w:color w:val="000000"/>
          <w:sz w:val="24"/>
        </w:rPr>
        <w:t xml:space="preserve"> The mobility cycle launched in December 2019 maintained the positive trend seen from previous cycles, as both the number of entities took part and overall posts increased (</w:t>
      </w:r>
      <w:r>
        <w:rPr>
          <w:rFonts w:ascii="Times New Roman" w:hAnsi="Times New Roman" w:cs="Times New Roman"/>
          <w:noProof/>
          <w:color w:val="000000"/>
          <w:sz w:val="24"/>
          <w:vertAlign w:val="superscript"/>
        </w:rPr>
        <w:footnoteReference w:id="39"/>
      </w:r>
      <w:r>
        <w:rPr>
          <w:rFonts w:ascii="Times New Roman" w:hAnsi="Times New Roman" w:cs="Times New Roman"/>
          <w:noProof/>
          <w:color w:val="000000"/>
          <w:sz w:val="24"/>
        </w:rPr>
        <w:t>). The authorities are planning to strengthen the link of the mobility cycle with the annual hiring plan and reduce the number of cycles from three to two. Moreover, the authorities’ intentions to firm up on the timeframe through applying strict deadlines by when the transfers for each cycle need to be completed are welcome. This should reduce the risk of multiple selection procedures proceeding in parallel. Overall, the authorities have shown ownership to this reform and to further strengthen it. As concerns performance assessment, the participation of public officials continued to increase (</w:t>
      </w:r>
      <w:r>
        <w:rPr>
          <w:rFonts w:ascii="Times New Roman" w:hAnsi="Times New Roman" w:cs="Times New Roman"/>
          <w:noProof/>
          <w:color w:val="000000"/>
          <w:sz w:val="24"/>
          <w:vertAlign w:val="superscript"/>
        </w:rPr>
        <w:footnoteReference w:id="40"/>
      </w:r>
      <w:r>
        <w:rPr>
          <w:rFonts w:ascii="Times New Roman" w:hAnsi="Times New Roman" w:cs="Times New Roman"/>
          <w:noProof/>
          <w:color w:val="000000"/>
          <w:sz w:val="24"/>
        </w:rPr>
        <w:t>).The authorities are planning to extend the assessment period from four to six months in order to facilitate the process. The authorities, with technical support provided through the European Commission, are also carrying out a review of the assessment methodology with the aim to make it more targeted for specific staff categories (e.g. nurses). At the same time, introducing goal-setting into the assessment framework would facilitate the process and in the medium-term also allow the assessment to be more closely linked to the promotion exercise. The authorities’ intentions in this respect are yet to be confirmed.</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are planning to proceed to improve the personnel selection system and establish a coherent approach to streamline the job classification system.</w:t>
      </w:r>
      <w:r>
        <w:rPr>
          <w:rFonts w:ascii="Times New Roman" w:hAnsi="Times New Roman" w:cs="Times New Roman"/>
          <w:noProof/>
          <w:color w:val="000000"/>
          <w:sz w:val="24"/>
        </w:rPr>
        <w:t xml:space="preserve"> A committee has been established to review the enabling law of the Supreme Council for Civil Personnel Selection’s (ASEP) with the aim to simplify and accelerate the recruitment processes. In this context, it would be important that the planned reorganisation of the Supreme Council would also enhance its capacity to efficiently undertake the new responsibilities it has been allocated, such as overseeing the selection of managers in the public administration. As concerns the job classification, an updated inventory of all classifications is expected to be completed by March 2020 that should then form the basis on how to proceed to streamline the current system and link it with the function groups in the job description.</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Digital governance</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are taking steps to advance on digital governance, which is one of the least advanced in the EU.</w:t>
      </w:r>
      <w:r>
        <w:rPr>
          <w:rFonts w:ascii="Times New Roman" w:hAnsi="Times New Roman" w:cs="Times New Roman"/>
          <w:noProof/>
          <w:color w:val="000000"/>
          <w:sz w:val="24"/>
        </w:rPr>
        <w:t xml:space="preserve"> Despite some delays, a new ‘Digital Bible’ is expected to be completed by March 2020, setting out projects for the public administration as well as measures to enhance overall digital performance. Clarity on the roles and responsibilities within the administration will be key for its effective implementation. Progress is being made on important projects, such as the creation of a unified platform (gov.gr) for electronic services, increasing the interoperability of public systems, and the simplification and digitalisation of processes affecting citizens. Further simplifying processes that pose a burden to businesses would also be a priority for Greece.</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Legal codification</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have confirmed their intention to adopt a new codification law for the Labour Law Code and Code of Labour Regulatory Provisions by mid-2020</w:t>
      </w:r>
      <w:r>
        <w:rPr>
          <w:rFonts w:ascii="Times New Roman" w:hAnsi="Times New Roman" w:cs="Times New Roman"/>
          <w:noProof/>
          <w:color w:val="000000"/>
          <w:sz w:val="24"/>
        </w:rPr>
        <w:t>, in line with the specific commitment. The authorities are highly committed to the initiative as they see the codification process as an opportunity to carry out a thorough review of the current legal framework, which includes laws that have been amended several times, and to adopt a single codification law while at the same time repealing obsolete laws and provisions. A number of relevant legal provisions (</w:t>
      </w:r>
      <w:r>
        <w:rPr>
          <w:rFonts w:ascii="Times New Roman" w:hAnsi="Times New Roman" w:cs="Times New Roman"/>
          <w:noProof/>
          <w:color w:val="000000"/>
          <w:sz w:val="24"/>
          <w:vertAlign w:val="superscript"/>
        </w:rPr>
        <w:footnoteReference w:id="41"/>
      </w:r>
      <w:r>
        <w:rPr>
          <w:rFonts w:ascii="Times New Roman" w:hAnsi="Times New Roman" w:cs="Times New Roman"/>
          <w:noProof/>
          <w:color w:val="000000"/>
          <w:sz w:val="24"/>
        </w:rPr>
        <w:t>) included in the Executive State Law have come into effect, including reestablishment of the Central Codification Committee that is mandated to prepare a manual for the codification methodology. The Committee will also set out an annual programme for the codifications planned for 2020. The preliminary plan is to initiate the legal codification in a number of key sectors, including taxation and customs. In this regard, allocating sufficient resources for the Secretariat for General for Legal and Parliamentary Affairs and the Central Codification Committee to carry out the programming and to closely monitor the implementation, including taking full advantage of EU funds that are available for this task, would be instrumental in completing the project by mid-2020. Finally, as concerns the national gateway for legal codification (a mid-2022 specific commitment) the tender is expected to be launched by April 2020.</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Implementation of the Executive State Law</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new provisions of the Executive State Law on good law-making came into effect on 8 January 2020 (</w:t>
      </w:r>
      <w:r>
        <w:rPr>
          <w:rFonts w:ascii="Times New Roman" w:hAnsi="Times New Roman" w:cs="Times New Roman"/>
          <w:noProof/>
          <w:color w:val="000000"/>
          <w:sz w:val="24"/>
          <w:vertAlign w:val="superscript"/>
        </w:rPr>
        <w:footnoteReference w:id="42"/>
      </w:r>
      <w:r>
        <w:rPr>
          <w:rFonts w:ascii="Times New Roman" w:hAnsi="Times New Roman" w:cs="Times New Roman"/>
          <w:b/>
          <w:noProof/>
          <w:color w:val="000000"/>
          <w:sz w:val="24"/>
        </w:rPr>
        <w:t>) and are expected to improve the quality of laws in accordance with best practices for better regulation and to significantly reduce unrelated and last-minute amendments.</w:t>
      </w:r>
      <w:r>
        <w:rPr>
          <w:rFonts w:ascii="Times New Roman" w:hAnsi="Times New Roman" w:cs="Times New Roman"/>
          <w:noProof/>
          <w:color w:val="000000"/>
          <w:sz w:val="24"/>
        </w:rPr>
        <w:t xml:space="preserve"> The authorities, with technical support provided through the European Commission, are in the process of finalising a detailed legislative methodology manual and a template for a comprehensive impact assessment that will accompany each draft law. Further, each draft law will be published for open consultation for two weeks, and an expert committee is mandated to carry out quality control of each draft law prior to its tabling in Parliament. The proper enforcement of these good law-making provisions will serve as a litmus test for whether good law-making practices would be applied in practice (</w:t>
      </w:r>
      <w:r>
        <w:rPr>
          <w:rFonts w:ascii="Times New Roman" w:hAnsi="Times New Roman" w:cs="Times New Roman"/>
          <w:noProof/>
          <w:color w:val="000000"/>
          <w:sz w:val="24"/>
          <w:vertAlign w:val="superscript"/>
        </w:rPr>
        <w:footnoteReference w:id="43"/>
      </w:r>
      <w:r>
        <w:rPr>
          <w:rFonts w:ascii="Times New Roman" w:hAnsi="Times New Roman" w:cs="Times New Roman"/>
          <w:noProof/>
          <w:color w:val="000000"/>
          <w:sz w:val="24"/>
        </w:rPr>
        <w:t>). Finally, the authorities are progressing with enhancing the legal drafting and political analyst skills at the central administration, with the first group of selected public servants to receive targeted training expected to be in place by September 2020.</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Provisions adopted as part of the Executive State Law for the delegation of signature powers to the non-political level have come into effect on 8 February 2020.</w:t>
      </w:r>
      <w:r>
        <w:rPr>
          <w:rFonts w:ascii="Times New Roman" w:hAnsi="Times New Roman" w:cs="Times New Roman"/>
          <w:noProof/>
          <w:color w:val="000000"/>
          <w:sz w:val="24"/>
        </w:rPr>
        <w:t xml:space="preserve"> This entails a major reform at the core of the public administration, as one of its main characteristics had been the high degree of centralisation in the decision-making. Once enforced, it is estimated that approximately 80% of all decisions taken in each ministry will now be signed off at Director-General level. In order to ensure a smooth implementation of this provision, the authorities have issued a number of circulars and are planning to carry out tailored training sessions for the Director-Generals. An amendment introduced to the Parliament on 11 February 2020, included transitional provisions that maintain the signature powers at the Minister level for some cases. It would be important for these provisions not to become extended to other cases and also to be phased-out in an orderly manner within a reasonable time frame. </w:t>
      </w:r>
    </w:p>
    <w:p>
      <w:pPr>
        <w:keepNext/>
        <w:spacing w:before="120" w:after="120" w:line="240" w:lineRule="atLeast"/>
        <w:jc w:val="both"/>
        <w:rPr>
          <w:rFonts w:ascii="Century Gothic" w:hAnsi="Century Gothic" w:cs="Times New Roman"/>
          <w:b/>
          <w:noProof/>
          <w:color w:val="333399"/>
        </w:rPr>
      </w:pPr>
      <w:r>
        <w:rPr>
          <w:rFonts w:ascii="Century Gothic" w:hAnsi="Century Gothic" w:cs="Times New Roman"/>
          <w:b/>
          <w:noProof/>
          <w:color w:val="333399"/>
        </w:rPr>
        <w:t>Controlling the size and cost of public sector</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Hiring of permanent staff is proceeding in compliance with the staffing plan</w:t>
      </w:r>
      <w:r>
        <w:rPr>
          <w:rFonts w:ascii="Times New Roman" w:hAnsi="Times New Roman" w:cs="Times New Roman"/>
          <w:noProof/>
          <w:color w:val="000000"/>
          <w:sz w:val="24"/>
        </w:rPr>
        <w:t xml:space="preserve">. According to preliminary data, the number of permanent officials hired during 2019 was significantly below the number of public officials that left the public administration, mainly due to retirement. The hiring plan for 2020 will therefore also include the number of positions that were not filled in 2019 (the “carryover”) while also adding the temporary posts that are planned to be converted into permanent posts (see below).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increasing trend of temporary staff has slowed down and the overall level is expected to be reduced during 2020.</w:t>
      </w:r>
      <w:r>
        <w:rPr>
          <w:rFonts w:ascii="Times New Roman" w:hAnsi="Times New Roman" w:cs="Times New Roman"/>
          <w:noProof/>
          <w:color w:val="000000"/>
          <w:sz w:val="24"/>
        </w:rPr>
        <w:t xml:space="preserve"> The reinstatement of the need for an approval of the Ministerial Cabinet Act (33/2006) for all hiring decisions along with removing a number of exceptions (</w:t>
      </w:r>
      <w:r>
        <w:rPr>
          <w:rFonts w:ascii="Times New Roman" w:hAnsi="Times New Roman" w:cs="Times New Roman"/>
          <w:noProof/>
          <w:color w:val="000000"/>
          <w:sz w:val="24"/>
          <w:vertAlign w:val="superscript"/>
        </w:rPr>
        <w:footnoteReference w:id="44"/>
      </w:r>
      <w:r>
        <w:rPr>
          <w:rFonts w:ascii="Times New Roman" w:hAnsi="Times New Roman" w:cs="Times New Roman"/>
          <w:noProof/>
          <w:color w:val="000000"/>
          <w:sz w:val="24"/>
        </w:rPr>
        <w:t>) that had been granted where such a cabinet approval was not required is also expected to increase control of the hiring procedures for temporary staff. At operational level, the authorities are planning to establish a link between the census database and the information system of the Ministry of Labour (‘Ergani’), which should enable the temporary staff data to be reported in terms of a full-time equivalent, which will enhance monitoring and steering capabilities. The overall number of temporary staff is expected to be reduced during 2020, also taking into account the ongoing hiring procedures that will convert temporary teaching and ‘home assistance’ post’ (approximately 13 000 posts in total) to permanent ones.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While new salary provisions adopted during this reporting period raise concerns about the integrity of the unified wage grid, progress has been made to strengthen central control over the wage grid and hiring procedures</w:t>
      </w:r>
      <w:r>
        <w:rPr>
          <w:rFonts w:ascii="Times New Roman" w:hAnsi="Times New Roman" w:cs="Times New Roman"/>
          <w:noProof/>
          <w:color w:val="000000"/>
          <w:sz w:val="24"/>
        </w:rPr>
        <w:t>. A number of legal amendments have introduced further exceptions to the unified wage grid. For example, extending and adjusting the allowance for managerial responsibilities (</w:t>
      </w:r>
      <w:r>
        <w:rPr>
          <w:rFonts w:ascii="Times New Roman" w:hAnsi="Times New Roman" w:cs="Times New Roman"/>
          <w:noProof/>
          <w:color w:val="000000"/>
          <w:sz w:val="24"/>
          <w:vertAlign w:val="superscript"/>
        </w:rPr>
        <w:footnoteReference w:id="45"/>
      </w:r>
      <w:r>
        <w:rPr>
          <w:rFonts w:ascii="Times New Roman" w:hAnsi="Times New Roman" w:cs="Times New Roman"/>
          <w:noProof/>
          <w:color w:val="000000"/>
          <w:sz w:val="24"/>
        </w:rPr>
        <w:t>), extending the scope of an allowance for public officials carrying out controlling tasks (</w:t>
      </w:r>
      <w:r>
        <w:rPr>
          <w:rFonts w:ascii="Times New Roman" w:hAnsi="Times New Roman" w:cs="Times New Roman"/>
          <w:noProof/>
          <w:color w:val="000000"/>
          <w:sz w:val="24"/>
          <w:vertAlign w:val="superscript"/>
        </w:rPr>
        <w:footnoteReference w:id="46"/>
      </w:r>
      <w:r>
        <w:rPr>
          <w:rFonts w:ascii="Times New Roman" w:hAnsi="Times New Roman" w:cs="Times New Roman"/>
          <w:noProof/>
          <w:color w:val="000000"/>
          <w:sz w:val="24"/>
        </w:rPr>
        <w:t>) and specific reimbursement provisions for legal entities of public and private law (</w:t>
      </w:r>
      <w:r>
        <w:rPr>
          <w:rFonts w:ascii="Times New Roman" w:hAnsi="Times New Roman" w:cs="Times New Roman"/>
          <w:noProof/>
          <w:color w:val="000000"/>
          <w:sz w:val="24"/>
          <w:vertAlign w:val="superscript"/>
        </w:rPr>
        <w:footnoteReference w:id="47"/>
      </w:r>
      <w:r>
        <w:rPr>
          <w:rFonts w:ascii="Times New Roman" w:hAnsi="Times New Roman" w:cs="Times New Roman"/>
          <w:noProof/>
          <w:color w:val="000000"/>
          <w:sz w:val="24"/>
        </w:rPr>
        <w:t>). However, the authorities have shown their commitment to strengthen control of the unified wage grid and hiring procedures and is expected by end-February 2020 to establish an inter-ministerial committee (</w:t>
      </w:r>
      <w:r>
        <w:rPr>
          <w:rFonts w:ascii="Times New Roman" w:hAnsi="Times New Roman" w:cs="Times New Roman"/>
          <w:noProof/>
          <w:color w:val="000000"/>
          <w:sz w:val="24"/>
          <w:vertAlign w:val="superscript"/>
        </w:rPr>
        <w:footnoteReference w:id="48"/>
      </w:r>
      <w:r>
        <w:rPr>
          <w:rFonts w:ascii="Times New Roman" w:hAnsi="Times New Roman" w:cs="Times New Roman"/>
          <w:noProof/>
          <w:color w:val="000000"/>
          <w:sz w:val="24"/>
        </w:rPr>
        <w:t>) with a mandate to ensure overall coherence and reinforce control. The authorities are also reflecting on a range of additional measures, which are closely linked to the new legislative process introduced by the Executive State Law (as described previously in this section), in order to ensure compliance with the hiring plan and the unified wage grid. Possible measures being considered would entail that the Ministry of Interior and Ministry of Finance will provide a reasoned opinion if draft legal provision is consistent with the hiring plan and the unified wage grid. Another specific measure that could also prove efficient and enhance transparency is to restrict any remuneration-related amendments to dedicated wage grid laws to be adopted at pre-set periods (e.g. twice a year). This would also be consistent with the good law-making process that is now in force. Finally, as concerns the allowance for hazardous occupations, the inter-ministerial committee is on track to finalise its work by mid-2020, paving the way for a Joint Ministerial Decision to be adopted by September 2020 that would set out a clear methodology on who is eligible to receive this allowance.</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authorities have adopted primary legislation (</w:t>
      </w:r>
      <w:r>
        <w:rPr>
          <w:rFonts w:ascii="Times New Roman" w:hAnsi="Times New Roman" w:cs="Times New Roman"/>
          <w:noProof/>
          <w:color w:val="000000"/>
          <w:sz w:val="24"/>
          <w:vertAlign w:val="superscript"/>
        </w:rPr>
        <w:footnoteReference w:id="49"/>
      </w:r>
      <w:r>
        <w:rPr>
          <w:rFonts w:ascii="Times New Roman" w:hAnsi="Times New Roman" w:cs="Times New Roman"/>
          <w:b/>
          <w:noProof/>
          <w:color w:val="000000"/>
          <w:sz w:val="24"/>
        </w:rPr>
        <w:t>) to allow for the reorganisation of the Single Payment Authority.</w:t>
      </w:r>
      <w:r>
        <w:rPr>
          <w:rFonts w:ascii="Times New Roman" w:hAnsi="Times New Roman" w:cs="Times New Roman"/>
          <w:noProof/>
          <w:color w:val="000000"/>
          <w:sz w:val="24"/>
        </w:rPr>
        <w:t xml:space="preserve"> This step allowed for the implementation of an important IT project (</w:t>
      </w:r>
      <w:r>
        <w:rPr>
          <w:rFonts w:ascii="Times New Roman" w:hAnsi="Times New Roman" w:cs="Times New Roman"/>
          <w:noProof/>
          <w:color w:val="000000"/>
          <w:sz w:val="24"/>
          <w:vertAlign w:val="superscript"/>
        </w:rPr>
        <w:footnoteReference w:id="50"/>
      </w:r>
      <w:r>
        <w:rPr>
          <w:rFonts w:ascii="Times New Roman" w:hAnsi="Times New Roman" w:cs="Times New Roman"/>
          <w:noProof/>
          <w:color w:val="000000"/>
          <w:sz w:val="24"/>
        </w:rPr>
        <w:t>), which had been significantly delayed, aiming to establish an integrated and fully digitized payroll system for all general government employees, which will be managed by the Single Payment Authority. The calculation, clearance, payment and attribution of social security contributions and deductions at a single point for all general government officials is expected to bring a number of benefits, including lower administrative costs. Once the IT system is operational, it will allow for the calculation and management of remunerations for approximately 650 000 public officials by the Single Payment Authority.</w:t>
      </w: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54" w:name="_Toc32921508"/>
      <w:r>
        <w:rPr>
          <w:rFonts w:ascii="Century Gothic" w:hAnsi="Century Gothic" w:cs="Times New Roman"/>
          <w:b/>
          <w:caps/>
          <w:noProof/>
          <w:color w:val="333399"/>
        </w:rPr>
        <w:t>8.2.</w:t>
      </w:r>
      <w:r>
        <w:rPr>
          <w:rFonts w:ascii="Century Gothic" w:hAnsi="Century Gothic" w:cs="Times New Roman"/>
          <w:b/>
          <w:caps/>
          <w:noProof/>
          <w:color w:val="333399"/>
        </w:rPr>
        <w:tab/>
        <w:t>JUSTICE</w:t>
      </w:r>
      <w:bookmarkEnd w:id="54"/>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gradual switching to the mandatory electronic filing and processing of legal documents is progressing, starting from the administrative jurisdictions (an end-2019 specific commitment). </w:t>
      </w:r>
      <w:r>
        <w:rPr>
          <w:rFonts w:ascii="Times New Roman" w:hAnsi="Times New Roman" w:cs="Times New Roman"/>
          <w:noProof/>
          <w:color w:val="000000"/>
          <w:sz w:val="24"/>
        </w:rPr>
        <w:t>Given the complexity of the project in terms of IT infrastructure, staff training and awareness-building and the time needed for the implementation of the pilot projects, it was previously agreed that full rollout throughout all courts by end-2019 is not achievable and that the commitment would be assessed on the basis of progress in the second phase of the Integrated Judicial Case Management System (see below) or the full rollout to be implemented over a 36-month period from the activation of the relevant contract.</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The authorities are moving forward, with some delay, with the call for bids for the second phase of the Integrated Judicial Case Management System, which is a specific commitment for mid-2020. </w:t>
      </w:r>
      <w:r>
        <w:rPr>
          <w:rFonts w:ascii="Times New Roman" w:hAnsi="Times New Roman" w:cs="Times New Roman"/>
          <w:noProof/>
          <w:color w:val="000000"/>
          <w:sz w:val="24"/>
        </w:rPr>
        <w:t>While the drafting of the call for bids was finalized in November 2019, a change in the governance of the process (with the conduct of the tender procedure moved to the new Ministry of Digital Governance) entailed a delay in the procedure, attributed by the authorities to technical problems (data transfer difficulties) that prevented its completion by the original deadline of end-2019. The authorities intend to publish the call for bids by end-February 2020. Given the size and scope of the project and the anticipated length of the tendering procedure whose launch, originally planned for June 2019, was delayed by several months due to reasons not attributable to the current administration, it was agreed with the latter that full implementation of the second phase of the Integrated Judicial Case Management System by mid-2020 is not achievable and that the commitment would be assessed on the basis of the conclusion of the relevant tendering procedure, by end-2020, and of a 36-month implementation plan for the completion of the project, which is also stipulated in the draft tender documentation (</w:t>
      </w:r>
      <w:r>
        <w:rPr>
          <w:rFonts w:ascii="Times New Roman" w:hAnsi="Times New Roman" w:cs="Times New Roman"/>
          <w:noProof/>
          <w:color w:val="000000"/>
          <w:sz w:val="24"/>
          <w:vertAlign w:val="superscript"/>
        </w:rPr>
        <w:footnoteReference w:id="51"/>
      </w:r>
      <w:r>
        <w:rPr>
          <w:rFonts w:ascii="Times New Roman" w:hAnsi="Times New Roman" w:cs="Times New Roman"/>
          <w:noProof/>
          <w:color w:val="000000"/>
          <w:sz w:val="24"/>
        </w:rPr>
        <w:t xml:space="preserve">).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Following the adoption of a number of legal amendments ensuring conformity of the mediation framework with the Greek Constitution and EU law, the mandatory mediation framework, whose entry into force had been twice postponed, is being phased in.</w:t>
      </w:r>
      <w:r>
        <w:rPr>
          <w:rFonts w:ascii="Times New Roman" w:hAnsi="Times New Roman" w:cs="Times New Roman"/>
          <w:noProof/>
          <w:color w:val="000000"/>
          <w:sz w:val="24"/>
        </w:rPr>
        <w:t xml:space="preserve"> Legislation adopted in November 2019 introduced a reformed mediation framework that, most notably, redefined the categories of disputes subjected to mandatory mediation, the minimum cost of mediation, and a number of procedural and technical aspects, particularly regarding the training of mediators and the recognition of their professional qualifications. The implementation of the first stage of compulsory mediation started on 15 January 2020 and covers family law disputes, barring certain categories of high public-order relevance. The second phase will follow in March 2020 and will cover all disputes falling under the general competence of all formations of first instance courts whose value exceeds €30 000. Regarding non-compulsory mediation, and given the low degree of penetration of an alternative dispute resolution culture in Greek society, the authorities are considering allocating resources for increasing awareness of the availability of mediation amongst legal practitioners and stakeholders. The European institutions intend to monitor closely the developments following the full deployment of mandatory mediation, relying on statistical data to be collected by the Ministry of Justice on a regular basis. </w:t>
      </w: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55" w:name="_Toc32921509"/>
      <w:r>
        <w:rPr>
          <w:rFonts w:ascii="Century Gothic" w:hAnsi="Century Gothic" w:cs="Times New Roman"/>
          <w:b/>
          <w:caps/>
          <w:noProof/>
          <w:color w:val="333399"/>
        </w:rPr>
        <w:t>8.3.</w:t>
      </w:r>
      <w:r>
        <w:rPr>
          <w:rFonts w:ascii="Century Gothic" w:hAnsi="Century Gothic" w:cs="Times New Roman"/>
          <w:b/>
          <w:caps/>
          <w:noProof/>
          <w:color w:val="333399"/>
        </w:rPr>
        <w:tab/>
        <w:t>ANTI-CORRUPTION</w:t>
      </w:r>
      <w:bookmarkEnd w:id="55"/>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newly created National Authority for Transparency is being built up gradually, while implementation of the National Anti-Corruption Action Plan is ongoing and warrants some minor adjustments in the short term</w:t>
      </w:r>
      <w:r>
        <w:rPr>
          <w:rFonts w:ascii="Times New Roman" w:hAnsi="Times New Roman" w:cs="Times New Roman"/>
          <w:noProof/>
          <w:color w:val="000000"/>
          <w:sz w:val="24"/>
        </w:rPr>
        <w:t>. The Authority is planned to be staffed with 500 persons by March 2020 and to be completely operational in November 2020. The latest biannual progress report on the Action Plan, which aims at prevention of corruption in specific sectors, promotion of integrity, strengthening coordination and raising awareness, concluded that the implementation of the Action Plan was on track overall since 33% of the actions were already completed and a great majority was on going. In effect, according to the National Authority for Transparency, only 4% of actions have not been started yet. The next report is due to be published before March 2020. The current Action Plan runs until 2021 and will need to be slightly amended based on the current state of play. Before end-2020, the authorities envisage to draft a new Action Plan for the period after 2021. Ahead of this, with a view of improving the monitoring of the plan, the purpose of each action will be extensively documented including its scope, the key stakeholders, milestones and expected results. At the same time, the National Transparency Authority is assessing the various avenues for an independent assessment of the implementation of the Action Plan. This would be in line with one of the recommendations included in the 2014 EU Anti-corruption report (</w:t>
      </w:r>
      <w:r>
        <w:rPr>
          <w:rFonts w:ascii="Times New Roman" w:hAnsi="Times New Roman" w:cs="Times New Roman"/>
          <w:noProof/>
          <w:color w:val="000000"/>
          <w:sz w:val="24"/>
          <w:vertAlign w:val="superscript"/>
        </w:rPr>
        <w:footnoteReference w:id="52"/>
      </w:r>
      <w:r>
        <w:rPr>
          <w:rFonts w:ascii="Times New Roman" w:hAnsi="Times New Roman" w:cs="Times New Roman"/>
          <w:noProof/>
          <w:color w:val="000000"/>
          <w:sz w:val="24"/>
        </w:rPr>
        <w:t xml:space="preserve">).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Despite the progress made, key actions remain to be completed.</w:t>
      </w:r>
      <w:r>
        <w:rPr>
          <w:rFonts w:ascii="Times New Roman" w:hAnsi="Times New Roman" w:cs="Times New Roman"/>
          <w:noProof/>
          <w:color w:val="000000"/>
          <w:sz w:val="24"/>
        </w:rPr>
        <w:t xml:space="preserve"> For instance, the mechanism for the asset recovery office and asset management offices, which are essential to detect, trace and freeze assets deriving from cross-border criminal activities, are currently being strengthened. Regarding the institutional framework for transparency, oversight and sanctions on political party financing, the latest reports on political party financing and on asset declarations of the Members of Parliament are dated from 2017. Moreover, it is noted that no sanction has yet been applied by the Special Audit Committee in charge (</w:t>
      </w:r>
      <w:r>
        <w:rPr>
          <w:rFonts w:ascii="Times New Roman" w:hAnsi="Times New Roman" w:cs="Times New Roman"/>
          <w:noProof/>
          <w:color w:val="000000"/>
          <w:sz w:val="24"/>
          <w:vertAlign w:val="superscript"/>
        </w:rPr>
        <w:footnoteReference w:id="53"/>
      </w:r>
      <w:r>
        <w:rPr>
          <w:rFonts w:ascii="Times New Roman" w:hAnsi="Times New Roman" w:cs="Times New Roman"/>
          <w:noProof/>
          <w:color w:val="000000"/>
          <w:sz w:val="24"/>
        </w:rPr>
        <w:t xml:space="preserve">) of these cases. An in-depth analysis of how the legislative framework has been enforced in practice could shed some light whether specific adjustments might be needed.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In some other fields, the reforms are still being developed but go in the right direction</w:t>
      </w:r>
      <w:r>
        <w:rPr>
          <w:rFonts w:ascii="Times New Roman" w:hAnsi="Times New Roman" w:cs="Times New Roman"/>
          <w:noProof/>
          <w:color w:val="000000"/>
          <w:sz w:val="24"/>
        </w:rPr>
        <w:t>. While the national framework for integrity in public institutions, the plan on health and the national plan to raise public awareness are under preparation, the National Authority for Transparency collaborates with the United Nation Office on Drugs and Crime in order to enhance the functioning of the European Anti-Fraud Coordination Office in Greece, in accordance with EU regulations. This would support Greece’s efforts in fighting the misappropriation of Europeans structural funds and state aid. Building on the technical support provided, the Authority is expected to establish a holistic action plan to strengthen the role and capacity of the Anti-Fraud Coordination Office. Regarding internal audit, the Authority plans to work together with the Hellenic Court of Auditors to design and implement effective internal control mechanisms that would help detecting and addressing corruption cases (</w:t>
      </w:r>
      <w:r>
        <w:rPr>
          <w:rFonts w:ascii="Times New Roman" w:hAnsi="Times New Roman" w:cs="Times New Roman"/>
          <w:noProof/>
          <w:color w:val="000000"/>
          <w:sz w:val="24"/>
          <w:vertAlign w:val="superscript"/>
        </w:rPr>
        <w:footnoteReference w:id="54"/>
      </w:r>
      <w:r>
        <w:rPr>
          <w:rFonts w:ascii="Times New Roman" w:hAnsi="Times New Roman" w:cs="Times New Roman"/>
          <w:noProof/>
          <w:color w:val="000000"/>
          <w:sz w:val="24"/>
        </w:rPr>
        <w:t xml:space="preserve">).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The Organisation for Economic Co-operation and Development and the Group of States against Corruption welcomed the amendment of the law modifying the Criminal Code and the Criminal Procedure Code, though some concerns remain.</w:t>
      </w:r>
      <w:r>
        <w:rPr>
          <w:rFonts w:ascii="Times New Roman" w:hAnsi="Times New Roman" w:cs="Times New Roman"/>
          <w:noProof/>
          <w:color w:val="000000"/>
          <w:sz w:val="24"/>
        </w:rPr>
        <w:t xml:space="preserve"> Following the amendments of June 2019, the main active bribery offence had been declassified from a felony into a misdemeanour. While this downgrading was phased out in November 2019, it will affect a number of ongoing cases (see the 2020 Country Report for additional details). Full implementation of the Group of States against Corruption’s recommendations is a specific commitment for mid-2021. The authorities have established a committee with a view to implementing the remaining recommendations of the Group of States against Corruption in the area of the criminal codes before end-2020. The National Transparency Authority will be given an observer status in this committee.</w:t>
      </w:r>
    </w:p>
    <w:bookmarkEnd w:id="51"/>
    <w:p>
      <w:pPr>
        <w:spacing w:after="240" w:line="240" w:lineRule="atLeast"/>
        <w:jc w:val="both"/>
        <w:rPr>
          <w:rFonts w:ascii="Times New Roman" w:hAnsi="Times New Roman" w:cs="Times New Roman"/>
          <w:noProof/>
          <w:color w:val="000000"/>
          <w:sz w:val="24"/>
        </w:rPr>
        <w:sectPr>
          <w:headerReference w:type="even" r:id="rId91"/>
          <w:headerReference w:type="default" r:id="rId92"/>
          <w:footerReference w:type="even" r:id="rId93"/>
          <w:footerReference w:type="default" r:id="rId94"/>
          <w:headerReference w:type="first" r:id="rId95"/>
          <w:footerReference w:type="first" r:id="rId96"/>
          <w:footnotePr>
            <w:pos w:val="beneathText"/>
          </w:footnotePr>
          <w:endnotePr>
            <w:numFmt w:val="decimal"/>
            <w:numRestart w:val="eachSect"/>
          </w:endnotePr>
          <w:type w:val="oddPage"/>
          <w:pgSz w:w="11907" w:h="16839"/>
          <w:pgMar w:top="1984" w:right="1701" w:bottom="1417" w:left="1701" w:header="709" w:footer="709" w:gutter="0"/>
          <w:cols w:space="708"/>
          <w:titlePg/>
          <w:docGrid w:linePitch="360"/>
        </w:sectPr>
      </w:pPr>
    </w:p>
    <w:bookmarkStart w:id="58" w:name="GUID4A280EBCF07346898F4E101CE89EBFC7"/>
    <w:p>
      <w:pPr>
        <w:spacing w:after="240" w:line="240" w:lineRule="atLeast"/>
        <w:jc w:val="both"/>
        <w:rPr>
          <w:rFonts w:ascii="Times New Roman" w:hAnsi="Times New Roman" w:cs="Times New Roman"/>
          <w:noProof/>
          <w:vanish/>
          <w:color w:val="000000"/>
          <w:sz w:val="20"/>
        </w:rPr>
      </w:pPr>
      <w:r>
        <w:rPr>
          <w:rFonts w:ascii="Times New Roman" w:hAnsi="Times New Roman" w:cs="Times New Roman"/>
          <w:noProof/>
          <w:vanish/>
          <w:color w:val="000000"/>
          <w:sz w:val="20"/>
        </w:rPr>
        <w:fldChar w:fldCharType="begin"/>
      </w:r>
      <w:r>
        <w:rPr>
          <w:rFonts w:ascii="Times New Roman" w:hAnsi="Times New Roman" w:cs="Times New Roman"/>
          <w:noProof/>
          <w:color w:val="000000"/>
          <w:sz w:val="20"/>
        </w:rPr>
        <w:instrText xml:space="preserve"> TC "</w:instrText>
      </w:r>
      <w:bookmarkStart w:id="59" w:name="_Toc32921510"/>
      <w:r>
        <w:rPr>
          <w:rFonts w:ascii="Times New Roman" w:hAnsi="Times New Roman" w:cs="Times New Roman"/>
          <w:noProof/>
          <w:color w:val="000000"/>
          <w:sz w:val="20"/>
        </w:rPr>
        <w:instrText>9.</w:instrText>
      </w:r>
      <w:r>
        <w:rPr>
          <w:rFonts w:ascii="Times New Roman" w:hAnsi="Times New Roman" w:cs="Times New Roman"/>
          <w:noProof/>
          <w:color w:val="000000"/>
          <w:sz w:val="20"/>
        </w:rPr>
        <w:tab/>
        <w:instrText>Sovereign financing and capacity to repay</w:instrText>
      </w:r>
      <w:bookmarkEnd w:id="59"/>
      <w:r>
        <w:rPr>
          <w:rFonts w:ascii="Times New Roman" w:hAnsi="Times New Roman" w:cs="Times New Roman"/>
          <w:noProof/>
          <w:color w:val="000000"/>
          <w:sz w:val="20"/>
        </w:rPr>
        <w:instrText xml:space="preserve">" \f \l 1 </w:instrText>
      </w:r>
      <w:r>
        <w:rPr>
          <w:rFonts w:ascii="Times New Roman" w:hAnsi="Times New Roman" w:cs="Times New Roman"/>
          <w:noProof/>
          <w:vanish/>
          <w:color w:val="000000"/>
          <w:sz w:val="20"/>
        </w:rPr>
        <w:fldChar w:fldCharType="end"/>
      </w:r>
    </w:p>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60" w:name="_Toc32921511"/>
      <w:r>
        <w:rPr>
          <w:rFonts w:ascii="Century Gothic" w:hAnsi="Century Gothic" w:cs="Times New Roman"/>
          <w:b/>
          <w:caps/>
          <w:noProof/>
          <w:color w:val="333399"/>
        </w:rPr>
        <w:t>9.1.</w:t>
      </w:r>
      <w:r>
        <w:rPr>
          <w:rFonts w:ascii="Century Gothic" w:hAnsi="Century Gothic" w:cs="Times New Roman"/>
          <w:b/>
          <w:caps/>
          <w:noProof/>
          <w:color w:val="333399"/>
        </w:rPr>
        <w:tab/>
        <w:t>SOVEREIGN FINANCING</w:t>
      </w:r>
      <w:bookmarkEnd w:id="60"/>
      <w:r>
        <w:rPr>
          <w:rFonts w:ascii="Century Gothic" w:hAnsi="Century Gothic" w:cs="Times New Roman"/>
          <w:b/>
          <w:caps/>
          <w:noProof/>
          <w:color w:val="333399"/>
        </w:rPr>
        <w:t xml:space="preserve">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Greece strengthened its presence on the sovereign bond market, by issuing new bonds in January 2020. </w:t>
      </w:r>
      <w:r>
        <w:rPr>
          <w:rFonts w:ascii="Times New Roman" w:hAnsi="Times New Roman" w:cs="Times New Roman"/>
          <w:noProof/>
          <w:color w:val="000000"/>
          <w:sz w:val="24"/>
        </w:rPr>
        <w:t>At the end of November 2019, Greece carried out the partial early repayment of its International Monetary Fund loan as was foreseen in the previous report. In January 2020, the Public Debt Management Agency (PDMA) conducted a liquidity management exercise, by entering into a bond swap agreement with the National Bank of Greece (NBG), a commercial bank. In this operation, the Public Debt Management Agency swapped three bonds held by the National Bank of Greece which would have matured between 2023 and 2026, with a new government bond that has a 30-year maturity. Both the market value and the nominal amounts of the exchanged bonds were the same, therefore this exchange had no direct impact on the level of public debt, but reduced the refinancing risks of the Greek state. Following its funding strategy published in December 2019, and a few days after the most recent upgrade (see next paragraph), the Public Debt Management Agency issued €2.5 billion of a new 15-year sovereign bond at the end of January 2020. Amidst strong investor interest, the final order book was close to €19 billion, and the achieved yield of 1.9% came below the expectations. Some 84% of the auctioned bond was sold to foreign investors, mainly real money investors. It was the first time since the crisis that Greece issued a bond with such a long maturity on an open auction, and also the first time it issued a bond that matures after the end of the current deferral period of the European Financial Stability Facility loans, i.e. after 2032. This indicates that the investors see limited roll-over risk also on this horizon. Based on the funding strategy, further bond issuances can be expected this year, which might finance further early repayments of official and private sector debts.</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Sovereign yield spreads have decreased, and Greece’s rating is now two to four notches below investment grade.</w:t>
      </w:r>
      <w:r>
        <w:rPr>
          <w:rFonts w:ascii="Times New Roman" w:hAnsi="Times New Roman" w:cs="Times New Roman"/>
          <w:noProof/>
          <w:color w:val="000000"/>
          <w:sz w:val="24"/>
        </w:rPr>
        <w:t xml:space="preserve"> Since the last report, Greece’s sovereign yield spreads have further decreased, in particular in the first half of February, reaching levels around 140 basis points over the German government bonds on a 10-year maturity. On 24 January 2020, Fitch Ratings upgraded Greece’s credit rating by one notch to BB with a positive outlook. The upgrade was underpinned by improving debt sustainability, sustained GDP growth, good fiscal track record and stable political environment. The positive outlook reflects that Fitch Ratings expects that the implementation of growth-friendly policies will continue while the fiscal targets will continue to be met in 2020.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Greece continues to maintain its significant cash buffer.</w:t>
      </w:r>
      <w:r>
        <w:rPr>
          <w:rFonts w:ascii="Times New Roman" w:hAnsi="Times New Roman" w:cs="Times New Roman"/>
          <w:noProof/>
          <w:color w:val="000000"/>
          <w:sz w:val="24"/>
        </w:rPr>
        <w:t xml:space="preserve"> State cash reserves are estimated to have reached €23.5 billion at the end of 2019, of which €15.7 billion remain intact on the cash buffer account. These reserves are sufficient to cover financing needs for more than two years if the primary balance targets are met.</w:t>
      </w:r>
    </w:p>
    <w:tbl>
      <w:tblPr>
        <w:tblW w:w="0" w:type="auto"/>
        <w:tblLayout w:type="fixed"/>
        <w:tblCellMar>
          <w:left w:w="0" w:type="dxa"/>
          <w:right w:w="0" w:type="dxa"/>
        </w:tblCellMar>
        <w:tblLook w:val="0000" w:firstRow="0" w:lastRow="0" w:firstColumn="0" w:lastColumn="0" w:noHBand="0" w:noVBand="0"/>
      </w:tblPr>
      <w:tblGrid>
        <w:gridCol w:w="8505"/>
      </w:tblGrid>
      <w:tr>
        <w:trPr>
          <w:cantSplit/>
        </w:trPr>
        <w:tc>
          <w:tcPr>
            <w:tcW w:w="8505" w:type="dxa"/>
            <w:shd w:val="clear" w:color="auto" w:fill="auto"/>
          </w:tcPr>
          <w:p>
            <w:pPr>
              <w:keepNext/>
              <w:pBdr>
                <w:top w:val="single" w:sz="2" w:space="2" w:color="auto"/>
                <w:bottom w:val="single" w:sz="2" w:space="2" w:color="auto"/>
              </w:pBdr>
              <w:tabs>
                <w:tab w:val="left" w:pos="1020"/>
                <w:tab w:val="left" w:pos="1077"/>
                <w:tab w:val="left" w:pos="1134"/>
              </w:tabs>
              <w:spacing w:after="40" w:line="240" w:lineRule="auto"/>
              <w:ind w:left="1020" w:hanging="1020"/>
              <w:rPr>
                <w:rFonts w:ascii="Century Gothic" w:hAnsi="Century Gothic" w:cs="Times New Roman"/>
                <w:b/>
                <w:noProof/>
                <w:color w:val="333399"/>
                <w:sz w:val="18"/>
              </w:rPr>
            </w:pPr>
            <w:r>
              <w:rPr>
                <w:rFonts w:ascii="Century Gothic" w:hAnsi="Century Gothic" w:cs="Times New Roman"/>
                <w:noProof/>
                <w:color w:val="333399"/>
                <w:sz w:val="18"/>
              </w:rPr>
              <w:t>Graph 9.1:</w:t>
            </w:r>
            <w:r>
              <w:rPr>
                <w:rFonts w:ascii="Century Gothic" w:hAnsi="Century Gothic" w:cs="Times New Roman"/>
                <w:b/>
                <w:noProof/>
                <w:color w:val="333399"/>
                <w:sz w:val="18"/>
              </w:rPr>
              <w:tab/>
              <w:t>Credit ratings (left) and 10-year government bond spreads to the Bund (right)</w:t>
            </w:r>
          </w:p>
        </w:tc>
      </w:tr>
      <w:tr>
        <w:trPr>
          <w:cantSplit/>
        </w:trPr>
        <w:tc>
          <w:tcPr>
            <w:tcW w:w="8505" w:type="dxa"/>
            <w:shd w:val="clear" w:color="auto" w:fill="auto"/>
          </w:tcPr>
          <w:p>
            <w:pPr>
              <w:keepNext/>
              <w:spacing w:after="0" w:line="240" w:lineRule="auto"/>
              <w:jc w:val="center"/>
              <w:rPr>
                <w:rFonts w:ascii="Times New Roman" w:hAnsi="Times New Roman" w:cs="Times New Roman"/>
                <w:noProof/>
                <w:color w:val="000000"/>
                <w:sz w:val="2"/>
              </w:rPr>
            </w:pPr>
            <w:r>
              <w:rPr>
                <w:rFonts w:ascii="Times New Roman" w:hAnsi="Times New Roman" w:cs="Times New Roman"/>
                <w:noProof/>
                <w:color w:val="000000"/>
                <w:sz w:val="24"/>
              </w:rPr>
              <w:fldChar w:fldCharType="begin"/>
            </w:r>
            <w:r>
              <w:rPr>
                <w:rFonts w:ascii="Times New Roman" w:hAnsi="Times New Roman" w:cs="Times New Roman"/>
                <w:noProof/>
                <w:color w:val="000000"/>
                <w:sz w:val="24"/>
              </w:rPr>
              <w:instrText xml:space="preserve"> TC "</w:instrText>
            </w:r>
            <w:bookmarkStart w:id="61" w:name="_Toc32919974"/>
            <w:r>
              <w:rPr>
                <w:rFonts w:ascii="Times New Roman" w:hAnsi="Times New Roman" w:cs="Times New Roman"/>
                <w:noProof/>
                <w:color w:val="000000"/>
                <w:sz w:val="24"/>
              </w:rPr>
              <w:instrText>9.1.</w:instrText>
            </w:r>
            <w:r>
              <w:rPr>
                <w:rFonts w:ascii="Times New Roman" w:hAnsi="Times New Roman" w:cs="Times New Roman"/>
                <w:noProof/>
                <w:color w:val="000000"/>
                <w:sz w:val="24"/>
              </w:rPr>
              <w:tab/>
              <w:instrText>Credit ratings (left) and 10-year government bond spreads to the Bund (right)</w:instrText>
            </w:r>
            <w:bookmarkEnd w:id="61"/>
            <w:r>
              <w:rPr>
                <w:rFonts w:ascii="Times New Roman" w:hAnsi="Times New Roman" w:cs="Times New Roman"/>
                <w:noProof/>
                <w:color w:val="000000"/>
                <w:sz w:val="24"/>
              </w:rPr>
              <w:instrText xml:space="preserve">" \fgraph \l 5 </w:instrText>
            </w:r>
            <w:r>
              <w:rPr>
                <w:rFonts w:ascii="Times New Roman" w:hAnsi="Times New Roman" w:cs="Times New Roman"/>
                <w:noProof/>
                <w:color w:val="000000"/>
                <w:sz w:val="24"/>
              </w:rPr>
              <w:fldChar w:fldCharType="end"/>
            </w:r>
            <w:r>
              <w:rPr>
                <w:rFonts w:ascii="Times New Roman" w:hAnsi="Times New Roman" w:cs="Times New Roman"/>
                <w:noProof/>
                <w:color w:val="000000"/>
                <w:sz w:val="2"/>
                <w:lang w:eastAsia="en-GB"/>
              </w:rPr>
              <w:drawing>
                <wp:inline distT="0" distB="0" distL="0" distR="0">
                  <wp:extent cx="5388229" cy="1844859"/>
                  <wp:effectExtent l="0" t="0" r="3175" b="3175"/>
                  <wp:docPr id="11" name="Picture 11" descr="&lt;nbr&gt;&lt;GETTEXTFROMWORD&gt;&lt;/nbr&gt;&#10;&lt;title&gt;&lt;GETTEXTFROMWORD&gt;&lt;/title&gt;&#10;&lt;id&gt;c146c84b-6c69-433b-87ba-4bb58bf729e6&lt;/id&gt;&#10;&lt;srcType&gt;EXCEL&lt;/srcType&gt;&#10;&lt;srcPath&gt;\\myintracomm-collab.ec.europa.eu@SSL\DavWWWRoot\dg\ECFIN\Country\GR\Shared Documents\POST-PROGRAMME\Enhanced surveillance\5th Report\Graphs-Tables\&lt;/srcPath&gt;&#10;&lt;srcName&gt;9_sovereign_financing.xlsx&lt;/srcName&gt;&#10;&lt;type&gt;clusterofgraphs&lt;/type&gt;&#10; &lt;srcSheet&gt;Graph 9.1&amp;2&lt;/srcSheet&gt;&#10; &lt;individualNumbers&gt;no&lt;/individualNumbers&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20-02-17T15:27:12&lt;/scrFileTime&gt;&#10;&lt;imageInformation&gt;&#10; &lt;dontScaleUp&gt;no&lt;/dontScaleUp&gt;&#10; &lt;usedpercentageofavailablewidth&gt;100&lt;/usedpercentageofavailablewidth&gt;&#10;&lt;/imageInformation&gt;&#10;&lt;url&gt;Chap2/Chap2-Graph-9.1.xlsx&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97">
                            <a:extLst>
                              <a:ext uri="{28A0092B-C50C-407E-A947-70E740481C1C}">
                                <a14:useLocalDpi xmlns:a14="http://schemas.microsoft.com/office/drawing/2010/main" val="0"/>
                              </a:ext>
                            </a:extLst>
                          </a:blip>
                          <a:srcRect/>
                          <a:stretch>
                            <a:fillRect/>
                          </a:stretch>
                        </pic:blipFill>
                        <pic:spPr>
                          <a:xfrm>
                            <a:off x="0" y="0"/>
                            <a:ext cx="5388229" cy="1844859"/>
                          </a:xfrm>
                          <a:prstGeom prst="rect">
                            <a:avLst/>
                          </a:prstGeom>
                        </pic:spPr>
                      </pic:pic>
                    </a:graphicData>
                  </a:graphic>
                </wp:inline>
              </w:drawing>
            </w:r>
            <w:r>
              <w:rPr>
                <w:rFonts w:ascii="Times New Roman" w:hAnsi="Times New Roman" w:cs="Times New Roman"/>
                <w:noProof/>
                <w:color w:val="000000"/>
                <w:sz w:val="2"/>
              </w:rPr>
              <w:t xml:space="preserve"> </w:t>
            </w:r>
          </w:p>
        </w:tc>
      </w:tr>
      <w:tr>
        <w:trPr>
          <w:cantSplit/>
        </w:trPr>
        <w:tc>
          <w:tcPr>
            <w:tcW w:w="8505" w:type="dxa"/>
            <w:shd w:val="clear" w:color="auto" w:fill="auto"/>
            <w:tcMar>
              <w:bottom w:w="240" w:type="dxa"/>
            </w:tcMar>
          </w:tcPr>
          <w:p>
            <w:pPr>
              <w:pBdr>
                <w:top w:val="single" w:sz="2" w:space="2" w:color="auto"/>
                <w:bottom w:val="single" w:sz="2" w:space="2" w:color="auto"/>
              </w:pBdr>
              <w:spacing w:after="0" w:line="240" w:lineRule="auto"/>
              <w:rPr>
                <w:rFonts w:ascii="Century Gothic" w:hAnsi="Century Gothic" w:cs="Times New Roman"/>
                <w:noProof/>
                <w:color w:val="000000"/>
                <w:sz w:val="18"/>
              </w:rPr>
            </w:pPr>
            <w:r>
              <w:rPr>
                <w:rFonts w:ascii="Century Gothic" w:hAnsi="Century Gothic" w:cs="Times New Roman"/>
                <w:b/>
                <w:i/>
                <w:noProof/>
                <w:color w:val="000000"/>
                <w:sz w:val="18"/>
              </w:rPr>
              <w:t>Source:</w:t>
            </w:r>
            <w:r>
              <w:rPr>
                <w:rFonts w:ascii="Century Gothic" w:hAnsi="Century Gothic" w:cs="Times New Roman"/>
                <w:noProof/>
                <w:color w:val="000000"/>
                <w:sz w:val="18"/>
              </w:rPr>
              <w:t xml:space="preserve"> European Commission</w:t>
            </w:r>
          </w:p>
        </w:tc>
      </w:tr>
    </w:tbl>
    <w:p>
      <w:pPr>
        <w:keepNext/>
        <w:tabs>
          <w:tab w:val="left" w:pos="567"/>
        </w:tabs>
        <w:spacing w:before="240" w:after="240" w:line="240" w:lineRule="atLeast"/>
        <w:ind w:left="567" w:hanging="567"/>
        <w:jc w:val="both"/>
        <w:outlineLvl w:val="2"/>
        <w:rPr>
          <w:rFonts w:ascii="Century Gothic" w:hAnsi="Century Gothic" w:cs="Times New Roman"/>
          <w:b/>
          <w:caps/>
          <w:noProof/>
          <w:color w:val="333399"/>
        </w:rPr>
      </w:pPr>
      <w:bookmarkStart w:id="62" w:name="_Toc32921512"/>
      <w:r>
        <w:rPr>
          <w:rFonts w:ascii="Century Gothic" w:hAnsi="Century Gothic" w:cs="Times New Roman"/>
          <w:b/>
          <w:caps/>
          <w:noProof/>
          <w:color w:val="333399"/>
        </w:rPr>
        <w:t>9.2.</w:t>
      </w:r>
      <w:r>
        <w:rPr>
          <w:rFonts w:ascii="Century Gothic" w:hAnsi="Century Gothic" w:cs="Times New Roman"/>
          <w:b/>
          <w:caps/>
          <w:noProof/>
          <w:color w:val="333399"/>
        </w:rPr>
        <w:tab/>
        <w:t>DEBT SUSTAINABILITY</w:t>
      </w:r>
      <w:bookmarkEnd w:id="62"/>
    </w:p>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A sequential update of the debt sustainability analysis has been carried out.</w:t>
      </w:r>
      <w:r>
        <w:rPr>
          <w:rFonts w:ascii="Times New Roman" w:hAnsi="Times New Roman" w:cs="Times New Roman"/>
          <w:noProof/>
          <w:color w:val="000000"/>
          <w:sz w:val="24"/>
        </w:rPr>
        <w:t xml:space="preserve"> The current Debt Sustainability Analysis continues to assume full compliance with the post-programme agreed primary balance path, reflecting the government’s commitment. It furthermore assumes the full implementation of all medium-term measures agreed in June 2018 to ensure debt sustainability. The income equivalents from the SMP-ANFA profits are, on a technical basis, assumed to be disbursed and used for debt service purposes only. The Debt Sustainability Analysis also takes into account the partial early repayment of the International Monetary Fund loan, which took place in November 2019, and all issuances up until end-January 2020. </w:t>
      </w:r>
    </w:p>
    <w:p>
      <w:pPr>
        <w:spacing w:after="240" w:line="240" w:lineRule="atLeast"/>
        <w:jc w:val="both"/>
        <w:rPr>
          <w:rFonts w:ascii="Times New Roman" w:hAnsi="Times New Roman" w:cs="Times New Roman"/>
          <w:b/>
          <w:noProof/>
          <w:color w:val="000000"/>
          <w:sz w:val="24"/>
        </w:rPr>
      </w:pPr>
      <w:r>
        <w:rPr>
          <w:rFonts w:ascii="Times New Roman" w:hAnsi="Times New Roman" w:cs="Times New Roman"/>
          <w:b/>
          <w:noProof/>
          <w:color w:val="000000"/>
          <w:sz w:val="24"/>
        </w:rPr>
        <w:t xml:space="preserve">The current Debt Sustainability Analysis presents two scenarios, both of which build on the macro-fiscal assumptions of the so-called baseline scenario.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In the first scenario all the usual assumptions (</w:t>
      </w:r>
      <w:r>
        <w:rPr>
          <w:rFonts w:ascii="Times New Roman" w:hAnsi="Times New Roman" w:cs="Times New Roman"/>
          <w:noProof/>
          <w:color w:val="000000"/>
          <w:sz w:val="24"/>
          <w:vertAlign w:val="superscript"/>
        </w:rPr>
        <w:footnoteReference w:id="55"/>
      </w:r>
      <w:r>
        <w:rPr>
          <w:rFonts w:ascii="Times New Roman" w:hAnsi="Times New Roman" w:cs="Times New Roman"/>
          <w:noProof/>
          <w:color w:val="000000"/>
          <w:sz w:val="24"/>
        </w:rPr>
        <w:t>) are updated except for the interest rates as modelled under the current framework. Compared to the baseline of the previous report, this scenario shows a marginal positive impact on debt sustainability of the improved macroeconomic outlook for Greece and the new bond issuances. Under this scenario, gross financing needs reach around 13.5% in 2060, while debt remains above 100% of GDP until 2040.</w:t>
      </w:r>
    </w:p>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 xml:space="preserve">The second scenario shows the additional debt-reducing impact of the revision of the interest rates under the current framework. Graph </w:t>
      </w:r>
      <w:r>
        <w:rPr>
          <w:rFonts w:ascii="Times New Roman" w:hAnsi="Times New Roman" w:cs="Times New Roman"/>
          <w:noProof/>
          <w:color w:val="000000"/>
          <w:sz w:val="24"/>
        </w:rPr>
        <w:fldChar w:fldCharType="begin"/>
      </w:r>
      <w:r>
        <w:rPr>
          <w:rFonts w:ascii="Times New Roman" w:hAnsi="Times New Roman" w:cs="Times New Roman"/>
          <w:noProof/>
          <w:color w:val="000000"/>
          <w:sz w:val="24"/>
        </w:rPr>
        <w:instrText xml:space="preserve"> QUOTE "9.2"</w:instrText>
      </w:r>
      <w:r>
        <w:rPr>
          <w:rFonts w:ascii="Times New Roman" w:hAnsi="Times New Roman" w:cs="Times New Roman"/>
          <w:noProof/>
          <w:color w:val="000000"/>
          <w:sz w:val="24"/>
        </w:rPr>
        <w:fldChar w:fldCharType="begin">
          <w:fldData xml:space="preserve">PAA/AHgAbQBsACAAdgBlAHIAcwBpAG8AbgA9ACIAMQAuADAAIgAgAGUAbgBjAG8AZABpAG4AZwA9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==
</w:fldData>
        </w:fldChar>
      </w:r>
      <w:r>
        <w:rPr>
          <w:rFonts w:ascii="Times New Roman" w:hAnsi="Times New Roman" w:cs="Times New Roman"/>
          <w:noProof/>
          <w:color w:val="000000"/>
          <w:sz w:val="24"/>
        </w:rPr>
        <w:instrText xml:space="preserve"> ADDIN </w:instrText>
      </w:r>
      <w:r>
        <w:rPr>
          <w:rFonts w:ascii="Times New Roman" w:hAnsi="Times New Roman" w:cs="Times New Roman"/>
          <w:noProof/>
          <w:color w:val="000000"/>
          <w:sz w:val="24"/>
        </w:rPr>
      </w:r>
      <w:r>
        <w:rPr>
          <w:rFonts w:ascii="Times New Roman" w:hAnsi="Times New Roman" w:cs="Times New Roman"/>
          <w:noProof/>
          <w:color w:val="000000"/>
          <w:sz w:val="24"/>
        </w:rPr>
        <w:fldChar w:fldCharType="end"/>
      </w:r>
      <w:r>
        <w:rPr>
          <w:rFonts w:ascii="Times New Roman" w:hAnsi="Times New Roman" w:cs="Times New Roman"/>
          <w:noProof/>
          <w:color w:val="000000"/>
          <w:sz w:val="24"/>
        </w:rPr>
        <w:instrText xml:space="preserve"> </w:instrText>
      </w:r>
      <w:r>
        <w:rPr>
          <w:rFonts w:ascii="Times New Roman" w:hAnsi="Times New Roman" w:cs="Times New Roman"/>
          <w:noProof/>
          <w:color w:val="000000"/>
          <w:sz w:val="24"/>
        </w:rPr>
        <w:fldChar w:fldCharType="separate"/>
      </w:r>
      <w:r>
        <w:rPr>
          <w:rFonts w:ascii="Times New Roman" w:hAnsi="Times New Roman" w:cs="Times New Roman"/>
          <w:noProof/>
          <w:color w:val="000000"/>
          <w:sz w:val="24"/>
        </w:rPr>
        <w:t>9.2</w:t>
      </w:r>
      <w:r>
        <w:rPr>
          <w:rFonts w:ascii="Times New Roman" w:hAnsi="Times New Roman" w:cs="Times New Roman"/>
          <w:noProof/>
          <w:color w:val="000000"/>
          <w:sz w:val="24"/>
        </w:rPr>
        <w:fldChar w:fldCharType="end"/>
      </w:r>
      <w:r>
        <w:rPr>
          <w:rFonts w:ascii="Times New Roman" w:hAnsi="Times New Roman" w:cs="Times New Roman"/>
          <w:noProof/>
          <w:color w:val="000000"/>
          <w:sz w:val="24"/>
        </w:rPr>
        <w:t xml:space="preserve"> shows that this improves gross financing needs further to close to 12% in 2060, while the debt level in this scenario remains above 100% of GDP until 2039. </w:t>
      </w:r>
    </w:p>
    <w:tbl>
      <w:tblPr>
        <w:tblW w:w="0" w:type="auto"/>
        <w:tblLayout w:type="fixed"/>
        <w:tblCellMar>
          <w:left w:w="0" w:type="dxa"/>
          <w:right w:w="0" w:type="dxa"/>
        </w:tblCellMar>
        <w:tblLook w:val="0000" w:firstRow="0" w:lastRow="0" w:firstColumn="0" w:lastColumn="0" w:noHBand="0" w:noVBand="0"/>
      </w:tblPr>
      <w:tblGrid>
        <w:gridCol w:w="8505"/>
      </w:tblGrid>
      <w:tr>
        <w:trPr>
          <w:cantSplit/>
        </w:trPr>
        <w:tc>
          <w:tcPr>
            <w:tcW w:w="8505" w:type="dxa"/>
            <w:shd w:val="clear" w:color="auto" w:fill="auto"/>
          </w:tcPr>
          <w:p>
            <w:pPr>
              <w:keepNext/>
              <w:pBdr>
                <w:top w:val="single" w:sz="2" w:space="2" w:color="auto"/>
                <w:bottom w:val="single" w:sz="2" w:space="2" w:color="auto"/>
              </w:pBdr>
              <w:tabs>
                <w:tab w:val="left" w:pos="1020"/>
                <w:tab w:val="left" w:pos="1077"/>
                <w:tab w:val="left" w:pos="1134"/>
              </w:tabs>
              <w:spacing w:after="40" w:line="240" w:lineRule="auto"/>
              <w:ind w:left="1020" w:hanging="1020"/>
              <w:rPr>
                <w:rFonts w:ascii="Century Gothic" w:hAnsi="Century Gothic" w:cs="Times New Roman"/>
                <w:b/>
                <w:noProof/>
                <w:color w:val="333399"/>
                <w:sz w:val="18"/>
              </w:rPr>
            </w:pPr>
            <w:r>
              <w:rPr>
                <w:rFonts w:ascii="Century Gothic" w:hAnsi="Century Gothic" w:cs="Times New Roman"/>
                <w:noProof/>
                <w:color w:val="333399"/>
                <w:sz w:val="18"/>
              </w:rPr>
              <w:t>Graph 9.2:</w:t>
            </w:r>
            <w:r>
              <w:rPr>
                <w:rFonts w:ascii="Century Gothic" w:hAnsi="Century Gothic" w:cs="Times New Roman"/>
                <w:b/>
                <w:noProof/>
                <w:color w:val="333399"/>
                <w:sz w:val="18"/>
              </w:rPr>
              <w:tab/>
              <w:t>Debt sustainability indicators</w:t>
            </w:r>
          </w:p>
        </w:tc>
      </w:tr>
      <w:tr>
        <w:trPr>
          <w:cantSplit/>
        </w:trPr>
        <w:tc>
          <w:tcPr>
            <w:tcW w:w="8505" w:type="dxa"/>
            <w:shd w:val="clear" w:color="auto" w:fill="auto"/>
          </w:tcPr>
          <w:p>
            <w:pPr>
              <w:keepNext/>
              <w:spacing w:after="0" w:line="240" w:lineRule="auto"/>
              <w:jc w:val="center"/>
              <w:rPr>
                <w:rFonts w:ascii="Times New Roman" w:hAnsi="Times New Roman" w:cs="Times New Roman"/>
                <w:noProof/>
                <w:color w:val="000000"/>
                <w:sz w:val="2"/>
              </w:rPr>
            </w:pPr>
            <w:r>
              <w:rPr>
                <w:rFonts w:ascii="Times New Roman" w:hAnsi="Times New Roman" w:cs="Times New Roman"/>
                <w:noProof/>
                <w:color w:val="000000"/>
                <w:sz w:val="24"/>
              </w:rPr>
              <w:fldChar w:fldCharType="begin"/>
            </w:r>
            <w:r>
              <w:rPr>
                <w:rFonts w:ascii="Times New Roman" w:hAnsi="Times New Roman" w:cs="Times New Roman"/>
                <w:noProof/>
                <w:color w:val="000000"/>
                <w:sz w:val="24"/>
              </w:rPr>
              <w:instrText xml:space="preserve"> TC "</w:instrText>
            </w:r>
            <w:bookmarkStart w:id="63" w:name="_Toc32919975"/>
            <w:r>
              <w:rPr>
                <w:rFonts w:ascii="Times New Roman" w:hAnsi="Times New Roman" w:cs="Times New Roman"/>
                <w:noProof/>
                <w:color w:val="000000"/>
                <w:sz w:val="24"/>
              </w:rPr>
              <w:instrText>9.2.</w:instrText>
            </w:r>
            <w:r>
              <w:rPr>
                <w:rFonts w:ascii="Times New Roman" w:hAnsi="Times New Roman" w:cs="Times New Roman"/>
                <w:noProof/>
                <w:color w:val="000000"/>
                <w:sz w:val="24"/>
              </w:rPr>
              <w:tab/>
              <w:instrText>Debt sustainability indicators</w:instrText>
            </w:r>
            <w:bookmarkEnd w:id="63"/>
            <w:r>
              <w:rPr>
                <w:rFonts w:ascii="Times New Roman" w:hAnsi="Times New Roman" w:cs="Times New Roman"/>
                <w:noProof/>
                <w:color w:val="000000"/>
                <w:sz w:val="24"/>
              </w:rPr>
              <w:instrText xml:space="preserve">" \fgraph \l 5 </w:instrText>
            </w:r>
            <w:r>
              <w:rPr>
                <w:rFonts w:ascii="Times New Roman" w:hAnsi="Times New Roman" w:cs="Times New Roman"/>
                <w:noProof/>
                <w:color w:val="000000"/>
                <w:sz w:val="24"/>
              </w:rPr>
              <w:fldChar w:fldCharType="end"/>
            </w:r>
            <w:r>
              <w:rPr>
                <w:rFonts w:ascii="Times New Roman" w:hAnsi="Times New Roman" w:cs="Times New Roman"/>
                <w:noProof/>
                <w:color w:val="000000"/>
                <w:sz w:val="2"/>
                <w:lang w:eastAsia="en-GB"/>
              </w:rPr>
              <w:drawing>
                <wp:inline distT="0" distB="0" distL="0" distR="0">
                  <wp:extent cx="5388229" cy="2219912"/>
                  <wp:effectExtent l="0" t="0" r="3175" b="9525"/>
                  <wp:docPr id="12" name="Picture 12" descr="&lt;nbr&gt;&lt;GETTEXTFROMWORD&gt;&lt;/nbr&gt;&#10;&lt;title&gt;&lt;GETTEXTFROMWORD&gt;&lt;/title&gt;&#10;&lt;id&gt;e78d3d1f-df0a-4131-a804-3727cb24c0cb&lt;/id&gt;&#10;&lt;srcType&gt;EXCEL&lt;/srcType&gt;&#10;&lt;srcPath&gt;\\myintracomm-collab.ec.europa.eu@SSL\DavWWWRoot\dg\ECFIN\Country\GR\Shared Documents\POST-PROGRAMME\Enhanced surveillance\5th Report\Graphs-Tables\&lt;/srcPath&gt;&#10;&lt;srcName&gt;9_sovereign_financing.xlsx&lt;/srcName&gt;&#10;&lt;type&gt;clusterofgraphs&lt;/type&gt;&#10; &lt;srcSheet&gt;Graph 9.3 9.4&lt;/srcSheet&gt;&#10; &lt;individualNumbers&gt;no&lt;/individualNumbers&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20-02-17T15:27:12&lt;/scrFileTime&gt;&#10;&lt;imageInformation&gt;&#10; &lt;dontScaleUp&gt;no&lt;/dontScaleUp&gt;&#10; &lt;usedpercentageofavailablewidth&gt;100&lt;/usedpercentageofavailablewidth&gt;&#10;&lt;/imageInformation&gt;&#10;&lt;url&gt;Chap2/Chap2-Graph-9.2.xlsx&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8">
                            <a:extLst>
                              <a:ext uri="{28A0092B-C50C-407E-A947-70E740481C1C}">
                                <a14:useLocalDpi xmlns:a14="http://schemas.microsoft.com/office/drawing/2010/main" val="0"/>
                              </a:ext>
                            </a:extLst>
                          </a:blip>
                          <a:srcRect/>
                          <a:stretch>
                            <a:fillRect/>
                          </a:stretch>
                        </pic:blipFill>
                        <pic:spPr>
                          <a:xfrm>
                            <a:off x="0" y="0"/>
                            <a:ext cx="5388229" cy="2219912"/>
                          </a:xfrm>
                          <a:prstGeom prst="rect">
                            <a:avLst/>
                          </a:prstGeom>
                        </pic:spPr>
                      </pic:pic>
                    </a:graphicData>
                  </a:graphic>
                </wp:inline>
              </w:drawing>
            </w:r>
            <w:r>
              <w:rPr>
                <w:rFonts w:ascii="Times New Roman" w:hAnsi="Times New Roman" w:cs="Times New Roman"/>
                <w:noProof/>
                <w:color w:val="000000"/>
                <w:sz w:val="2"/>
              </w:rPr>
              <w:t xml:space="preserve"> </w:t>
            </w:r>
          </w:p>
        </w:tc>
      </w:tr>
      <w:tr>
        <w:trPr>
          <w:cantSplit/>
        </w:trPr>
        <w:tc>
          <w:tcPr>
            <w:tcW w:w="8505" w:type="dxa"/>
            <w:shd w:val="clear" w:color="auto" w:fill="auto"/>
            <w:tcMar>
              <w:bottom w:w="240" w:type="dxa"/>
            </w:tcMar>
          </w:tcPr>
          <w:p>
            <w:pPr>
              <w:pBdr>
                <w:top w:val="single" w:sz="2" w:space="2" w:color="auto"/>
                <w:bottom w:val="single" w:sz="2" w:space="2" w:color="auto"/>
              </w:pBdr>
              <w:spacing w:after="0" w:line="240" w:lineRule="auto"/>
              <w:rPr>
                <w:rFonts w:ascii="Century Gothic" w:hAnsi="Century Gothic" w:cs="Times New Roman"/>
                <w:noProof/>
                <w:color w:val="000000"/>
                <w:sz w:val="18"/>
              </w:rPr>
            </w:pPr>
            <w:r>
              <w:rPr>
                <w:rFonts w:ascii="Century Gothic" w:hAnsi="Century Gothic" w:cs="Times New Roman"/>
                <w:b/>
                <w:i/>
                <w:noProof/>
                <w:color w:val="000000"/>
                <w:sz w:val="18"/>
              </w:rPr>
              <w:t>Source:</w:t>
            </w:r>
            <w:r>
              <w:rPr>
                <w:rFonts w:ascii="Century Gothic" w:hAnsi="Century Gothic" w:cs="Times New Roman"/>
                <w:noProof/>
                <w:color w:val="000000"/>
                <w:sz w:val="18"/>
              </w:rPr>
              <w:t xml:space="preserve"> European Commission</w:t>
            </w:r>
          </w:p>
        </w:tc>
      </w:tr>
    </w:tbl>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A more comprehensive revision of the framework of assumptions underlying the Debt Sustainability Analysis used by the European institutions is ongoing and will be presented in the 6</w:t>
      </w:r>
      <w:r>
        <w:rPr>
          <w:rFonts w:ascii="Times New Roman" w:hAnsi="Times New Roman" w:cs="Times New Roman"/>
          <w:b/>
          <w:noProof/>
          <w:color w:val="000000"/>
          <w:sz w:val="24"/>
          <w:vertAlign w:val="superscript"/>
        </w:rPr>
        <w:t>th</w:t>
      </w:r>
      <w:r>
        <w:rPr>
          <w:rFonts w:ascii="Times New Roman" w:hAnsi="Times New Roman" w:cs="Times New Roman"/>
          <w:b/>
          <w:noProof/>
          <w:color w:val="000000"/>
          <w:sz w:val="24"/>
        </w:rPr>
        <w:t xml:space="preserve"> enhanced surveillance report.</w:t>
      </w:r>
      <w:r>
        <w:rPr>
          <w:rFonts w:ascii="Times New Roman" w:hAnsi="Times New Roman" w:cs="Times New Roman"/>
          <w:noProof/>
          <w:color w:val="000000"/>
          <w:sz w:val="24"/>
        </w:rPr>
        <w:t xml:space="preserve">  The review will reassess, among others, the interest rate, financial and macroeconomic assumptions underpinning the current framework, which was put in place during the stability support programme.</w:t>
      </w:r>
    </w:p>
    <w:bookmarkEnd w:id="58"/>
    <w:p>
      <w:pPr>
        <w:spacing w:after="240" w:line="240" w:lineRule="atLeast"/>
        <w:jc w:val="both"/>
        <w:rPr>
          <w:rFonts w:ascii="Times New Roman" w:hAnsi="Times New Roman" w:cs="Times New Roman"/>
          <w:noProof/>
          <w:color w:val="000000"/>
          <w:sz w:val="24"/>
        </w:rPr>
        <w:sectPr>
          <w:headerReference w:type="even" r:id="rId99"/>
          <w:headerReference w:type="default" r:id="rId100"/>
          <w:footerReference w:type="even" r:id="rId101"/>
          <w:footerReference w:type="default" r:id="rId102"/>
          <w:headerReference w:type="first" r:id="rId103"/>
          <w:footerReference w:type="first" r:id="rId104"/>
          <w:footnotePr>
            <w:pos w:val="beneathText"/>
          </w:footnotePr>
          <w:endnotePr>
            <w:numFmt w:val="decimal"/>
            <w:numRestart w:val="eachSect"/>
          </w:endnotePr>
          <w:type w:val="oddPage"/>
          <w:pgSz w:w="11907" w:h="16839"/>
          <w:pgMar w:top="1984" w:right="1701" w:bottom="1417" w:left="1701" w:header="709" w:footer="709" w:gutter="0"/>
          <w:cols w:space="708"/>
          <w:titlePg/>
          <w:docGrid w:linePitch="360"/>
        </w:sectPr>
      </w:pPr>
    </w:p>
    <w:p>
      <w:pPr>
        <w:spacing w:after="240" w:line="240" w:lineRule="atLeast"/>
        <w:jc w:val="both"/>
        <w:rPr>
          <w:rFonts w:ascii="Times New Roman" w:hAnsi="Times New Roman" w:cs="Times New Roman"/>
          <w:noProof/>
          <w:color w:val="000000"/>
          <w:sz w:val="24"/>
        </w:rPr>
        <w:sectPr>
          <w:headerReference w:type="even" r:id="rId105"/>
          <w:headerReference w:type="default" r:id="rId106"/>
          <w:footerReference w:type="even" r:id="rId107"/>
          <w:footerReference w:type="default" r:id="rId108"/>
          <w:headerReference w:type="first" r:id="rId109"/>
          <w:footerReference w:type="first" r:id="rId110"/>
          <w:footnotePr>
            <w:pos w:val="beneathText"/>
          </w:footnotePr>
          <w:endnotePr>
            <w:numFmt w:val="decimal"/>
            <w:numRestart w:val="eachSect"/>
          </w:endnotePr>
          <w:type w:val="continuous"/>
          <w:pgSz w:w="11907" w:h="16839"/>
          <w:pgMar w:top="1984" w:right="1701" w:bottom="1417" w:left="1701" w:header="709" w:footer="709" w:gutter="0"/>
          <w:cols w:space="708"/>
          <w:titlePg/>
          <w:docGrid w:linePitch="360"/>
        </w:sectPr>
      </w:pPr>
    </w:p>
    <w:bookmarkStart w:id="64" w:name="GUID29DF640C2E4C4AD5A54E2DC86465FCD4"/>
    <w:p>
      <w:pPr>
        <w:spacing w:after="240" w:line="240" w:lineRule="atLeast"/>
        <w:jc w:val="both"/>
        <w:rPr>
          <w:rFonts w:ascii="Times New Roman" w:hAnsi="Times New Roman" w:cs="Times New Roman"/>
          <w:noProof/>
          <w:vanish/>
          <w:color w:val="000000"/>
          <w:sz w:val="20"/>
        </w:rPr>
      </w:pPr>
      <w:r>
        <w:rPr>
          <w:rFonts w:ascii="Times New Roman" w:hAnsi="Times New Roman" w:cs="Times New Roman"/>
          <w:noProof/>
          <w:vanish/>
          <w:color w:val="000000"/>
          <w:sz w:val="20"/>
        </w:rPr>
        <w:fldChar w:fldCharType="begin"/>
      </w:r>
      <w:r>
        <w:rPr>
          <w:rFonts w:ascii="Times New Roman" w:hAnsi="Times New Roman" w:cs="Times New Roman"/>
          <w:noProof/>
          <w:color w:val="000000"/>
          <w:sz w:val="20"/>
        </w:rPr>
        <w:instrText xml:space="preserve"> TC "</w:instrText>
      </w:r>
      <w:bookmarkStart w:id="65" w:name="_Toc32921513"/>
      <w:r>
        <w:rPr>
          <w:rFonts w:ascii="Times New Roman" w:hAnsi="Times New Roman" w:cs="Times New Roman"/>
          <w:noProof/>
          <w:color w:val="000000"/>
          <w:sz w:val="20"/>
        </w:rPr>
        <w:instrText>Annex</w:instrText>
      </w:r>
      <w:bookmarkEnd w:id="65"/>
      <w:r>
        <w:rPr>
          <w:rFonts w:ascii="Times New Roman" w:hAnsi="Times New Roman" w:cs="Times New Roman"/>
          <w:noProof/>
          <w:color w:val="000000"/>
          <w:sz w:val="20"/>
        </w:rPr>
        <w:instrText xml:space="preserve">" \f \l 1 </w:instrText>
      </w:r>
      <w:r>
        <w:rPr>
          <w:rFonts w:ascii="Times New Roman" w:hAnsi="Times New Roman" w:cs="Times New Roman"/>
          <w:noProof/>
          <w:vanish/>
          <w:color w:val="000000"/>
          <w:sz w:val="20"/>
        </w:rPr>
        <w:fldChar w:fldCharType="end"/>
      </w:r>
    </w:p>
    <w:p>
      <w:pPr>
        <w:spacing w:after="240" w:line="240" w:lineRule="atLeast"/>
        <w:jc w:val="both"/>
        <w:rPr>
          <w:rFonts w:ascii="Times New Roman" w:hAnsi="Times New Roman" w:cs="Times New Roman"/>
          <w:b/>
          <w:noProof/>
          <w:color w:val="000000"/>
          <w:sz w:val="24"/>
        </w:rPr>
      </w:pPr>
      <w:r>
        <w:rPr>
          <w:rFonts w:ascii="Times New Roman" w:hAnsi="Times New Roman" w:cs="Times New Roman"/>
          <w:b/>
          <w:noProof/>
          <w:color w:val="000000"/>
          <w:sz w:val="24"/>
        </w:rPr>
        <w:t>Progress with the implementation of end-2019 specific commitments and relevant continuous commitments (*) given to the Eurogroup (</w:t>
      </w:r>
      <w:hyperlink r:id="rId111">
        <w:r>
          <w:rPr>
            <w:rFonts w:ascii="Times New Roman" w:hAnsi="Times New Roman" w:cs="Times New Roman"/>
            <w:noProof/>
            <w:color w:val="0000FF" w:themeColor="hyperlink"/>
            <w:sz w:val="24"/>
            <w:u w:val="single"/>
          </w:rPr>
          <w:t>Annex to the Eurogroup statement</w:t>
        </w:r>
      </w:hyperlink>
      <w:r>
        <w:rPr>
          <w:rFonts w:ascii="Times New Roman" w:hAnsi="Times New Roman" w:cs="Times New Roman"/>
          <w:noProof/>
          <w:color w:val="000000"/>
          <w:sz w:val="24"/>
        </w:rPr>
        <w:t>,</w:t>
      </w:r>
      <w:r>
        <w:rPr>
          <w:rFonts w:ascii="Times New Roman" w:hAnsi="Times New Roman" w:cs="Times New Roman"/>
          <w:b/>
          <w:noProof/>
          <w:color w:val="000000"/>
          <w:sz w:val="24"/>
        </w:rPr>
        <w:t xml:space="preserve"> 22 June 2018) </w:t>
      </w:r>
    </w:p>
    <w:tbl>
      <w:tblPr>
        <w:tblStyle w:val="TableGrid18"/>
        <w:tblW w:w="14743" w:type="dxa"/>
        <w:tblInd w:w="-318" w:type="dxa"/>
        <w:tblLayout w:type="fixed"/>
        <w:tblLook w:val="04A0" w:firstRow="1" w:lastRow="0" w:firstColumn="1" w:lastColumn="0" w:noHBand="0" w:noVBand="1"/>
      </w:tblPr>
      <w:tblGrid>
        <w:gridCol w:w="568"/>
        <w:gridCol w:w="6522"/>
        <w:gridCol w:w="7653"/>
      </w:tblGrid>
      <w:tr>
        <w:trPr>
          <w:trHeight w:val="481"/>
          <w:tblHeader/>
        </w:trPr>
        <w:tc>
          <w:tcPr>
            <w:tcW w:w="568" w:type="dxa"/>
            <w:tcBorders>
              <w:top w:val="single" w:sz="4" w:space="0" w:color="auto"/>
              <w:left w:val="single" w:sz="4" w:space="0" w:color="auto"/>
              <w:bottom w:val="single" w:sz="4" w:space="0" w:color="auto"/>
              <w:right w:val="single" w:sz="4" w:space="0" w:color="auto"/>
            </w:tcBorders>
            <w:shd w:val="clear" w:color="auto" w:fill="99CCFF"/>
          </w:tcPr>
          <w:p>
            <w:pPr>
              <w:keepNext/>
              <w:spacing w:after="240" w:line="240" w:lineRule="atLeast"/>
              <w:jc w:val="both"/>
              <w:rPr>
                <w:rFonts w:ascii="Times New Roman" w:hAnsi="Times New Roman" w:cs="Times New Roman"/>
                <w:noProof/>
                <w:color w:val="000000"/>
                <w:sz w:val="24"/>
              </w:rPr>
            </w:pPr>
          </w:p>
        </w:tc>
        <w:tc>
          <w:tcPr>
            <w:tcW w:w="6522" w:type="dxa"/>
            <w:tcBorders>
              <w:top w:val="single" w:sz="4" w:space="0" w:color="auto"/>
              <w:left w:val="single" w:sz="4" w:space="0" w:color="auto"/>
              <w:bottom w:val="single" w:sz="4" w:space="0" w:color="auto"/>
              <w:right w:val="single" w:sz="4" w:space="0" w:color="auto"/>
            </w:tcBorders>
            <w:shd w:val="clear" w:color="auto" w:fill="99CCFF"/>
            <w:vAlign w:val="center"/>
            <w:hideMark/>
          </w:tcPr>
          <w:p>
            <w:pPr>
              <w:keepNext/>
              <w:spacing w:after="240" w:line="240" w:lineRule="atLeast"/>
              <w:jc w:val="both"/>
              <w:rPr>
                <w:rFonts w:ascii="Times New Roman" w:hAnsi="Times New Roman" w:cs="Times New Roman"/>
                <w:b/>
                <w:noProof/>
                <w:color w:val="000000"/>
                <w:sz w:val="24"/>
              </w:rPr>
            </w:pPr>
            <w:r>
              <w:rPr>
                <w:rFonts w:ascii="Times New Roman" w:hAnsi="Times New Roman" w:cs="Times New Roman"/>
                <w:b/>
                <w:noProof/>
                <w:color w:val="000000"/>
                <w:sz w:val="24"/>
              </w:rPr>
              <w:t>Commitment</w:t>
            </w:r>
          </w:p>
        </w:tc>
        <w:tc>
          <w:tcPr>
            <w:tcW w:w="7653" w:type="dxa"/>
            <w:tcBorders>
              <w:top w:val="single" w:sz="4" w:space="0" w:color="auto"/>
              <w:left w:val="single" w:sz="4" w:space="0" w:color="auto"/>
              <w:bottom w:val="single" w:sz="4" w:space="0" w:color="auto"/>
              <w:right w:val="single" w:sz="4" w:space="0" w:color="auto"/>
            </w:tcBorders>
            <w:shd w:val="clear" w:color="auto" w:fill="99CCFF"/>
            <w:vAlign w:val="center"/>
            <w:hideMark/>
          </w:tcPr>
          <w:p>
            <w:pPr>
              <w:spacing w:after="240" w:line="240" w:lineRule="atLeast"/>
              <w:jc w:val="both"/>
              <w:rPr>
                <w:rFonts w:ascii="Times New Roman" w:hAnsi="Times New Roman" w:cs="Times New Roman"/>
                <w:b/>
                <w:noProof/>
                <w:color w:val="000000"/>
                <w:sz w:val="24"/>
              </w:rPr>
            </w:pPr>
            <w:r>
              <w:rPr>
                <w:rFonts w:ascii="Times New Roman" w:hAnsi="Times New Roman" w:cs="Times New Roman"/>
                <w:b/>
                <w:noProof/>
                <w:color w:val="000000"/>
                <w:sz w:val="24"/>
              </w:rPr>
              <w:t>State of play and next steps</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Fiscal and fiscal structural.</w:t>
            </w:r>
            <w:r>
              <w:rPr>
                <w:rFonts w:ascii="Times New Roman" w:hAnsi="Times New Roman" w:cs="Times New Roman"/>
                <w:noProof/>
                <w:color w:val="000000"/>
                <w:sz w:val="24"/>
              </w:rPr>
              <w:t xml:space="preserve"> The authorities will complete the full offsetting and collection of the clawback by June every year for the previous calendar year.</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 xml:space="preserve">Administrative procedures for the clawback have resumed, and measures are being prepared to limit the size of the clawback amounts. The collection of the clawback for pharmaceuticals is in progress (through the 120 instalments scheme introduced in 2019) and for private clinics and other providers will start shortly.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The ever-increasing clawback amounts, especially for pharmaceuticals, are a source of concern. The authorities are planning to strengthen the efforts on the implementation of measures to address the issue.</w:t>
            </w:r>
          </w:p>
        </w:tc>
      </w:tr>
      <w:tr>
        <w:trPr>
          <w:trHeight w:val="524"/>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1</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Public financial management. </w:t>
            </w:r>
            <w:r>
              <w:rPr>
                <w:rFonts w:ascii="Times New Roman" w:hAnsi="Times New Roman" w:cs="Times New Roman"/>
                <w:noProof/>
                <w:color w:val="000000"/>
                <w:sz w:val="24"/>
              </w:rPr>
              <w:t>Complete the cash monitoring and forecasting for the General Government Treasury account system by end-2019.</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bCs/>
                <w:noProof/>
                <w:color w:val="000000"/>
                <w:sz w:val="24"/>
                <w:lang w:val="en-IE"/>
              </w:rPr>
              <w:t xml:space="preserve">The framework for the cash monitoring of the general government Treasury account system has been put in place, </w:t>
            </w:r>
            <w:r>
              <w:rPr>
                <w:rFonts w:ascii="Times New Roman" w:hAnsi="Times New Roman" w:cs="Times New Roman"/>
                <w:noProof/>
                <w:color w:val="000000"/>
                <w:sz w:val="24"/>
                <w:lang w:val="en-IE"/>
              </w:rPr>
              <w:t>while a pilot project on cash forecasting is being implemented</w:t>
            </w:r>
            <w:r>
              <w:rPr>
                <w:rFonts w:ascii="Times New Roman" w:hAnsi="Times New Roman" w:cs="Times New Roman"/>
                <w:bCs/>
                <w:noProof/>
                <w:color w:val="000000"/>
                <w:sz w:val="24"/>
                <w:lang w:val="en-IE"/>
              </w:rPr>
              <w:t xml:space="preserve">. </w:t>
            </w:r>
            <w:r>
              <w:rPr>
                <w:rFonts w:ascii="Times New Roman" w:hAnsi="Times New Roman" w:cs="Times New Roman"/>
                <w:noProof/>
                <w:color w:val="000000"/>
                <w:sz w:val="24"/>
                <w:lang w:val="en-IE"/>
              </w:rPr>
              <w:t>A pilot project on cash forecasting started at the end of 2019 and will result in the development of a strategy for its roll-out to the rest of the entities by October 2020. In view of its complexity, the project will be assessed based on an interim report due by end-March and a draft roll-out strategy by end-April.</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2</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Tax administration.</w:t>
            </w:r>
            <w:r>
              <w:rPr>
                <w:rFonts w:ascii="Times New Roman" w:hAnsi="Times New Roman" w:cs="Times New Roman"/>
                <w:noProof/>
                <w:color w:val="000000"/>
                <w:sz w:val="24"/>
              </w:rPr>
              <w:t xml:space="preserve"> Reach the agreed permanent staffing positions at the Independent Authority of Public Revenue (IAPR) of 12 500 by end-2019.</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bCs/>
                <w:noProof/>
                <w:color w:val="000000"/>
                <w:sz w:val="24"/>
              </w:rPr>
              <w:t>The number of staff at the Independent Authority for Public Revenue increased during 2019 but fell short of the end-2019 target. The complementary measures agreed in view of the undershooting of the staffing target have seen overall good progress, in particular as concerns human resources reform and housing issues, and are expected to advance further until end-April 2020</w:t>
            </w:r>
            <w:r>
              <w:rPr>
                <w:rFonts w:ascii="Times New Roman" w:hAnsi="Times New Roman" w:cs="Times New Roman"/>
                <w:noProof/>
                <w:color w:val="000000"/>
                <w:sz w:val="24"/>
              </w:rPr>
              <w:t xml:space="preserve">. </w:t>
            </w:r>
          </w:p>
          <w:p>
            <w:pPr>
              <w:numPr>
                <w:ilvl w:val="0"/>
                <w:numId w:val="22"/>
              </w:num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 xml:space="preserve">The supplementary grading legislation has been adopted, and the follow-up legislation defining the remuneration framework in relation to the grading system is due to be adopted by the end of April. </w:t>
            </w:r>
          </w:p>
          <w:p>
            <w:pPr>
              <w:numPr>
                <w:ilvl w:val="0"/>
                <w:numId w:val="22"/>
              </w:num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 xml:space="preserve">Regarding the IT framework, the key areas have been identified where competencies and resources between the Authority and the relevant services of the Ministry of Digital Governance will need to be clarified by April 2020, which should allow for a Service Level Agreement to be agreed by mid-2020. </w:t>
            </w:r>
          </w:p>
          <w:p>
            <w:pPr>
              <w:numPr>
                <w:ilvl w:val="0"/>
                <w:numId w:val="22"/>
              </w:num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 xml:space="preserve">Finally, a detailed roadmap for the relocation of the Authority into one location has been defined with the decision for the public entity currently occupying the premises to move out as well the offer for the Authority to secure its lease expected by March 2020.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The authorities are making progress on a number of key projects enhancing the capacity of the Authority and are preparing a more ambitious plan to combat smuggling.</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Arrears.</w:t>
            </w:r>
            <w:r>
              <w:rPr>
                <w:rFonts w:ascii="Times New Roman" w:hAnsi="Times New Roman" w:cs="Times New Roman"/>
                <w:noProof/>
                <w:color w:val="000000"/>
                <w:sz w:val="24"/>
              </w:rPr>
              <w:t xml:space="preserve"> The authorities will implement the arrears clearance plan and avoid the accumulation of new arrears.</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bCs/>
                <w:noProof/>
                <w:color w:val="000000"/>
                <w:sz w:val="24"/>
                <w:lang w:val="en-IE"/>
              </w:rPr>
              <w:t>The stock of net arrears reached EUR 1.2 billion at end-2019, which was EUR 220 million above the target of the October 2019 clearance plan (a continuous commitment). Additional measures, focusing in particular on pension arrears, are being prepared and some have already started to be implemented.</w:t>
            </w:r>
            <w:r>
              <w:rPr>
                <w:rFonts w:ascii="Times New Roman" w:hAnsi="Times New Roman" w:cs="Times New Roman"/>
                <w:noProof/>
                <w:color w:val="000000"/>
                <w:sz w:val="24"/>
              </w:rPr>
              <w:t xml:space="preserve"> </w:t>
            </w:r>
            <w:r>
              <w:rPr>
                <w:rFonts w:ascii="Times New Roman" w:hAnsi="Times New Roman" w:cs="Times New Roman"/>
                <w:bCs/>
                <w:noProof/>
                <w:color w:val="000000"/>
                <w:sz w:val="24"/>
                <w:lang w:val="en-IE"/>
              </w:rPr>
              <w:t>The authorities remain committed to the October 2019 clearance plan and expect the target of clearing the pending pension claims by mid-2021 to be achieved.</w:t>
            </w:r>
            <w:r>
              <w:rPr>
                <w:rFonts w:ascii="Times New Roman" w:hAnsi="Times New Roman" w:cs="Times New Roman"/>
                <w:noProof/>
                <w:color w:val="000000"/>
                <w:sz w:val="24"/>
              </w:rPr>
              <w:t xml:space="preserve"> </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3</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Social welfare. </w:t>
            </w:r>
            <w:r>
              <w:rPr>
                <w:rFonts w:ascii="Times New Roman" w:hAnsi="Times New Roman" w:cs="Times New Roman"/>
                <w:noProof/>
                <w:color w:val="000000"/>
                <w:sz w:val="24"/>
              </w:rPr>
              <w:t>Complete the rollout of all three pillars of the Social Solidarity Income (SSI) scheme by end-2019.</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eastAsiaTheme="minorEastAsia" w:hAnsi="Times New Roman" w:cs="Times New Roman"/>
                <w:noProof/>
                <w:color w:val="000000"/>
                <w:sz w:val="24"/>
              </w:rPr>
              <w:t>The authorities have prepared an action plan for the nationwide expansion of a new delivery model for active labour market policies, thus progressing towards completing the rollout of the Social Solidarity Income scheme.</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4</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Social welfare. </w:t>
            </w:r>
            <w:r>
              <w:rPr>
                <w:rFonts w:ascii="Times New Roman" w:hAnsi="Times New Roman" w:cs="Times New Roman"/>
                <w:noProof/>
                <w:color w:val="000000"/>
                <w:sz w:val="24"/>
              </w:rPr>
              <w:t>Review the system of subsidies for local public transport by end-2019.</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lang w:val="en-IE"/>
              </w:rPr>
              <w:t>The evaluation of the system of subsidies for local public transport is expected to be completed by end April 2020. The delay is due to the many distinct beneficiaries (ten different population groups receive these types of subsidies) and the involvement of a number of different ministries.</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Financial stability.</w:t>
            </w:r>
            <w:r>
              <w:rPr>
                <w:rFonts w:ascii="Times New Roman" w:hAnsi="Times New Roman" w:cs="Times New Roman"/>
                <w:noProof/>
                <w:color w:val="000000"/>
                <w:sz w:val="24"/>
              </w:rPr>
              <w:t xml:space="preserve"> Greece will continue to implement reforms aimed at restoring the health of the banking system, including NPL resolution efforts by ensuring the continued effectiveness of the relevant legal framework (i.e. household and corporate insolvency, out-of-court workout, NPL sales, e-auctions) and taking all necessary actions to this effect. </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 xml:space="preserve">The pace of reduction of non-performing loans accelerated in 2019 but non-performing loan ratios remain very high. The successful and speedy implementation of the Hercules asset protection scheme could accelerate the reduction of non-performing loans of the four systemic banks. </w:t>
            </w:r>
          </w:p>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The actions outlined below are monitored and assessed under enhanced surveillance:</w:t>
            </w:r>
          </w:p>
          <w:p>
            <w:pPr>
              <w:numPr>
                <w:ilvl w:val="0"/>
                <w:numId w:val="24"/>
              </w:num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Harmonisation of the insolvency framework</w:t>
            </w:r>
            <w:r>
              <w:rPr>
                <w:rFonts w:ascii="Times New Roman" w:hAnsi="Times New Roman" w:cs="Times New Roman"/>
                <w:noProof/>
                <w:color w:val="000000"/>
                <w:sz w:val="24"/>
              </w:rPr>
              <w:t>: Preparatory work on the harmonisation and integration of the corporate and personal insolvency regimes is proceeding, and the new framework is expected to be adopted by the end of April 2020. Independently of the implementation of the new framework, the Primary Residence Protection scheme will also expire by end April.</w:t>
            </w:r>
          </w:p>
          <w:p>
            <w:pPr>
              <w:numPr>
                <w:ilvl w:val="0"/>
                <w:numId w:val="24"/>
              </w:num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Clearing of the household insolvency backlog</w:t>
            </w:r>
            <w:r>
              <w:rPr>
                <w:rFonts w:ascii="Times New Roman" w:hAnsi="Times New Roman" w:cs="Times New Roman"/>
                <w:noProof/>
                <w:color w:val="000000"/>
                <w:sz w:val="24"/>
              </w:rPr>
              <w:t>: The number of pending household insolvency cases exceeded 86,000 at end-December 2019, which is by about 50% above the end-year target, which will therefore be very likely missed. A comprehensive action plan for accelerating the clearance of the household insolvency backlog was expected by end-December 2019. The authorities have now committed to present it by end-March 2020. The authorities also submitted a draft legislative proposal for the provision of training to magistrate court judges, who are the ones dealing with household insolvency cases.</w:t>
            </w:r>
          </w:p>
          <w:p>
            <w:pPr>
              <w:numPr>
                <w:ilvl w:val="0"/>
                <w:numId w:val="24"/>
              </w:numPr>
              <w:spacing w:after="240" w:line="240" w:lineRule="atLeast"/>
              <w:jc w:val="both"/>
              <w:rPr>
                <w:rFonts w:ascii="Times New Roman" w:hAnsi="Times New Roman" w:cs="Times New Roman"/>
                <w:noProof/>
                <w:sz w:val="24"/>
              </w:rPr>
            </w:pPr>
            <w:r>
              <w:rPr>
                <w:rFonts w:ascii="Times New Roman" w:hAnsi="Times New Roman" w:cs="Times New Roman"/>
                <w:b/>
                <w:noProof/>
                <w:color w:val="000000"/>
                <w:sz w:val="24"/>
              </w:rPr>
              <w:t>Clearing the backlog of called state guarantees</w:t>
            </w:r>
            <w:r>
              <w:rPr>
                <w:rFonts w:ascii="Times New Roman" w:hAnsi="Times New Roman" w:cs="Times New Roman"/>
                <w:noProof/>
                <w:color w:val="000000"/>
                <w:sz w:val="24"/>
              </w:rPr>
              <w:t>: The authorities have increased their efforts and committed</w:t>
            </w:r>
            <w:r>
              <w:rPr>
                <w:rFonts w:ascii="Times New Roman" w:hAnsi="Times New Roman" w:cs="Times New Roman"/>
                <w:b/>
                <w:noProof/>
                <w:color w:val="000000"/>
                <w:sz w:val="24"/>
              </w:rPr>
              <w:t xml:space="preserve"> </w:t>
            </w:r>
            <w:r>
              <w:rPr>
                <w:rFonts w:ascii="Times New Roman" w:hAnsi="Times New Roman" w:cs="Times New Roman"/>
                <w:noProof/>
                <w:color w:val="000000"/>
                <w:sz w:val="24"/>
              </w:rPr>
              <w:t xml:space="preserve">to accelerate the implementation of the action plan for the clearance of the backlog of called guarantees, which remains considerable. The fiscal cost of the envisaged clearance path is expected to be incorporated in the 2020 update of the Medium-term Fiscal Strategy. </w:t>
            </w:r>
            <w:r>
              <w:rPr>
                <w:rFonts w:ascii="Times New Roman" w:hAnsi="Times New Roman" w:cs="Times New Roman"/>
                <w:noProof/>
                <w:sz w:val="24"/>
              </w:rPr>
              <w:t>Ensuring considerable payments already in 2020, with visible results by mid-year, and further exploring ways to process the guarantees scheduled for 2024 still in 2023, would enhance the effectiveness of the action plan and send the right signal vis-à-vis future payments from the state towards the financial system.</w:t>
            </w:r>
          </w:p>
          <w:p>
            <w:pPr>
              <w:numPr>
                <w:ilvl w:val="0"/>
                <w:numId w:val="24"/>
              </w:num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Primary residence protection</w:t>
            </w:r>
            <w:r>
              <w:rPr>
                <w:rFonts w:ascii="Times New Roman" w:hAnsi="Times New Roman" w:cs="Times New Roman"/>
                <w:noProof/>
                <w:color w:val="000000"/>
                <w:sz w:val="24"/>
              </w:rPr>
              <w:t>: The primary residence protection scheme with a state subsidy put in place to help debtors start repaying their mortgages remains little used and the authorities reiterated their commitment that the protection would expire at end-April 2020.</w:t>
            </w:r>
          </w:p>
          <w:p>
            <w:pPr>
              <w:numPr>
                <w:ilvl w:val="0"/>
                <w:numId w:val="24"/>
              </w:num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E-auctions</w:t>
            </w:r>
            <w:r>
              <w:rPr>
                <w:rFonts w:ascii="Times New Roman" w:hAnsi="Times New Roman" w:cs="Times New Roman"/>
                <w:noProof/>
                <w:color w:val="000000"/>
                <w:sz w:val="24"/>
              </w:rPr>
              <w:t>: A comprehensive analysis of the reasons, which currently impede a high success ratio of e-auctions, including a proposal with possible legislative remedies, has not been conducted so far. The authorities are aware of the existence of impediments leading to the frequent failures of e-auctions and commit to implement actions to prevent cases of procedural abuse.</w:t>
            </w:r>
          </w:p>
          <w:p>
            <w:pPr>
              <w:numPr>
                <w:ilvl w:val="0"/>
                <w:numId w:val="24"/>
              </w:num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Other initiatives</w:t>
            </w:r>
            <w:r>
              <w:rPr>
                <w:rFonts w:ascii="Times New Roman" w:hAnsi="Times New Roman" w:cs="Times New Roman"/>
                <w:noProof/>
                <w:color w:val="000000"/>
                <w:sz w:val="24"/>
              </w:rPr>
              <w:t>: The favourable tax treatment of loan write-offs that had expired at the end of 2018 has been reinstated. The authorities completed their assessment of the implementation of the reformed Code of Civil Procedure, which aims to increase the effectiveness of court proceedings, and are expected to finalise the formulation and eventual proposals for the adoption of legislation for future improvements by mid-July 2020.</w:t>
            </w:r>
          </w:p>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The Hellenic Financial Stability Fund continued exercising its shareholding rights in the four systemic banks.</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5</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Labour market. </w:t>
            </w:r>
            <w:r>
              <w:rPr>
                <w:rFonts w:ascii="Times New Roman" w:hAnsi="Times New Roman" w:cs="Times New Roman"/>
                <w:noProof/>
                <w:color w:val="000000"/>
                <w:sz w:val="24"/>
              </w:rPr>
              <w:t xml:space="preserve">Implement action plan on undeclared work by end-2019. </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eastAsiaTheme="minorEastAsia" w:hAnsi="Times New Roman" w:cs="Times New Roman"/>
                <w:noProof/>
                <w:color w:val="000000"/>
                <w:sz w:val="24"/>
              </w:rPr>
              <w:t>The authorities have completed the implementation of the 2017-2019 action plan to fight undeclared work and are now in the process of preparing a follow up.</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b/>
                <w:noProof/>
                <w:color w:val="000000"/>
                <w:sz w:val="24"/>
              </w:rPr>
            </w:pPr>
            <w:r>
              <w:rPr>
                <w:rFonts w:ascii="Times New Roman" w:hAnsi="Times New Roman" w:cs="Times New Roman"/>
                <w:b/>
                <w:noProof/>
                <w:color w:val="000000"/>
                <w:sz w:val="24"/>
              </w:rPr>
              <w:t xml:space="preserve">Labour markets, product markets and competitiveness. </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eastAsiaTheme="minorEastAsia" w:hAnsi="Times New Roman" w:cs="Times New Roman"/>
                <w:noProof/>
                <w:color w:val="000000"/>
                <w:sz w:val="24"/>
              </w:rPr>
            </w:pPr>
            <w:r>
              <w:rPr>
                <w:rFonts w:ascii="Times New Roman" w:eastAsiaTheme="minorEastAsia" w:hAnsi="Times New Roman" w:cs="Times New Roman"/>
                <w:noProof/>
                <w:color w:val="000000"/>
                <w:sz w:val="24"/>
              </w:rPr>
              <w:t xml:space="preserve">The authorities are preparing a new National Growth Strategy. The new strategy is due to be completed by mid-2020. </w:t>
            </w:r>
          </w:p>
          <w:p>
            <w:pPr>
              <w:spacing w:after="240" w:line="240" w:lineRule="atLeast"/>
              <w:jc w:val="both"/>
              <w:rPr>
                <w:rFonts w:ascii="Times New Roman" w:eastAsiaTheme="minorEastAsia" w:hAnsi="Times New Roman" w:cs="Times New Roman"/>
                <w:noProof/>
                <w:color w:val="000000"/>
                <w:sz w:val="24"/>
              </w:rPr>
            </w:pPr>
            <w:r>
              <w:rPr>
                <w:rFonts w:ascii="Times New Roman" w:eastAsiaTheme="minorEastAsia" w:hAnsi="Times New Roman" w:cs="Times New Roman"/>
                <w:noProof/>
                <w:color w:val="000000"/>
                <w:sz w:val="24"/>
              </w:rPr>
              <w:t>The authorities committed to safeguard competitiveness when carrying out an annual update of the minimum wage.</w:t>
            </w:r>
          </w:p>
          <w:p>
            <w:pPr>
              <w:spacing w:after="240" w:line="240" w:lineRule="atLeast"/>
              <w:jc w:val="both"/>
              <w:rPr>
                <w:rFonts w:ascii="Times New Roman" w:eastAsiaTheme="minorEastAsia" w:hAnsi="Times New Roman" w:cs="Times New Roman"/>
                <w:noProof/>
                <w:color w:val="000000"/>
                <w:sz w:val="24"/>
              </w:rPr>
            </w:pPr>
            <w:r>
              <w:rPr>
                <w:rFonts w:ascii="Times New Roman" w:eastAsiaTheme="minorEastAsia" w:hAnsi="Times New Roman" w:cs="Times New Roman"/>
                <w:noProof/>
                <w:color w:val="000000"/>
                <w:sz w:val="24"/>
              </w:rPr>
              <w:t>The authorities have embarked on an ambitious agenda for a comprehensive education reform.</w:t>
            </w:r>
          </w:p>
          <w:p>
            <w:pPr>
              <w:spacing w:after="240" w:line="240" w:lineRule="atLeast"/>
              <w:jc w:val="both"/>
              <w:rPr>
                <w:rFonts w:ascii="Times New Roman" w:eastAsiaTheme="minorEastAsia" w:hAnsi="Times New Roman" w:cs="Times New Roman"/>
                <w:noProof/>
                <w:color w:val="000000"/>
                <w:sz w:val="24"/>
              </w:rPr>
            </w:pPr>
            <w:r>
              <w:rPr>
                <w:rFonts w:ascii="Times New Roman" w:eastAsiaTheme="minorEastAsia" w:hAnsi="Times New Roman" w:cs="Times New Roman"/>
                <w:noProof/>
                <w:color w:val="000000"/>
                <w:sz w:val="24"/>
              </w:rPr>
              <w:t>Progress on areas of economic diplomacy and trade facilitation, which are expected to contribute to strengthening Greece’s export performance, has been hampered due to incomplete institutional arrangements.</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6</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Justice</w:t>
            </w:r>
            <w:r>
              <w:rPr>
                <w:rFonts w:ascii="Times New Roman" w:hAnsi="Times New Roman" w:cs="Times New Roman"/>
                <w:noProof/>
                <w:color w:val="000000"/>
                <w:sz w:val="24"/>
              </w:rPr>
              <w:t>. In the context of implementing the Three-Year Action Plan on Justice, implement the electronic filing of legal documents throughout the Courts, having completed the tendering procedure by end-2019.</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eastAsiaTheme="minorEastAsia" w:hAnsi="Times New Roman" w:cs="Times New Roman"/>
                <w:noProof/>
                <w:color w:val="000000"/>
                <w:sz w:val="24"/>
              </w:rPr>
              <w:t xml:space="preserve">The gradual switching to the mandatory electronic filing and processing of legal documents is progressing, starting from the administrative jurisdictions. Given the complexity of the project, it was previously agreed that full rollout throughout all courts by end-2019 is not technically achievable and that the commitment would be assessed on the basis of </w:t>
            </w:r>
            <w:r>
              <w:rPr>
                <w:rFonts w:ascii="Times New Roman" w:hAnsi="Times New Roman" w:cs="Times New Roman"/>
                <w:noProof/>
                <w:color w:val="000000"/>
                <w:sz w:val="24"/>
              </w:rPr>
              <w:t>progress in the second phase of the Integrated Judicial Case Management System</w:t>
            </w:r>
            <w:r>
              <w:rPr>
                <w:rFonts w:ascii="Times New Roman" w:eastAsiaTheme="minorEastAsia" w:hAnsi="Times New Roman" w:cs="Times New Roman"/>
                <w:noProof/>
                <w:color w:val="000000"/>
                <w:sz w:val="24"/>
              </w:rPr>
              <w:t xml:space="preserve"> for the full rollout to be implemented </w:t>
            </w:r>
            <w:r>
              <w:rPr>
                <w:rFonts w:ascii="Times New Roman" w:hAnsi="Times New Roman" w:cs="Times New Roman"/>
                <w:noProof/>
                <w:color w:val="000000"/>
                <w:sz w:val="24"/>
              </w:rPr>
              <w:t>over a 36-month period from the activation of the relevant contract.</w:t>
            </w:r>
            <w:r>
              <w:rPr>
                <w:rFonts w:ascii="Times New Roman" w:eastAsiaTheme="minorEastAsia" w:hAnsi="Times New Roman" w:cs="Times New Roman"/>
                <w:noProof/>
                <w:color w:val="000000"/>
                <w:sz w:val="24"/>
              </w:rPr>
              <w:t xml:space="preserve"> </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7</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Investment licensing. </w:t>
            </w:r>
            <w:r>
              <w:rPr>
                <w:rFonts w:ascii="Times New Roman" w:hAnsi="Times New Roman" w:cs="Times New Roman"/>
                <w:noProof/>
                <w:color w:val="000000"/>
                <w:sz w:val="24"/>
              </w:rPr>
              <w:t>Complete the investment licensing reform, and to this end fully deploy the relevant ICT (end-2019).</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 xml:space="preserve">Despite some delays mostly caused by factors outside the authorities’ control, work on investment licensing is largely on track and the authorities remain </w:t>
            </w:r>
            <w:r>
              <w:rPr>
                <w:rFonts w:ascii="Times New Roman" w:eastAsiaTheme="minorEastAsia" w:hAnsi="Times New Roman" w:cs="Times New Roman"/>
                <w:noProof/>
                <w:color w:val="000000"/>
                <w:sz w:val="24"/>
              </w:rPr>
              <w:t xml:space="preserve">committed to completing the </w:t>
            </w:r>
            <w:r>
              <w:rPr>
                <w:rFonts w:ascii="Times New Roman" w:hAnsi="Times New Roman" w:cs="Times New Roman"/>
                <w:noProof/>
                <w:color w:val="000000"/>
                <w:sz w:val="24"/>
              </w:rPr>
              <w:t xml:space="preserve">reform within the agreed deadlines. </w:t>
            </w:r>
          </w:p>
          <w:p>
            <w:pPr>
              <w:spacing w:after="240" w:line="240" w:lineRule="atLeast"/>
              <w:jc w:val="both"/>
              <w:rPr>
                <w:rFonts w:ascii="Times New Roman" w:hAnsi="Times New Roman" w:cs="Times New Roman"/>
                <w:noProof/>
                <w:color w:val="000000"/>
                <w:sz w:val="24"/>
              </w:rPr>
            </w:pPr>
            <w:r>
              <w:rPr>
                <w:rFonts w:ascii="Times New Roman" w:eastAsiaTheme="minorEastAsia" w:hAnsi="Times New Roman" w:cs="Times New Roman"/>
                <w:noProof/>
                <w:color w:val="000000"/>
                <w:sz w:val="24"/>
              </w:rPr>
              <w:t>The signature of the contract for the procurement of the IT system, which is the first step towards the full deployment of the IT system, has been delayed given a complication that arose within the tendering procedure outside the control of the authorities.</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8</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Energy. </w:t>
            </w:r>
            <w:r>
              <w:rPr>
                <w:rFonts w:ascii="Times New Roman" w:hAnsi="Times New Roman" w:cs="Times New Roman"/>
                <w:noProof/>
                <w:color w:val="000000"/>
                <w:sz w:val="24"/>
              </w:rPr>
              <w:t>With a view to completing reforms in the energy sector, implement the measures agreed as part of the joint assessment on the NOME auction system.</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eastAsiaTheme="minorEastAsia" w:hAnsi="Times New Roman" w:cs="Times New Roman"/>
                <w:noProof/>
                <w:color w:val="000000"/>
                <w:sz w:val="24"/>
              </w:rPr>
            </w:pPr>
            <w:r>
              <w:rPr>
                <w:rFonts w:ascii="Times New Roman" w:eastAsiaTheme="minorEastAsia" w:hAnsi="Times New Roman" w:cs="Times New Roman"/>
                <w:noProof/>
                <w:color w:val="000000"/>
                <w:sz w:val="24"/>
              </w:rPr>
              <w:t xml:space="preserve">Progress towards the completion of Greece’s energy market commitments continued with the initial submission of revised proposals to attempt to remedy the anti-trust concerns until the full phase out of lignite, along with the formulation of an overall strategy for energy and climate. Addressing the longstanding distortions on the wholesale market (including remedies to the anti-trust commitment, which will now cover the end-2019 specific commitment by including additional measures in the energy sector) will increase the degree of competition in the Greek electricity market, setting the basis for further investments and helping Greece reform its energy sector. </w:t>
            </w:r>
          </w:p>
          <w:p>
            <w:pPr>
              <w:spacing w:after="240" w:line="240" w:lineRule="atLeast"/>
              <w:jc w:val="both"/>
              <w:rPr>
                <w:rFonts w:ascii="Times New Roman" w:hAnsi="Times New Roman" w:cs="Times New Roman"/>
                <w:noProof/>
                <w:color w:val="000000"/>
                <w:sz w:val="24"/>
              </w:rPr>
            </w:pPr>
            <w:r>
              <w:rPr>
                <w:rFonts w:ascii="Times New Roman" w:eastAsiaTheme="minorEastAsia" w:hAnsi="Times New Roman" w:cs="Times New Roman"/>
                <w:noProof/>
                <w:color w:val="000000"/>
                <w:sz w:val="24"/>
              </w:rPr>
              <w:t>Greece adopted its National Energy and Climate Plan in December 2019, ahead of some other Member States.</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HCAP and privatisation</w:t>
            </w:r>
            <w:r>
              <w:rPr>
                <w:rFonts w:ascii="Times New Roman" w:hAnsi="Times New Roman" w:cs="Times New Roman"/>
                <w:noProof/>
                <w:color w:val="000000"/>
                <w:sz w:val="24"/>
              </w:rPr>
              <w:t>. The Asset Development Plan and the Strategic Plan of HCAP will be implemented on a continuous basis.</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eastAsiaTheme="minorEastAsia" w:hAnsi="Times New Roman" w:cs="Times New Roman"/>
                <w:noProof/>
                <w:color w:val="000000"/>
                <w:sz w:val="24"/>
              </w:rPr>
            </w:pPr>
            <w:r>
              <w:rPr>
                <w:rFonts w:ascii="Times New Roman" w:eastAsiaTheme="minorEastAsia" w:hAnsi="Times New Roman" w:cs="Times New Roman"/>
                <w:noProof/>
                <w:color w:val="000000"/>
                <w:sz w:val="24"/>
              </w:rPr>
              <w:t>The work of the Hellenic Corporation of Assets and Participations on the key areas covered by the commitments to the Eurogroup is continuing. Progress has been made in improving corporate governance in state-owned enterprises, while the Corporation is increasing its focus on operational improvements in state-owned enterprises. The coordination mechanism between the authorities and the Corporation has meanwhile been launched for all enterprises, the mandates for eight enterprises were finalised and submitted to the Cabinet Committee, and work is underway in updating the ministerial guidance.</w:t>
            </w:r>
          </w:p>
          <w:p>
            <w:pPr>
              <w:spacing w:after="240" w:line="240" w:lineRule="atLeast"/>
              <w:jc w:val="both"/>
              <w:rPr>
                <w:rFonts w:ascii="Times New Roman" w:eastAsiaTheme="minorEastAsia" w:hAnsi="Times New Roman" w:cs="Times New Roman"/>
                <w:noProof/>
                <w:color w:val="000000"/>
                <w:sz w:val="24"/>
              </w:rPr>
            </w:pPr>
            <w:r>
              <w:rPr>
                <w:rFonts w:ascii="Times New Roman" w:eastAsiaTheme="minorEastAsia" w:hAnsi="Times New Roman" w:cs="Times New Roman"/>
                <w:noProof/>
                <w:color w:val="000000"/>
                <w:sz w:val="24"/>
              </w:rPr>
              <w:t xml:space="preserve">The Corporation is continuing with the implementation of its strategic plan and is monitoring the key performance indicators it has set for its subsidiaries. Achieving the full potential of the real estate portfolio under the Public Properties Company remains a key challenge, while the screening for the transfer of additional real estate assets should be completed soon. </w:t>
            </w:r>
          </w:p>
          <w:p>
            <w:pPr>
              <w:spacing w:after="240" w:line="240" w:lineRule="atLeast"/>
              <w:jc w:val="both"/>
              <w:rPr>
                <w:rFonts w:ascii="Times New Roman" w:hAnsi="Times New Roman" w:cs="Times New Roman"/>
                <w:noProof/>
                <w:color w:val="000000"/>
                <w:sz w:val="24"/>
              </w:rPr>
            </w:pPr>
            <w:r>
              <w:rPr>
                <w:rFonts w:ascii="Times New Roman" w:eastAsiaTheme="minorEastAsia" w:hAnsi="Times New Roman" w:cs="Times New Roman"/>
                <w:noProof/>
                <w:sz w:val="24"/>
              </w:rPr>
              <w:t>The authorities maintained momentum in the privatisation process as reflected in the good progress on several transactions. As mentioned in previous reports, the timeline of the flagship projects below has been affected by delays or factors largely outside the control of the authorities. Overall, the authorities are making continued progress in the implementation of the Asset Development Plan.</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9</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Privatisation.</w:t>
            </w:r>
            <w:r>
              <w:rPr>
                <w:rFonts w:ascii="Times New Roman" w:hAnsi="Times New Roman" w:cs="Times New Roman"/>
                <w:noProof/>
                <w:color w:val="000000"/>
                <w:sz w:val="24"/>
              </w:rPr>
              <w:t xml:space="preserve"> With a view to swiftly attracting investment to support a sustained economic recovery, complete by end-2019 the transactions on Egnatia, DEPA commercial, regional ports of Alexandroupoli and Kavala, AIA shares, EYDAP and EYATH.</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eastAsiaTheme="minorEastAsia" w:hAnsi="Times New Roman" w:cs="Times New Roman"/>
                <w:noProof/>
                <w:color w:val="000000"/>
                <w:sz w:val="24"/>
              </w:rPr>
            </w:pPr>
            <w:r>
              <w:rPr>
                <w:rFonts w:ascii="Times New Roman" w:eastAsiaTheme="minorEastAsia" w:hAnsi="Times New Roman" w:cs="Times New Roman"/>
                <w:b/>
                <w:noProof/>
                <w:color w:val="000000"/>
                <w:sz w:val="24"/>
              </w:rPr>
              <w:t xml:space="preserve">Sale of 30% of Athens International Airport: </w:t>
            </w:r>
            <w:r>
              <w:rPr>
                <w:rFonts w:ascii="Times New Roman" w:eastAsiaTheme="minorEastAsia" w:hAnsi="Times New Roman" w:cs="Times New Roman"/>
                <w:noProof/>
                <w:color w:val="000000"/>
                <w:sz w:val="24"/>
              </w:rPr>
              <w:t xml:space="preserve">The tendering process is proceeding well. </w:t>
            </w:r>
            <w:r>
              <w:rPr>
                <w:rFonts w:ascii="Times New Roman" w:hAnsi="Times New Roman" w:cs="Times New Roman"/>
                <w:noProof/>
                <w:color w:val="000000"/>
                <w:sz w:val="24"/>
              </w:rPr>
              <w:t xml:space="preserve">On 31 January 2020, the Board of Directors of the </w:t>
            </w:r>
            <w:r>
              <w:rPr>
                <w:rFonts w:ascii="Times New Roman" w:eastAsiaTheme="minorEastAsia" w:hAnsi="Times New Roman" w:cs="Times New Roman"/>
                <w:noProof/>
                <w:color w:val="000000"/>
                <w:sz w:val="24"/>
              </w:rPr>
              <w:t>Hellenic Republic Asset Development Fund (</w:t>
            </w:r>
            <w:r>
              <w:rPr>
                <w:rFonts w:ascii="Times New Roman" w:hAnsi="Times New Roman" w:cs="Times New Roman"/>
                <w:noProof/>
                <w:color w:val="000000"/>
                <w:sz w:val="24"/>
              </w:rPr>
              <w:t>TAIPED) decided that n</w:t>
            </w:r>
            <w:r>
              <w:rPr>
                <w:rFonts w:ascii="Times New Roman" w:eastAsiaTheme="minorEastAsia" w:hAnsi="Times New Roman" w:cs="Times New Roman"/>
                <w:noProof/>
                <w:color w:val="000000"/>
                <w:sz w:val="24"/>
              </w:rPr>
              <w:t xml:space="preserve">ine investment parties are qualified </w:t>
            </w:r>
            <w:r>
              <w:rPr>
                <w:rFonts w:ascii="Times New Roman" w:hAnsi="Times New Roman" w:cs="Times New Roman"/>
                <w:noProof/>
                <w:color w:val="000000"/>
                <w:sz w:val="24"/>
              </w:rPr>
              <w:t>to proceed to the Binding Offers Phase, thus effectively launching this phase.</w:t>
            </w:r>
            <w:r>
              <w:rPr>
                <w:rFonts w:ascii="Times New Roman" w:eastAsiaTheme="minorEastAsia" w:hAnsi="Times New Roman" w:cs="Times New Roman"/>
                <w:noProof/>
                <w:color w:val="000000"/>
                <w:sz w:val="24"/>
              </w:rPr>
              <w:t xml:space="preserve"> The financial closing of the transaction is expected before the end of the year. </w:t>
            </w:r>
          </w:p>
          <w:p>
            <w:pPr>
              <w:spacing w:after="240" w:line="240" w:lineRule="atLeast"/>
              <w:jc w:val="both"/>
              <w:rPr>
                <w:rFonts w:ascii="Times New Roman" w:eastAsiaTheme="minorEastAsia" w:hAnsi="Times New Roman" w:cs="Times New Roman"/>
                <w:noProof/>
                <w:color w:val="000000"/>
                <w:sz w:val="24"/>
              </w:rPr>
            </w:pPr>
            <w:r>
              <w:rPr>
                <w:rFonts w:ascii="Times New Roman" w:eastAsiaTheme="minorEastAsia" w:hAnsi="Times New Roman" w:cs="Times New Roman"/>
                <w:b/>
                <w:noProof/>
                <w:color w:val="000000"/>
                <w:sz w:val="24"/>
              </w:rPr>
              <w:t>Public Gas Corporation:</w:t>
            </w:r>
            <w:r>
              <w:rPr>
                <w:rFonts w:ascii="Times New Roman" w:eastAsiaTheme="minorEastAsia" w:hAnsi="Times New Roman" w:cs="Times New Roman"/>
                <w:noProof/>
                <w:color w:val="000000"/>
                <w:sz w:val="24"/>
              </w:rPr>
              <w:t xml:space="preserve"> The necessary legislation for the partial demerger of the company and the sale of the full stake of the Asset Development Fund in the company (i.e. 65%) was adopted in November 2019. The international tender process for DEPA Infrastructure was launched on 9 December 2019, whereby the Fund and Hellenic Petroleum are acting as co-sellers (offering 100% of the share capital of DEPA Infrastructure). The international tender process for the sale of 65% of the share capital of DEPA Commercial was launched on 23 January 2020.</w:t>
            </w:r>
          </w:p>
          <w:p>
            <w:pPr>
              <w:spacing w:after="240" w:line="240" w:lineRule="atLeast"/>
              <w:jc w:val="both"/>
              <w:rPr>
                <w:rFonts w:ascii="Times New Roman" w:eastAsiaTheme="minorEastAsia" w:hAnsi="Times New Roman" w:cs="Times New Roman"/>
                <w:noProof/>
                <w:color w:val="000000"/>
                <w:sz w:val="24"/>
              </w:rPr>
            </w:pPr>
            <w:r>
              <w:rPr>
                <w:rFonts w:ascii="Times New Roman" w:eastAsiaTheme="minorEastAsia" w:hAnsi="Times New Roman" w:cs="Times New Roman"/>
                <w:b/>
                <w:noProof/>
                <w:color w:val="000000"/>
                <w:sz w:val="24"/>
              </w:rPr>
              <w:t>Egnatia:</w:t>
            </w:r>
            <w:r>
              <w:rPr>
                <w:rFonts w:ascii="Times New Roman" w:eastAsiaTheme="minorEastAsia" w:hAnsi="Times New Roman" w:cs="Times New Roman"/>
                <w:noProof/>
                <w:color w:val="000000"/>
                <w:sz w:val="24"/>
              </w:rPr>
              <w:t xml:space="preserve"> Three frontal toll stations were put into operation, while a detailed roadmap was provided to the institutions, with a specific timetable for the implementation of all required pending actions by May 2020. The implementation of the roadmap has started, and it will be key to build on the progress and take all necessary steps well in time before the revised deadline for the submission of binding offers on 26 June 2020. </w:t>
            </w:r>
          </w:p>
          <w:p>
            <w:pPr>
              <w:spacing w:after="240" w:line="240" w:lineRule="atLeast"/>
              <w:jc w:val="both"/>
              <w:rPr>
                <w:rFonts w:ascii="Times New Roman" w:eastAsiaTheme="minorEastAsia" w:hAnsi="Times New Roman" w:cs="Times New Roman"/>
                <w:noProof/>
                <w:color w:val="000000"/>
                <w:sz w:val="24"/>
              </w:rPr>
            </w:pPr>
            <w:r>
              <w:rPr>
                <w:rFonts w:ascii="Times New Roman" w:eastAsiaTheme="minorEastAsia" w:hAnsi="Times New Roman" w:cs="Times New Roman"/>
                <w:b/>
                <w:noProof/>
                <w:color w:val="000000"/>
                <w:sz w:val="24"/>
              </w:rPr>
              <w:t>Regional Ports:</w:t>
            </w:r>
            <w:r>
              <w:rPr>
                <w:rFonts w:ascii="Times New Roman" w:eastAsiaTheme="minorEastAsia" w:hAnsi="Times New Roman" w:cs="Times New Roman"/>
                <w:noProof/>
                <w:color w:val="000000"/>
                <w:sz w:val="24"/>
              </w:rPr>
              <w:t xml:space="preserve"> The authorities are positive with respect to providing flexibility of choice on the privatisation transaction structure (i.e. sub-concession, sale of equity) so as to allow the best privatisation transaction structure to be chosen for each port. The relevant legal amendment was adopted by Parliament on 12 February, whereas the Asset Development Fund has started the process for recruiting external consultants for the </w:t>
            </w:r>
            <w:r>
              <w:rPr>
                <w:rFonts w:ascii="Times New Roman" w:hAnsi="Times New Roman" w:cs="Times New Roman"/>
                <w:noProof/>
                <w:color w:val="000000"/>
                <w:sz w:val="24"/>
              </w:rPr>
              <w:t>sale of equity</w:t>
            </w:r>
            <w:r>
              <w:rPr>
                <w:rFonts w:ascii="Times New Roman" w:eastAsiaTheme="minorEastAsia" w:hAnsi="Times New Roman" w:cs="Times New Roman"/>
                <w:noProof/>
                <w:color w:val="000000"/>
                <w:sz w:val="24"/>
              </w:rPr>
              <w:t xml:space="preserve"> for four ports. </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10</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Public administration.</w:t>
            </w:r>
            <w:r>
              <w:rPr>
                <w:rFonts w:ascii="Times New Roman" w:hAnsi="Times New Roman" w:cs="Times New Roman"/>
                <w:noProof/>
                <w:color w:val="000000"/>
                <w:sz w:val="24"/>
              </w:rPr>
              <w:t xml:space="preserve"> Complete the integrated HR Management System (digital organigram for all public entities and link with single payment authority) by end-2019.</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eastAsiaTheme="minorEastAsia" w:hAnsi="Times New Roman" w:cs="Times New Roman"/>
                <w:noProof/>
                <w:color w:val="000000"/>
                <w:sz w:val="24"/>
              </w:rPr>
            </w:pPr>
            <w:r>
              <w:rPr>
                <w:rFonts w:ascii="Times New Roman" w:eastAsiaTheme="minorEastAsia" w:hAnsi="Times New Roman" w:cs="Times New Roman"/>
                <w:noProof/>
                <w:color w:val="000000"/>
                <w:sz w:val="24"/>
              </w:rPr>
              <w:t>The authorities have made continued progress in developing a Human Resources Management Strategy, whereas a majority of the digital organigrams and job descriptions have been completed. That said, some large entities still need to be fully included in the exercise, which constitutes a priority for the authorities with a view to completing the rollout by end-April 2020. In October 2019, the authorities put in place a framework enabling public sector entities to link each job holder with a specific job description, thus creating the link with the Single Payment Authority. The authorities to expected to verify full compliance with this framework by April 2020.</w:t>
            </w:r>
          </w:p>
          <w:p>
            <w:pPr>
              <w:spacing w:after="240" w:line="240" w:lineRule="atLeast"/>
              <w:jc w:val="both"/>
              <w:rPr>
                <w:rFonts w:ascii="Times New Roman" w:eastAsiaTheme="minorEastAsia" w:hAnsi="Times New Roman" w:cs="Times New Roman"/>
                <w:noProof/>
                <w:color w:val="000000"/>
                <w:sz w:val="24"/>
              </w:rPr>
            </w:pPr>
            <w:r>
              <w:rPr>
                <w:rFonts w:ascii="Times New Roman" w:eastAsiaTheme="minorEastAsia" w:hAnsi="Times New Roman" w:cs="Times New Roman"/>
                <w:noProof/>
                <w:color w:val="000000"/>
                <w:sz w:val="24"/>
              </w:rPr>
              <w:t>The authorities are taking steps to advance on digital governance, which is one of the least advanced in the EU. A new ‘Digital Bible’ is expected to be completed by March 2020, setting out projects for the public administration as well as measures to enhance overall digital performance.</w:t>
            </w:r>
          </w:p>
        </w:tc>
      </w:tr>
    </w:tbl>
    <w:p>
      <w:pPr>
        <w:spacing w:after="240" w:line="240" w:lineRule="atLeast"/>
        <w:jc w:val="both"/>
        <w:rPr>
          <w:rFonts w:ascii="Times New Roman" w:hAnsi="Times New Roman" w:cs="Times New Roman"/>
          <w:noProof/>
          <w:color w:val="000000"/>
          <w:sz w:val="24"/>
        </w:rPr>
      </w:pPr>
    </w:p>
    <w:p>
      <w:pPr>
        <w:keepNext/>
        <w:spacing w:after="240" w:line="240" w:lineRule="atLeast"/>
        <w:jc w:val="both"/>
        <w:rPr>
          <w:rFonts w:ascii="Times New Roman" w:hAnsi="Times New Roman" w:cs="Times New Roman"/>
          <w:b/>
          <w:noProof/>
          <w:color w:val="000000"/>
          <w:sz w:val="24"/>
        </w:rPr>
      </w:pPr>
      <w:r>
        <w:rPr>
          <w:rFonts w:ascii="Times New Roman" w:hAnsi="Times New Roman" w:cs="Times New Roman"/>
          <w:b/>
          <w:noProof/>
          <w:color w:val="000000"/>
          <w:sz w:val="24"/>
        </w:rPr>
        <w:t>Progress with the implementation of mid-2020 commitments to the Eurogroup (</w:t>
      </w:r>
      <w:hyperlink r:id="rId112">
        <w:r>
          <w:rPr>
            <w:rFonts w:ascii="Times New Roman" w:hAnsi="Times New Roman" w:cs="Times New Roman"/>
            <w:noProof/>
            <w:color w:val="0000FF" w:themeColor="hyperlink"/>
            <w:sz w:val="24"/>
            <w:u w:val="single"/>
          </w:rPr>
          <w:t>Eurogroup annex</w:t>
        </w:r>
      </w:hyperlink>
      <w:r>
        <w:rPr>
          <w:rFonts w:ascii="Times New Roman" w:hAnsi="Times New Roman" w:cs="Times New Roman"/>
          <w:b/>
          <w:noProof/>
          <w:color w:val="000000"/>
          <w:sz w:val="24"/>
        </w:rPr>
        <w:t xml:space="preserve"> 22 June 2018) </w:t>
      </w:r>
    </w:p>
    <w:tbl>
      <w:tblPr>
        <w:tblStyle w:val="TableGrid18"/>
        <w:tblW w:w="14743" w:type="dxa"/>
        <w:tblInd w:w="-318" w:type="dxa"/>
        <w:tblLayout w:type="fixed"/>
        <w:tblLook w:val="04A0" w:firstRow="1" w:lastRow="0" w:firstColumn="1" w:lastColumn="0" w:noHBand="0" w:noVBand="1"/>
      </w:tblPr>
      <w:tblGrid>
        <w:gridCol w:w="568"/>
        <w:gridCol w:w="6522"/>
        <w:gridCol w:w="7653"/>
      </w:tblGrid>
      <w:tr>
        <w:trPr>
          <w:trHeight w:val="481"/>
          <w:tblHeader/>
        </w:trPr>
        <w:tc>
          <w:tcPr>
            <w:tcW w:w="568" w:type="dxa"/>
            <w:tcBorders>
              <w:top w:val="single" w:sz="4" w:space="0" w:color="auto"/>
              <w:left w:val="single" w:sz="4" w:space="0" w:color="auto"/>
              <w:bottom w:val="single" w:sz="4" w:space="0" w:color="auto"/>
              <w:right w:val="single" w:sz="4" w:space="0" w:color="auto"/>
            </w:tcBorders>
            <w:shd w:val="clear" w:color="auto" w:fill="99CCFF"/>
          </w:tcPr>
          <w:p>
            <w:pPr>
              <w:keepNext/>
              <w:spacing w:after="240" w:line="240" w:lineRule="atLeast"/>
              <w:jc w:val="both"/>
              <w:rPr>
                <w:rFonts w:ascii="Times New Roman" w:hAnsi="Times New Roman" w:cs="Times New Roman"/>
                <w:noProof/>
                <w:color w:val="000000"/>
                <w:sz w:val="24"/>
              </w:rPr>
            </w:pPr>
          </w:p>
        </w:tc>
        <w:tc>
          <w:tcPr>
            <w:tcW w:w="6522" w:type="dxa"/>
            <w:tcBorders>
              <w:top w:val="single" w:sz="4" w:space="0" w:color="auto"/>
              <w:left w:val="single" w:sz="4" w:space="0" w:color="auto"/>
              <w:bottom w:val="single" w:sz="4" w:space="0" w:color="auto"/>
              <w:right w:val="single" w:sz="4" w:space="0" w:color="auto"/>
            </w:tcBorders>
            <w:shd w:val="clear" w:color="auto" w:fill="99CCFF"/>
            <w:vAlign w:val="center"/>
            <w:hideMark/>
          </w:tcPr>
          <w:p>
            <w:pPr>
              <w:keepNext/>
              <w:spacing w:after="240" w:line="240" w:lineRule="atLeast"/>
              <w:jc w:val="both"/>
              <w:rPr>
                <w:rFonts w:ascii="Times New Roman" w:hAnsi="Times New Roman" w:cs="Times New Roman"/>
                <w:b/>
                <w:noProof/>
                <w:color w:val="000000"/>
                <w:sz w:val="24"/>
              </w:rPr>
            </w:pPr>
            <w:r>
              <w:rPr>
                <w:rFonts w:ascii="Times New Roman" w:hAnsi="Times New Roman" w:cs="Times New Roman"/>
                <w:b/>
                <w:noProof/>
                <w:color w:val="000000"/>
                <w:sz w:val="24"/>
              </w:rPr>
              <w:t>Commitment</w:t>
            </w:r>
          </w:p>
        </w:tc>
        <w:tc>
          <w:tcPr>
            <w:tcW w:w="7653" w:type="dxa"/>
            <w:tcBorders>
              <w:top w:val="single" w:sz="4" w:space="0" w:color="auto"/>
              <w:left w:val="single" w:sz="4" w:space="0" w:color="auto"/>
              <w:bottom w:val="single" w:sz="4" w:space="0" w:color="auto"/>
              <w:right w:val="single" w:sz="4" w:space="0" w:color="auto"/>
            </w:tcBorders>
            <w:shd w:val="clear" w:color="auto" w:fill="99CCFF"/>
            <w:vAlign w:val="center"/>
          </w:tcPr>
          <w:p>
            <w:pPr>
              <w:spacing w:after="240" w:line="240" w:lineRule="atLeast"/>
              <w:jc w:val="both"/>
              <w:rPr>
                <w:rFonts w:ascii="Times New Roman" w:hAnsi="Times New Roman" w:cs="Times New Roman"/>
                <w:b/>
                <w:noProof/>
                <w:color w:val="000000"/>
                <w:sz w:val="24"/>
              </w:rPr>
            </w:pPr>
          </w:p>
        </w:tc>
      </w:tr>
      <w:tr>
        <w:trPr>
          <w:trHeight w:val="1087"/>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1</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Tax policy.</w:t>
            </w:r>
            <w:r>
              <w:rPr>
                <w:rFonts w:ascii="Times New Roman" w:hAnsi="Times New Roman" w:cs="Times New Roman"/>
                <w:noProof/>
                <w:color w:val="000000"/>
                <w:sz w:val="24"/>
              </w:rPr>
              <w:t xml:space="preserve"> Greece will undertake, by mid-2020, a nationwide valuation exercise of property tax value based on market values and will update property tax values for ENFIA and other taxes fully in line with market values by mid-2020.</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Important progress has been made towards the broadening of the tax base for the 2020 ENFIA property tax exercise, widening the share of population covered by the zonal system from 85% to 98%. A new nationwide revaluation exercise is expected to finish in spring 2020, with a view to aligning the property tax values to market prices by mid-2020.</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2</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Social safety nets. </w:t>
            </w:r>
            <w:r>
              <w:rPr>
                <w:rFonts w:ascii="Times New Roman" w:hAnsi="Times New Roman" w:cs="Times New Roman"/>
                <w:noProof/>
                <w:color w:val="000000"/>
                <w:sz w:val="24"/>
              </w:rPr>
              <w:t>The set up of the single pension fund EFKA will be completed by mid-2020.</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 xml:space="preserve">The authorities have developed an action plan to remedy the delays in setting up the Single Social Security Fund. An ambitious action plan for the digitalisation of the Single Social Security Fund will start to be implemented in the coming months, aiming at unifying the IT systems of all the previous funds and the digitalisation of services with timelines by end-2020 and mid-2021. The authorities have also announced the decision to merge the Supplementary Pension Fund into the Single Social Security Fund in order to improve efficiency. </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3</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Health care. </w:t>
            </w:r>
            <w:r>
              <w:rPr>
                <w:rFonts w:ascii="Times New Roman" w:hAnsi="Times New Roman" w:cs="Times New Roman"/>
                <w:noProof/>
                <w:color w:val="000000"/>
                <w:sz w:val="24"/>
              </w:rPr>
              <w:t>Greece will ensure the rollout of the primary health care system, in particular by opening all 240 primary health care centres (TOMYs) by mid-2020.</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Progress in setting up a comprehensive network of primary health care units has resumed following the announced redesign of the system. According to a revised strategy, the remaining 120 Local Health Units (the ‘TOMYs’) will become operational within the premises of existing Health Centres. Nonetheless, the full rollout of the primary care network continues to face important bottlenecks. The completion of the network with full population coverage by mid-2020 will not be possible, but the new strategy addresses some of the key sources of delay thus far and the authorities are confident to be able to finalise the full roll-out including gatekeeping and referral functions by end-2020.</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4</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Health care. </w:t>
            </w:r>
            <w:r>
              <w:rPr>
                <w:rFonts w:ascii="Times New Roman" w:hAnsi="Times New Roman" w:cs="Times New Roman"/>
                <w:noProof/>
                <w:color w:val="000000"/>
                <w:sz w:val="24"/>
              </w:rPr>
              <w:t>Achieve a share of centralised procurement in total hospital expenditure of 30% in mid-2020.</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Reaching the target of a 30% share of centralised procurement will be challenging but the planned launch of decentralised procurement at regional level has the potential to speed up the process. The authorities plan to make better use of the Price Observatory to ensure that all avoidable inefficient spending is rectified as swiftly as possible.</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5</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Justice.</w:t>
            </w:r>
            <w:r>
              <w:rPr>
                <w:rFonts w:ascii="Times New Roman" w:hAnsi="Times New Roman" w:cs="Times New Roman"/>
                <w:noProof/>
                <w:color w:val="000000"/>
                <w:sz w:val="24"/>
              </w:rPr>
              <w:t xml:space="preserve"> In the context of implementing the Three-Year Action Plan on Justice, phase II of the establishment of the e-justice system (OSDDY-PP) will be completed by mid-2020.</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eastAsiaTheme="minorEastAsia" w:hAnsi="Times New Roman" w:cs="Times New Roman"/>
                <w:noProof/>
                <w:color w:val="000000"/>
                <w:sz w:val="24"/>
              </w:rPr>
              <w:t>The authorities are moving forward, with some delay, with the call for bids for the second phase of the Integrated Judicial Case Management System. Following some delays due to internal governance changes, the authorities committed to publish it shortly. Given accumulated past delays, full implementation of the second phase of the Integrated Judicial Case Management System is not technically achievable within the original mid-2020 deadline. It is therefore warranted to assess the commitment on the basis of the conclusion of the relevant tendering procedure, by end-2020, and of a 36-month implementation plan for the completion of the project, which is also stipulated in the draft tender documentation.</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6</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Investment licensing.</w:t>
            </w:r>
            <w:r>
              <w:rPr>
                <w:rFonts w:ascii="Times New Roman" w:hAnsi="Times New Roman" w:cs="Times New Roman"/>
                <w:noProof/>
                <w:color w:val="000000"/>
                <w:sz w:val="24"/>
              </w:rPr>
              <w:t xml:space="preserve"> Greece will finalise inspection legislation by mid-2020.</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eastAsiaTheme="minorEastAsia" w:hAnsi="Times New Roman" w:cs="Times New Roman"/>
                <w:noProof/>
                <w:color w:val="000000"/>
                <w:sz w:val="24"/>
              </w:rPr>
              <w:t xml:space="preserve">Work on the implementation of the inspections framework law is progressing, save for few delays. </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7</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Investment licensing. </w:t>
            </w:r>
            <w:r>
              <w:rPr>
                <w:rFonts w:ascii="Times New Roman" w:hAnsi="Times New Roman" w:cs="Times New Roman"/>
                <w:noProof/>
                <w:color w:val="000000"/>
                <w:sz w:val="24"/>
              </w:rPr>
              <w:t>Greece will finalise the simplification of investment licensing procedures in the agreed remaining sectors (mid-2020).</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eastAsiaTheme="minorEastAsia" w:hAnsi="Times New Roman" w:cs="Times New Roman"/>
                <w:noProof/>
                <w:color w:val="000000"/>
                <w:sz w:val="24"/>
              </w:rPr>
            </w:pPr>
            <w:r>
              <w:rPr>
                <w:rFonts w:ascii="Times New Roman" w:eastAsiaTheme="minorEastAsia" w:hAnsi="Times New Roman" w:cs="Times New Roman"/>
                <w:noProof/>
                <w:color w:val="000000"/>
                <w:sz w:val="24"/>
              </w:rPr>
              <w:t>The authorities remain committed to meeting the deadline for the simplification of licencing procedures in the remaining sectors of the economy, despite some delays.</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b/>
                <w:noProof/>
                <w:color w:val="000000"/>
                <w:sz w:val="24"/>
              </w:rPr>
            </w:pPr>
            <w:r>
              <w:rPr>
                <w:rFonts w:ascii="Times New Roman" w:hAnsi="Times New Roman" w:cs="Times New Roman"/>
                <w:b/>
                <w:noProof/>
                <w:color w:val="000000"/>
                <w:sz w:val="24"/>
              </w:rPr>
              <w:t xml:space="preserve">Investment licensing. </w:t>
            </w:r>
            <w:r>
              <w:rPr>
                <w:rFonts w:ascii="Times New Roman" w:hAnsi="Times New Roman" w:cs="Times New Roman"/>
                <w:noProof/>
                <w:color w:val="000000"/>
                <w:sz w:val="24"/>
              </w:rPr>
              <w:t>Greece will revise the nuisance classification (mid-2021, the authorities aim to complete this action by mid-2020).</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eastAsiaTheme="minorEastAsia" w:hAnsi="Times New Roman" w:cs="Times New Roman"/>
                <w:noProof/>
                <w:color w:val="000000"/>
                <w:sz w:val="24"/>
              </w:rPr>
            </w:pPr>
            <w:r>
              <w:rPr>
                <w:rFonts w:ascii="Times New Roman" w:eastAsiaTheme="minorEastAsia" w:hAnsi="Times New Roman" w:cs="Times New Roman"/>
                <w:noProof/>
                <w:color w:val="000000"/>
                <w:sz w:val="24"/>
              </w:rPr>
              <w:t>The authorities aim at concluding the revision of the nuisance classification by mid-2020, well ahead of the mid-2021 specific commitment, and are also working on further measures to improve the environmental licensing and inspection frameworks. The authorities signed a contract with a technical advisor to support them in the alignment of nuisance classification with the environmental classification system, with a view to issuing relevant secondary legislation by mid-2020.</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8</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 xml:space="preserve">Cadastre. </w:t>
            </w:r>
            <w:r>
              <w:rPr>
                <w:rFonts w:ascii="Times New Roman" w:hAnsi="Times New Roman" w:cs="Times New Roman"/>
                <w:noProof/>
                <w:color w:val="000000"/>
                <w:sz w:val="24"/>
              </w:rPr>
              <w:t>Greece will fully establish the cadastral agency and complete 45% of cadastral mapping by mid-2020.</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eastAsiaTheme="minorEastAsia" w:hAnsi="Times New Roman" w:cs="Times New Roman"/>
                <w:noProof/>
                <w:color w:val="000000"/>
                <w:sz w:val="24"/>
              </w:rPr>
            </w:pPr>
            <w:r>
              <w:rPr>
                <w:rFonts w:ascii="Times New Roman" w:eastAsiaTheme="minorEastAsia" w:hAnsi="Times New Roman" w:cs="Times New Roman"/>
                <w:noProof/>
                <w:color w:val="000000"/>
                <w:sz w:val="24"/>
              </w:rPr>
              <w:t>The cadastre project is progressing well overall, but deadlines had to be adjusted in view of previously accumulated delays. The problem of delayed property declarations, which had slowed down the cadastral mapping process, has largely been overcome, and in most areas the next phase of the mapping can be launched. In order to accelerate progress towards the full establishment of the cadastral agency the authorities plan to immediately open regional offices across Greece and give them the authority to open the envisaged local sub-offices.</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9</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b/>
                <w:noProof/>
                <w:color w:val="000000"/>
                <w:sz w:val="24"/>
              </w:rPr>
            </w:pPr>
            <w:r>
              <w:rPr>
                <w:rFonts w:ascii="Times New Roman" w:hAnsi="Times New Roman" w:cs="Times New Roman"/>
                <w:b/>
                <w:noProof/>
                <w:color w:val="000000"/>
                <w:sz w:val="24"/>
              </w:rPr>
              <w:t xml:space="preserve">Energy. </w:t>
            </w:r>
            <w:r>
              <w:rPr>
                <w:rFonts w:ascii="Times New Roman" w:hAnsi="Times New Roman" w:cs="Times New Roman"/>
                <w:noProof/>
                <w:color w:val="000000"/>
                <w:sz w:val="24"/>
              </w:rPr>
              <w:t>The Target Model will be fully launched by mid-2019 (rescheduled to mid-2020).</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eastAsiaTheme="minorEastAsia" w:hAnsi="Times New Roman" w:cs="Times New Roman"/>
                <w:noProof/>
                <w:color w:val="000000"/>
                <w:sz w:val="24"/>
              </w:rPr>
            </w:pPr>
            <w:r>
              <w:rPr>
                <w:rFonts w:ascii="Times New Roman" w:eastAsiaTheme="minorEastAsia" w:hAnsi="Times New Roman" w:cs="Times New Roman"/>
                <w:noProof/>
                <w:color w:val="000000"/>
                <w:sz w:val="24"/>
              </w:rPr>
              <w:t>The implementation of the target model for the electricity market, a specific commitment rescheduled for mid-2020, is progressing largely according to the schedule. Since the last report, Greece has made steps forward, such as the approval of the spot markets clearing rulebook. Almost all of the remaining technical rules have been submitted to the regulatory authority for approval.</w:t>
            </w:r>
          </w:p>
        </w:tc>
      </w:tr>
      <w:tr>
        <w:trPr>
          <w:trHeight w:val="113"/>
        </w:trPr>
        <w:tc>
          <w:tcPr>
            <w:tcW w:w="568"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noProof/>
                <w:color w:val="000000"/>
                <w:sz w:val="24"/>
              </w:rPr>
              <w:t>10</w:t>
            </w:r>
          </w:p>
        </w:tc>
        <w:tc>
          <w:tcPr>
            <w:tcW w:w="6522"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hAnsi="Times New Roman" w:cs="Times New Roman"/>
                <w:noProof/>
                <w:color w:val="000000"/>
                <w:sz w:val="24"/>
              </w:rPr>
            </w:pPr>
            <w:r>
              <w:rPr>
                <w:rFonts w:ascii="Times New Roman" w:hAnsi="Times New Roman" w:cs="Times New Roman"/>
                <w:b/>
                <w:noProof/>
                <w:color w:val="000000"/>
                <w:sz w:val="24"/>
              </w:rPr>
              <w:t>Legal codification.</w:t>
            </w:r>
            <w:r>
              <w:rPr>
                <w:rFonts w:ascii="Times New Roman" w:hAnsi="Times New Roman" w:cs="Times New Roman"/>
                <w:noProof/>
                <w:color w:val="000000"/>
                <w:sz w:val="24"/>
              </w:rPr>
              <w:t xml:space="preserve"> In view of enhancing legal certainty and access to law through legal codification, the Labour Law Code and Code of Labour Regulatory Provisions will be adopted by mid-2020.</w:t>
            </w:r>
          </w:p>
        </w:tc>
        <w:tc>
          <w:tcPr>
            <w:tcW w:w="7653" w:type="dxa"/>
            <w:tcBorders>
              <w:top w:val="single" w:sz="4" w:space="0" w:color="auto"/>
              <w:left w:val="single" w:sz="4" w:space="0" w:color="auto"/>
              <w:bottom w:val="single" w:sz="4" w:space="0" w:color="auto"/>
              <w:right w:val="single" w:sz="4" w:space="0" w:color="auto"/>
            </w:tcBorders>
          </w:tcPr>
          <w:p>
            <w:pPr>
              <w:spacing w:after="240" w:line="240" w:lineRule="atLeast"/>
              <w:jc w:val="both"/>
              <w:rPr>
                <w:rFonts w:ascii="Times New Roman" w:eastAsiaTheme="minorEastAsia" w:hAnsi="Times New Roman" w:cs="Times New Roman"/>
                <w:noProof/>
                <w:color w:val="000000"/>
                <w:sz w:val="24"/>
              </w:rPr>
            </w:pPr>
            <w:r>
              <w:rPr>
                <w:rFonts w:ascii="Times New Roman" w:eastAsiaTheme="minorEastAsia" w:hAnsi="Times New Roman" w:cs="Times New Roman"/>
                <w:noProof/>
                <w:color w:val="000000"/>
                <w:sz w:val="24"/>
              </w:rPr>
              <w:t>The authorities have confirmed their intention to adopt a new codification law for the Labour Law Code and Code of Labour Regulatory Provisions by mid-2020, in line with the specific commitment. A number of legal provisions of the Executive State Law will help in this respect, including the reestablishment of the Central Codification Committee, while it will be important to devote sufficient resources to the task given its complexity.</w:t>
            </w:r>
          </w:p>
          <w:p>
            <w:pPr>
              <w:spacing w:after="240" w:line="240" w:lineRule="atLeast"/>
              <w:jc w:val="both"/>
              <w:rPr>
                <w:rFonts w:ascii="Times New Roman" w:hAnsi="Times New Roman" w:cs="Times New Roman"/>
                <w:noProof/>
                <w:color w:val="000000"/>
                <w:sz w:val="24"/>
              </w:rPr>
            </w:pPr>
            <w:r>
              <w:rPr>
                <w:rFonts w:ascii="Times New Roman" w:eastAsiaTheme="minorEastAsia" w:hAnsi="Times New Roman" w:cs="Times New Roman"/>
                <w:noProof/>
                <w:color w:val="000000"/>
                <w:sz w:val="24"/>
              </w:rPr>
              <w:t>The new provisions of the Executive State Law on good law-making came into effect in January 2020 and are expected to improve the quality of laws and to significantly reduce unrelated and last-minute amendments.</w:t>
            </w:r>
          </w:p>
        </w:tc>
      </w:tr>
      <w:bookmarkEnd w:id="64"/>
    </w:tbl>
    <w:p>
      <w:pPr>
        <w:rPr>
          <w:noProof/>
        </w:rPr>
      </w:pPr>
    </w:p>
    <w:sectPr>
      <w:headerReference w:type="even" r:id="rId113"/>
      <w:headerReference w:type="default" r:id="rId114"/>
      <w:footerReference w:type="even" r:id="rId115"/>
      <w:footerReference w:type="default" r:id="rId116"/>
      <w:headerReference w:type="first" r:id="rId117"/>
      <w:footerReference w:type="first" r:id="rId118"/>
      <w:footnotePr>
        <w:pos w:val="beneathText"/>
      </w:footnotePr>
      <w:endnotePr>
        <w:numFmt w:val="decimal"/>
        <w:numRestart w:val="eachSect"/>
      </w:endnotePr>
      <w:pgSz w:w="16839" w:h="11907" w:orient="landscape"/>
      <w:pgMar w:top="1701" w:right="1984" w:bottom="1701"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vi</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iv</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iii</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10</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8</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7</w:t>
    </w:r>
    <w: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10</w:t>
    </w:r>
    <w: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9</w:t>
    </w:r>
    <w: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22</w:t>
    </w:r>
    <w: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20</w:t>
    </w:r>
    <w: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11</w:t>
    </w:r>
    <w: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30</w:t>
    </w:r>
    <w: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26</w:t>
    </w:r>
    <w: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23</w:t>
    </w:r>
    <w: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40</w:t>
    </w:r>
    <w: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36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27</w:t>
    </w:r>
    <w: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50</w:t>
    </w:r>
    <w: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46</w:t>
    </w:r>
    <w: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37</w:t>
    </w:r>
    <w: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56</w:t>
    </w:r>
    <w: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52</w:t>
    </w:r>
    <w: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47</w:t>
    </w:r>
    <w: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64</w:t>
    </w:r>
    <w: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60</w:t>
    </w:r>
    <w: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53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i</w:t>
    </w:r>
    <w:r>
      <w:fldChar w:fldCharType="end"/>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66</w:t>
    </w:r>
    <w:r>
      <w:fldChar w:fldCharType="end"/>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63</w:t>
    </w:r>
    <w: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61</w:t>
    </w:r>
    <w:r>
      <w:fldChar w:fldCharType="end"/>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66</w:t>
    </w:r>
    <w:r>
      <w:fldChar w:fldCharType="end"/>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63</w:t>
    </w:r>
    <w: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61</w:t>
    </w:r>
    <w:r>
      <w:fldChar w:fldCharType="end"/>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78</w:t>
    </w:r>
    <w:r>
      <w:fldChar w:fldCharType="end"/>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75</w:t>
    </w:r>
    <w:r>
      <w:fldChar w:fldCharType="end"/>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64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PageNumber30"/>
      <w:framePr w:wrap="around"/>
    </w:pPr>
    <w:r>
      <w:fldChar w:fldCharType="begin"/>
    </w:r>
    <w:r>
      <w:instrText xml:space="preserve"> PAGE  \* MERGEFORMAT </w:instrText>
    </w:r>
    <w:r>
      <w:fldChar w:fldCharType="separate"/>
    </w:r>
    <w:r>
      <w:rPr>
        <w:noProof/>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t>(</w:t>
      </w:r>
      <w:r>
        <w:rPr>
          <w:rStyle w:val="FootnoteReference"/>
        </w:rPr>
        <w:footnoteRef/>
      </w:r>
      <w:r>
        <w:t>)</w:t>
      </w:r>
      <w:r>
        <w:tab/>
      </w:r>
      <w:r>
        <w:rPr>
          <w:lang w:val="en"/>
        </w:rPr>
        <w:t xml:space="preserve">Regulation (EU) No 472/2013 of the European Parliament and of the Council of 21 May 2013 on the strengthening of economic and budgetary surveillance of Member States in the euro area experiencing or threatened with serious difficulties with respect to their financial stability, </w:t>
      </w:r>
      <w:r>
        <w:rPr>
          <w:iCs/>
          <w:lang w:val="en"/>
        </w:rPr>
        <w:t>OJ L 140, 27.5.2013, p. 1.</w:t>
      </w:r>
    </w:p>
  </w:footnote>
  <w:footnote w:id="2">
    <w:p>
      <w:pPr>
        <w:pStyle w:val="FootnoteText"/>
      </w:pPr>
      <w:r>
        <w:t>(</w:t>
      </w:r>
      <w:r>
        <w:rPr>
          <w:rStyle w:val="FootnoteReference"/>
        </w:rPr>
        <w:footnoteRef/>
      </w:r>
      <w:r>
        <w:t>)</w:t>
      </w:r>
      <w:r>
        <w:tab/>
        <w:t xml:space="preserve">Commission Implementing Decision (EU) </w:t>
      </w:r>
      <w:r>
        <w:rPr>
          <w:szCs w:val="16"/>
        </w:rPr>
        <w:t xml:space="preserve">2020, C(2020)901, </w:t>
      </w:r>
      <w:r>
        <w:t>of 19 February 2020 on the prolongation of enhanced surveillance for Greece.</w:t>
      </w:r>
    </w:p>
  </w:footnote>
  <w:footnote w:id="3">
    <w:p>
      <w:pPr>
        <w:pStyle w:val="FootnoteText"/>
      </w:pPr>
      <w:r>
        <w:t>(</w:t>
      </w:r>
      <w:r>
        <w:rPr>
          <w:rStyle w:val="FootnoteReference"/>
        </w:rPr>
        <w:footnoteRef/>
      </w:r>
      <w:r>
        <w:t>)</w:t>
      </w:r>
      <w:r>
        <w:tab/>
      </w:r>
      <w:hyperlink r:id="rId1" w:history="1">
        <w:r>
          <w:rPr>
            <w:rStyle w:val="Hyperlink"/>
          </w:rPr>
          <w:t>https://www.consilium.europa.eu/media/35749/z-councils-council-configurations-ecofin-eurogroup-2018-180621-specific-commitments-to-ensure-the-continuity-and-completion-of-reforms-adopted-under-the-esm-programme_2.pdf</w:t>
        </w:r>
      </w:hyperlink>
      <w:r>
        <w:rPr>
          <w:rStyle w:val="Hyperlink"/>
        </w:rPr>
        <w:t>.</w:t>
      </w:r>
    </w:p>
  </w:footnote>
  <w:footnote w:id="4">
    <w:p>
      <w:pPr>
        <w:pStyle w:val="FootnoteText"/>
      </w:pPr>
      <w:r>
        <w:t>(</w:t>
      </w:r>
      <w:r>
        <w:rPr>
          <w:rStyle w:val="FootnoteReference"/>
        </w:rPr>
        <w:footnoteRef/>
      </w:r>
      <w:r>
        <w:t>)</w:t>
      </w:r>
      <w:r>
        <w:tab/>
        <w:t>ECB staff participated in the review mission in accordance with the ECB’s competences and thus provided expertise on financial sector policies and macro-critical issues, such as headline fiscal targets and sustainability and financing needs. The review mission was preceded by a technical mission from 13 to 21 January 2020.</w:t>
      </w:r>
    </w:p>
    <w:p>
      <w:pPr>
        <w:pStyle w:val="FootnoteText"/>
      </w:pPr>
    </w:p>
  </w:footnote>
  <w:footnote w:id="5">
    <w:p>
      <w:pPr>
        <w:pStyle w:val="FootnoteText"/>
      </w:pPr>
      <w:r>
        <w:t>(</w:t>
      </w:r>
      <w:r>
        <w:rPr>
          <w:rStyle w:val="FootnoteReference"/>
        </w:rPr>
        <w:footnoteRef/>
      </w:r>
      <w:r>
        <w:t>)</w:t>
      </w:r>
      <w:r>
        <w:tab/>
      </w:r>
      <w:hyperlink r:id="rId2" w:history="1">
        <w:r>
          <w:rPr>
            <w:rStyle w:val="Hyperlink"/>
          </w:rPr>
          <w:t>https://ec.europa.eu/info/sites/info/files/economy-finance/ip116_en.pdf</w:t>
        </w:r>
      </w:hyperlink>
      <w:r>
        <w:t>.</w:t>
      </w:r>
    </w:p>
  </w:footnote>
  <w:footnote w:id="6">
    <w:p>
      <w:pPr>
        <w:pStyle w:val="FootnoteText"/>
        <w:rPr>
          <w:lang w:val="hu-HU"/>
        </w:rPr>
      </w:pPr>
      <w:r>
        <w:t>(</w:t>
      </w:r>
      <w:r>
        <w:rPr>
          <w:rStyle w:val="FootnoteReference"/>
        </w:rPr>
        <w:footnoteRef/>
      </w:r>
      <w:r>
        <w:t>)</w:t>
      </w:r>
      <w:r>
        <w:tab/>
        <w:t>This includes the disbursement of the second tranche of the ANFA-SMP income equivalents worth 0.3% of GDP, which could not be taken into account in the 2019 autumn forecast, as at the time it was conditional on a future decision at the Eurogroup.</w:t>
      </w:r>
    </w:p>
  </w:footnote>
  <w:footnote w:id="7">
    <w:p>
      <w:pPr>
        <w:pStyle w:val="FootnoteText"/>
      </w:pPr>
      <w:r>
        <w:t>(</w:t>
      </w:r>
      <w:r>
        <w:rPr>
          <w:rStyle w:val="FootnoteReference"/>
        </w:rPr>
        <w:footnoteRef/>
      </w:r>
      <w:r>
        <w:t>)</w:t>
      </w:r>
      <w:r>
        <w:tab/>
        <w:t>Law 4626/2019, article 51, paragraph 2.</w:t>
      </w:r>
    </w:p>
  </w:footnote>
  <w:footnote w:id="8">
    <w:p>
      <w:pPr>
        <w:pStyle w:val="FootnoteText"/>
        <w:rPr>
          <w:lang w:val="hu-HU"/>
        </w:rPr>
      </w:pPr>
      <w:r>
        <w:t>(</w:t>
      </w:r>
      <w:r>
        <w:rPr>
          <w:rStyle w:val="FootnoteReference"/>
        </w:rPr>
        <w:footnoteRef/>
      </w:r>
      <w:r>
        <w:t>)</w:t>
      </w:r>
      <w:r>
        <w:tab/>
        <w:t xml:space="preserve">The definition of the migration adjustor currently in place can be found in the Commission Opinion on the Draft Budgetary Plan of Greece SWD(2018) 516, footnote 5. </w:t>
      </w:r>
      <w:r>
        <w:tab/>
      </w:r>
      <w:r>
        <w:rPr>
          <w:lang w:val="hu-HU"/>
        </w:rPr>
        <w:br/>
      </w:r>
      <w:hyperlink r:id="rId3" w:history="1">
        <w:r>
          <w:rPr>
            <w:rStyle w:val="Hyperlink"/>
          </w:rPr>
          <w:t>https://ec.europa.eu/info/sites/info/files/economy-finance/c_2018_8016_el_en.pdf</w:t>
        </w:r>
      </w:hyperlink>
      <w:r>
        <w:rPr>
          <w:lang w:val="hu-HU"/>
        </w:rPr>
        <w:t xml:space="preserve"> </w:t>
      </w:r>
    </w:p>
  </w:footnote>
  <w:footnote w:id="9">
    <w:p>
      <w:pPr>
        <w:pStyle w:val="FootnoteText"/>
      </w:pPr>
      <w:r>
        <w:t>(</w:t>
      </w:r>
      <w:r>
        <w:rPr>
          <w:rStyle w:val="FootnoteReference"/>
        </w:rPr>
        <w:footnoteRef/>
      </w:r>
      <w:r>
        <w:t>)</w:t>
      </w:r>
      <w:r>
        <w:tab/>
        <w:t xml:space="preserve">In 2015, the </w:t>
      </w:r>
      <w:r>
        <w:rPr>
          <w:lang w:val="en-IE"/>
        </w:rPr>
        <w:t>Council of State ruled against the reductions of main and supplementary pensions and the abolition of seasonal bonuses which came into effect in 2012 and 2013 respectively. However, it decided that the unconstitutionality comes into effect from the date of the ruling’s publication in June 2015 and only claims submitted before that date are eligible for a refund. Finally, the period of refund starts from the date of reduction and goes up until to the end of 2014, as the following period is covered by 2016 pension reform.</w:t>
      </w:r>
    </w:p>
  </w:footnote>
  <w:footnote w:id="10">
    <w:p>
      <w:pPr>
        <w:pStyle w:val="FootnoteText"/>
      </w:pPr>
      <w:r>
        <w:t>(</w:t>
      </w:r>
      <w:r>
        <w:rPr>
          <w:rStyle w:val="FootnoteReference"/>
        </w:rPr>
        <w:footnoteRef/>
      </w:r>
      <w:r>
        <w:t>)</w:t>
      </w:r>
      <w:r>
        <w:tab/>
        <w:t xml:space="preserve">In 2019, the </w:t>
      </w:r>
      <w:r>
        <w:rPr>
          <w:lang w:val="en-IE"/>
        </w:rPr>
        <w:t>Council of State confirmed the main pillars of 2016 pension reform and granted no rights for retroactive compensation of benefits for the parts of the reform that were found unconstitutional.</w:t>
      </w:r>
    </w:p>
  </w:footnote>
  <w:footnote w:id="11">
    <w:p>
      <w:pPr>
        <w:pStyle w:val="FootnoteText"/>
      </w:pPr>
      <w:r>
        <w:t>(</w:t>
      </w:r>
      <w:r>
        <w:rPr>
          <w:rStyle w:val="FootnoteReference"/>
        </w:rPr>
        <w:footnoteRef/>
      </w:r>
      <w:r>
        <w:t>)</w:t>
      </w:r>
      <w:r>
        <w:tab/>
        <w:t>The Eurogroup gave a mandate to the European institutions to initiate technical work on the possible use of ANFA and SMP income equivalents to reduce gross financing needs or to finance mutually agreed investments, in line with the agreed fiscal targets and the June 2018 Eurogroup statement. Eurogroup statement on Greece of 4 December 2019:</w:t>
      </w:r>
      <w:hyperlink r:id="rId4" w:history="1">
        <w:r>
          <w:rPr>
            <w:rStyle w:val="Hyperlink"/>
          </w:rPr>
          <w:t>https://www.consilium.europa.eu/en/press/press-releases/2019/12/04/eurogroup-statement-on-greece-of-4-december-2019/</w:t>
        </w:r>
      </w:hyperlink>
      <w:r>
        <w:t>.</w:t>
      </w:r>
    </w:p>
    <w:p>
      <w:pPr>
        <w:pStyle w:val="FootnoteText"/>
        <w:rPr>
          <w:lang w:val="hu-HU"/>
        </w:rPr>
      </w:pPr>
    </w:p>
  </w:footnote>
  <w:footnote w:id="12">
    <w:p>
      <w:pPr>
        <w:pStyle w:val="FootnoteText"/>
      </w:pPr>
      <w:r>
        <w:t>(</w:t>
      </w:r>
      <w:r>
        <w:rPr>
          <w:rStyle w:val="FootnoteReference"/>
        </w:rPr>
        <w:footnoteRef/>
      </w:r>
      <w:r>
        <w:t>)</w:t>
      </w:r>
      <w:r>
        <w:tab/>
        <w:t>OJ A 32/2020.02.14 (Article 36).</w:t>
      </w:r>
    </w:p>
  </w:footnote>
  <w:footnote w:id="13">
    <w:p>
      <w:pPr>
        <w:pStyle w:val="FootnoteText"/>
      </w:pPr>
      <w:r>
        <w:t>(</w:t>
      </w:r>
      <w:r>
        <w:rPr>
          <w:rStyle w:val="FootnoteReference"/>
        </w:rPr>
        <w:footnoteRef/>
      </w:r>
      <w:r>
        <w:t>)</w:t>
      </w:r>
      <w:r>
        <w:tab/>
        <w:t>1. Computing and storage/software licenses; 2. Applications for core public revenues; 3. Database management and administration; 4. Computer peripherals and PCs ; and 5. Web services.</w:t>
      </w:r>
    </w:p>
  </w:footnote>
  <w:footnote w:id="14">
    <w:p>
      <w:pPr>
        <w:pStyle w:val="FootnoteText"/>
      </w:pPr>
      <w:r>
        <w:t>(</w:t>
      </w:r>
      <w:r>
        <w:rPr>
          <w:rStyle w:val="FootnoteReference"/>
        </w:rPr>
        <w:footnoteRef/>
      </w:r>
      <w:r>
        <w:t>)</w:t>
      </w:r>
      <w:r>
        <w:tab/>
      </w:r>
      <w:r>
        <w:rPr>
          <w:lang w:val="en-US"/>
        </w:rPr>
        <w:t>The Independent Authority for Public Revenues, National Authority for Transparency, Police, General Secretariat of Commerce, Hellenic Coast Guard and the Economic Crime Unit.</w:t>
      </w:r>
    </w:p>
  </w:footnote>
  <w:footnote w:id="15">
    <w:p>
      <w:pPr>
        <w:pStyle w:val="FootnoteText"/>
      </w:pPr>
      <w:r>
        <w:t>(</w:t>
      </w:r>
      <w:r>
        <w:rPr>
          <w:rStyle w:val="FootnoteReference"/>
        </w:rPr>
        <w:footnoteRef/>
      </w:r>
      <w:r>
        <w:t>)</w:t>
      </w:r>
      <w:r>
        <w:tab/>
        <w:t>For the purpose of enhanced surveillance, the gross stock of domestic arrears and other payment claims is defined in continuity with the European Stability Mechanism programme.</w:t>
      </w:r>
    </w:p>
  </w:footnote>
  <w:footnote w:id="16">
    <w:p>
      <w:pPr>
        <w:pStyle w:val="FootnoteText"/>
      </w:pPr>
      <w:r>
        <w:t>(</w:t>
      </w:r>
      <w:r>
        <w:rPr>
          <w:rStyle w:val="FootnoteReference"/>
        </w:rPr>
        <w:footnoteRef/>
      </w:r>
      <w:r>
        <w:t>)</w:t>
      </w:r>
      <w:r>
        <w:tab/>
        <w:t>The settlement of obligations through the instalment scheme allowed applicants to file for a pension claim.</w:t>
      </w:r>
    </w:p>
  </w:footnote>
  <w:footnote w:id="17">
    <w:p>
      <w:pPr>
        <w:pStyle w:val="FootnoteText"/>
      </w:pPr>
      <w:r>
        <w:t>(</w:t>
      </w:r>
      <w:r>
        <w:rPr>
          <w:rStyle w:val="FootnoteReference"/>
        </w:rPr>
        <w:footnoteRef/>
      </w:r>
      <w:r>
        <w:t>)</w:t>
      </w:r>
      <w:r>
        <w:tab/>
        <w:t>See section 4.2. According to the authorities, this new procurement design would allow Greece to comply with its post programme commitment to achieve a share of centralised procurement in total hospital expenditure of 30% by mid-2020 and 40% by mid-2022.</w:t>
      </w:r>
    </w:p>
    <w:p>
      <w:pPr>
        <w:pStyle w:val="FootnoteText"/>
      </w:pPr>
    </w:p>
  </w:footnote>
  <w:footnote w:id="18">
    <w:p>
      <w:pPr>
        <w:pStyle w:val="FootnoteText"/>
      </w:pPr>
      <w:r>
        <w:t>(</w:t>
      </w:r>
      <w:r>
        <w:rPr>
          <w:rStyle w:val="FootnoteReference"/>
        </w:rPr>
        <w:footnoteRef/>
      </w:r>
      <w:r>
        <w:t>)</w:t>
      </w:r>
      <w:r>
        <w:tab/>
        <w:t xml:space="preserve">See section 8.3. The National Authority for Transparency plans to work together with the Hellenic Court of Auditors to design and implement effective internal control mechanisms. </w:t>
      </w:r>
    </w:p>
  </w:footnote>
  <w:footnote w:id="19">
    <w:p>
      <w:pPr>
        <w:pStyle w:val="FootnoteText"/>
      </w:pPr>
      <w:r>
        <w:t>(</w:t>
      </w:r>
      <w:r>
        <w:rPr>
          <w:rStyle w:val="FootnoteReference"/>
        </w:rPr>
        <w:footnoteRef/>
      </w:r>
      <w:r>
        <w:t>)</w:t>
      </w:r>
      <w:r>
        <w:tab/>
        <w:t xml:space="preserve">Caused by the fact that, from </w:t>
      </w:r>
      <w:r>
        <w:rPr>
          <w:color w:val="auto"/>
        </w:rPr>
        <w:t xml:space="preserve">29 December 2020, banks' </w:t>
      </w:r>
      <w:r>
        <w:t>own funds held under Pillar II Guidance will no longer be eligible to meet any other regulatory requirement.</w:t>
      </w:r>
    </w:p>
  </w:footnote>
  <w:footnote w:id="20">
    <w:p>
      <w:pPr>
        <w:pStyle w:val="FootnoteText"/>
      </w:pPr>
      <w:r>
        <w:t>(</w:t>
      </w:r>
      <w:r>
        <w:rPr>
          <w:rStyle w:val="FootnoteReference"/>
        </w:rPr>
        <w:footnoteRef/>
      </w:r>
      <w:r>
        <w:t>)</w:t>
      </w:r>
      <w:r>
        <w:tab/>
        <w:t>Regulation (EU) 2019/630 amending Regulation (EU) No 575/2013, as complemented by further supervisory guidance by the European Central Bank.</w:t>
      </w:r>
    </w:p>
  </w:footnote>
  <w:footnote w:id="21">
    <w:p>
      <w:pPr>
        <w:pStyle w:val="FootnoteText"/>
      </w:pPr>
      <w:r>
        <w:t>(</w:t>
      </w:r>
      <w:r>
        <w:rPr>
          <w:rStyle w:val="FootnoteReference"/>
        </w:rPr>
        <w:footnoteRef/>
      </w:r>
      <w:r>
        <w:t>)</w:t>
      </w:r>
      <w:r>
        <w:tab/>
        <w:t>These transitional arrangements refer to the phasing in of the new International Financial Reporting Standard 9 on impairments of financial assets and the implementation of new rules leading banks to more quickly write down non-performing exposures, according to Regulation (EU) 2019/630 amending Regulation (EU) No 575/2013, as complemented by further supervisory guidance by the European Central Bank. In the medium-term, banks will also need to issue bail-inable debt in order to meet the minimum requirement for own funds and eligible liabilities set by the resolution authorities.</w:t>
      </w:r>
    </w:p>
  </w:footnote>
  <w:footnote w:id="22">
    <w:p>
      <w:pPr>
        <w:pStyle w:val="FootnoteText"/>
      </w:pPr>
      <w:r>
        <w:t>(</w:t>
      </w:r>
      <w:r>
        <w:rPr>
          <w:rStyle w:val="FootnoteReference"/>
        </w:rPr>
        <w:footnoteRef/>
      </w:r>
      <w:r>
        <w:t>)</w:t>
      </w:r>
      <w:r>
        <w:tab/>
        <w:t xml:space="preserve">Amounts sold or for which binding offers have been received. </w:t>
      </w:r>
    </w:p>
  </w:footnote>
  <w:footnote w:id="23">
    <w:p>
      <w:pPr>
        <w:pStyle w:val="FootnoteText"/>
      </w:pPr>
      <w:r>
        <w:t>(</w:t>
      </w:r>
      <w:r>
        <w:rPr>
          <w:rStyle w:val="FootnoteReference"/>
        </w:rPr>
        <w:footnoteRef/>
      </w:r>
      <w:r>
        <w:t>)</w:t>
      </w:r>
      <w:r>
        <w:tab/>
        <w:t>The scheme was assessed as not containing elements of State aid. State aid case SA.53519 and press release IP/19/6058: https://ec.europa.eu/commission/presscorner/detail/en/IP_19_6058.</w:t>
      </w:r>
    </w:p>
  </w:footnote>
  <w:footnote w:id="24">
    <w:p>
      <w:pPr>
        <w:pStyle w:val="FootnoteText"/>
        <w:rPr>
          <w:lang w:val="en-US"/>
        </w:rPr>
      </w:pPr>
      <w:r>
        <w:t>(</w:t>
      </w:r>
      <w:r>
        <w:rPr>
          <w:rStyle w:val="FootnoteReference"/>
        </w:rPr>
        <w:footnoteRef/>
      </w:r>
      <w:r>
        <w:t>)</w:t>
      </w:r>
      <w:r>
        <w:tab/>
        <w:t>These include the Primary Residence Protection scheme, the Out-of-Court Workout mechanism, the Household Insolvency law and law 4307/2014 (“Dendias law”). These schemes have either outlived the necessity that brought them forth in the wake of extraordinary circumstances (e.g. the household insolvency and the Primary Residence Protection law) and/or have not attained fully their main goal, i.e. the conclusion of successful multilateral restructurings of viable business debt (the out-of-court workout law and law 4307/2014).</w:t>
      </w:r>
    </w:p>
  </w:footnote>
  <w:footnote w:id="25">
    <w:p>
      <w:pPr>
        <w:pStyle w:val="FootnoteText"/>
        <w:rPr>
          <w:lang w:val="en-US"/>
        </w:rPr>
      </w:pPr>
      <w:r>
        <w:t>(</w:t>
      </w:r>
      <w:r>
        <w:rPr>
          <w:rStyle w:val="FootnoteReference"/>
        </w:rPr>
        <w:footnoteRef/>
      </w:r>
      <w:r>
        <w:t>)</w:t>
      </w:r>
      <w:r>
        <w:tab/>
        <w:t>Under the Greek Insolvency Code, a prerequisite for a physical person or legal entity to be declared bankrupt by the court is that such person or entity be a merchant, either in the substantive sense (i.e. being or having been engaged in the conduct of merchant activity) or in the formal sense (i.e. being or having been engaged in the conduct of an activity considered by law as being merchant activity).</w:t>
      </w:r>
      <w:r>
        <w:rPr>
          <w:lang w:val="en-US"/>
        </w:rPr>
        <w:t xml:space="preserve"> </w:t>
      </w:r>
    </w:p>
  </w:footnote>
  <w:footnote w:id="26">
    <w:p>
      <w:pPr>
        <w:pStyle w:val="FootnoteText"/>
      </w:pPr>
      <w:r>
        <w:t>(</w:t>
      </w:r>
      <w:r>
        <w:rPr>
          <w:rStyle w:val="FootnoteReference"/>
        </w:rPr>
        <w:footnoteRef/>
      </w:r>
      <w:r>
        <w:t>)</w:t>
      </w:r>
      <w:r>
        <w:tab/>
        <w:t>Directive (EU) 2019/1023 on preventive restructuring frameworks, on discharge of debt and disqualifications, and on measures to increase the efficiency of procedures concerning restructuring, insolvency and discharge of debt, and amending Directive (EU) 2017/1132 (Directive on restructuring and insolvency).</w:t>
      </w:r>
    </w:p>
  </w:footnote>
  <w:footnote w:id="27">
    <w:p>
      <w:pPr>
        <w:pStyle w:val="FootnoteText"/>
        <w:rPr>
          <w:lang w:val="en-US"/>
        </w:rPr>
      </w:pPr>
      <w:r>
        <w:t>(</w:t>
      </w:r>
      <w:r>
        <w:rPr>
          <w:rStyle w:val="FootnoteReference"/>
        </w:rPr>
        <w:footnoteRef/>
      </w:r>
      <w:r>
        <w:t>)</w:t>
      </w:r>
      <w:r>
        <w:tab/>
        <w:t>On the basis of data collected from 127 out of the 145 Magistrates Courts.</w:t>
      </w:r>
    </w:p>
  </w:footnote>
  <w:footnote w:id="28">
    <w:p>
      <w:pPr>
        <w:pStyle w:val="FootnoteText"/>
        <w:rPr>
          <w:lang w:val="en-US"/>
        </w:rPr>
      </w:pPr>
      <w:r>
        <w:t>(</w:t>
      </w:r>
      <w:r>
        <w:rPr>
          <w:rStyle w:val="FootnoteReference"/>
        </w:rPr>
        <w:footnoteRef/>
      </w:r>
      <w:r>
        <w:t>)</w:t>
      </w:r>
      <w:r>
        <w:tab/>
        <w:t>Source: Hellenic Banking Association</w:t>
      </w:r>
    </w:p>
  </w:footnote>
  <w:footnote w:id="29">
    <w:p>
      <w:pPr>
        <w:pStyle w:val="FootnoteText"/>
        <w:rPr>
          <w:lang w:val="en-US"/>
        </w:rPr>
      </w:pPr>
      <w:r>
        <w:t>(</w:t>
      </w:r>
      <w:r>
        <w:rPr>
          <w:rStyle w:val="FootnoteReference"/>
        </w:rPr>
        <w:footnoteRef/>
      </w:r>
      <w:r>
        <w:t>)</w:t>
      </w:r>
      <w:r>
        <w:tab/>
        <w:t>Article 62 of law 43</w:t>
      </w:r>
      <w:r>
        <w:rPr>
          <w:lang w:val="en-US"/>
        </w:rPr>
        <w:t>8</w:t>
      </w:r>
      <w:r>
        <w:t>9/2016 (OJ A 94) as amended by article 42 of law 4646/2019 (OJ A 201).</w:t>
      </w:r>
    </w:p>
  </w:footnote>
  <w:footnote w:id="30">
    <w:p>
      <w:pPr>
        <w:pStyle w:val="FootnoteText"/>
      </w:pPr>
      <w:r>
        <w:t>(</w:t>
      </w:r>
      <w:r>
        <w:rPr>
          <w:rStyle w:val="FootnoteReference"/>
        </w:rPr>
        <w:footnoteRef/>
      </w:r>
      <w:r>
        <w:t>)</w:t>
      </w:r>
      <w:r>
        <w:tab/>
        <w:t>This refers to primary legislation (Law 4582/2018).</w:t>
      </w:r>
    </w:p>
  </w:footnote>
  <w:footnote w:id="31">
    <w:p>
      <w:pPr>
        <w:pStyle w:val="FootnoteText"/>
      </w:pPr>
      <w:r>
        <w:t>(</w:t>
      </w:r>
      <w:r>
        <w:rPr>
          <w:rStyle w:val="FootnoteReference"/>
        </w:rPr>
        <w:footnoteRef/>
      </w:r>
      <w:r>
        <w:t>)</w:t>
      </w:r>
      <w:r>
        <w:tab/>
        <w:t>This refers to a Joint Ministerial Decision issued by the Ministry of Finance and the Ministry of Agricultural Development and Food on 21 March 2019.</w:t>
      </w:r>
    </w:p>
  </w:footnote>
  <w:footnote w:id="32">
    <w:p>
      <w:pPr>
        <w:pStyle w:val="FootnoteText"/>
        <w:rPr>
          <w:lang w:val="en-IE"/>
        </w:rPr>
      </w:pPr>
      <w:r>
        <w:t>(</w:t>
      </w:r>
      <w:r>
        <w:rPr>
          <w:rStyle w:val="FootnoteReference"/>
        </w:rPr>
        <w:footnoteRef/>
      </w:r>
      <w:r>
        <w:t>)</w:t>
      </w:r>
      <w:r>
        <w:tab/>
        <w:t>Monthly Wholesale and Retail Penetration and Market Share Report, December 2019, http://www.enexgroup.gr/fileadmin/groups/EDSHE/FEP/MonthlyReports/FEPAS_MonthlyReport_201912_EN_V01.p</w:t>
      </w:r>
    </w:p>
  </w:footnote>
  <w:footnote w:id="33">
    <w:p>
      <w:pPr>
        <w:pStyle w:val="FootnoteText"/>
        <w:rPr>
          <w:lang w:val="en-IE"/>
        </w:rPr>
      </w:pPr>
      <w:r>
        <w:t>(</w:t>
      </w:r>
      <w:r>
        <w:rPr>
          <w:rStyle w:val="FootnoteReference"/>
        </w:rPr>
        <w:footnoteRef/>
      </w:r>
      <w:r>
        <w:t>)</w:t>
      </w:r>
      <w:r>
        <w:tab/>
      </w:r>
      <w:r>
        <w:rPr>
          <w:lang w:val="en-IE"/>
        </w:rPr>
        <w:t xml:space="preserve">Law 4643/2019 (OJ </w:t>
      </w:r>
      <w:r>
        <w:t>A 193/3.12.2019).</w:t>
      </w:r>
    </w:p>
  </w:footnote>
  <w:footnote w:id="34">
    <w:p>
      <w:pPr>
        <w:pStyle w:val="FootnoteText"/>
      </w:pPr>
      <w:r>
        <w:t>(</w:t>
      </w:r>
      <w:r>
        <w:rPr>
          <w:rStyle w:val="FootnoteReference"/>
        </w:rPr>
        <w:footnoteRef/>
      </w:r>
      <w:r>
        <w:t>)</w:t>
      </w:r>
      <w:r>
        <w:tab/>
        <w:t>Published on 4 February 2020.</w:t>
      </w:r>
    </w:p>
  </w:footnote>
  <w:footnote w:id="35">
    <w:p>
      <w:pPr>
        <w:pStyle w:val="FootnoteText"/>
      </w:pPr>
      <w:r>
        <w:t>(</w:t>
      </w:r>
      <w:r>
        <w:rPr>
          <w:rStyle w:val="FootnoteReference"/>
        </w:rPr>
        <w:footnoteRef/>
      </w:r>
      <w:r>
        <w:t>)</w:t>
      </w:r>
      <w:r>
        <w:tab/>
      </w:r>
      <w:r>
        <w:rPr>
          <w:lang w:val="en-US"/>
        </w:rPr>
        <w:t xml:space="preserve">Thirteen posts in total, one in each ministry with the exception of Ministry of Foreign Affairs, Ministry of Defense, Ministry of Citizens’ Protection and Ministry of </w:t>
      </w:r>
      <w:r>
        <w:t>Ministry of Shipping and Island Policy.</w:t>
      </w:r>
    </w:p>
  </w:footnote>
  <w:footnote w:id="36">
    <w:p>
      <w:pPr>
        <w:pStyle w:val="FootnoteText"/>
      </w:pPr>
      <w:r>
        <w:t>(</w:t>
      </w:r>
      <w:r>
        <w:rPr>
          <w:rStyle w:val="FootnoteReference"/>
        </w:rPr>
        <w:footnoteRef/>
      </w:r>
      <w:r>
        <w:t>)</w:t>
      </w:r>
      <w:r>
        <w:tab/>
        <w:t>Separate selection process of managerial posts as set out in Law 4314/2014 (OJ A 265/2014.12.23) and Ministerial Decision 133426/2017 (OJ B 4273/06.12.2017).</w:t>
      </w:r>
    </w:p>
  </w:footnote>
  <w:footnote w:id="37">
    <w:p>
      <w:pPr>
        <w:pStyle w:val="FootnoteText"/>
      </w:pPr>
      <w:r>
        <w:t>(</w:t>
      </w:r>
      <w:r>
        <w:rPr>
          <w:rStyle w:val="FootnoteReference"/>
        </w:rPr>
        <w:footnoteRef/>
      </w:r>
      <w:r>
        <w:t>)</w:t>
      </w:r>
      <w:r>
        <w:tab/>
        <w:t>In the Greek context, these public sector bodies are referred to as legal entities of public law and legal entities of private law.</w:t>
      </w:r>
    </w:p>
  </w:footnote>
  <w:footnote w:id="38">
    <w:p>
      <w:pPr>
        <w:pStyle w:val="FootnoteText"/>
      </w:pPr>
      <w:r>
        <w:t>(</w:t>
      </w:r>
      <w:r>
        <w:rPr>
          <w:rStyle w:val="FootnoteReference"/>
        </w:rPr>
        <w:footnoteRef/>
      </w:r>
      <w:r>
        <w:t>)</w:t>
      </w:r>
      <w:r>
        <w:tab/>
      </w:r>
      <w:r>
        <w:rPr>
          <w:lang w:val="en-US"/>
        </w:rPr>
        <w:t>OJ A 204/16.12.2019, Article 72.</w:t>
      </w:r>
    </w:p>
  </w:footnote>
  <w:footnote w:id="39">
    <w:p>
      <w:pPr>
        <w:pStyle w:val="FootnoteText"/>
      </w:pPr>
      <w:r>
        <w:t>(</w:t>
      </w:r>
      <w:r>
        <w:rPr>
          <w:rStyle w:val="FootnoteReference"/>
        </w:rPr>
        <w:footnoteRef/>
      </w:r>
      <w:r>
        <w:t>)</w:t>
      </w:r>
      <w:r>
        <w:tab/>
        <w:t xml:space="preserve">A total of </w:t>
      </w:r>
      <w:r>
        <w:rPr>
          <w:lang w:val="en-US"/>
        </w:rPr>
        <w:t>350 entities participated (compared with 165 for the previous cycle) and 7 195 positions were published (compared to 5 440 positions for the previous cycle).</w:t>
      </w:r>
    </w:p>
  </w:footnote>
  <w:footnote w:id="40">
    <w:p>
      <w:pPr>
        <w:pStyle w:val="FootnoteText"/>
      </w:pPr>
      <w:r>
        <w:t>(</w:t>
      </w:r>
      <w:r>
        <w:rPr>
          <w:rStyle w:val="FootnoteReference"/>
        </w:rPr>
        <w:footnoteRef/>
      </w:r>
      <w:r>
        <w:t>)</w:t>
      </w:r>
      <w:r>
        <w:tab/>
      </w:r>
      <w:r>
        <w:rPr>
          <w:lang w:val="en-US"/>
        </w:rPr>
        <w:t>For the assessment of 2018, 176 539 officials participated compared to 174 261 for 2017.</w:t>
      </w:r>
    </w:p>
  </w:footnote>
  <w:footnote w:id="41">
    <w:p>
      <w:pPr>
        <w:pStyle w:val="FootnoteText"/>
      </w:pPr>
      <w:r>
        <w:t>(</w:t>
      </w:r>
      <w:r>
        <w:rPr>
          <w:rStyle w:val="FootnoteReference"/>
        </w:rPr>
        <w:footnoteRef/>
      </w:r>
      <w:r>
        <w:t>)</w:t>
      </w:r>
      <w:r>
        <w:tab/>
        <w:t>OJ A 133/07.08.2019, Articles 65-67.</w:t>
      </w:r>
    </w:p>
  </w:footnote>
  <w:footnote w:id="42">
    <w:p>
      <w:pPr>
        <w:pStyle w:val="FootnoteText"/>
      </w:pPr>
      <w:r>
        <w:t>(</w:t>
      </w:r>
      <w:r>
        <w:rPr>
          <w:rStyle w:val="FootnoteReference"/>
        </w:rPr>
        <w:footnoteRef/>
      </w:r>
      <w:r>
        <w:t>)</w:t>
      </w:r>
      <w:r>
        <w:tab/>
        <w:t>OJ A 133/07.08.2019, Article 59 (point 5).</w:t>
      </w:r>
    </w:p>
  </w:footnote>
  <w:footnote w:id="43">
    <w:p>
      <w:pPr>
        <w:pStyle w:val="FootnoteText"/>
      </w:pPr>
      <w:r>
        <w:t>(</w:t>
      </w:r>
      <w:r>
        <w:rPr>
          <w:rStyle w:val="FootnoteReference"/>
        </w:rPr>
        <w:footnoteRef/>
      </w:r>
      <w:r>
        <w:t>)</w:t>
      </w:r>
      <w:r>
        <w:tab/>
        <w:t>The EIs are assessing the consistency of a recently adopted amendment (OJ A 21/03.02.2020, Article 30) with the good law-making provisions, while the European institutions have also taken note that a number of the laws adopted since 8 January 2020 have included amendments that do not seem directly related to the law adopted.</w:t>
      </w:r>
    </w:p>
  </w:footnote>
  <w:footnote w:id="44">
    <w:p>
      <w:pPr>
        <w:pStyle w:val="FootnoteText"/>
      </w:pPr>
      <w:r>
        <w:t>(</w:t>
      </w:r>
      <w:r>
        <w:rPr>
          <w:rStyle w:val="FootnoteReference"/>
        </w:rPr>
        <w:footnoteRef/>
      </w:r>
      <w:r>
        <w:t>)</w:t>
      </w:r>
      <w:r>
        <w:tab/>
        <w:t>Examples for such exceptions: (i) contracts for the needs of cleaning, catering, security (Article 63 of Law 4430/2016); (ii) contracts for the cleaning of central, decentralised and all buildings of the Ministry of Health (Article 97 of Law 4468/2016); (iii) and contracts for the needs of cleanliness and care (Article 8 of Law 4506/2017).</w:t>
      </w:r>
    </w:p>
  </w:footnote>
  <w:footnote w:id="45">
    <w:p>
      <w:pPr>
        <w:pStyle w:val="FootnoteText"/>
      </w:pPr>
      <w:r>
        <w:t>(</w:t>
      </w:r>
      <w:r>
        <w:rPr>
          <w:rStyle w:val="FootnoteReference"/>
        </w:rPr>
        <w:footnoteRef/>
      </w:r>
      <w:r>
        <w:t>)</w:t>
      </w:r>
      <w:r>
        <w:tab/>
      </w:r>
      <w:r>
        <w:rPr>
          <w:lang w:val="en-US"/>
        </w:rPr>
        <w:t>OJ A 204/16.12.2019, Article 16.</w:t>
      </w:r>
    </w:p>
  </w:footnote>
  <w:footnote w:id="46">
    <w:p>
      <w:pPr>
        <w:pStyle w:val="FootnoteText"/>
      </w:pPr>
      <w:r>
        <w:t>(</w:t>
      </w:r>
      <w:r>
        <w:rPr>
          <w:rStyle w:val="FootnoteReference"/>
        </w:rPr>
        <w:footnoteRef/>
      </w:r>
      <w:r>
        <w:t>)</w:t>
      </w:r>
      <w:r>
        <w:tab/>
      </w:r>
      <w:r>
        <w:rPr>
          <w:lang w:val="en-US"/>
        </w:rPr>
        <w:t>OJ A 204/16.12.2019, Articles 40 and 70.</w:t>
      </w:r>
    </w:p>
  </w:footnote>
  <w:footnote w:id="47">
    <w:p>
      <w:pPr>
        <w:pStyle w:val="FootnoteText"/>
      </w:pPr>
      <w:r>
        <w:t>(</w:t>
      </w:r>
      <w:r>
        <w:rPr>
          <w:rStyle w:val="FootnoteReference"/>
        </w:rPr>
        <w:footnoteRef/>
      </w:r>
      <w:r>
        <w:t>)</w:t>
      </w:r>
      <w:r>
        <w:tab/>
        <w:t>OJ A 12/24.01.2020, Article 57.</w:t>
      </w:r>
    </w:p>
  </w:footnote>
  <w:footnote w:id="48">
    <w:p>
      <w:pPr>
        <w:pStyle w:val="FootnoteText"/>
      </w:pPr>
      <w:r>
        <w:t>(</w:t>
      </w:r>
      <w:r>
        <w:rPr>
          <w:rStyle w:val="FootnoteReference"/>
        </w:rPr>
        <w:footnoteRef/>
      </w:r>
      <w:r>
        <w:t>)</w:t>
      </w:r>
      <w:r>
        <w:tab/>
      </w:r>
      <w:r>
        <w:rPr>
          <w:lang w:val="en-US"/>
        </w:rPr>
        <w:t>Members of this committee are expected to be the Ministry of Finance (General Accounting Office), Ministry of Interior (Secretariat General for Human Resources in the Public Sector) and the Presidency office (Secretariat General for Coordination of Internal Affairs).</w:t>
      </w:r>
    </w:p>
  </w:footnote>
  <w:footnote w:id="49">
    <w:p>
      <w:pPr>
        <w:pStyle w:val="FootnoteText"/>
      </w:pPr>
      <w:r>
        <w:t>(</w:t>
      </w:r>
      <w:r>
        <w:rPr>
          <w:rStyle w:val="FootnoteReference"/>
        </w:rPr>
        <w:footnoteRef/>
      </w:r>
      <w:r>
        <w:t>)</w:t>
      </w:r>
      <w:r>
        <w:tab/>
        <w:t>OJ A 201/12.12.2019, Article 62</w:t>
      </w:r>
    </w:p>
  </w:footnote>
  <w:footnote w:id="50">
    <w:p>
      <w:pPr>
        <w:pStyle w:val="FootnoteText"/>
      </w:pPr>
      <w:r>
        <w:t>(</w:t>
      </w:r>
      <w:r>
        <w:rPr>
          <w:rStyle w:val="FootnoteReference"/>
        </w:rPr>
        <w:footnoteRef/>
      </w:r>
      <w:r>
        <w:t>)</w:t>
      </w:r>
      <w:r>
        <w:tab/>
        <w:t>Contract was signed on 31 December 2019 and is expected to be completed by July 2021.</w:t>
      </w:r>
    </w:p>
  </w:footnote>
  <w:footnote w:id="51">
    <w:p>
      <w:pPr>
        <w:pStyle w:val="FootnoteText"/>
        <w:rPr>
          <w:lang w:val="en-US"/>
        </w:rPr>
      </w:pPr>
      <w:r>
        <w:t>(</w:t>
      </w:r>
      <w:r>
        <w:rPr>
          <w:rStyle w:val="FootnoteReference"/>
        </w:rPr>
        <w:footnoteRef/>
      </w:r>
      <w:r>
        <w:t>)</w:t>
      </w:r>
      <w:r>
        <w:tab/>
        <w:t>Section 6.2.1 of the draft call for bids, as submitted by the authorities following completion of the public consultation stage.</w:t>
      </w:r>
    </w:p>
  </w:footnote>
  <w:footnote w:id="52">
    <w:p>
      <w:pPr>
        <w:pStyle w:val="FootnoteText"/>
      </w:pPr>
      <w:r>
        <w:t>(</w:t>
      </w:r>
      <w:r>
        <w:rPr>
          <w:rStyle w:val="FootnoteReference"/>
        </w:rPr>
        <w:footnoteRef/>
      </w:r>
      <w:r>
        <w:t>)</w:t>
      </w:r>
      <w:r>
        <w:tab/>
        <w:t>Annex 8 on Greece to the EU Anti-corruption Report of 3 February 2014.</w:t>
      </w:r>
    </w:p>
  </w:footnote>
  <w:footnote w:id="53">
    <w:p>
      <w:pPr>
        <w:pStyle w:val="FootnoteText"/>
      </w:pPr>
      <w:r>
        <w:t>(</w:t>
      </w:r>
      <w:r>
        <w:rPr>
          <w:rStyle w:val="FootnoteReference"/>
        </w:rPr>
        <w:footnoteRef/>
      </w:r>
      <w:r>
        <w:t>)</w:t>
      </w:r>
      <w:r>
        <w:tab/>
        <w:t xml:space="preserve">See the section </w:t>
      </w:r>
      <w:bookmarkStart w:id="56" w:name="_Toc30176483"/>
      <w:bookmarkStart w:id="57" w:name="_Toc31210316"/>
      <w:r>
        <w:t>Strengthening the rule of law and ramping up efforts to fight corruption</w:t>
      </w:r>
      <w:bookmarkEnd w:id="56"/>
      <w:bookmarkEnd w:id="57"/>
      <w:r>
        <w:t xml:space="preserve"> in the OECD 2020 Economic Survey</w:t>
      </w:r>
    </w:p>
  </w:footnote>
  <w:footnote w:id="54">
    <w:p>
      <w:pPr>
        <w:pStyle w:val="FootnoteText"/>
      </w:pPr>
      <w:r>
        <w:t>(</w:t>
      </w:r>
      <w:r>
        <w:rPr>
          <w:rStyle w:val="FootnoteReference"/>
        </w:rPr>
        <w:footnoteRef/>
      </w:r>
      <w:r>
        <w:t>)</w:t>
      </w:r>
      <w:r>
        <w:tab/>
        <w:t xml:space="preserve">See section 3.4.1. The Hellenic Court of Auditors is conducting a broad survey on internal controls across the government and any other public entity with a view to accelerating the establishment of effective internal control systems in the public sector. </w:t>
      </w:r>
    </w:p>
  </w:footnote>
  <w:footnote w:id="55">
    <w:p>
      <w:pPr>
        <w:pStyle w:val="FootnoteText"/>
        <w:rPr>
          <w:lang w:val="hu-HU"/>
        </w:rPr>
      </w:pPr>
      <w:r>
        <w:t>(</w:t>
      </w:r>
      <w:r>
        <w:rPr>
          <w:rStyle w:val="FootnoteReference"/>
        </w:rPr>
        <w:footnoteRef/>
      </w:r>
      <w:r>
        <w:t>)</w:t>
      </w:r>
      <w:r>
        <w:tab/>
        <w:t>These are: updated macroeconomic forecast, updated interest and amortisation payments on non-official loans, new issuances and updated privatisation schedule.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SectionTitle"/>
    </w:pPr>
    <w:r>
      <w:t>Contents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tTitle"/>
    </w:pPr>
    <w:r>
      <w:t>Commission Staff Working Document</w:t>
    </w:r>
  </w:p>
  <w:p>
    <w:pPr>
      <w:pStyle w:val="PartSubtitle"/>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Left30"/>
    </w:pPr>
    <w:r>
      <w:t>European Commission</w:t>
    </w:r>
  </w:p>
  <w:p>
    <w:pPr>
      <w:pStyle w:val="HeaderSubtitleLeft30"/>
    </w:pPr>
    <w:r>
      <w:t>Enhanced Surveillance – Greece, February 2020</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Right30"/>
    </w:pPr>
    <w:r>
      <w:t xml:space="preserve">Commission Staff Working Document - </w:t>
    </w:r>
  </w:p>
  <w:p>
    <w:pPr>
      <w:pStyle w:val="HeaderSubtitleRight30"/>
    </w:pPr>
    <w:r>
      <w:t>Chapter 1 - Introduction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SectionTitle"/>
    </w:pPr>
    <w:r>
      <w:rPr>
        <w:rStyle w:val="SectionNumber"/>
      </w:rPr>
      <w:t>1.</w:t>
    </w:r>
    <w:r>
      <w:tab/>
      <w:t>Introduction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Left30"/>
    </w:pPr>
    <w:r>
      <w:t>European Commission</w:t>
    </w:r>
  </w:p>
  <w:p>
    <w:pPr>
      <w:pStyle w:val="HeaderSubtitleLeft30"/>
    </w:pPr>
    <w:r>
      <w:t>Enhanced Surveillance – Greece, February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Right30"/>
    </w:pPr>
    <w:r>
      <w:t xml:space="preserve">Commission Staff Working Document - </w:t>
    </w:r>
  </w:p>
  <w:p>
    <w:pPr>
      <w:pStyle w:val="HeaderSubtitleRight30"/>
    </w:pPr>
    <w:r>
      <w:t>Chapter 2 - Macroeconomic developments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SectionTitle"/>
    </w:pPr>
    <w:r>
      <w:rPr>
        <w:rStyle w:val="SectionNumber"/>
      </w:rPr>
      <w:t>2.</w:t>
    </w:r>
    <w:r>
      <w:tab/>
      <w:t>Macroeconomic developments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Left30"/>
    </w:pPr>
    <w:r>
      <w:t>European Commission</w:t>
    </w:r>
  </w:p>
  <w:p>
    <w:pPr>
      <w:pStyle w:val="HeaderSubtitleLeft30"/>
    </w:pPr>
    <w:r>
      <w:t>Enhanced Surveillance – Greece, February 2020</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Right30"/>
    </w:pPr>
    <w:r>
      <w:t xml:space="preserve">Commission Staff Working Document - </w:t>
    </w:r>
  </w:p>
  <w:p>
    <w:pPr>
      <w:pStyle w:val="HeaderSubtitleRight30"/>
    </w:pPr>
    <w:r>
      <w:t>Chapter 3 - Fiscal and fiscal-structural policies</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SectionTitle"/>
    </w:pPr>
    <w:r>
      <w:rPr>
        <w:rStyle w:val="SectionNumber"/>
      </w:rPr>
      <w:t>3.</w:t>
    </w:r>
    <w:r>
      <w:tab/>
      <w:t>Fiscal and fiscal-structural policies</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Left30"/>
    </w:pPr>
    <w:r>
      <w:t>European Commission</w:t>
    </w:r>
  </w:p>
  <w:p>
    <w:pPr>
      <w:pStyle w:val="HeaderSubtitleLeft30"/>
    </w:pPr>
    <w:r>
      <w:t>Enhanced Surveillance – Greece, February 2020</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Right30"/>
    </w:pPr>
    <w:r>
      <w:t xml:space="preserve">Commission Staff Working Document - </w:t>
    </w:r>
  </w:p>
  <w:p>
    <w:pPr>
      <w:pStyle w:val="HeaderSubtitleRight30"/>
    </w:pPr>
    <w:r>
      <w:t>Chapter 4 - Social welfare</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SectionTitle"/>
    </w:pPr>
    <w:r>
      <w:rPr>
        <w:rStyle w:val="SectionNumber"/>
      </w:rPr>
      <w:t>4.</w:t>
    </w:r>
    <w:r>
      <w:tab/>
      <w:t>Social welfare</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Left30"/>
    </w:pPr>
    <w:r>
      <w:t>European Commission</w:t>
    </w:r>
  </w:p>
  <w:p>
    <w:pPr>
      <w:pStyle w:val="HeaderSubtitleLeft30"/>
    </w:pPr>
    <w:r>
      <w:t>Enhanced Surveillance – Greece, February 2020</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Right30"/>
    </w:pPr>
    <w:r>
      <w:t xml:space="preserve">Commission Staff Working Document - </w:t>
    </w:r>
  </w:p>
  <w:p>
    <w:pPr>
      <w:pStyle w:val="HeaderSubtitleRight30"/>
    </w:pPr>
    <w:r>
      <w:t>Chapter 5 - Financial sector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SectionTitle"/>
    </w:pPr>
    <w:r>
      <w:rPr>
        <w:rStyle w:val="SectionNumber"/>
      </w:rPr>
      <w:t>5.</w:t>
    </w:r>
    <w:r>
      <w:tab/>
      <w:t>Financial sector</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Left30"/>
    </w:pPr>
    <w:r>
      <w:t>European Commission</w:t>
    </w:r>
  </w:p>
  <w:p>
    <w:pPr>
      <w:pStyle w:val="HeaderSubtitleLeft30"/>
    </w:pPr>
    <w:r>
      <w:t>Enhanced Surveillance – Greece, February 2020</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Right30"/>
    </w:pPr>
    <w:r>
      <w:t xml:space="preserve">Commission Staff Working Document - </w:t>
    </w:r>
  </w:p>
  <w:p>
    <w:pPr>
      <w:pStyle w:val="HeaderSubtitleRight30"/>
    </w:pPr>
    <w:r>
      <w:t>Chapter 6 - Labour and product markets</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SectionTitle"/>
    </w:pPr>
    <w:r>
      <w:rPr>
        <w:rStyle w:val="SectionNumber"/>
      </w:rPr>
      <w:t>6.</w:t>
    </w:r>
    <w:r>
      <w:tab/>
      <w:t>Labour and product markets</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Left30"/>
    </w:pPr>
    <w:r>
      <w:t>European Commission</w:t>
    </w:r>
  </w:p>
  <w:p>
    <w:pPr>
      <w:pStyle w:val="HeaderSubtitleLeft30"/>
    </w:pPr>
    <w:r>
      <w:t>Enhanced Surveillance – Greece, February 2020</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Right30"/>
    </w:pPr>
    <w:r>
      <w:t xml:space="preserve">Commission Staff Working Document - </w:t>
    </w:r>
  </w:p>
  <w:p>
    <w:pPr>
      <w:pStyle w:val="HeaderSubtitleRight30"/>
    </w:pPr>
    <w:r>
      <w:t>Chapter 7 - Hellenic Corporation of Assets and Participations (HCAP) and privatisation</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SectionTitle"/>
    </w:pPr>
    <w:r>
      <w:rPr>
        <w:rStyle w:val="SectionNumber"/>
      </w:rPr>
      <w:t>7.</w:t>
    </w:r>
    <w:r>
      <w:tab/>
      <w:t>Hellenic Corporation of Assets and Participations (HCAP) and privatisation</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Left30"/>
    </w:pPr>
    <w:r>
      <w:t>European Commission</w:t>
    </w:r>
  </w:p>
  <w:p>
    <w:pPr>
      <w:pStyle w:val="HeaderSubtitleLeft30"/>
    </w:pPr>
    <w:r>
      <w:t>Enhanced Surveillance – Greece, February 2020</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Right30"/>
    </w:pPr>
    <w:r>
      <w:t xml:space="preserve">Commission Staff Working Document - </w:t>
    </w:r>
  </w:p>
  <w:p>
    <w:pPr>
      <w:pStyle w:val="HeaderSubtitleRight30"/>
    </w:pPr>
    <w:r>
      <w:t>Chapter 8 - Public administration and justice</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SectionTitle"/>
    </w:pPr>
    <w:r>
      <w:rPr>
        <w:rStyle w:val="SectionNumber"/>
      </w:rPr>
      <w:t>8.</w:t>
    </w:r>
    <w:r>
      <w:tab/>
      <w:t>Public administration and justice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Left30"/>
    </w:pPr>
    <w:r>
      <w:t>European Commission</w:t>
    </w:r>
  </w:p>
  <w:p>
    <w:pPr>
      <w:pStyle w:val="HeaderSubtitleLeft30"/>
    </w:pPr>
    <w:r>
      <w:t>Enhanced Surveillance – Greece, February 2020</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Right30"/>
    </w:pPr>
    <w:r>
      <w:t xml:space="preserve">Commission Staff Working Document - </w:t>
    </w:r>
  </w:p>
  <w:p>
    <w:pPr>
      <w:pStyle w:val="HeaderSubtitleRight30"/>
    </w:pPr>
    <w:r>
      <w:t>Chapter 9 - Sovereign financing and capacity to repay</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SectionTitle"/>
    </w:pPr>
    <w:r>
      <w:rPr>
        <w:rStyle w:val="SectionNumber"/>
      </w:rPr>
      <w:t>9.</w:t>
    </w:r>
    <w:r>
      <w:tab/>
      <w:t>Sovereign financing and capacity to repay</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Left30"/>
    </w:pPr>
    <w:r>
      <w:t>European Commission</w:t>
    </w:r>
  </w:p>
  <w:p>
    <w:pPr>
      <w:pStyle w:val="HeaderSubtitleLeft30"/>
    </w:pPr>
    <w:r>
      <w:t>Enhanced Surveillance – Greece, February 2020</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Right30"/>
    </w:pPr>
    <w:r>
      <w:t xml:space="preserve">Commission Staff Working Document - </w:t>
    </w:r>
  </w:p>
  <w:p>
    <w:pPr>
      <w:pStyle w:val="HeaderSubtitleRight30"/>
    </w:pPr>
    <w:r>
      <w:t>Chapter 9 - Sovereign financing and capacity to repay</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SectionTitle"/>
    </w:pPr>
    <w:r>
      <w:rPr>
        <w:rStyle w:val="SectionNumber"/>
      </w:rPr>
      <w:t>9.</w:t>
    </w:r>
    <w:r>
      <w:tab/>
      <w:t>Sovereign financing and capacity to repay</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Left30"/>
    </w:pPr>
    <w:r>
      <w:t>European Commission</w:t>
    </w:r>
  </w:p>
  <w:p>
    <w:pPr>
      <w:pStyle w:val="HeaderSubtitleLeft30"/>
    </w:pPr>
    <w:r>
      <w:t>Enhanced Surveillance – Greece, February 2020</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itleRight30"/>
    </w:pPr>
    <w:r>
      <w:t xml:space="preserve">Commission Staff Working Document - </w:t>
    </w:r>
  </w:p>
  <w:p>
    <w:pPr>
      <w:pStyle w:val="HeaderSubtitleRight30"/>
    </w:pPr>
    <w:r>
      <w:t>Chapter - Annex</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SectionTitleTop"/>
    </w:pPr>
    <w:r>
      <w:t>Annex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SectionTitle"/>
    </w:pPr>
    <w:r>
      <w:t>Abbreviations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SectionTitle"/>
    </w:pPr>
    <w:r>
      <w:t>Acknowledgements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CE5D4D"/>
    <w:multiLevelType w:val="singleLevel"/>
    <w:tmpl w:val="B94E98DA"/>
    <w:name w:val="Normal Numbered"/>
    <w:lvl w:ilvl="0">
      <w:start w:val="1"/>
      <w:numFmt w:val="decimal"/>
      <w:lvlRestart w:val="0"/>
      <w:pStyle w:val="NormalNumbered"/>
      <w:lvlText w:val="%1."/>
      <w:lvlJc w:val="left"/>
      <w:pPr>
        <w:tabs>
          <w:tab w:val="num" w:pos="369"/>
        </w:tabs>
        <w:ind w:left="0" w:firstLine="0"/>
      </w:pPr>
      <w:rPr>
        <w:b/>
      </w:rPr>
    </w:lvl>
  </w:abstractNum>
  <w:abstractNum w:abstractNumId="1">
    <w:nsid w:val="FFFFFF7C"/>
    <w:multiLevelType w:val="singleLevel"/>
    <w:tmpl w:val="2604E0EC"/>
    <w:lvl w:ilvl="0">
      <w:start w:val="1"/>
      <w:numFmt w:val="decimal"/>
      <w:lvlText w:val="%1."/>
      <w:lvlJc w:val="left"/>
      <w:pPr>
        <w:tabs>
          <w:tab w:val="num" w:pos="1492"/>
        </w:tabs>
        <w:ind w:left="1492" w:hanging="360"/>
      </w:pPr>
    </w:lvl>
  </w:abstractNum>
  <w:abstractNum w:abstractNumId="2">
    <w:nsid w:val="FFFFFF7D"/>
    <w:multiLevelType w:val="singleLevel"/>
    <w:tmpl w:val="6C3A4756"/>
    <w:lvl w:ilvl="0">
      <w:start w:val="1"/>
      <w:numFmt w:val="decimal"/>
      <w:lvlText w:val="%1."/>
      <w:lvlJc w:val="left"/>
      <w:pPr>
        <w:tabs>
          <w:tab w:val="num" w:pos="1209"/>
        </w:tabs>
        <w:ind w:left="1209" w:hanging="360"/>
      </w:pPr>
    </w:lvl>
  </w:abstractNum>
  <w:abstractNum w:abstractNumId="3">
    <w:nsid w:val="FFFFFF7E"/>
    <w:multiLevelType w:val="singleLevel"/>
    <w:tmpl w:val="17BAB82E"/>
    <w:lvl w:ilvl="0">
      <w:start w:val="1"/>
      <w:numFmt w:val="decimal"/>
      <w:lvlText w:val="%1."/>
      <w:lvlJc w:val="left"/>
      <w:pPr>
        <w:tabs>
          <w:tab w:val="num" w:pos="926"/>
        </w:tabs>
        <w:ind w:left="926" w:hanging="360"/>
      </w:pPr>
    </w:lvl>
  </w:abstractNum>
  <w:abstractNum w:abstractNumId="4">
    <w:nsid w:val="FFFFFF7F"/>
    <w:multiLevelType w:val="singleLevel"/>
    <w:tmpl w:val="60BA49C2"/>
    <w:lvl w:ilvl="0">
      <w:start w:val="1"/>
      <w:numFmt w:val="decimal"/>
      <w:lvlText w:val="%1."/>
      <w:lvlJc w:val="left"/>
      <w:pPr>
        <w:tabs>
          <w:tab w:val="num" w:pos="643"/>
        </w:tabs>
        <w:ind w:left="643" w:hanging="360"/>
      </w:pPr>
    </w:lvl>
  </w:abstractNum>
  <w:abstractNum w:abstractNumId="5">
    <w:nsid w:val="FFFFFF80"/>
    <w:multiLevelType w:val="singleLevel"/>
    <w:tmpl w:val="E21E155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C302B75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8B4AFD3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F224DD7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42285E0"/>
    <w:lvl w:ilvl="0">
      <w:start w:val="1"/>
      <w:numFmt w:val="decimal"/>
      <w:lvlText w:val="%1."/>
      <w:lvlJc w:val="left"/>
      <w:pPr>
        <w:tabs>
          <w:tab w:val="num" w:pos="360"/>
        </w:tabs>
        <w:ind w:left="360" w:hanging="360"/>
      </w:pPr>
    </w:lvl>
  </w:abstractNum>
  <w:abstractNum w:abstractNumId="10">
    <w:nsid w:val="FFFFFF89"/>
    <w:multiLevelType w:val="singleLevel"/>
    <w:tmpl w:val="9AE8646E"/>
    <w:lvl w:ilvl="0">
      <w:start w:val="1"/>
      <w:numFmt w:val="bullet"/>
      <w:lvlText w:val=""/>
      <w:lvlJc w:val="left"/>
      <w:pPr>
        <w:tabs>
          <w:tab w:val="num" w:pos="360"/>
        </w:tabs>
        <w:ind w:left="360" w:hanging="360"/>
      </w:pPr>
      <w:rPr>
        <w:rFonts w:ascii="Symbol" w:hAnsi="Symbol" w:hint="default"/>
      </w:rPr>
    </w:lvl>
  </w:abstractNum>
  <w:abstractNum w:abstractNumId="11">
    <w:nsid w:val="02B872F3"/>
    <w:multiLevelType w:val="hybridMultilevel"/>
    <w:tmpl w:val="57B639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04A2589B"/>
    <w:multiLevelType w:val="multilevel"/>
    <w:tmpl w:val="0ECC1402"/>
    <w:lvl w:ilvl="0">
      <w:start w:val="1"/>
      <w:numFmt w:val="decimal"/>
      <w:lvlRestart w:val="0"/>
      <w:lvlText w:val="4.%1."/>
      <w:lvlJc w:val="left"/>
      <w:pPr>
        <w:tabs>
          <w:tab w:val="num" w:pos="567"/>
        </w:tabs>
        <w:ind w:left="567" w:hanging="567"/>
      </w:pPr>
    </w:lvl>
    <w:lvl w:ilvl="1">
      <w:start w:val="1"/>
      <w:numFmt w:val="decimal"/>
      <w:lvlText w:val="4.%1.%2."/>
      <w:lvlJc w:val="left"/>
      <w:pPr>
        <w:tabs>
          <w:tab w:val="num" w:pos="567"/>
        </w:tabs>
        <w:ind w:left="567" w:hanging="567"/>
      </w:pPr>
    </w:lvl>
    <w:lvl w:ilvl="2">
      <w:start w:val="1"/>
      <w:numFmt w:val="decimal"/>
      <w:lvlText w:val="1.%1.%2.%3."/>
      <w:lvlJc w:val="left"/>
      <w:pPr>
        <w:tabs>
          <w:tab w:val="num" w:pos="709"/>
        </w:tabs>
        <w:ind w:left="709" w:hanging="709"/>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7EB36AF"/>
    <w:multiLevelType w:val="singleLevel"/>
    <w:tmpl w:val="96445E22"/>
    <w:name w:val="List Bullet"/>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14">
    <w:nsid w:val="249932C6"/>
    <w:multiLevelType w:val="hybridMultilevel"/>
    <w:tmpl w:val="3094E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5933DC"/>
    <w:multiLevelType w:val="hybridMultilevel"/>
    <w:tmpl w:val="5008C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F6F4AE1"/>
    <w:multiLevelType w:val="multilevel"/>
    <w:tmpl w:val="D1484B3A"/>
    <w:lvl w:ilvl="0">
      <w:start w:val="1"/>
      <w:numFmt w:val="decimal"/>
      <w:lvlText w:val="%1."/>
      <w:lvlJc w:val="left"/>
      <w:pPr>
        <w:tabs>
          <w:tab w:val="num" w:pos="567"/>
        </w:tabs>
        <w:ind w:left="567" w:hanging="567"/>
      </w:pPr>
    </w:lvl>
    <w:lvl w:ilvl="1">
      <w:start w:val="1"/>
      <w:numFmt w:val="decimal"/>
      <w:lvlText w:val="3.%1.%2."/>
      <w:lvlJc w:val="left"/>
      <w:pPr>
        <w:tabs>
          <w:tab w:val="num" w:pos="567"/>
        </w:tabs>
        <w:ind w:left="567" w:hanging="567"/>
      </w:pPr>
    </w:lvl>
    <w:lvl w:ilvl="2">
      <w:start w:val="1"/>
      <w:numFmt w:val="decimal"/>
      <w:lvlText w:val="1.%1.%2.%3."/>
      <w:lvlJc w:val="left"/>
      <w:pPr>
        <w:tabs>
          <w:tab w:val="num" w:pos="709"/>
        </w:tabs>
        <w:ind w:left="709" w:hanging="709"/>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97B3621"/>
    <w:multiLevelType w:val="hybridMultilevel"/>
    <w:tmpl w:val="B5B46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C9B1B58"/>
    <w:multiLevelType w:val="hybridMultilevel"/>
    <w:tmpl w:val="57EC6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1B606E3"/>
    <w:multiLevelType w:val="hybridMultilevel"/>
    <w:tmpl w:val="BCFEE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4F620F6"/>
    <w:multiLevelType w:val="singleLevel"/>
    <w:tmpl w:val="010ECA8C"/>
    <w:name w:val="List Dash"/>
    <w:lvl w:ilvl="0">
      <w:start w:val="1"/>
      <w:numFmt w:val="bullet"/>
      <w:lvlRestart w:val="0"/>
      <w:pStyle w:val="ListDash"/>
      <w:lvlText w:val=""/>
      <w:lvlJc w:val="left"/>
      <w:pPr>
        <w:tabs>
          <w:tab w:val="num" w:pos="283"/>
        </w:tabs>
        <w:ind w:left="283" w:hanging="283"/>
      </w:pPr>
      <w:rPr>
        <w:rFonts w:ascii="Symbol" w:hAnsi="Symbol" w:hint="default"/>
      </w:rPr>
    </w:lvl>
  </w:abstractNum>
  <w:abstractNum w:abstractNumId="21">
    <w:nsid w:val="6C4D085E"/>
    <w:multiLevelType w:val="hybridMultilevel"/>
    <w:tmpl w:val="47D08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B8B50A7"/>
    <w:multiLevelType w:val="hybridMultilevel"/>
    <w:tmpl w:val="DCA6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E4D2A11"/>
    <w:multiLevelType w:val="singleLevel"/>
    <w:tmpl w:val="B612535E"/>
    <w:name w:val="Numbered List"/>
    <w:lvl w:ilvl="0">
      <w:start w:val="1"/>
      <w:numFmt w:val="decimal"/>
      <w:lvlRestart w:val="0"/>
      <w:pStyle w:val="NumberedList"/>
      <w:lvlText w:val="%1."/>
      <w:lvlJc w:val="left"/>
      <w:pPr>
        <w:tabs>
          <w:tab w:val="num" w:pos="340"/>
        </w:tabs>
        <w:ind w:left="340" w:hanging="340"/>
      </w:pPr>
    </w:lvl>
  </w:abstractNum>
  <w:num w:numId="1">
    <w:abstractNumId w:val="10"/>
  </w:num>
  <w:num w:numId="2">
    <w:abstractNumId w:val="23"/>
  </w:num>
  <w:num w:numId="3">
    <w:abstractNumId w:val="0"/>
  </w:num>
  <w:num w:numId="4">
    <w:abstractNumId w:val="13"/>
  </w:num>
  <w:num w:numId="5">
    <w:abstractNumId w:val="2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2"/>
  </w:num>
  <w:num w:numId="16">
    <w:abstractNumId w:val="15"/>
  </w:num>
  <w:num w:numId="17">
    <w:abstractNumId w:val="19"/>
  </w:num>
  <w:num w:numId="18">
    <w:abstractNumId w:val="11"/>
  </w:num>
  <w:num w:numId="19">
    <w:abstractNumId w:val="18"/>
  </w:num>
  <w:num w:numId="20">
    <w:abstractNumId w:val="16"/>
  </w:num>
  <w:num w:numId="21">
    <w:abstractNumId w:val="17"/>
  </w:num>
  <w:num w:numId="22">
    <w:abstractNumId w:val="21"/>
  </w:num>
  <w:num w:numId="23">
    <w:abstractNumId w:val="1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revisionView w:markup="0"/>
  <w:defaultTabStop w:val="720"/>
  <w:hyphenationZone w:val="425"/>
  <w:characterSpacingControl w:val="doNotCompress"/>
  <w:hdrShapeDefaults>
    <o:shapedefaults v:ext="edit" spidmax="4097"/>
  </w:hdrShapeDefaults>
  <w:footnotePr>
    <w:pos w:val="beneathText"/>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8793DF61-511A-42B9-8BA6-B08CE14D8AD3"/>
    <w:docVar w:name="LW_COVERPAGE_TYPE" w:val="1"/>
    <w:docVar w:name="LW_CROSSREFERENCE" w:val="{COM(2020) 100 final}"/>
    <w:docVar w:name="LW_DocType" w:val="NORMAL"/>
    <w:docVar w:name="LW_EMISSION" w:val="26.2.2020"/>
    <w:docVar w:name="LW_EMISSION_ISODATE" w:val="2020-02-26"/>
    <w:docVar w:name="LW_EMISSION_LOCATION" w:val="BRX"/>
    <w:docVar w:name="LW_EMISSION_PREFIX" w:val="Brussels,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Enhanced Surveillance update - Greece, February 2020"/>
    <w:docVar w:name="LW_PART_NBR" w:val="1"/>
    <w:docVar w:name="LW_PART_NBR_TOTAL" w:val="1"/>
    <w:docVar w:name="LW_REF.INST.NEW" w:val="SWD"/>
    <w:docVar w:name="LW_REF.INST.NEW_ADOPTED" w:val="final"/>
    <w:docVar w:name="LW_REF.INST.NEW_TEXT" w:val="(2020) 4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nhanced Surveillance Report - Greece, February 2020"/>
    <w:docVar w:name="LW_TYPE.DOC.CP" w:val="COMMISSION STAFF WORKING DOCUMENT"/>
    <w:docVar w:name="LW_TYPEACTEPRINCIPAL.CP" w:val="COMMUNICATION FROM THE COMMISSION"/>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line="240" w:lineRule="atLeast"/>
      <w:jc w:val="both"/>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line="240" w:lineRule="atLeast"/>
      <w:jc w:val="both"/>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line="240" w:lineRule="atLeast"/>
      <w:jc w:val="both"/>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line="240" w:lineRule="atLeast"/>
      <w:jc w:val="both"/>
      <w:outlineLvl w:val="3"/>
    </w:pPr>
    <w:rPr>
      <w:rFonts w:asciiTheme="majorHAnsi" w:eastAsiaTheme="majorEastAsia" w:hAnsiTheme="majorHAnsi" w:cstheme="majorBidi"/>
      <w:i/>
      <w:iCs/>
      <w:color w:val="365F91" w:themeColor="accent1" w:themeShade="B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sz w:val="24"/>
    </w:rPr>
  </w:style>
  <w:style w:type="numbering" w:customStyle="1" w:styleId="NoList1">
    <w:name w:val="No List1"/>
    <w:next w:val="NoList"/>
    <w:uiPriority w:val="99"/>
    <w:semiHidden/>
    <w:unhideWhenUsed/>
  </w:style>
  <w:style w:type="paragraph" w:styleId="FootnoteText">
    <w:name w:val="footnote text"/>
    <w:aliases w:val="Char1,Footnote Text Char3 Char,Footnote Text Char1 Char1 Char,Footnote Text Char2 Char Char Char,Footnote Text Char1 Char1 Char Char Char,Footnote Text Char2 Char Char Char Char Char,Footnote Text Char3,fn Char,Podrozdzi,Znak,Znak Zn, Znak"/>
    <w:basedOn w:val="Normal"/>
    <w:link w:val="FootnoteTextChar"/>
    <w:uiPriority w:val="99"/>
    <w:unhideWhenUsed/>
    <w:qFormat/>
    <w:pPr>
      <w:spacing w:after="0" w:line="240" w:lineRule="auto"/>
      <w:ind w:left="283" w:hanging="283"/>
      <w:jc w:val="both"/>
    </w:pPr>
    <w:rPr>
      <w:rFonts w:ascii="Times New Roman" w:hAnsi="Times New Roman" w:cs="Times New Roman"/>
      <w:color w:val="000000"/>
      <w:sz w:val="20"/>
      <w:szCs w:val="20"/>
    </w:rPr>
  </w:style>
  <w:style w:type="character" w:customStyle="1" w:styleId="FootnoteTextChar">
    <w:name w:val="Footnote Text Char"/>
    <w:aliases w:val="Char1 Char,Footnote Text Char3 Char Char,Footnote Text Char1 Char1 Char Char,Footnote Text Char2 Char Char Char Char,Footnote Text Char1 Char1 Char Char Char Char,Footnote Text Char2 Char Char Char Char Char Char,fn Char Char"/>
    <w:basedOn w:val="DefaultParagraphFont"/>
    <w:link w:val="FootnoteText"/>
    <w:uiPriority w:val="99"/>
    <w:qFormat/>
    <w:rPr>
      <w:rFonts w:ascii="Times New Roman" w:hAnsi="Times New Roman" w:cs="Times New Roman"/>
      <w:color w:val="000000"/>
      <w:sz w:val="20"/>
      <w:szCs w:val="20"/>
    </w:rPr>
  </w:style>
  <w:style w:type="paragraph" w:styleId="EndnoteText">
    <w:name w:val="endnote text"/>
    <w:basedOn w:val="Normal"/>
    <w:link w:val="EndnoteTextChar"/>
    <w:uiPriority w:val="99"/>
    <w:semiHidden/>
    <w:unhideWhenUsed/>
    <w:pPr>
      <w:spacing w:after="0" w:line="240" w:lineRule="auto"/>
      <w:ind w:left="283" w:hanging="283"/>
      <w:jc w:val="both"/>
    </w:pPr>
    <w:rPr>
      <w:rFonts w:ascii="Times New Roman" w:hAnsi="Times New Roman" w:cs="Times New Roman"/>
      <w:color w:val="000000"/>
      <w:sz w:val="16"/>
      <w:szCs w:val="20"/>
    </w:rPr>
  </w:style>
  <w:style w:type="character" w:customStyle="1" w:styleId="EndnoteTextChar">
    <w:name w:val="Endnote Text Char"/>
    <w:basedOn w:val="DefaultParagraphFont"/>
    <w:link w:val="EndnoteText"/>
    <w:uiPriority w:val="99"/>
    <w:semiHidden/>
    <w:rPr>
      <w:rFonts w:ascii="Times New Roman" w:hAnsi="Times New Roman" w:cs="Times New Roman"/>
      <w:color w:val="000000"/>
      <w:sz w:val="16"/>
      <w:szCs w:val="20"/>
    </w:rPr>
  </w:style>
  <w:style w:type="paragraph" w:styleId="ListBullet">
    <w:name w:val="List Bullet"/>
    <w:basedOn w:val="Normal"/>
    <w:uiPriority w:val="99"/>
    <w:unhideWhenUsed/>
    <w:pPr>
      <w:numPr>
        <w:numId w:val="4"/>
      </w:numPr>
      <w:spacing w:after="240" w:line="240" w:lineRule="atLeast"/>
      <w:jc w:val="both"/>
    </w:pPr>
    <w:rPr>
      <w:rFonts w:ascii="Times New Roman" w:hAnsi="Times New Roman" w:cs="Times New Roman"/>
      <w:color w:val="000000"/>
      <w:sz w:val="24"/>
    </w:rPr>
  </w:style>
  <w:style w:type="paragraph" w:styleId="Footer">
    <w:name w:val="footer"/>
    <w:basedOn w:val="Normal"/>
    <w:next w:val="Normal"/>
    <w:link w:val="FooterChar"/>
    <w:uiPriority w:val="99"/>
    <w:unhideWhenUsed/>
    <w:pPr>
      <w:spacing w:after="0" w:line="240" w:lineRule="auto"/>
    </w:pPr>
    <w:rPr>
      <w:rFonts w:ascii="Times New Roman" w:hAnsi="Times New Roman" w:cs="Times New Roman"/>
      <w:color w:val="000000"/>
      <w:sz w:val="24"/>
    </w:rPr>
  </w:style>
  <w:style w:type="character" w:customStyle="1" w:styleId="FooterChar">
    <w:name w:val="Footer Char"/>
    <w:basedOn w:val="DefaultParagraphFont"/>
    <w:link w:val="Footer"/>
    <w:uiPriority w:val="99"/>
    <w:rPr>
      <w:rFonts w:ascii="Times New Roman" w:hAnsi="Times New Roman" w:cs="Times New Roman"/>
      <w:color w:val="000000"/>
      <w:sz w:val="24"/>
    </w:rPr>
  </w:style>
  <w:style w:type="paragraph" w:styleId="TOC1">
    <w:name w:val="toc 1"/>
    <w:basedOn w:val="Normal"/>
    <w:next w:val="TOC2"/>
    <w:uiPriority w:val="39"/>
    <w:unhideWhenUsed/>
    <w:pPr>
      <w:keepNext/>
      <w:keepLines/>
      <w:tabs>
        <w:tab w:val="left" w:pos="482"/>
        <w:tab w:val="right" w:pos="8504"/>
      </w:tabs>
      <w:spacing w:before="240" w:after="120" w:line="240" w:lineRule="atLeast"/>
      <w:ind w:left="482" w:right="425" w:hanging="482"/>
    </w:pPr>
    <w:rPr>
      <w:rFonts w:ascii="Century Gothic" w:hAnsi="Century Gothic" w:cs="Times New Roman"/>
      <w:color w:val="333399"/>
      <w:sz w:val="20"/>
    </w:rPr>
  </w:style>
  <w:style w:type="paragraph" w:styleId="TOC2">
    <w:name w:val="toc 2"/>
    <w:basedOn w:val="Normal"/>
    <w:uiPriority w:val="39"/>
    <w:semiHidden/>
    <w:unhideWhenUsed/>
    <w:pPr>
      <w:keepLines/>
      <w:tabs>
        <w:tab w:val="left" w:pos="482"/>
        <w:tab w:val="right" w:pos="8504"/>
      </w:tabs>
      <w:spacing w:after="0" w:line="240" w:lineRule="atLeast"/>
      <w:ind w:left="482" w:right="425" w:hanging="482"/>
    </w:pPr>
    <w:rPr>
      <w:rFonts w:ascii="Century Gothic" w:hAnsi="Century Gothic" w:cs="Times New Roman"/>
      <w:color w:val="333399"/>
      <w:sz w:val="20"/>
    </w:rPr>
  </w:style>
  <w:style w:type="paragraph" w:styleId="TOC3">
    <w:name w:val="toc 3"/>
    <w:basedOn w:val="Normal"/>
    <w:uiPriority w:val="39"/>
    <w:unhideWhenUsed/>
    <w:pPr>
      <w:keepLines/>
      <w:tabs>
        <w:tab w:val="left" w:pos="964"/>
        <w:tab w:val="right" w:pos="8504"/>
      </w:tabs>
      <w:spacing w:after="0" w:line="240" w:lineRule="atLeast"/>
      <w:ind w:left="964" w:right="425" w:hanging="482"/>
    </w:pPr>
    <w:rPr>
      <w:rFonts w:ascii="Century Gothic" w:hAnsi="Century Gothic" w:cs="Times New Roman"/>
      <w:caps/>
      <w:color w:val="333399"/>
      <w:sz w:val="16"/>
    </w:rPr>
  </w:style>
  <w:style w:type="paragraph" w:styleId="TOC5">
    <w:name w:val="toc 5"/>
    <w:basedOn w:val="Normal"/>
    <w:uiPriority w:val="39"/>
    <w:unhideWhenUsed/>
    <w:pPr>
      <w:keepLines/>
      <w:tabs>
        <w:tab w:val="left" w:pos="964"/>
        <w:tab w:val="right" w:pos="8504"/>
      </w:tabs>
      <w:spacing w:after="0" w:line="240" w:lineRule="atLeast"/>
      <w:ind w:left="964" w:right="425" w:hanging="482"/>
    </w:pPr>
    <w:rPr>
      <w:rFonts w:ascii="Century Gothic" w:hAnsi="Century Gothic" w:cs="Times New Roman"/>
      <w:color w:val="333399"/>
      <w:sz w:val="16"/>
    </w:rPr>
  </w:style>
  <w:style w:type="paragraph" w:styleId="TOC7">
    <w:name w:val="toc 7"/>
    <w:basedOn w:val="Normal"/>
    <w:uiPriority w:val="39"/>
    <w:semiHidden/>
    <w:unhideWhenUsed/>
    <w:pPr>
      <w:keepNext/>
      <w:keepLines/>
      <w:tabs>
        <w:tab w:val="right" w:pos="8504"/>
      </w:tabs>
      <w:spacing w:before="360" w:after="120" w:line="240" w:lineRule="atLeast"/>
      <w:ind w:right="425"/>
    </w:pPr>
    <w:rPr>
      <w:rFonts w:ascii="Century Gothic" w:hAnsi="Century Gothic" w:cs="Times New Roman"/>
      <w:color w:val="333399"/>
      <w:sz w:val="24"/>
    </w:rPr>
  </w:style>
  <w:style w:type="paragraph" w:styleId="TOC6">
    <w:name w:val="toc 6"/>
    <w:basedOn w:val="Normal"/>
    <w:uiPriority w:val="39"/>
    <w:semiHidden/>
    <w:unhideWhenUsed/>
    <w:pPr>
      <w:keepLines/>
      <w:tabs>
        <w:tab w:val="right" w:pos="8504"/>
      </w:tabs>
      <w:spacing w:after="0" w:line="240" w:lineRule="atLeast"/>
      <w:ind w:right="425"/>
    </w:pPr>
    <w:rPr>
      <w:rFonts w:ascii="Century Gothic" w:hAnsi="Century Gothic" w:cs="Times New Roman"/>
      <w:color w:val="333399"/>
      <w:sz w:val="20"/>
    </w:rPr>
  </w:style>
  <w:style w:type="paragraph" w:customStyle="1" w:styleId="NormalCompact">
    <w:name w:val="Normal Compact"/>
    <w:basedOn w:val="Normal"/>
    <w:pPr>
      <w:spacing w:after="0" w:line="240" w:lineRule="atLeast"/>
      <w:jc w:val="both"/>
    </w:pPr>
    <w:rPr>
      <w:rFonts w:ascii="Times New Roman" w:hAnsi="Times New Roman" w:cs="Times New Roman"/>
      <w:color w:val="000000"/>
      <w:sz w:val="24"/>
    </w:rPr>
  </w:style>
  <w:style w:type="paragraph" w:customStyle="1" w:styleId="NormalFramed">
    <w:name w:val="Normal Framed"/>
    <w:basedOn w:val="Normal"/>
    <w:next w:val="Normal"/>
    <w:pPr>
      <w:pBdr>
        <w:top w:val="single" w:sz="8" w:space="5" w:color="333399"/>
        <w:left w:val="single" w:sz="8" w:space="4" w:color="333399"/>
        <w:bottom w:val="single" w:sz="8" w:space="5" w:color="333399"/>
        <w:right w:val="single" w:sz="8" w:space="4" w:color="333399"/>
      </w:pBdr>
      <w:spacing w:after="240" w:line="240" w:lineRule="atLeast"/>
      <w:ind w:left="113" w:right="113"/>
      <w:jc w:val="both"/>
    </w:pPr>
    <w:rPr>
      <w:rFonts w:ascii="Times New Roman" w:hAnsi="Times New Roman" w:cs="Times New Roman"/>
      <w:color w:val="000000"/>
      <w:sz w:val="24"/>
    </w:rPr>
  </w:style>
  <w:style w:type="paragraph" w:customStyle="1" w:styleId="NormalLeft">
    <w:name w:val="Normal Left"/>
    <w:basedOn w:val="Normal"/>
    <w:pPr>
      <w:spacing w:after="240" w:line="240" w:lineRule="atLeast"/>
    </w:pPr>
    <w:rPr>
      <w:rFonts w:ascii="Times New Roman" w:hAnsi="Times New Roman" w:cs="Times New Roman"/>
      <w:color w:val="000000"/>
      <w:sz w:val="24"/>
    </w:rPr>
  </w:style>
  <w:style w:type="paragraph" w:customStyle="1" w:styleId="NormalRight">
    <w:name w:val="Normal Right"/>
    <w:basedOn w:val="Normal"/>
    <w:pPr>
      <w:spacing w:after="240" w:line="240" w:lineRule="atLeast"/>
      <w:jc w:val="right"/>
    </w:pPr>
    <w:rPr>
      <w:rFonts w:ascii="Times New Roman" w:hAnsi="Times New Roman" w:cs="Times New Roman"/>
      <w:color w:val="000000"/>
      <w:sz w:val="24"/>
    </w:rPr>
  </w:style>
  <w:style w:type="paragraph" w:customStyle="1" w:styleId="NormalCentered">
    <w:name w:val="Normal Centered"/>
    <w:basedOn w:val="Normal"/>
    <w:pPr>
      <w:spacing w:after="240" w:line="240" w:lineRule="atLeast"/>
      <w:jc w:val="center"/>
    </w:pPr>
    <w:rPr>
      <w:rFonts w:ascii="Times New Roman" w:hAnsi="Times New Roman" w:cs="Times New Roman"/>
      <w:color w:val="000000"/>
      <w:sz w:val="24"/>
    </w:rPr>
  </w:style>
  <w:style w:type="paragraph" w:customStyle="1" w:styleId="NormalNumbered">
    <w:name w:val="Normal Numbered"/>
    <w:basedOn w:val="Normal"/>
    <w:pPr>
      <w:numPr>
        <w:numId w:val="3"/>
      </w:numPr>
      <w:spacing w:after="240" w:line="240" w:lineRule="atLeast"/>
      <w:jc w:val="both"/>
    </w:pPr>
    <w:rPr>
      <w:rFonts w:ascii="Times New Roman" w:hAnsi="Times New Roman" w:cs="Times New Roman"/>
      <w:color w:val="000000"/>
      <w:sz w:val="24"/>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Fussnota"/>
    <w:basedOn w:val="DefaultParagraphFont"/>
    <w:link w:val="FootnotesymbolCarZchn"/>
    <w:uiPriority w:val="99"/>
    <w:unhideWhenUsed/>
    <w:qFormat/>
    <w:rPr>
      <w:vertAlign w:val="superscript"/>
    </w:rPr>
  </w:style>
  <w:style w:type="character" w:styleId="EndnoteReference">
    <w:name w:val="endnote reference"/>
    <w:basedOn w:val="DefaultParagraphFont"/>
    <w:uiPriority w:val="99"/>
    <w:semiHidden/>
    <w:unhideWhenUsed/>
    <w:rPr>
      <w:shd w:val="clear" w:color="auto" w:fill="auto"/>
      <w:vertAlign w:val="superscript"/>
    </w:rPr>
  </w:style>
  <w:style w:type="paragraph" w:customStyle="1" w:styleId="SideNote">
    <w:name w:val="Side Note"/>
    <w:basedOn w:val="Normal"/>
    <w:next w:val="Normal"/>
    <w:pPr>
      <w:keepNext/>
      <w:framePr w:w="1701" w:h="567" w:hSpace="227" w:wrap="around" w:vAnchor="text" w:hAnchor="page" w:xAlign="outside" w:y="1"/>
      <w:spacing w:line="240" w:lineRule="auto"/>
    </w:pPr>
    <w:rPr>
      <w:rFonts w:ascii="Century Gothic" w:hAnsi="Century Gothic" w:cs="Times New Roman"/>
      <w:color w:val="333399"/>
      <w:sz w:val="14"/>
    </w:rPr>
  </w:style>
  <w:style w:type="paragraph" w:customStyle="1" w:styleId="SubsectionTitle">
    <w:name w:val="Subsection Title"/>
    <w:basedOn w:val="Normal"/>
    <w:next w:val="Normal"/>
    <w:pPr>
      <w:keepNext/>
      <w:pageBreakBefore/>
      <w:spacing w:before="240" w:after="240" w:line="240" w:lineRule="atLeast"/>
      <w:ind w:left="567" w:hanging="567"/>
      <w:jc w:val="both"/>
      <w:outlineLvl w:val="2"/>
    </w:pPr>
    <w:rPr>
      <w:rFonts w:ascii="Century Gothic" w:hAnsi="Century Gothic" w:cs="Times New Roman"/>
      <w:b/>
      <w:caps/>
      <w:color w:val="333399"/>
      <w:sz w:val="18"/>
    </w:rPr>
  </w:style>
  <w:style w:type="paragraph" w:customStyle="1" w:styleId="NumberedList">
    <w:name w:val="Numbered List"/>
    <w:basedOn w:val="Normal"/>
    <w:pPr>
      <w:numPr>
        <w:numId w:val="2"/>
      </w:numPr>
      <w:spacing w:after="240" w:line="240" w:lineRule="atLeast"/>
      <w:jc w:val="both"/>
    </w:pPr>
    <w:rPr>
      <w:rFonts w:ascii="Times New Roman" w:hAnsi="Times New Roman" w:cs="Times New Roman"/>
      <w:color w:val="000000"/>
      <w:sz w:val="24"/>
    </w:rPr>
  </w:style>
  <w:style w:type="paragraph" w:customStyle="1" w:styleId="Heading">
    <w:name w:val="Heading"/>
    <w:basedOn w:val="Normal"/>
    <w:next w:val="Normal"/>
    <w:link w:val="HeadingChar"/>
    <w:pPr>
      <w:keepNext/>
      <w:spacing w:before="120" w:after="120" w:line="240" w:lineRule="atLeast"/>
      <w:jc w:val="both"/>
    </w:pPr>
    <w:rPr>
      <w:rFonts w:ascii="Century Gothic" w:hAnsi="Century Gothic" w:cs="Times New Roman"/>
      <w:b/>
      <w:color w:val="333399"/>
    </w:rPr>
  </w:style>
  <w:style w:type="paragraph" w:customStyle="1" w:styleId="NumberedHeading1">
    <w:name w:val="Numbered Heading 1"/>
    <w:basedOn w:val="Normal"/>
    <w:next w:val="Normal"/>
    <w:link w:val="NumberedHeading1Char"/>
    <w:pPr>
      <w:keepNext/>
      <w:spacing w:before="240" w:after="240" w:line="240" w:lineRule="atLeast"/>
      <w:ind w:left="567" w:hanging="567"/>
      <w:jc w:val="both"/>
      <w:outlineLvl w:val="2"/>
    </w:pPr>
    <w:rPr>
      <w:rFonts w:ascii="Century Gothic" w:hAnsi="Century Gothic" w:cs="Times New Roman"/>
      <w:b/>
      <w:caps/>
      <w:color w:val="333399"/>
    </w:rPr>
  </w:style>
  <w:style w:type="paragraph" w:customStyle="1" w:styleId="NumberedHeading2">
    <w:name w:val="Numbered Heading 2"/>
    <w:basedOn w:val="Normal"/>
    <w:next w:val="Normal"/>
    <w:pPr>
      <w:keepNext/>
      <w:spacing w:before="80" w:after="160" w:line="240" w:lineRule="atLeast"/>
      <w:ind w:left="567" w:hanging="567"/>
      <w:jc w:val="both"/>
      <w:outlineLvl w:val="3"/>
    </w:pPr>
    <w:rPr>
      <w:rFonts w:ascii="Century Gothic" w:hAnsi="Century Gothic" w:cs="Times New Roman"/>
      <w:color w:val="333399"/>
    </w:rPr>
  </w:style>
  <w:style w:type="paragraph" w:customStyle="1" w:styleId="NumberedHeading3">
    <w:name w:val="Numbered Heading 3"/>
    <w:basedOn w:val="Normal"/>
    <w:next w:val="Normal"/>
    <w:pPr>
      <w:keepNext/>
      <w:spacing w:before="80" w:after="160" w:line="240" w:lineRule="atLeast"/>
      <w:ind w:left="709" w:hanging="709"/>
      <w:jc w:val="both"/>
      <w:outlineLvl w:val="3"/>
    </w:pPr>
    <w:rPr>
      <w:rFonts w:ascii="Century Gothic" w:hAnsi="Century Gothic" w:cs="Times New Roman"/>
      <w:i/>
      <w:color w:val="333399"/>
      <w:sz w:val="18"/>
    </w:rPr>
  </w:style>
  <w:style w:type="paragraph" w:customStyle="1" w:styleId="HeadingTop">
    <w:name w:val="Heading Top"/>
    <w:basedOn w:val="Heading"/>
    <w:next w:val="Normal"/>
    <w:pPr>
      <w:spacing w:before="0"/>
    </w:pPr>
  </w:style>
  <w:style w:type="paragraph" w:customStyle="1" w:styleId="NumberedHeading1Top">
    <w:name w:val="Numbered Heading 1 Top"/>
    <w:basedOn w:val="NumberedHeading1"/>
    <w:next w:val="Normal"/>
    <w:pPr>
      <w:spacing w:before="0"/>
    </w:pPr>
  </w:style>
  <w:style w:type="paragraph" w:customStyle="1" w:styleId="NumberedHeading2Top">
    <w:name w:val="Numbered Heading 2 Top"/>
    <w:basedOn w:val="NumberedHeading2"/>
    <w:next w:val="Normal"/>
    <w:pPr>
      <w:spacing w:before="0"/>
    </w:pPr>
  </w:style>
  <w:style w:type="paragraph" w:customStyle="1" w:styleId="NumberedHeading3Top">
    <w:name w:val="Numbered Heading 3 Top"/>
    <w:basedOn w:val="NumberedHeading3"/>
    <w:next w:val="Normal"/>
    <w:pPr>
      <w:spacing w:before="0"/>
    </w:pPr>
  </w:style>
  <w:style w:type="paragraph" w:customStyle="1" w:styleId="ListDash">
    <w:name w:val="List Dash"/>
    <w:basedOn w:val="Normal"/>
    <w:pPr>
      <w:numPr>
        <w:numId w:val="5"/>
      </w:numPr>
      <w:spacing w:after="240" w:line="240" w:lineRule="atLeast"/>
      <w:jc w:val="both"/>
    </w:pPr>
    <w:rPr>
      <w:rFonts w:ascii="Times New Roman" w:hAnsi="Times New Roman" w:cs="Times New Roman"/>
      <w:color w:val="000000"/>
      <w:sz w:val="24"/>
    </w:rPr>
  </w:style>
  <w:style w:type="paragraph" w:customStyle="1" w:styleId="ChapterName">
    <w:name w:val="Chapter Name"/>
    <w:basedOn w:val="Normal"/>
    <w:next w:val="Normal"/>
    <w:pPr>
      <w:spacing w:before="1080" w:after="240" w:line="240" w:lineRule="auto"/>
    </w:pPr>
    <w:rPr>
      <w:rFonts w:ascii="Times New Roman" w:hAnsi="Times New Roman" w:cs="Times New Roman"/>
      <w:b/>
      <w:color w:val="808080"/>
      <w:sz w:val="72"/>
    </w:rPr>
  </w:style>
  <w:style w:type="paragraph" w:customStyle="1" w:styleId="ChapterTitle">
    <w:name w:val="Chapter Title"/>
    <w:basedOn w:val="Normal"/>
    <w:next w:val="Normal"/>
    <w:pPr>
      <w:spacing w:after="240" w:line="240" w:lineRule="auto"/>
    </w:pPr>
    <w:rPr>
      <w:rFonts w:ascii="Century Gothic" w:hAnsi="Century Gothic" w:cs="Times New Roman"/>
      <w:color w:val="333399"/>
      <w:sz w:val="36"/>
    </w:rPr>
  </w:style>
  <w:style w:type="paragraph" w:customStyle="1" w:styleId="SectionTitle">
    <w:name w:val="Section Title"/>
    <w:basedOn w:val="Normal"/>
    <w:next w:val="SectionSubtitle"/>
    <w:pPr>
      <w:keepNext/>
      <w:spacing w:before="1080" w:after="240" w:line="240" w:lineRule="auto"/>
      <w:ind w:left="992" w:hanging="992"/>
    </w:pPr>
    <w:rPr>
      <w:rFonts w:ascii="Century Gothic" w:hAnsi="Century Gothic" w:cs="Times New Roman"/>
      <w:caps/>
      <w:color w:val="333399"/>
      <w:sz w:val="28"/>
    </w:rPr>
  </w:style>
  <w:style w:type="paragraph" w:customStyle="1" w:styleId="SectionTitletwolines">
    <w:name w:val="Section Title (two lines)"/>
    <w:basedOn w:val="Normal"/>
    <w:next w:val="SectionSubtitle"/>
    <w:pPr>
      <w:keepNext/>
      <w:spacing w:before="600" w:after="0" w:line="240" w:lineRule="auto"/>
      <w:ind w:left="992" w:hanging="992"/>
    </w:pPr>
    <w:rPr>
      <w:rFonts w:ascii="Century Gothic" w:hAnsi="Century Gothic" w:cs="Times New Roman"/>
      <w:caps/>
      <w:color w:val="333399"/>
      <w:sz w:val="28"/>
    </w:rPr>
  </w:style>
  <w:style w:type="paragraph" w:customStyle="1" w:styleId="SectionSubtitle">
    <w:name w:val="Section Subtitle"/>
    <w:basedOn w:val="Normal"/>
    <w:next w:val="Normal"/>
    <w:pPr>
      <w:spacing w:after="360" w:line="240" w:lineRule="auto"/>
      <w:ind w:left="992"/>
    </w:pPr>
    <w:rPr>
      <w:rFonts w:ascii="Century Gothic" w:hAnsi="Century Gothic" w:cs="Times New Roman"/>
      <w:color w:val="333399"/>
      <w:sz w:val="24"/>
    </w:rPr>
  </w:style>
  <w:style w:type="paragraph" w:customStyle="1" w:styleId="HeaderTitleLeft">
    <w:name w:val="Header Title Left"/>
    <w:basedOn w:val="Normal"/>
    <w:next w:val="Normal"/>
    <w:pPr>
      <w:tabs>
        <w:tab w:val="right" w:pos="8220"/>
      </w:tabs>
      <w:spacing w:before="100" w:after="40" w:line="240" w:lineRule="auto"/>
      <w:ind w:left="-1502"/>
      <w:jc w:val="both"/>
    </w:pPr>
    <w:rPr>
      <w:rFonts w:ascii="Century Gothic" w:hAnsi="Century Gothic" w:cs="Times New Roman"/>
      <w:color w:val="333399"/>
      <w:sz w:val="14"/>
    </w:rPr>
  </w:style>
  <w:style w:type="paragraph" w:customStyle="1" w:styleId="HeaderSubtitleLeft">
    <w:name w:val="Header Subtitle Left"/>
    <w:basedOn w:val="Normal"/>
    <w:next w:val="Normal"/>
    <w:pPr>
      <w:tabs>
        <w:tab w:val="right" w:pos="8220"/>
      </w:tabs>
      <w:spacing w:after="0" w:line="240" w:lineRule="auto"/>
      <w:ind w:left="-1502"/>
      <w:jc w:val="both"/>
    </w:pPr>
    <w:rPr>
      <w:rFonts w:ascii="Century Gothic" w:hAnsi="Century Gothic" w:cs="Times New Roman"/>
      <w:color w:val="333399"/>
      <w:sz w:val="14"/>
    </w:rPr>
  </w:style>
  <w:style w:type="paragraph" w:customStyle="1" w:styleId="HeaderTitleRight">
    <w:name w:val="Header Title Right"/>
    <w:basedOn w:val="Normal"/>
    <w:next w:val="Normal"/>
    <w:pPr>
      <w:spacing w:before="100" w:after="40" w:line="240" w:lineRule="auto"/>
      <w:ind w:right="-1502"/>
      <w:jc w:val="right"/>
    </w:pPr>
    <w:rPr>
      <w:rFonts w:ascii="Century Gothic" w:hAnsi="Century Gothic" w:cs="Times New Roman"/>
      <w:color w:val="333399"/>
      <w:sz w:val="14"/>
    </w:rPr>
  </w:style>
  <w:style w:type="paragraph" w:customStyle="1" w:styleId="HeaderSubtitleRight">
    <w:name w:val="Header Subtitle Right"/>
    <w:basedOn w:val="Normal"/>
    <w:next w:val="Normal"/>
    <w:pPr>
      <w:spacing w:after="0" w:line="240" w:lineRule="auto"/>
      <w:ind w:right="-1502"/>
      <w:jc w:val="right"/>
    </w:pPr>
    <w:rPr>
      <w:rFonts w:ascii="Century Gothic" w:hAnsi="Century Gothic" w:cs="Times New Roman"/>
      <w:color w:val="333399"/>
      <w:sz w:val="14"/>
    </w:rPr>
  </w:style>
  <w:style w:type="paragraph" w:customStyle="1" w:styleId="FooterPageNumber">
    <w:name w:val="Footer PageNumber"/>
    <w:basedOn w:val="Normal"/>
    <w:next w:val="Normal"/>
    <w:pPr>
      <w:framePr w:w="567" w:hSpace="992" w:wrap="around" w:vAnchor="page" w:hAnchor="page" w:xAlign="outside" w:y="16046"/>
      <w:spacing w:after="0" w:line="240" w:lineRule="auto"/>
      <w:jc w:val="center"/>
    </w:pPr>
    <w:rPr>
      <w:rFonts w:ascii="Century Gothic" w:hAnsi="Century Gothic" w:cs="Times New Roman"/>
      <w:color w:val="333399"/>
      <w:sz w:val="18"/>
    </w:rPr>
  </w:style>
  <w:style w:type="paragraph" w:customStyle="1" w:styleId="AnnexTitle">
    <w:name w:val="Annex Title"/>
    <w:basedOn w:val="Normal"/>
    <w:pPr>
      <w:spacing w:before="120" w:after="120" w:line="240" w:lineRule="auto"/>
    </w:pPr>
    <w:rPr>
      <w:rFonts w:ascii="Century Gothic" w:hAnsi="Century Gothic" w:cs="Times New Roman"/>
      <w:color w:val="333399"/>
      <w:sz w:val="28"/>
    </w:rPr>
  </w:style>
  <w:style w:type="paragraph" w:customStyle="1" w:styleId="PublicationTitle">
    <w:name w:val="Publication Title"/>
    <w:basedOn w:val="Normal"/>
    <w:next w:val="Normal"/>
    <w:pPr>
      <w:spacing w:after="240" w:line="240" w:lineRule="auto"/>
    </w:pPr>
    <w:rPr>
      <w:rFonts w:ascii="Georgia" w:hAnsi="Georgia" w:cs="Times New Roman"/>
      <w:color w:val="333399"/>
      <w:sz w:val="48"/>
    </w:rPr>
  </w:style>
  <w:style w:type="paragraph" w:customStyle="1" w:styleId="PublicationSubtitle">
    <w:name w:val="Publication Subtitle"/>
    <w:basedOn w:val="Normal"/>
    <w:next w:val="Normal"/>
    <w:pPr>
      <w:spacing w:after="240" w:line="240" w:lineRule="auto"/>
    </w:pPr>
    <w:rPr>
      <w:rFonts w:ascii="Century Gothic" w:hAnsi="Century Gothic" w:cs="Times New Roman"/>
      <w:color w:val="000000"/>
      <w:sz w:val="32"/>
    </w:rPr>
  </w:style>
  <w:style w:type="paragraph" w:customStyle="1" w:styleId="Series">
    <w:name w:val="Series"/>
    <w:basedOn w:val="Normal"/>
    <w:next w:val="Normal"/>
    <w:pPr>
      <w:tabs>
        <w:tab w:val="right" w:pos="8787"/>
      </w:tabs>
      <w:spacing w:before="6240" w:after="240" w:line="240" w:lineRule="auto"/>
    </w:pPr>
    <w:rPr>
      <w:rFonts w:ascii="Century Gothic" w:hAnsi="Century Gothic" w:cs="Times New Roman"/>
      <w:color w:val="333399"/>
      <w:sz w:val="24"/>
    </w:rPr>
  </w:style>
  <w:style w:type="paragraph" w:customStyle="1" w:styleId="Institution">
    <w:name w:val="Institution"/>
    <w:basedOn w:val="Normal"/>
    <w:next w:val="Normal"/>
    <w:pPr>
      <w:spacing w:after="120" w:line="240" w:lineRule="auto"/>
    </w:pPr>
    <w:rPr>
      <w:rFonts w:ascii="Century Gothic" w:hAnsi="Century Gothic" w:cs="Times New Roman"/>
      <w:color w:val="000000"/>
      <w:sz w:val="24"/>
    </w:rPr>
  </w:style>
  <w:style w:type="paragraph" w:customStyle="1" w:styleId="InstitutionSubtitle">
    <w:name w:val="Institution Subtitle"/>
    <w:basedOn w:val="Normal"/>
    <w:next w:val="Normal"/>
    <w:pPr>
      <w:spacing w:after="240" w:line="240" w:lineRule="auto"/>
    </w:pPr>
    <w:rPr>
      <w:rFonts w:ascii="Century Gothic" w:hAnsi="Century Gothic" w:cs="Times New Roman"/>
      <w:color w:val="000000"/>
      <w:sz w:val="24"/>
    </w:rPr>
  </w:style>
  <w:style w:type="paragraph" w:customStyle="1" w:styleId="PartTitle">
    <w:name w:val="Part Title"/>
    <w:basedOn w:val="Normal"/>
    <w:next w:val="Normal"/>
    <w:pPr>
      <w:spacing w:before="1080" w:after="240" w:line="240" w:lineRule="auto"/>
    </w:pPr>
    <w:rPr>
      <w:rFonts w:ascii="Georgia" w:hAnsi="Georgia" w:cs="Times New Roman"/>
      <w:color w:val="333399"/>
      <w:sz w:val="40"/>
    </w:rPr>
  </w:style>
  <w:style w:type="paragraph" w:customStyle="1" w:styleId="PartSubtitle">
    <w:name w:val="Part Subtitle"/>
    <w:basedOn w:val="Normal"/>
    <w:next w:val="Normal"/>
    <w:pPr>
      <w:spacing w:after="240" w:line="240" w:lineRule="auto"/>
    </w:pPr>
    <w:rPr>
      <w:rFonts w:ascii="Georgia" w:hAnsi="Georgia" w:cs="Times New Roman"/>
      <w:color w:val="333399"/>
      <w:sz w:val="32"/>
    </w:rPr>
  </w:style>
  <w:style w:type="character" w:customStyle="1" w:styleId="SectionNumber">
    <w:name w:val="Section Number"/>
    <w:basedOn w:val="DefaultParagraphFont"/>
    <w:rPr>
      <w:rFonts w:ascii="Times New Roman" w:hAnsi="Times New Roman" w:cs="Times New Roman"/>
      <w:b/>
      <w:color w:val="808080"/>
      <w:sz w:val="72"/>
      <w:shd w:val="clear" w:color="auto" w:fill="auto"/>
    </w:rPr>
  </w:style>
  <w:style w:type="paragraph" w:customStyle="1" w:styleId="HeaderTitleLeft30">
    <w:name w:val="Header Title Left (30)"/>
    <w:basedOn w:val="Normal"/>
    <w:next w:val="Normal"/>
    <w:pPr>
      <w:tabs>
        <w:tab w:val="right" w:pos="8504"/>
      </w:tabs>
      <w:spacing w:before="100" w:after="40" w:line="240" w:lineRule="auto"/>
      <w:ind w:left="-850"/>
      <w:jc w:val="both"/>
    </w:pPr>
    <w:rPr>
      <w:rFonts w:ascii="Century Gothic" w:hAnsi="Century Gothic" w:cs="Times New Roman"/>
      <w:color w:val="333399"/>
      <w:sz w:val="14"/>
    </w:rPr>
  </w:style>
  <w:style w:type="paragraph" w:customStyle="1" w:styleId="HeaderSubtitleLeft30">
    <w:name w:val="Header Subtitle Left (30)"/>
    <w:basedOn w:val="Normal"/>
    <w:next w:val="Normal"/>
    <w:pPr>
      <w:tabs>
        <w:tab w:val="right" w:pos="8504"/>
      </w:tabs>
      <w:spacing w:after="0" w:line="240" w:lineRule="auto"/>
      <w:ind w:left="-850"/>
      <w:jc w:val="both"/>
    </w:pPr>
    <w:rPr>
      <w:rFonts w:ascii="Century Gothic" w:hAnsi="Century Gothic" w:cs="Times New Roman"/>
      <w:color w:val="333399"/>
      <w:sz w:val="14"/>
    </w:rPr>
  </w:style>
  <w:style w:type="paragraph" w:customStyle="1" w:styleId="HeaderTitleRight30">
    <w:name w:val="Header Title Right (30)"/>
    <w:basedOn w:val="Normal"/>
    <w:next w:val="Normal"/>
    <w:pPr>
      <w:spacing w:before="100" w:after="40" w:line="240" w:lineRule="auto"/>
      <w:ind w:right="-850"/>
      <w:jc w:val="right"/>
    </w:pPr>
    <w:rPr>
      <w:rFonts w:ascii="Century Gothic" w:hAnsi="Century Gothic" w:cs="Times New Roman"/>
      <w:color w:val="333399"/>
      <w:sz w:val="14"/>
    </w:rPr>
  </w:style>
  <w:style w:type="paragraph" w:customStyle="1" w:styleId="HeaderSubtitleRight30">
    <w:name w:val="Header Subtitle Right (30)"/>
    <w:basedOn w:val="Normal"/>
    <w:next w:val="Normal"/>
    <w:pPr>
      <w:spacing w:after="0" w:line="240" w:lineRule="auto"/>
      <w:ind w:right="-850"/>
      <w:jc w:val="right"/>
    </w:pPr>
    <w:rPr>
      <w:rFonts w:ascii="Century Gothic" w:hAnsi="Century Gothic" w:cs="Times New Roman"/>
      <w:color w:val="333399"/>
      <w:sz w:val="14"/>
    </w:rPr>
  </w:style>
  <w:style w:type="paragraph" w:customStyle="1" w:styleId="FooterPageNumber30">
    <w:name w:val="Footer PageNumber (30)"/>
    <w:basedOn w:val="Normal"/>
    <w:next w:val="Normal"/>
    <w:pPr>
      <w:framePr w:w="567" w:hSpace="567" w:wrap="around" w:vAnchor="page" w:hAnchor="page" w:xAlign="outside" w:y="16046"/>
      <w:spacing w:after="0" w:line="240" w:lineRule="auto"/>
      <w:jc w:val="center"/>
    </w:pPr>
    <w:rPr>
      <w:rFonts w:ascii="Century Gothic" w:hAnsi="Century Gothic" w:cs="Times New Roman"/>
      <w:color w:val="333399"/>
      <w:sz w:val="18"/>
    </w:rPr>
  </w:style>
  <w:style w:type="paragraph" w:customStyle="1" w:styleId="FooterPageNumber15">
    <w:name w:val="Footer PageNumber (15)"/>
    <w:basedOn w:val="Normal"/>
    <w:next w:val="Normal"/>
    <w:pPr>
      <w:framePr w:w="567" w:wrap="around" w:vAnchor="page" w:hAnchor="margin" w:xAlign="outside" w:y="16046"/>
      <w:spacing w:after="0" w:line="240" w:lineRule="auto"/>
      <w:jc w:val="center"/>
    </w:pPr>
    <w:rPr>
      <w:rFonts w:ascii="Century Gothic" w:hAnsi="Century Gothic" w:cs="Times New Roman"/>
      <w:color w:val="333399"/>
      <w:sz w:val="18"/>
    </w:rPr>
  </w:style>
  <w:style w:type="paragraph" w:customStyle="1" w:styleId="SectionTitlelarge">
    <w:name w:val="Section Title (large)"/>
    <w:basedOn w:val="Normal"/>
    <w:next w:val="SectionSubtitle"/>
    <w:pPr>
      <w:keepNext/>
      <w:spacing w:before="1080" w:after="240" w:line="240" w:lineRule="auto"/>
      <w:ind w:left="992" w:hanging="992"/>
    </w:pPr>
    <w:rPr>
      <w:rFonts w:ascii="Century Gothic" w:hAnsi="Century Gothic" w:cs="Times New Roman"/>
      <w:caps/>
      <w:color w:val="333399"/>
      <w:sz w:val="32"/>
    </w:rPr>
  </w:style>
  <w:style w:type="paragraph" w:customStyle="1" w:styleId="SectionTitletwolineslarge">
    <w:name w:val="Section Title (two lines) (large)"/>
    <w:basedOn w:val="Normal"/>
    <w:next w:val="SectionSubtitle"/>
    <w:pPr>
      <w:keepNext/>
      <w:spacing w:before="1080" w:after="40" w:line="240" w:lineRule="auto"/>
      <w:ind w:left="992" w:hanging="992"/>
    </w:pPr>
    <w:rPr>
      <w:rFonts w:ascii="Century Gothic" w:hAnsi="Century Gothic" w:cs="Times New Roman"/>
      <w:caps/>
      <w:color w:val="333399"/>
      <w:sz w:val="32"/>
    </w:rPr>
  </w:style>
  <w:style w:type="paragraph" w:customStyle="1" w:styleId="SectionTitlethreelineslarge">
    <w:name w:val="Section Title (three lines) (large)"/>
    <w:basedOn w:val="Normal"/>
    <w:next w:val="SectionSubtitle"/>
    <w:pPr>
      <w:keepNext/>
      <w:spacing w:before="800" w:after="40" w:line="240" w:lineRule="auto"/>
      <w:ind w:left="992" w:hanging="992"/>
    </w:pPr>
    <w:rPr>
      <w:rFonts w:ascii="Century Gothic" w:hAnsi="Century Gothic" w:cs="Times New Roman"/>
      <w:caps/>
      <w:color w:val="333399"/>
      <w:sz w:val="32"/>
    </w:rPr>
  </w:style>
  <w:style w:type="paragraph" w:customStyle="1" w:styleId="HeaderSubtitleOutside30">
    <w:name w:val="Header Subtitle Outside (30)"/>
    <w:basedOn w:val="Normal"/>
    <w:next w:val="Normal"/>
    <w:pPr>
      <w:framePr w:w="4000" w:wrap="around" w:vAnchor="page" w:hAnchor="page" w:xAlign="outside" w:y="737"/>
      <w:spacing w:after="0" w:line="240" w:lineRule="auto"/>
      <w:jc w:val="center"/>
    </w:pPr>
    <w:rPr>
      <w:rFonts w:ascii="Century Gothic" w:hAnsi="Century Gothic" w:cs="Times New Roman"/>
      <w:color w:val="333399"/>
      <w:sz w:val="14"/>
    </w:rPr>
  </w:style>
  <w:style w:type="paragraph" w:customStyle="1" w:styleId="PublicationSupertitle">
    <w:name w:val="Publication Supertitle"/>
    <w:basedOn w:val="Normal"/>
    <w:next w:val="Normal"/>
    <w:pPr>
      <w:spacing w:before="2640" w:after="240" w:line="240" w:lineRule="auto"/>
    </w:pPr>
    <w:rPr>
      <w:rFonts w:ascii="Georgia" w:hAnsi="Georgia" w:cs="Times New Roman"/>
      <w:color w:val="333399"/>
      <w:sz w:val="24"/>
    </w:rPr>
  </w:style>
  <w:style w:type="paragraph" w:customStyle="1" w:styleId="HeaderTitleLeft15">
    <w:name w:val="Header Title Left (15)"/>
    <w:basedOn w:val="Normal"/>
    <w:next w:val="Normal"/>
    <w:pPr>
      <w:tabs>
        <w:tab w:val="right" w:pos="9921"/>
      </w:tabs>
      <w:spacing w:before="100" w:after="40" w:line="240" w:lineRule="auto"/>
      <w:jc w:val="both"/>
    </w:pPr>
    <w:rPr>
      <w:rFonts w:ascii="Century Gothic" w:hAnsi="Century Gothic" w:cs="Times New Roman"/>
      <w:color w:val="333399"/>
      <w:sz w:val="14"/>
    </w:rPr>
  </w:style>
  <w:style w:type="paragraph" w:customStyle="1" w:styleId="HeaderSubtitleLeft15">
    <w:name w:val="Header Subtitle Left (15)"/>
    <w:basedOn w:val="Normal"/>
    <w:next w:val="Normal"/>
    <w:pPr>
      <w:tabs>
        <w:tab w:val="right" w:pos="9921"/>
      </w:tabs>
      <w:spacing w:after="0" w:line="240" w:lineRule="auto"/>
      <w:jc w:val="both"/>
    </w:pPr>
    <w:rPr>
      <w:rFonts w:ascii="Century Gothic" w:hAnsi="Century Gothic" w:cs="Times New Roman"/>
      <w:color w:val="333399"/>
      <w:sz w:val="14"/>
    </w:rPr>
  </w:style>
  <w:style w:type="paragraph" w:customStyle="1" w:styleId="HeaderTitleRight15">
    <w:name w:val="Header Title Right (15)"/>
    <w:basedOn w:val="Normal"/>
    <w:next w:val="Normal"/>
    <w:pPr>
      <w:spacing w:before="100" w:after="40" w:line="240" w:lineRule="auto"/>
      <w:jc w:val="right"/>
    </w:pPr>
    <w:rPr>
      <w:rFonts w:ascii="Century Gothic" w:hAnsi="Century Gothic" w:cs="Times New Roman"/>
      <w:color w:val="333399"/>
      <w:sz w:val="14"/>
    </w:rPr>
  </w:style>
  <w:style w:type="paragraph" w:customStyle="1" w:styleId="HeaderSubtitleRight15">
    <w:name w:val="Header Subtitle Right (15)"/>
    <w:basedOn w:val="Normal"/>
    <w:next w:val="Normal"/>
    <w:pPr>
      <w:spacing w:after="0" w:line="240" w:lineRule="auto"/>
      <w:jc w:val="right"/>
    </w:pPr>
    <w:rPr>
      <w:rFonts w:ascii="Century Gothic" w:hAnsi="Century Gothic" w:cs="Times New Roman"/>
      <w:color w:val="333399"/>
      <w:sz w:val="14"/>
    </w:rPr>
  </w:style>
  <w:style w:type="paragraph" w:customStyle="1" w:styleId="HeaderTitleLeft45">
    <w:name w:val="Header Title Left (45)"/>
    <w:basedOn w:val="Normal"/>
    <w:next w:val="Normal"/>
    <w:pPr>
      <w:tabs>
        <w:tab w:val="right" w:pos="8504"/>
      </w:tabs>
      <w:spacing w:before="100" w:after="40" w:line="240" w:lineRule="auto"/>
      <w:ind w:left="-1701"/>
      <w:jc w:val="both"/>
    </w:pPr>
    <w:rPr>
      <w:rFonts w:ascii="Century Gothic" w:hAnsi="Century Gothic" w:cs="Times New Roman"/>
      <w:color w:val="333399"/>
      <w:sz w:val="14"/>
    </w:rPr>
  </w:style>
  <w:style w:type="paragraph" w:customStyle="1" w:styleId="HeaderSubtitleLeft45">
    <w:name w:val="Header Subtitle Left (45)"/>
    <w:basedOn w:val="Normal"/>
    <w:next w:val="Normal"/>
    <w:pPr>
      <w:tabs>
        <w:tab w:val="right" w:pos="8504"/>
      </w:tabs>
      <w:spacing w:after="0" w:line="240" w:lineRule="auto"/>
      <w:ind w:left="-1701"/>
      <w:jc w:val="both"/>
    </w:pPr>
    <w:rPr>
      <w:rFonts w:ascii="Century Gothic" w:hAnsi="Century Gothic" w:cs="Times New Roman"/>
      <w:color w:val="333399"/>
      <w:sz w:val="14"/>
    </w:rPr>
  </w:style>
  <w:style w:type="paragraph" w:customStyle="1" w:styleId="HeaderTitleRight45">
    <w:name w:val="Header Title Right (45)"/>
    <w:basedOn w:val="Normal"/>
    <w:next w:val="Normal"/>
    <w:pPr>
      <w:spacing w:before="100" w:after="40" w:line="240" w:lineRule="auto"/>
      <w:ind w:right="-1701"/>
      <w:jc w:val="right"/>
    </w:pPr>
    <w:rPr>
      <w:rFonts w:ascii="Century Gothic" w:hAnsi="Century Gothic" w:cs="Times New Roman"/>
      <w:color w:val="333399"/>
      <w:sz w:val="14"/>
    </w:rPr>
  </w:style>
  <w:style w:type="paragraph" w:customStyle="1" w:styleId="HeaderSubtitleRight45">
    <w:name w:val="Header Subtitle Right (45)"/>
    <w:basedOn w:val="Normal"/>
    <w:next w:val="Normal"/>
    <w:pPr>
      <w:spacing w:after="0" w:line="240" w:lineRule="auto"/>
      <w:ind w:right="-1701"/>
      <w:jc w:val="right"/>
    </w:pPr>
    <w:rPr>
      <w:rFonts w:ascii="Century Gothic" w:hAnsi="Century Gothic" w:cs="Times New Roman"/>
      <w:color w:val="333399"/>
      <w:sz w:val="14"/>
    </w:rPr>
  </w:style>
  <w:style w:type="paragraph" w:customStyle="1" w:styleId="FooterPageNumber45">
    <w:name w:val="Footer PageNumber (45)"/>
    <w:basedOn w:val="Normal"/>
    <w:next w:val="Normal"/>
    <w:pPr>
      <w:framePr w:w="567" w:hSpace="1417" w:wrap="around" w:vAnchor="page" w:hAnchor="page" w:xAlign="outside" w:y="16046"/>
      <w:spacing w:after="0" w:line="240" w:lineRule="auto"/>
      <w:jc w:val="center"/>
    </w:pPr>
    <w:rPr>
      <w:rFonts w:ascii="Century Gothic" w:hAnsi="Century Gothic" w:cs="Times New Roman"/>
      <w:color w:val="333399"/>
      <w:sz w:val="18"/>
    </w:rPr>
  </w:style>
  <w:style w:type="paragraph" w:customStyle="1" w:styleId="HEADINGTOC">
    <w:name w:val="HEADING TOC"/>
    <w:basedOn w:val="Normal"/>
    <w:next w:val="Normal"/>
    <w:pPr>
      <w:keepNext/>
      <w:spacing w:before="120" w:after="120" w:line="240" w:lineRule="atLeast"/>
      <w:jc w:val="both"/>
    </w:pPr>
    <w:rPr>
      <w:rFonts w:ascii="Century Gothic" w:hAnsi="Century Gothic" w:cs="Times New Roman"/>
      <w:caps/>
      <w:color w:val="333399"/>
      <w:sz w:val="28"/>
    </w:rPr>
  </w:style>
  <w:style w:type="paragraph" w:styleId="TableofAuthorities">
    <w:name w:val="table of authorities"/>
    <w:basedOn w:val="Normal"/>
    <w:next w:val="Normal"/>
    <w:uiPriority w:val="99"/>
    <w:unhideWhenUsed/>
    <w:pPr>
      <w:tabs>
        <w:tab w:val="left" w:pos="1134"/>
        <w:tab w:val="left" w:pos="14173"/>
      </w:tabs>
      <w:spacing w:after="0" w:line="240" w:lineRule="atLeast"/>
      <w:ind w:left="1134" w:hanging="1134"/>
      <w:jc w:val="both"/>
    </w:pPr>
    <w:rPr>
      <w:rFonts w:ascii="Times New Roman" w:hAnsi="Times New Roman" w:cs="Times New Roman"/>
      <w:color w:val="000000"/>
      <w:sz w:val="24"/>
    </w:rPr>
  </w:style>
  <w:style w:type="paragraph" w:customStyle="1" w:styleId="Abbreviation">
    <w:name w:val="Abbreviation"/>
    <w:basedOn w:val="Normal"/>
    <w:pPr>
      <w:spacing w:after="0" w:line="240" w:lineRule="atLeast"/>
      <w:ind w:left="1134" w:hanging="1134"/>
      <w:jc w:val="both"/>
    </w:pPr>
    <w:rPr>
      <w:rFonts w:ascii="Times New Roman" w:hAnsi="Times New Roman" w:cs="Times New Roman"/>
      <w:color w:val="000000"/>
      <w:sz w:val="24"/>
    </w:rPr>
  </w:style>
  <w:style w:type="paragraph" w:customStyle="1" w:styleId="SNText">
    <w:name w:val="SN Text"/>
    <w:basedOn w:val="Normal"/>
    <w:pPr>
      <w:tabs>
        <w:tab w:val="left" w:pos="2268"/>
      </w:tabs>
      <w:spacing w:line="240" w:lineRule="atLeast"/>
      <w:ind w:left="2268"/>
      <w:jc w:val="both"/>
    </w:pPr>
    <w:rPr>
      <w:rFonts w:ascii="Times New Roman" w:hAnsi="Times New Roman" w:cs="Times New Roman"/>
      <w:color w:val="000000"/>
      <w:sz w:val="24"/>
    </w:rPr>
  </w:style>
  <w:style w:type="paragraph" w:customStyle="1" w:styleId="SNSideNote">
    <w:name w:val="SN SideNote"/>
    <w:basedOn w:val="Normal"/>
    <w:next w:val="SNText"/>
    <w:pPr>
      <w:keepNext/>
      <w:framePr w:w="1984" w:h="567" w:hSpace="283" w:wrap="around" w:vAnchor="text" w:hAnchor="margin" w:y="1"/>
      <w:spacing w:line="240" w:lineRule="atLeast"/>
    </w:pPr>
    <w:rPr>
      <w:rFonts w:ascii="Century Gothic" w:hAnsi="Century Gothic" w:cs="Times New Roman"/>
      <w:color w:val="333399"/>
      <w:sz w:val="18"/>
    </w:rPr>
  </w:style>
  <w:style w:type="paragraph" w:customStyle="1" w:styleId="SNNumberedHeading1">
    <w:name w:val="SN Numbered Heading 1"/>
    <w:basedOn w:val="Normal"/>
    <w:next w:val="SNText"/>
    <w:pPr>
      <w:keepNext/>
      <w:tabs>
        <w:tab w:val="left" w:pos="2835"/>
      </w:tabs>
      <w:spacing w:before="200" w:after="240" w:line="240" w:lineRule="atLeast"/>
      <w:ind w:left="2835" w:hanging="567"/>
      <w:jc w:val="both"/>
      <w:outlineLvl w:val="0"/>
    </w:pPr>
    <w:rPr>
      <w:rFonts w:ascii="Century Gothic" w:hAnsi="Century Gothic" w:cs="Times New Roman"/>
      <w:b/>
      <w:caps/>
      <w:color w:val="333399"/>
      <w:sz w:val="18"/>
    </w:rPr>
  </w:style>
  <w:style w:type="paragraph" w:customStyle="1" w:styleId="SNNumberedHeading2">
    <w:name w:val="SN Numbered Heading 2"/>
    <w:basedOn w:val="Normal"/>
    <w:next w:val="SNText"/>
    <w:pPr>
      <w:keepNext/>
      <w:tabs>
        <w:tab w:val="left" w:pos="2835"/>
      </w:tabs>
      <w:spacing w:before="100" w:after="240" w:line="240" w:lineRule="atLeast"/>
      <w:ind w:left="2835" w:hanging="567"/>
      <w:jc w:val="both"/>
      <w:outlineLvl w:val="0"/>
    </w:pPr>
    <w:rPr>
      <w:rFonts w:ascii="Century Gothic" w:hAnsi="Century Gothic" w:cs="Times New Roman"/>
      <w:color w:val="333399"/>
      <w:sz w:val="18"/>
    </w:rPr>
  </w:style>
  <w:style w:type="paragraph" w:customStyle="1" w:styleId="SNNumberedHeading1Top">
    <w:name w:val="SN Numbered Heading 1 Top"/>
    <w:basedOn w:val="SNNumberedHeading1"/>
    <w:next w:val="SNText"/>
    <w:pPr>
      <w:tabs>
        <w:tab w:val="clear" w:pos="2835"/>
      </w:tabs>
      <w:spacing w:before="0"/>
    </w:pPr>
  </w:style>
  <w:style w:type="paragraph" w:customStyle="1" w:styleId="SNNumberedHeading2Top">
    <w:name w:val="SN Numbered Heading 2 Top"/>
    <w:basedOn w:val="SNNumberedHeading2"/>
    <w:next w:val="SNText"/>
    <w:pPr>
      <w:tabs>
        <w:tab w:val="clear" w:pos="2835"/>
      </w:tabs>
      <w:spacing w:before="0"/>
    </w:pPr>
  </w:style>
  <w:style w:type="paragraph" w:customStyle="1" w:styleId="BoxShape">
    <w:name w:val="Box Shape"/>
    <w:basedOn w:val="Normal"/>
    <w:next w:val="Normal"/>
    <w:pPr>
      <w:keepNext/>
      <w:spacing w:before="120" w:after="120" w:line="240" w:lineRule="atLeast"/>
      <w:jc w:val="center"/>
    </w:pPr>
    <w:rPr>
      <w:rFonts w:ascii="Times New Roman" w:hAnsi="Times New Roman" w:cs="Times New Roman"/>
      <w:color w:val="000000"/>
      <w:sz w:val="24"/>
    </w:rPr>
  </w:style>
  <w:style w:type="paragraph" w:customStyle="1" w:styleId="BoxContinueTop">
    <w:name w:val="Box Continue Top"/>
    <w:basedOn w:val="Normal"/>
    <w:next w:val="Normal"/>
    <w:pPr>
      <w:keepNext/>
      <w:spacing w:before="20" w:after="0" w:line="240" w:lineRule="auto"/>
      <w:ind w:left="283"/>
      <w:jc w:val="both"/>
    </w:pPr>
    <w:rPr>
      <w:rFonts w:ascii="Century Gothic" w:hAnsi="Century Gothic" w:cs="Times New Roman"/>
      <w:i/>
      <w:color w:val="333399"/>
      <w:sz w:val="14"/>
    </w:rPr>
  </w:style>
  <w:style w:type="paragraph" w:customStyle="1" w:styleId="BoxContinueBottom">
    <w:name w:val="Box Continue Bottom"/>
    <w:basedOn w:val="Normal"/>
    <w:next w:val="Normal"/>
    <w:pPr>
      <w:spacing w:after="20" w:line="240" w:lineRule="auto"/>
      <w:ind w:right="283"/>
      <w:jc w:val="right"/>
    </w:pPr>
    <w:rPr>
      <w:rFonts w:ascii="Century Gothic" w:hAnsi="Century Gothic" w:cs="Times New Roman"/>
      <w:i/>
      <w:color w:val="333399"/>
      <w:sz w:val="14"/>
    </w:rPr>
  </w:style>
  <w:style w:type="paragraph" w:customStyle="1" w:styleId="TableContinueTop">
    <w:name w:val="Table Continue Top"/>
    <w:basedOn w:val="Normal"/>
    <w:next w:val="Normal"/>
    <w:pPr>
      <w:keepNext/>
      <w:spacing w:before="20" w:after="0" w:line="240" w:lineRule="auto"/>
      <w:ind w:left="283"/>
      <w:jc w:val="both"/>
    </w:pPr>
    <w:rPr>
      <w:rFonts w:ascii="Century Gothic" w:hAnsi="Century Gothic" w:cs="Times New Roman"/>
      <w:i/>
      <w:color w:val="333399"/>
      <w:sz w:val="14"/>
    </w:rPr>
  </w:style>
  <w:style w:type="paragraph" w:customStyle="1" w:styleId="TableContinueBottom">
    <w:name w:val="Table Continue Bottom"/>
    <w:basedOn w:val="Normal"/>
    <w:next w:val="Normal"/>
    <w:pPr>
      <w:spacing w:after="20" w:line="240" w:lineRule="auto"/>
      <w:ind w:right="283"/>
      <w:jc w:val="right"/>
    </w:pPr>
    <w:rPr>
      <w:rFonts w:ascii="Century Gothic" w:hAnsi="Century Gothic" w:cs="Times New Roman"/>
      <w:i/>
      <w:color w:val="333399"/>
      <w:sz w:val="14"/>
    </w:rPr>
  </w:style>
  <w:style w:type="paragraph" w:customStyle="1" w:styleId="BottomTable">
    <w:name w:val="Bottom Table"/>
    <w:basedOn w:val="Normal"/>
    <w:next w:val="Normal"/>
    <w:pPr>
      <w:spacing w:after="0" w:line="240" w:lineRule="auto"/>
    </w:pPr>
    <w:rPr>
      <w:rFonts w:ascii="Times New Roman" w:hAnsi="Times New Roman" w:cs="Times New Roman"/>
      <w:color w:val="000000"/>
      <w:sz w:val="24"/>
    </w:rPr>
  </w:style>
  <w:style w:type="paragraph" w:customStyle="1" w:styleId="DefaultTable">
    <w:name w:val="Default Table"/>
    <w:basedOn w:val="Normal"/>
    <w:next w:val="Normal"/>
    <w:pPr>
      <w:spacing w:after="0" w:line="240" w:lineRule="auto"/>
    </w:pPr>
    <w:rPr>
      <w:rFonts w:ascii="Times New Roman" w:hAnsi="Times New Roman" w:cs="Times New Roman"/>
      <w:color w:val="000000"/>
      <w:sz w:val="24"/>
    </w:rPr>
  </w:style>
  <w:style w:type="paragraph" w:customStyle="1" w:styleId="BottomCenterTable">
    <w:name w:val="Bottom Center Table"/>
    <w:basedOn w:val="Normal"/>
    <w:next w:val="Normal"/>
    <w:pPr>
      <w:spacing w:before="160" w:after="0" w:line="240" w:lineRule="auto"/>
      <w:jc w:val="center"/>
    </w:pPr>
    <w:rPr>
      <w:rFonts w:ascii="Times New Roman" w:hAnsi="Times New Roman" w:cs="Times New Roman"/>
      <w:color w:val="000000"/>
      <w:sz w:val="24"/>
    </w:rPr>
  </w:style>
  <w:style w:type="paragraph" w:customStyle="1" w:styleId="BottomTableRestrictedShape">
    <w:name w:val="Bottom Table Restricted Shape"/>
    <w:basedOn w:val="Normal"/>
    <w:next w:val="Normal"/>
    <w:pPr>
      <w:spacing w:before="160" w:after="0" w:line="240" w:lineRule="auto"/>
      <w:jc w:val="center"/>
    </w:pPr>
    <w:rPr>
      <w:rFonts w:ascii="Times New Roman" w:hAnsi="Times New Roman" w:cs="Times New Roman"/>
      <w:color w:val="000000"/>
      <w:sz w:val="24"/>
    </w:rPr>
  </w:style>
  <w:style w:type="paragraph" w:customStyle="1" w:styleId="GraphTitle">
    <w:name w:val="Graph Title"/>
    <w:basedOn w:val="Normal"/>
    <w:next w:val="Normal"/>
    <w:pPr>
      <w:keepNext/>
      <w:pBdr>
        <w:top w:val="single" w:sz="2" w:space="2" w:color="auto"/>
        <w:bottom w:val="single" w:sz="2" w:space="2" w:color="auto"/>
      </w:pBdr>
      <w:tabs>
        <w:tab w:val="left" w:pos="1020"/>
        <w:tab w:val="left" w:pos="1077"/>
        <w:tab w:val="left" w:pos="1134"/>
      </w:tabs>
      <w:spacing w:after="40" w:line="240" w:lineRule="auto"/>
      <w:ind w:left="1020" w:hanging="1020"/>
    </w:pPr>
    <w:rPr>
      <w:rFonts w:ascii="Century Gothic" w:hAnsi="Century Gothic" w:cs="Times New Roman"/>
      <w:color w:val="333399"/>
      <w:sz w:val="18"/>
    </w:rPr>
  </w:style>
  <w:style w:type="paragraph" w:customStyle="1" w:styleId="GraphSource">
    <w:name w:val="Graph Source"/>
    <w:basedOn w:val="Normal"/>
    <w:pPr>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GraphFootnote">
    <w:name w:val="Graph Footnote"/>
    <w:basedOn w:val="Normal"/>
    <w:pPr>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GraphShape">
    <w:name w:val="Graph Shape"/>
    <w:basedOn w:val="Normal"/>
    <w:next w:val="Normal"/>
    <w:pPr>
      <w:keepNext/>
      <w:spacing w:after="0" w:line="240" w:lineRule="auto"/>
      <w:jc w:val="center"/>
    </w:pPr>
    <w:rPr>
      <w:rFonts w:ascii="Times New Roman" w:hAnsi="Times New Roman" w:cs="Times New Roman"/>
      <w:color w:val="000000"/>
      <w:sz w:val="24"/>
    </w:rPr>
  </w:style>
  <w:style w:type="paragraph" w:customStyle="1" w:styleId="TableTitle">
    <w:name w:val="Table Title"/>
    <w:basedOn w:val="Normal"/>
    <w:next w:val="Normal"/>
    <w:pPr>
      <w:keepNext/>
      <w:pBdr>
        <w:top w:val="single" w:sz="2" w:space="2" w:color="auto"/>
        <w:bottom w:val="single" w:sz="2" w:space="2" w:color="auto"/>
      </w:pBdr>
      <w:tabs>
        <w:tab w:val="left" w:pos="1020"/>
        <w:tab w:val="left" w:pos="1077"/>
        <w:tab w:val="left" w:pos="1134"/>
      </w:tabs>
      <w:spacing w:after="40" w:line="240" w:lineRule="auto"/>
      <w:ind w:left="1020" w:hanging="1020"/>
    </w:pPr>
    <w:rPr>
      <w:rFonts w:ascii="Century Gothic" w:hAnsi="Century Gothic" w:cs="Times New Roman"/>
      <w:color w:val="333399"/>
      <w:sz w:val="18"/>
    </w:rPr>
  </w:style>
  <w:style w:type="paragraph" w:customStyle="1" w:styleId="TableSource">
    <w:name w:val="Table Source"/>
    <w:basedOn w:val="Normal"/>
    <w:pPr>
      <w:keepNext/>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TableFootnote">
    <w:name w:val="Table Footnote"/>
    <w:basedOn w:val="Normal"/>
    <w:pPr>
      <w:keepNext/>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TableShape">
    <w:name w:val="Table Shape"/>
    <w:basedOn w:val="Normal"/>
    <w:next w:val="Normal"/>
    <w:pPr>
      <w:keepNext/>
      <w:spacing w:after="0" w:line="240" w:lineRule="auto"/>
      <w:jc w:val="center"/>
    </w:pPr>
    <w:rPr>
      <w:rFonts w:ascii="Times New Roman" w:hAnsi="Times New Roman" w:cs="Times New Roman"/>
      <w:color w:val="000000"/>
      <w:sz w:val="24"/>
    </w:rPr>
  </w:style>
  <w:style w:type="paragraph" w:customStyle="1" w:styleId="SlimCell">
    <w:name w:val="Slim Cell"/>
    <w:basedOn w:val="Normal"/>
    <w:next w:val="Normal"/>
    <w:pPr>
      <w:spacing w:after="0" w:line="240" w:lineRule="auto"/>
      <w:jc w:val="both"/>
    </w:pPr>
    <w:rPr>
      <w:rFonts w:ascii="Times New Roman" w:hAnsi="Times New Roman" w:cs="Times New Roman"/>
      <w:color w:val="000000"/>
      <w:sz w:val="2"/>
    </w:rPr>
  </w:style>
  <w:style w:type="paragraph" w:customStyle="1" w:styleId="MultipageDelimiter">
    <w:name w:val="Multipage Delimiter"/>
    <w:basedOn w:val="Normal"/>
    <w:next w:val="Normal"/>
    <w:pPr>
      <w:spacing w:after="0" w:line="20" w:lineRule="exact"/>
      <w:jc w:val="both"/>
    </w:pPr>
    <w:rPr>
      <w:rFonts w:ascii="Times New Roman" w:hAnsi="Times New Roman" w:cs="Times New Roman"/>
      <w:color w:val="000000"/>
      <w:sz w:val="2"/>
    </w:rPr>
  </w:style>
  <w:style w:type="paragraph" w:customStyle="1" w:styleId="MapTitle">
    <w:name w:val="Map Title"/>
    <w:basedOn w:val="Normal"/>
    <w:next w:val="Normal"/>
    <w:pPr>
      <w:keepNext/>
      <w:pBdr>
        <w:top w:val="single" w:sz="2" w:space="2" w:color="auto"/>
        <w:bottom w:val="single" w:sz="2" w:space="2" w:color="auto"/>
      </w:pBdr>
      <w:spacing w:after="40" w:line="240" w:lineRule="auto"/>
      <w:ind w:left="935" w:hanging="935"/>
    </w:pPr>
    <w:rPr>
      <w:rFonts w:ascii="Century Gothic" w:hAnsi="Century Gothic" w:cs="Times New Roman"/>
      <w:color w:val="333399"/>
      <w:sz w:val="18"/>
    </w:rPr>
  </w:style>
  <w:style w:type="paragraph" w:customStyle="1" w:styleId="MapShape">
    <w:name w:val="Map Shape"/>
    <w:basedOn w:val="Normal"/>
    <w:next w:val="Normal"/>
    <w:pPr>
      <w:keepNext/>
      <w:spacing w:after="0" w:line="240" w:lineRule="auto"/>
      <w:jc w:val="center"/>
    </w:pPr>
    <w:rPr>
      <w:rFonts w:ascii="Times New Roman" w:hAnsi="Times New Roman" w:cs="Times New Roman"/>
      <w:color w:val="000000"/>
      <w:sz w:val="24"/>
    </w:rPr>
  </w:style>
  <w:style w:type="paragraph" w:customStyle="1" w:styleId="MapSource">
    <w:name w:val="Map Source"/>
    <w:basedOn w:val="Normal"/>
    <w:pPr>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MapFootnote">
    <w:name w:val="Map Footnote"/>
    <w:basedOn w:val="Normal"/>
    <w:pPr>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Abstract">
    <w:name w:val="Abstract"/>
    <w:basedOn w:val="Normal"/>
    <w:pPr>
      <w:framePr w:w="8504" w:wrap="around" w:vAnchor="text" w:hAnchor="text" w:y="1"/>
      <w:spacing w:after="240" w:line="240" w:lineRule="atLeast"/>
      <w:ind w:left="57" w:right="57"/>
      <w:jc w:val="both"/>
    </w:pPr>
    <w:rPr>
      <w:rFonts w:ascii="Times New Roman" w:hAnsi="Times New Roman" w:cs="Times New Roman"/>
      <w:i/>
      <w:color w:val="000000"/>
      <w:sz w:val="24"/>
    </w:rPr>
  </w:style>
  <w:style w:type="paragraph" w:customStyle="1" w:styleId="EPKitHiddenFrame">
    <w:name w:val="EPKit Hidden Frame"/>
    <w:basedOn w:val="Normal"/>
    <w:next w:val="Normal"/>
    <w:pPr>
      <w:framePr w:w="11" w:h="11" w:hRule="exact" w:wrap="around" w:vAnchor="page" w:hAnchor="page" w:yAlign="top"/>
      <w:spacing w:after="240" w:line="240" w:lineRule="atLeast"/>
      <w:jc w:val="both"/>
    </w:pPr>
    <w:rPr>
      <w:rFonts w:ascii="Times New Roman" w:hAnsi="Times New Roman" w:cs="Times New Roman"/>
      <w:color w:val="000000"/>
      <w:sz w:val="24"/>
    </w:rPr>
  </w:style>
  <w:style w:type="paragraph" w:styleId="TOC4">
    <w:name w:val="toc 4"/>
    <w:basedOn w:val="Normal"/>
    <w:next w:val="Normal"/>
    <w:autoRedefine/>
    <w:uiPriority w:val="39"/>
    <w:unhideWhenUsed/>
    <w:pPr>
      <w:tabs>
        <w:tab w:val="left" w:pos="1644"/>
        <w:tab w:val="right" w:pos="8504"/>
      </w:tabs>
      <w:spacing w:after="0" w:line="240" w:lineRule="atLeast"/>
      <w:ind w:left="1531" w:right="425" w:hanging="567"/>
    </w:pPr>
    <w:rPr>
      <w:rFonts w:ascii="Century Gothic" w:hAnsi="Century Gothic" w:cs="Times New Roman"/>
      <w:color w:val="333399"/>
      <w:sz w:val="16"/>
    </w:rPr>
  </w:style>
  <w:style w:type="paragraph" w:customStyle="1" w:styleId="SectionTitleTop">
    <w:name w:val="Section Title Top"/>
    <w:basedOn w:val="SectionTitle"/>
    <w:pPr>
      <w:tabs>
        <w:tab w:val="right" w:pos="8504"/>
      </w:tabs>
      <w:spacing w:before="800"/>
    </w:pPr>
  </w:style>
  <w:style w:type="paragraph" w:styleId="Header">
    <w:name w:val="header"/>
    <w:basedOn w:val="Normal"/>
    <w:link w:val="HeaderChar"/>
    <w:uiPriority w:val="99"/>
    <w:unhideWhenUsed/>
    <w:pPr>
      <w:tabs>
        <w:tab w:val="center" w:pos="4513"/>
        <w:tab w:val="right" w:pos="9026"/>
      </w:tabs>
      <w:spacing w:after="0" w:line="240" w:lineRule="auto"/>
      <w:jc w:val="both"/>
    </w:pPr>
    <w:rPr>
      <w:rFonts w:ascii="Times New Roman" w:eastAsia="Times New Roman" w:hAnsi="Times New Roman" w:cs="Times New Roman"/>
      <w:color w:val="000000"/>
      <w:sz w:val="24"/>
      <w:szCs w:val="24"/>
    </w:r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4"/>
      <w:szCs w:val="24"/>
    </w:rPr>
  </w:style>
  <w:style w:type="paragraph" w:customStyle="1" w:styleId="EPKitTCFrame">
    <w:name w:val="EPKit TC Frame"/>
    <w:basedOn w:val="Normal"/>
    <w:link w:val="EPKitTCFrameChar"/>
    <w:pPr>
      <w:spacing w:after="240" w:line="240" w:lineRule="atLeast"/>
      <w:jc w:val="both"/>
    </w:pPr>
    <w:rPr>
      <w:rFonts w:ascii="Times New Roman" w:hAnsi="Times New Roman" w:cs="Times New Roman"/>
      <w:vanish/>
      <w:color w:val="000000"/>
      <w:sz w:val="20"/>
    </w:rPr>
  </w:style>
  <w:style w:type="character" w:customStyle="1" w:styleId="EPKitTCFrameChar">
    <w:name w:val="EPKit TC Frame Char"/>
    <w:basedOn w:val="DefaultParagraphFont"/>
    <w:link w:val="EPKitTCFrame"/>
    <w:rPr>
      <w:rFonts w:ascii="Times New Roman" w:hAnsi="Times New Roman" w:cs="Times New Roman"/>
      <w:vanish/>
      <w:color w:val="000000"/>
      <w:sz w:val="20"/>
    </w:rPr>
  </w:style>
  <w:style w:type="character" w:styleId="Hyperlink">
    <w:name w:val="Hyperlink"/>
    <w:basedOn w:val="DefaultParagraphFont"/>
    <w:uiPriority w:val="99"/>
    <w:unhideWhenUsed/>
    <w:rPr>
      <w:color w:val="0000FF" w:themeColor="hyperlink"/>
      <w:u w:val="single"/>
    </w:rPr>
  </w:style>
  <w:style w:type="character" w:customStyle="1" w:styleId="NumberedHeading1Char">
    <w:name w:val="Numbered Heading 1 Char"/>
    <w:basedOn w:val="DefaultParagraphFont"/>
    <w:link w:val="NumberedHeading1"/>
    <w:rPr>
      <w:rFonts w:ascii="Century Gothic" w:hAnsi="Century Gothic" w:cs="Times New Roman"/>
      <w:b/>
      <w:caps/>
      <w:color w:val="333399"/>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character" w:customStyle="1" w:styleId="HeadingChar">
    <w:name w:val="Heading Char"/>
    <w:basedOn w:val="DefaultParagraphFont"/>
    <w:link w:val="Heading"/>
    <w:rPr>
      <w:rFonts w:ascii="Century Gothic" w:hAnsi="Century Gothic" w:cs="Times New Roman"/>
      <w:b/>
      <w:color w:val="333399"/>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paragraph" w:styleId="BalloonText">
    <w:name w:val="Balloon Text"/>
    <w:basedOn w:val="Normal"/>
    <w:link w:val="BalloonTextChar"/>
    <w:uiPriority w:val="99"/>
    <w:semiHidden/>
    <w:unhideWhenUsed/>
    <w:pPr>
      <w:spacing w:after="0" w:line="240" w:lineRule="auto"/>
      <w:jc w:val="both"/>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Pr>
      <w:rFonts w:ascii="Segoe UI" w:hAnsi="Segoe UI" w:cs="Segoe UI"/>
      <w:color w:val="000000"/>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240" w:line="240" w:lineRule="auto"/>
      <w:jc w:val="both"/>
    </w:pPr>
    <w:rPr>
      <w:rFonts w:ascii="Times New Roman" w:hAnsi="Times New Roman" w:cs="Times New Roman"/>
      <w:color w:val="000000"/>
      <w:sz w:val="24"/>
      <w:szCs w:val="20"/>
    </w:rPr>
  </w:style>
  <w:style w:type="character" w:customStyle="1" w:styleId="CommentTextChar">
    <w:name w:val="Comment Text Char"/>
    <w:basedOn w:val="DefaultParagraphFont"/>
    <w:link w:val="CommentText"/>
    <w:uiPriority w:val="99"/>
    <w:semiHidden/>
    <w:rPr>
      <w:rFonts w:ascii="Times New Roman" w:hAnsi="Times New Roman" w:cs="Times New Roman"/>
      <w:color w:val="000000"/>
      <w:sz w:val="24"/>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color w:val="000000"/>
      <w:sz w:val="24"/>
      <w:szCs w:val="20"/>
    </w:rPr>
  </w:style>
  <w:style w:type="paragraph" w:styleId="Revision">
    <w:name w:val="Revision"/>
    <w:hidden/>
    <w:uiPriority w:val="99"/>
    <w:semiHidden/>
    <w:pPr>
      <w:spacing w:after="0" w:line="240" w:lineRule="auto"/>
    </w:pPr>
    <w:rPr>
      <w:rFonts w:ascii="Times New Roman" w:hAnsi="Times New Roman" w:cs="Times New Roman"/>
      <w:color w:val="000000"/>
      <w:sz w:val="20"/>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16 Point,R"/>
    <w:basedOn w:val="Normal"/>
    <w:uiPriority w:val="99"/>
    <w:pPr>
      <w:spacing w:after="160" w:line="240" w:lineRule="exact"/>
    </w:pPr>
    <w:rPr>
      <w:vertAlign w:val="superscript"/>
      <w:lang w:val="en-U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pPr>
      <w:spacing w:after="240" w:line="240" w:lineRule="atLeast"/>
      <w:ind w:left="720"/>
      <w:contextualSpacing/>
      <w:jc w:val="both"/>
    </w:pPr>
    <w:rPr>
      <w:rFonts w:ascii="Times New Roman" w:eastAsia="Times New Roman" w:hAnsi="Times New Roman" w:cs="Times New Roman"/>
      <w:color w:val="000000"/>
      <w:sz w:val="24"/>
      <w:szCs w:val="24"/>
    </w:rPr>
  </w:style>
  <w:style w:type="table" w:customStyle="1" w:styleId="TableGrid18">
    <w:name w:val="Table Grid18"/>
    <w:basedOn w:val="TableNormal"/>
    <w:uiPriority w:val="59"/>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line="240" w:lineRule="atLeast"/>
      <w:jc w:val="both"/>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line="240" w:lineRule="atLeast"/>
      <w:jc w:val="both"/>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line="240" w:lineRule="atLeast"/>
      <w:jc w:val="both"/>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line="240" w:lineRule="atLeast"/>
      <w:jc w:val="both"/>
      <w:outlineLvl w:val="3"/>
    </w:pPr>
    <w:rPr>
      <w:rFonts w:asciiTheme="majorHAnsi" w:eastAsiaTheme="majorEastAsia" w:hAnsiTheme="majorHAnsi" w:cstheme="majorBidi"/>
      <w:i/>
      <w:iCs/>
      <w:color w:val="365F91" w:themeColor="accent1" w:themeShade="B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sz w:val="24"/>
    </w:rPr>
  </w:style>
  <w:style w:type="numbering" w:customStyle="1" w:styleId="NoList1">
    <w:name w:val="No List1"/>
    <w:next w:val="NoList"/>
    <w:uiPriority w:val="99"/>
    <w:semiHidden/>
    <w:unhideWhenUsed/>
  </w:style>
  <w:style w:type="paragraph" w:styleId="FootnoteText">
    <w:name w:val="footnote text"/>
    <w:aliases w:val="Char1,Footnote Text Char3 Char,Footnote Text Char1 Char1 Char,Footnote Text Char2 Char Char Char,Footnote Text Char1 Char1 Char Char Char,Footnote Text Char2 Char Char Char Char Char,Footnote Text Char3,fn Char,Podrozdzi,Znak,Znak Zn, Znak"/>
    <w:basedOn w:val="Normal"/>
    <w:link w:val="FootnoteTextChar"/>
    <w:uiPriority w:val="99"/>
    <w:unhideWhenUsed/>
    <w:qFormat/>
    <w:pPr>
      <w:spacing w:after="0" w:line="240" w:lineRule="auto"/>
      <w:ind w:left="283" w:hanging="283"/>
      <w:jc w:val="both"/>
    </w:pPr>
    <w:rPr>
      <w:rFonts w:ascii="Times New Roman" w:hAnsi="Times New Roman" w:cs="Times New Roman"/>
      <w:color w:val="000000"/>
      <w:sz w:val="20"/>
      <w:szCs w:val="20"/>
    </w:rPr>
  </w:style>
  <w:style w:type="character" w:customStyle="1" w:styleId="FootnoteTextChar">
    <w:name w:val="Footnote Text Char"/>
    <w:aliases w:val="Char1 Char,Footnote Text Char3 Char Char,Footnote Text Char1 Char1 Char Char,Footnote Text Char2 Char Char Char Char,Footnote Text Char1 Char1 Char Char Char Char,Footnote Text Char2 Char Char Char Char Char Char,fn Char Char"/>
    <w:basedOn w:val="DefaultParagraphFont"/>
    <w:link w:val="FootnoteText"/>
    <w:uiPriority w:val="99"/>
    <w:qFormat/>
    <w:rPr>
      <w:rFonts w:ascii="Times New Roman" w:hAnsi="Times New Roman" w:cs="Times New Roman"/>
      <w:color w:val="000000"/>
      <w:sz w:val="20"/>
      <w:szCs w:val="20"/>
    </w:rPr>
  </w:style>
  <w:style w:type="paragraph" w:styleId="EndnoteText">
    <w:name w:val="endnote text"/>
    <w:basedOn w:val="Normal"/>
    <w:link w:val="EndnoteTextChar"/>
    <w:uiPriority w:val="99"/>
    <w:semiHidden/>
    <w:unhideWhenUsed/>
    <w:pPr>
      <w:spacing w:after="0" w:line="240" w:lineRule="auto"/>
      <w:ind w:left="283" w:hanging="283"/>
      <w:jc w:val="both"/>
    </w:pPr>
    <w:rPr>
      <w:rFonts w:ascii="Times New Roman" w:hAnsi="Times New Roman" w:cs="Times New Roman"/>
      <w:color w:val="000000"/>
      <w:sz w:val="16"/>
      <w:szCs w:val="20"/>
    </w:rPr>
  </w:style>
  <w:style w:type="character" w:customStyle="1" w:styleId="EndnoteTextChar">
    <w:name w:val="Endnote Text Char"/>
    <w:basedOn w:val="DefaultParagraphFont"/>
    <w:link w:val="EndnoteText"/>
    <w:uiPriority w:val="99"/>
    <w:semiHidden/>
    <w:rPr>
      <w:rFonts w:ascii="Times New Roman" w:hAnsi="Times New Roman" w:cs="Times New Roman"/>
      <w:color w:val="000000"/>
      <w:sz w:val="16"/>
      <w:szCs w:val="20"/>
    </w:rPr>
  </w:style>
  <w:style w:type="paragraph" w:styleId="ListBullet">
    <w:name w:val="List Bullet"/>
    <w:basedOn w:val="Normal"/>
    <w:uiPriority w:val="99"/>
    <w:unhideWhenUsed/>
    <w:pPr>
      <w:numPr>
        <w:numId w:val="4"/>
      </w:numPr>
      <w:spacing w:after="240" w:line="240" w:lineRule="atLeast"/>
      <w:jc w:val="both"/>
    </w:pPr>
    <w:rPr>
      <w:rFonts w:ascii="Times New Roman" w:hAnsi="Times New Roman" w:cs="Times New Roman"/>
      <w:color w:val="000000"/>
      <w:sz w:val="24"/>
    </w:rPr>
  </w:style>
  <w:style w:type="paragraph" w:styleId="Footer">
    <w:name w:val="footer"/>
    <w:basedOn w:val="Normal"/>
    <w:next w:val="Normal"/>
    <w:link w:val="FooterChar"/>
    <w:uiPriority w:val="99"/>
    <w:unhideWhenUsed/>
    <w:pPr>
      <w:spacing w:after="0" w:line="240" w:lineRule="auto"/>
    </w:pPr>
    <w:rPr>
      <w:rFonts w:ascii="Times New Roman" w:hAnsi="Times New Roman" w:cs="Times New Roman"/>
      <w:color w:val="000000"/>
      <w:sz w:val="24"/>
    </w:rPr>
  </w:style>
  <w:style w:type="character" w:customStyle="1" w:styleId="FooterChar">
    <w:name w:val="Footer Char"/>
    <w:basedOn w:val="DefaultParagraphFont"/>
    <w:link w:val="Footer"/>
    <w:uiPriority w:val="99"/>
    <w:rPr>
      <w:rFonts w:ascii="Times New Roman" w:hAnsi="Times New Roman" w:cs="Times New Roman"/>
      <w:color w:val="000000"/>
      <w:sz w:val="24"/>
    </w:rPr>
  </w:style>
  <w:style w:type="paragraph" w:styleId="TOC1">
    <w:name w:val="toc 1"/>
    <w:basedOn w:val="Normal"/>
    <w:next w:val="TOC2"/>
    <w:uiPriority w:val="39"/>
    <w:unhideWhenUsed/>
    <w:pPr>
      <w:keepNext/>
      <w:keepLines/>
      <w:tabs>
        <w:tab w:val="left" w:pos="482"/>
        <w:tab w:val="right" w:pos="8504"/>
      </w:tabs>
      <w:spacing w:before="240" w:after="120" w:line="240" w:lineRule="atLeast"/>
      <w:ind w:left="482" w:right="425" w:hanging="482"/>
    </w:pPr>
    <w:rPr>
      <w:rFonts w:ascii="Century Gothic" w:hAnsi="Century Gothic" w:cs="Times New Roman"/>
      <w:color w:val="333399"/>
      <w:sz w:val="20"/>
    </w:rPr>
  </w:style>
  <w:style w:type="paragraph" w:styleId="TOC2">
    <w:name w:val="toc 2"/>
    <w:basedOn w:val="Normal"/>
    <w:uiPriority w:val="39"/>
    <w:semiHidden/>
    <w:unhideWhenUsed/>
    <w:pPr>
      <w:keepLines/>
      <w:tabs>
        <w:tab w:val="left" w:pos="482"/>
        <w:tab w:val="right" w:pos="8504"/>
      </w:tabs>
      <w:spacing w:after="0" w:line="240" w:lineRule="atLeast"/>
      <w:ind w:left="482" w:right="425" w:hanging="482"/>
    </w:pPr>
    <w:rPr>
      <w:rFonts w:ascii="Century Gothic" w:hAnsi="Century Gothic" w:cs="Times New Roman"/>
      <w:color w:val="333399"/>
      <w:sz w:val="20"/>
    </w:rPr>
  </w:style>
  <w:style w:type="paragraph" w:styleId="TOC3">
    <w:name w:val="toc 3"/>
    <w:basedOn w:val="Normal"/>
    <w:uiPriority w:val="39"/>
    <w:unhideWhenUsed/>
    <w:pPr>
      <w:keepLines/>
      <w:tabs>
        <w:tab w:val="left" w:pos="964"/>
        <w:tab w:val="right" w:pos="8504"/>
      </w:tabs>
      <w:spacing w:after="0" w:line="240" w:lineRule="atLeast"/>
      <w:ind w:left="964" w:right="425" w:hanging="482"/>
    </w:pPr>
    <w:rPr>
      <w:rFonts w:ascii="Century Gothic" w:hAnsi="Century Gothic" w:cs="Times New Roman"/>
      <w:caps/>
      <w:color w:val="333399"/>
      <w:sz w:val="16"/>
    </w:rPr>
  </w:style>
  <w:style w:type="paragraph" w:styleId="TOC5">
    <w:name w:val="toc 5"/>
    <w:basedOn w:val="Normal"/>
    <w:uiPriority w:val="39"/>
    <w:unhideWhenUsed/>
    <w:pPr>
      <w:keepLines/>
      <w:tabs>
        <w:tab w:val="left" w:pos="964"/>
        <w:tab w:val="right" w:pos="8504"/>
      </w:tabs>
      <w:spacing w:after="0" w:line="240" w:lineRule="atLeast"/>
      <w:ind w:left="964" w:right="425" w:hanging="482"/>
    </w:pPr>
    <w:rPr>
      <w:rFonts w:ascii="Century Gothic" w:hAnsi="Century Gothic" w:cs="Times New Roman"/>
      <w:color w:val="333399"/>
      <w:sz w:val="16"/>
    </w:rPr>
  </w:style>
  <w:style w:type="paragraph" w:styleId="TOC7">
    <w:name w:val="toc 7"/>
    <w:basedOn w:val="Normal"/>
    <w:uiPriority w:val="39"/>
    <w:semiHidden/>
    <w:unhideWhenUsed/>
    <w:pPr>
      <w:keepNext/>
      <w:keepLines/>
      <w:tabs>
        <w:tab w:val="right" w:pos="8504"/>
      </w:tabs>
      <w:spacing w:before="360" w:after="120" w:line="240" w:lineRule="atLeast"/>
      <w:ind w:right="425"/>
    </w:pPr>
    <w:rPr>
      <w:rFonts w:ascii="Century Gothic" w:hAnsi="Century Gothic" w:cs="Times New Roman"/>
      <w:color w:val="333399"/>
      <w:sz w:val="24"/>
    </w:rPr>
  </w:style>
  <w:style w:type="paragraph" w:styleId="TOC6">
    <w:name w:val="toc 6"/>
    <w:basedOn w:val="Normal"/>
    <w:uiPriority w:val="39"/>
    <w:semiHidden/>
    <w:unhideWhenUsed/>
    <w:pPr>
      <w:keepLines/>
      <w:tabs>
        <w:tab w:val="right" w:pos="8504"/>
      </w:tabs>
      <w:spacing w:after="0" w:line="240" w:lineRule="atLeast"/>
      <w:ind w:right="425"/>
    </w:pPr>
    <w:rPr>
      <w:rFonts w:ascii="Century Gothic" w:hAnsi="Century Gothic" w:cs="Times New Roman"/>
      <w:color w:val="333399"/>
      <w:sz w:val="20"/>
    </w:rPr>
  </w:style>
  <w:style w:type="paragraph" w:customStyle="1" w:styleId="NormalCompact">
    <w:name w:val="Normal Compact"/>
    <w:basedOn w:val="Normal"/>
    <w:pPr>
      <w:spacing w:after="0" w:line="240" w:lineRule="atLeast"/>
      <w:jc w:val="both"/>
    </w:pPr>
    <w:rPr>
      <w:rFonts w:ascii="Times New Roman" w:hAnsi="Times New Roman" w:cs="Times New Roman"/>
      <w:color w:val="000000"/>
      <w:sz w:val="24"/>
    </w:rPr>
  </w:style>
  <w:style w:type="paragraph" w:customStyle="1" w:styleId="NormalFramed">
    <w:name w:val="Normal Framed"/>
    <w:basedOn w:val="Normal"/>
    <w:next w:val="Normal"/>
    <w:pPr>
      <w:pBdr>
        <w:top w:val="single" w:sz="8" w:space="5" w:color="333399"/>
        <w:left w:val="single" w:sz="8" w:space="4" w:color="333399"/>
        <w:bottom w:val="single" w:sz="8" w:space="5" w:color="333399"/>
        <w:right w:val="single" w:sz="8" w:space="4" w:color="333399"/>
      </w:pBdr>
      <w:spacing w:after="240" w:line="240" w:lineRule="atLeast"/>
      <w:ind w:left="113" w:right="113"/>
      <w:jc w:val="both"/>
    </w:pPr>
    <w:rPr>
      <w:rFonts w:ascii="Times New Roman" w:hAnsi="Times New Roman" w:cs="Times New Roman"/>
      <w:color w:val="000000"/>
      <w:sz w:val="24"/>
    </w:rPr>
  </w:style>
  <w:style w:type="paragraph" w:customStyle="1" w:styleId="NormalLeft">
    <w:name w:val="Normal Left"/>
    <w:basedOn w:val="Normal"/>
    <w:pPr>
      <w:spacing w:after="240" w:line="240" w:lineRule="atLeast"/>
    </w:pPr>
    <w:rPr>
      <w:rFonts w:ascii="Times New Roman" w:hAnsi="Times New Roman" w:cs="Times New Roman"/>
      <w:color w:val="000000"/>
      <w:sz w:val="24"/>
    </w:rPr>
  </w:style>
  <w:style w:type="paragraph" w:customStyle="1" w:styleId="NormalRight">
    <w:name w:val="Normal Right"/>
    <w:basedOn w:val="Normal"/>
    <w:pPr>
      <w:spacing w:after="240" w:line="240" w:lineRule="atLeast"/>
      <w:jc w:val="right"/>
    </w:pPr>
    <w:rPr>
      <w:rFonts w:ascii="Times New Roman" w:hAnsi="Times New Roman" w:cs="Times New Roman"/>
      <w:color w:val="000000"/>
      <w:sz w:val="24"/>
    </w:rPr>
  </w:style>
  <w:style w:type="paragraph" w:customStyle="1" w:styleId="NormalCentered">
    <w:name w:val="Normal Centered"/>
    <w:basedOn w:val="Normal"/>
    <w:pPr>
      <w:spacing w:after="240" w:line="240" w:lineRule="atLeast"/>
      <w:jc w:val="center"/>
    </w:pPr>
    <w:rPr>
      <w:rFonts w:ascii="Times New Roman" w:hAnsi="Times New Roman" w:cs="Times New Roman"/>
      <w:color w:val="000000"/>
      <w:sz w:val="24"/>
    </w:rPr>
  </w:style>
  <w:style w:type="paragraph" w:customStyle="1" w:styleId="NormalNumbered">
    <w:name w:val="Normal Numbered"/>
    <w:basedOn w:val="Normal"/>
    <w:pPr>
      <w:numPr>
        <w:numId w:val="3"/>
      </w:numPr>
      <w:spacing w:after="240" w:line="240" w:lineRule="atLeast"/>
      <w:jc w:val="both"/>
    </w:pPr>
    <w:rPr>
      <w:rFonts w:ascii="Times New Roman" w:hAnsi="Times New Roman" w:cs="Times New Roman"/>
      <w:color w:val="000000"/>
      <w:sz w:val="24"/>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Fussnota"/>
    <w:basedOn w:val="DefaultParagraphFont"/>
    <w:link w:val="FootnotesymbolCarZchn"/>
    <w:uiPriority w:val="99"/>
    <w:unhideWhenUsed/>
    <w:qFormat/>
    <w:rPr>
      <w:vertAlign w:val="superscript"/>
    </w:rPr>
  </w:style>
  <w:style w:type="character" w:styleId="EndnoteReference">
    <w:name w:val="endnote reference"/>
    <w:basedOn w:val="DefaultParagraphFont"/>
    <w:uiPriority w:val="99"/>
    <w:semiHidden/>
    <w:unhideWhenUsed/>
    <w:rPr>
      <w:shd w:val="clear" w:color="auto" w:fill="auto"/>
      <w:vertAlign w:val="superscript"/>
    </w:rPr>
  </w:style>
  <w:style w:type="paragraph" w:customStyle="1" w:styleId="SideNote">
    <w:name w:val="Side Note"/>
    <w:basedOn w:val="Normal"/>
    <w:next w:val="Normal"/>
    <w:pPr>
      <w:keepNext/>
      <w:framePr w:w="1701" w:h="567" w:hSpace="227" w:wrap="around" w:vAnchor="text" w:hAnchor="page" w:xAlign="outside" w:y="1"/>
      <w:spacing w:line="240" w:lineRule="auto"/>
    </w:pPr>
    <w:rPr>
      <w:rFonts w:ascii="Century Gothic" w:hAnsi="Century Gothic" w:cs="Times New Roman"/>
      <w:color w:val="333399"/>
      <w:sz w:val="14"/>
    </w:rPr>
  </w:style>
  <w:style w:type="paragraph" w:customStyle="1" w:styleId="SubsectionTitle">
    <w:name w:val="Subsection Title"/>
    <w:basedOn w:val="Normal"/>
    <w:next w:val="Normal"/>
    <w:pPr>
      <w:keepNext/>
      <w:pageBreakBefore/>
      <w:spacing w:before="240" w:after="240" w:line="240" w:lineRule="atLeast"/>
      <w:ind w:left="567" w:hanging="567"/>
      <w:jc w:val="both"/>
      <w:outlineLvl w:val="2"/>
    </w:pPr>
    <w:rPr>
      <w:rFonts w:ascii="Century Gothic" w:hAnsi="Century Gothic" w:cs="Times New Roman"/>
      <w:b/>
      <w:caps/>
      <w:color w:val="333399"/>
      <w:sz w:val="18"/>
    </w:rPr>
  </w:style>
  <w:style w:type="paragraph" w:customStyle="1" w:styleId="NumberedList">
    <w:name w:val="Numbered List"/>
    <w:basedOn w:val="Normal"/>
    <w:pPr>
      <w:numPr>
        <w:numId w:val="2"/>
      </w:numPr>
      <w:spacing w:after="240" w:line="240" w:lineRule="atLeast"/>
      <w:jc w:val="both"/>
    </w:pPr>
    <w:rPr>
      <w:rFonts w:ascii="Times New Roman" w:hAnsi="Times New Roman" w:cs="Times New Roman"/>
      <w:color w:val="000000"/>
      <w:sz w:val="24"/>
    </w:rPr>
  </w:style>
  <w:style w:type="paragraph" w:customStyle="1" w:styleId="Heading">
    <w:name w:val="Heading"/>
    <w:basedOn w:val="Normal"/>
    <w:next w:val="Normal"/>
    <w:link w:val="HeadingChar"/>
    <w:pPr>
      <w:keepNext/>
      <w:spacing w:before="120" w:after="120" w:line="240" w:lineRule="atLeast"/>
      <w:jc w:val="both"/>
    </w:pPr>
    <w:rPr>
      <w:rFonts w:ascii="Century Gothic" w:hAnsi="Century Gothic" w:cs="Times New Roman"/>
      <w:b/>
      <w:color w:val="333399"/>
    </w:rPr>
  </w:style>
  <w:style w:type="paragraph" w:customStyle="1" w:styleId="NumberedHeading1">
    <w:name w:val="Numbered Heading 1"/>
    <w:basedOn w:val="Normal"/>
    <w:next w:val="Normal"/>
    <w:link w:val="NumberedHeading1Char"/>
    <w:pPr>
      <w:keepNext/>
      <w:spacing w:before="240" w:after="240" w:line="240" w:lineRule="atLeast"/>
      <w:ind w:left="567" w:hanging="567"/>
      <w:jc w:val="both"/>
      <w:outlineLvl w:val="2"/>
    </w:pPr>
    <w:rPr>
      <w:rFonts w:ascii="Century Gothic" w:hAnsi="Century Gothic" w:cs="Times New Roman"/>
      <w:b/>
      <w:caps/>
      <w:color w:val="333399"/>
    </w:rPr>
  </w:style>
  <w:style w:type="paragraph" w:customStyle="1" w:styleId="NumberedHeading2">
    <w:name w:val="Numbered Heading 2"/>
    <w:basedOn w:val="Normal"/>
    <w:next w:val="Normal"/>
    <w:pPr>
      <w:keepNext/>
      <w:spacing w:before="80" w:after="160" w:line="240" w:lineRule="atLeast"/>
      <w:ind w:left="567" w:hanging="567"/>
      <w:jc w:val="both"/>
      <w:outlineLvl w:val="3"/>
    </w:pPr>
    <w:rPr>
      <w:rFonts w:ascii="Century Gothic" w:hAnsi="Century Gothic" w:cs="Times New Roman"/>
      <w:color w:val="333399"/>
    </w:rPr>
  </w:style>
  <w:style w:type="paragraph" w:customStyle="1" w:styleId="NumberedHeading3">
    <w:name w:val="Numbered Heading 3"/>
    <w:basedOn w:val="Normal"/>
    <w:next w:val="Normal"/>
    <w:pPr>
      <w:keepNext/>
      <w:spacing w:before="80" w:after="160" w:line="240" w:lineRule="atLeast"/>
      <w:ind w:left="709" w:hanging="709"/>
      <w:jc w:val="both"/>
      <w:outlineLvl w:val="3"/>
    </w:pPr>
    <w:rPr>
      <w:rFonts w:ascii="Century Gothic" w:hAnsi="Century Gothic" w:cs="Times New Roman"/>
      <w:i/>
      <w:color w:val="333399"/>
      <w:sz w:val="18"/>
    </w:rPr>
  </w:style>
  <w:style w:type="paragraph" w:customStyle="1" w:styleId="HeadingTop">
    <w:name w:val="Heading Top"/>
    <w:basedOn w:val="Heading"/>
    <w:next w:val="Normal"/>
    <w:pPr>
      <w:spacing w:before="0"/>
    </w:pPr>
  </w:style>
  <w:style w:type="paragraph" w:customStyle="1" w:styleId="NumberedHeading1Top">
    <w:name w:val="Numbered Heading 1 Top"/>
    <w:basedOn w:val="NumberedHeading1"/>
    <w:next w:val="Normal"/>
    <w:pPr>
      <w:spacing w:before="0"/>
    </w:pPr>
  </w:style>
  <w:style w:type="paragraph" w:customStyle="1" w:styleId="NumberedHeading2Top">
    <w:name w:val="Numbered Heading 2 Top"/>
    <w:basedOn w:val="NumberedHeading2"/>
    <w:next w:val="Normal"/>
    <w:pPr>
      <w:spacing w:before="0"/>
    </w:pPr>
  </w:style>
  <w:style w:type="paragraph" w:customStyle="1" w:styleId="NumberedHeading3Top">
    <w:name w:val="Numbered Heading 3 Top"/>
    <w:basedOn w:val="NumberedHeading3"/>
    <w:next w:val="Normal"/>
    <w:pPr>
      <w:spacing w:before="0"/>
    </w:pPr>
  </w:style>
  <w:style w:type="paragraph" w:customStyle="1" w:styleId="ListDash">
    <w:name w:val="List Dash"/>
    <w:basedOn w:val="Normal"/>
    <w:pPr>
      <w:numPr>
        <w:numId w:val="5"/>
      </w:numPr>
      <w:spacing w:after="240" w:line="240" w:lineRule="atLeast"/>
      <w:jc w:val="both"/>
    </w:pPr>
    <w:rPr>
      <w:rFonts w:ascii="Times New Roman" w:hAnsi="Times New Roman" w:cs="Times New Roman"/>
      <w:color w:val="000000"/>
      <w:sz w:val="24"/>
    </w:rPr>
  </w:style>
  <w:style w:type="paragraph" w:customStyle="1" w:styleId="ChapterName">
    <w:name w:val="Chapter Name"/>
    <w:basedOn w:val="Normal"/>
    <w:next w:val="Normal"/>
    <w:pPr>
      <w:spacing w:before="1080" w:after="240" w:line="240" w:lineRule="auto"/>
    </w:pPr>
    <w:rPr>
      <w:rFonts w:ascii="Times New Roman" w:hAnsi="Times New Roman" w:cs="Times New Roman"/>
      <w:b/>
      <w:color w:val="808080"/>
      <w:sz w:val="72"/>
    </w:rPr>
  </w:style>
  <w:style w:type="paragraph" w:customStyle="1" w:styleId="ChapterTitle">
    <w:name w:val="Chapter Title"/>
    <w:basedOn w:val="Normal"/>
    <w:next w:val="Normal"/>
    <w:pPr>
      <w:spacing w:after="240" w:line="240" w:lineRule="auto"/>
    </w:pPr>
    <w:rPr>
      <w:rFonts w:ascii="Century Gothic" w:hAnsi="Century Gothic" w:cs="Times New Roman"/>
      <w:color w:val="333399"/>
      <w:sz w:val="36"/>
    </w:rPr>
  </w:style>
  <w:style w:type="paragraph" w:customStyle="1" w:styleId="SectionTitle">
    <w:name w:val="Section Title"/>
    <w:basedOn w:val="Normal"/>
    <w:next w:val="SectionSubtitle"/>
    <w:pPr>
      <w:keepNext/>
      <w:spacing w:before="1080" w:after="240" w:line="240" w:lineRule="auto"/>
      <w:ind w:left="992" w:hanging="992"/>
    </w:pPr>
    <w:rPr>
      <w:rFonts w:ascii="Century Gothic" w:hAnsi="Century Gothic" w:cs="Times New Roman"/>
      <w:caps/>
      <w:color w:val="333399"/>
      <w:sz w:val="28"/>
    </w:rPr>
  </w:style>
  <w:style w:type="paragraph" w:customStyle="1" w:styleId="SectionTitletwolines">
    <w:name w:val="Section Title (two lines)"/>
    <w:basedOn w:val="Normal"/>
    <w:next w:val="SectionSubtitle"/>
    <w:pPr>
      <w:keepNext/>
      <w:spacing w:before="600" w:after="0" w:line="240" w:lineRule="auto"/>
      <w:ind w:left="992" w:hanging="992"/>
    </w:pPr>
    <w:rPr>
      <w:rFonts w:ascii="Century Gothic" w:hAnsi="Century Gothic" w:cs="Times New Roman"/>
      <w:caps/>
      <w:color w:val="333399"/>
      <w:sz w:val="28"/>
    </w:rPr>
  </w:style>
  <w:style w:type="paragraph" w:customStyle="1" w:styleId="SectionSubtitle">
    <w:name w:val="Section Subtitle"/>
    <w:basedOn w:val="Normal"/>
    <w:next w:val="Normal"/>
    <w:pPr>
      <w:spacing w:after="360" w:line="240" w:lineRule="auto"/>
      <w:ind w:left="992"/>
    </w:pPr>
    <w:rPr>
      <w:rFonts w:ascii="Century Gothic" w:hAnsi="Century Gothic" w:cs="Times New Roman"/>
      <w:color w:val="333399"/>
      <w:sz w:val="24"/>
    </w:rPr>
  </w:style>
  <w:style w:type="paragraph" w:customStyle="1" w:styleId="HeaderTitleLeft">
    <w:name w:val="Header Title Left"/>
    <w:basedOn w:val="Normal"/>
    <w:next w:val="Normal"/>
    <w:pPr>
      <w:tabs>
        <w:tab w:val="right" w:pos="8220"/>
      </w:tabs>
      <w:spacing w:before="100" w:after="40" w:line="240" w:lineRule="auto"/>
      <w:ind w:left="-1502"/>
      <w:jc w:val="both"/>
    </w:pPr>
    <w:rPr>
      <w:rFonts w:ascii="Century Gothic" w:hAnsi="Century Gothic" w:cs="Times New Roman"/>
      <w:color w:val="333399"/>
      <w:sz w:val="14"/>
    </w:rPr>
  </w:style>
  <w:style w:type="paragraph" w:customStyle="1" w:styleId="HeaderSubtitleLeft">
    <w:name w:val="Header Subtitle Left"/>
    <w:basedOn w:val="Normal"/>
    <w:next w:val="Normal"/>
    <w:pPr>
      <w:tabs>
        <w:tab w:val="right" w:pos="8220"/>
      </w:tabs>
      <w:spacing w:after="0" w:line="240" w:lineRule="auto"/>
      <w:ind w:left="-1502"/>
      <w:jc w:val="both"/>
    </w:pPr>
    <w:rPr>
      <w:rFonts w:ascii="Century Gothic" w:hAnsi="Century Gothic" w:cs="Times New Roman"/>
      <w:color w:val="333399"/>
      <w:sz w:val="14"/>
    </w:rPr>
  </w:style>
  <w:style w:type="paragraph" w:customStyle="1" w:styleId="HeaderTitleRight">
    <w:name w:val="Header Title Right"/>
    <w:basedOn w:val="Normal"/>
    <w:next w:val="Normal"/>
    <w:pPr>
      <w:spacing w:before="100" w:after="40" w:line="240" w:lineRule="auto"/>
      <w:ind w:right="-1502"/>
      <w:jc w:val="right"/>
    </w:pPr>
    <w:rPr>
      <w:rFonts w:ascii="Century Gothic" w:hAnsi="Century Gothic" w:cs="Times New Roman"/>
      <w:color w:val="333399"/>
      <w:sz w:val="14"/>
    </w:rPr>
  </w:style>
  <w:style w:type="paragraph" w:customStyle="1" w:styleId="HeaderSubtitleRight">
    <w:name w:val="Header Subtitle Right"/>
    <w:basedOn w:val="Normal"/>
    <w:next w:val="Normal"/>
    <w:pPr>
      <w:spacing w:after="0" w:line="240" w:lineRule="auto"/>
      <w:ind w:right="-1502"/>
      <w:jc w:val="right"/>
    </w:pPr>
    <w:rPr>
      <w:rFonts w:ascii="Century Gothic" w:hAnsi="Century Gothic" w:cs="Times New Roman"/>
      <w:color w:val="333399"/>
      <w:sz w:val="14"/>
    </w:rPr>
  </w:style>
  <w:style w:type="paragraph" w:customStyle="1" w:styleId="FooterPageNumber">
    <w:name w:val="Footer PageNumber"/>
    <w:basedOn w:val="Normal"/>
    <w:next w:val="Normal"/>
    <w:pPr>
      <w:framePr w:w="567" w:hSpace="992" w:wrap="around" w:vAnchor="page" w:hAnchor="page" w:xAlign="outside" w:y="16046"/>
      <w:spacing w:after="0" w:line="240" w:lineRule="auto"/>
      <w:jc w:val="center"/>
    </w:pPr>
    <w:rPr>
      <w:rFonts w:ascii="Century Gothic" w:hAnsi="Century Gothic" w:cs="Times New Roman"/>
      <w:color w:val="333399"/>
      <w:sz w:val="18"/>
    </w:rPr>
  </w:style>
  <w:style w:type="paragraph" w:customStyle="1" w:styleId="AnnexTitle">
    <w:name w:val="Annex Title"/>
    <w:basedOn w:val="Normal"/>
    <w:pPr>
      <w:spacing w:before="120" w:after="120" w:line="240" w:lineRule="auto"/>
    </w:pPr>
    <w:rPr>
      <w:rFonts w:ascii="Century Gothic" w:hAnsi="Century Gothic" w:cs="Times New Roman"/>
      <w:color w:val="333399"/>
      <w:sz w:val="28"/>
    </w:rPr>
  </w:style>
  <w:style w:type="paragraph" w:customStyle="1" w:styleId="PublicationTitle">
    <w:name w:val="Publication Title"/>
    <w:basedOn w:val="Normal"/>
    <w:next w:val="Normal"/>
    <w:pPr>
      <w:spacing w:after="240" w:line="240" w:lineRule="auto"/>
    </w:pPr>
    <w:rPr>
      <w:rFonts w:ascii="Georgia" w:hAnsi="Georgia" w:cs="Times New Roman"/>
      <w:color w:val="333399"/>
      <w:sz w:val="48"/>
    </w:rPr>
  </w:style>
  <w:style w:type="paragraph" w:customStyle="1" w:styleId="PublicationSubtitle">
    <w:name w:val="Publication Subtitle"/>
    <w:basedOn w:val="Normal"/>
    <w:next w:val="Normal"/>
    <w:pPr>
      <w:spacing w:after="240" w:line="240" w:lineRule="auto"/>
    </w:pPr>
    <w:rPr>
      <w:rFonts w:ascii="Century Gothic" w:hAnsi="Century Gothic" w:cs="Times New Roman"/>
      <w:color w:val="000000"/>
      <w:sz w:val="32"/>
    </w:rPr>
  </w:style>
  <w:style w:type="paragraph" w:customStyle="1" w:styleId="Series">
    <w:name w:val="Series"/>
    <w:basedOn w:val="Normal"/>
    <w:next w:val="Normal"/>
    <w:pPr>
      <w:tabs>
        <w:tab w:val="right" w:pos="8787"/>
      </w:tabs>
      <w:spacing w:before="6240" w:after="240" w:line="240" w:lineRule="auto"/>
    </w:pPr>
    <w:rPr>
      <w:rFonts w:ascii="Century Gothic" w:hAnsi="Century Gothic" w:cs="Times New Roman"/>
      <w:color w:val="333399"/>
      <w:sz w:val="24"/>
    </w:rPr>
  </w:style>
  <w:style w:type="paragraph" w:customStyle="1" w:styleId="Institution">
    <w:name w:val="Institution"/>
    <w:basedOn w:val="Normal"/>
    <w:next w:val="Normal"/>
    <w:pPr>
      <w:spacing w:after="120" w:line="240" w:lineRule="auto"/>
    </w:pPr>
    <w:rPr>
      <w:rFonts w:ascii="Century Gothic" w:hAnsi="Century Gothic" w:cs="Times New Roman"/>
      <w:color w:val="000000"/>
      <w:sz w:val="24"/>
    </w:rPr>
  </w:style>
  <w:style w:type="paragraph" w:customStyle="1" w:styleId="InstitutionSubtitle">
    <w:name w:val="Institution Subtitle"/>
    <w:basedOn w:val="Normal"/>
    <w:next w:val="Normal"/>
    <w:pPr>
      <w:spacing w:after="240" w:line="240" w:lineRule="auto"/>
    </w:pPr>
    <w:rPr>
      <w:rFonts w:ascii="Century Gothic" w:hAnsi="Century Gothic" w:cs="Times New Roman"/>
      <w:color w:val="000000"/>
      <w:sz w:val="24"/>
    </w:rPr>
  </w:style>
  <w:style w:type="paragraph" w:customStyle="1" w:styleId="PartTitle">
    <w:name w:val="Part Title"/>
    <w:basedOn w:val="Normal"/>
    <w:next w:val="Normal"/>
    <w:pPr>
      <w:spacing w:before="1080" w:after="240" w:line="240" w:lineRule="auto"/>
    </w:pPr>
    <w:rPr>
      <w:rFonts w:ascii="Georgia" w:hAnsi="Georgia" w:cs="Times New Roman"/>
      <w:color w:val="333399"/>
      <w:sz w:val="40"/>
    </w:rPr>
  </w:style>
  <w:style w:type="paragraph" w:customStyle="1" w:styleId="PartSubtitle">
    <w:name w:val="Part Subtitle"/>
    <w:basedOn w:val="Normal"/>
    <w:next w:val="Normal"/>
    <w:pPr>
      <w:spacing w:after="240" w:line="240" w:lineRule="auto"/>
    </w:pPr>
    <w:rPr>
      <w:rFonts w:ascii="Georgia" w:hAnsi="Georgia" w:cs="Times New Roman"/>
      <w:color w:val="333399"/>
      <w:sz w:val="32"/>
    </w:rPr>
  </w:style>
  <w:style w:type="character" w:customStyle="1" w:styleId="SectionNumber">
    <w:name w:val="Section Number"/>
    <w:basedOn w:val="DefaultParagraphFont"/>
    <w:rPr>
      <w:rFonts w:ascii="Times New Roman" w:hAnsi="Times New Roman" w:cs="Times New Roman"/>
      <w:b/>
      <w:color w:val="808080"/>
      <w:sz w:val="72"/>
      <w:shd w:val="clear" w:color="auto" w:fill="auto"/>
    </w:rPr>
  </w:style>
  <w:style w:type="paragraph" w:customStyle="1" w:styleId="HeaderTitleLeft30">
    <w:name w:val="Header Title Left (30)"/>
    <w:basedOn w:val="Normal"/>
    <w:next w:val="Normal"/>
    <w:pPr>
      <w:tabs>
        <w:tab w:val="right" w:pos="8504"/>
      </w:tabs>
      <w:spacing w:before="100" w:after="40" w:line="240" w:lineRule="auto"/>
      <w:ind w:left="-850"/>
      <w:jc w:val="both"/>
    </w:pPr>
    <w:rPr>
      <w:rFonts w:ascii="Century Gothic" w:hAnsi="Century Gothic" w:cs="Times New Roman"/>
      <w:color w:val="333399"/>
      <w:sz w:val="14"/>
    </w:rPr>
  </w:style>
  <w:style w:type="paragraph" w:customStyle="1" w:styleId="HeaderSubtitleLeft30">
    <w:name w:val="Header Subtitle Left (30)"/>
    <w:basedOn w:val="Normal"/>
    <w:next w:val="Normal"/>
    <w:pPr>
      <w:tabs>
        <w:tab w:val="right" w:pos="8504"/>
      </w:tabs>
      <w:spacing w:after="0" w:line="240" w:lineRule="auto"/>
      <w:ind w:left="-850"/>
      <w:jc w:val="both"/>
    </w:pPr>
    <w:rPr>
      <w:rFonts w:ascii="Century Gothic" w:hAnsi="Century Gothic" w:cs="Times New Roman"/>
      <w:color w:val="333399"/>
      <w:sz w:val="14"/>
    </w:rPr>
  </w:style>
  <w:style w:type="paragraph" w:customStyle="1" w:styleId="HeaderTitleRight30">
    <w:name w:val="Header Title Right (30)"/>
    <w:basedOn w:val="Normal"/>
    <w:next w:val="Normal"/>
    <w:pPr>
      <w:spacing w:before="100" w:after="40" w:line="240" w:lineRule="auto"/>
      <w:ind w:right="-850"/>
      <w:jc w:val="right"/>
    </w:pPr>
    <w:rPr>
      <w:rFonts w:ascii="Century Gothic" w:hAnsi="Century Gothic" w:cs="Times New Roman"/>
      <w:color w:val="333399"/>
      <w:sz w:val="14"/>
    </w:rPr>
  </w:style>
  <w:style w:type="paragraph" w:customStyle="1" w:styleId="HeaderSubtitleRight30">
    <w:name w:val="Header Subtitle Right (30)"/>
    <w:basedOn w:val="Normal"/>
    <w:next w:val="Normal"/>
    <w:pPr>
      <w:spacing w:after="0" w:line="240" w:lineRule="auto"/>
      <w:ind w:right="-850"/>
      <w:jc w:val="right"/>
    </w:pPr>
    <w:rPr>
      <w:rFonts w:ascii="Century Gothic" w:hAnsi="Century Gothic" w:cs="Times New Roman"/>
      <w:color w:val="333399"/>
      <w:sz w:val="14"/>
    </w:rPr>
  </w:style>
  <w:style w:type="paragraph" w:customStyle="1" w:styleId="FooterPageNumber30">
    <w:name w:val="Footer PageNumber (30)"/>
    <w:basedOn w:val="Normal"/>
    <w:next w:val="Normal"/>
    <w:pPr>
      <w:framePr w:w="567" w:hSpace="567" w:wrap="around" w:vAnchor="page" w:hAnchor="page" w:xAlign="outside" w:y="16046"/>
      <w:spacing w:after="0" w:line="240" w:lineRule="auto"/>
      <w:jc w:val="center"/>
    </w:pPr>
    <w:rPr>
      <w:rFonts w:ascii="Century Gothic" w:hAnsi="Century Gothic" w:cs="Times New Roman"/>
      <w:color w:val="333399"/>
      <w:sz w:val="18"/>
    </w:rPr>
  </w:style>
  <w:style w:type="paragraph" w:customStyle="1" w:styleId="FooterPageNumber15">
    <w:name w:val="Footer PageNumber (15)"/>
    <w:basedOn w:val="Normal"/>
    <w:next w:val="Normal"/>
    <w:pPr>
      <w:framePr w:w="567" w:wrap="around" w:vAnchor="page" w:hAnchor="margin" w:xAlign="outside" w:y="16046"/>
      <w:spacing w:after="0" w:line="240" w:lineRule="auto"/>
      <w:jc w:val="center"/>
    </w:pPr>
    <w:rPr>
      <w:rFonts w:ascii="Century Gothic" w:hAnsi="Century Gothic" w:cs="Times New Roman"/>
      <w:color w:val="333399"/>
      <w:sz w:val="18"/>
    </w:rPr>
  </w:style>
  <w:style w:type="paragraph" w:customStyle="1" w:styleId="SectionTitlelarge">
    <w:name w:val="Section Title (large)"/>
    <w:basedOn w:val="Normal"/>
    <w:next w:val="SectionSubtitle"/>
    <w:pPr>
      <w:keepNext/>
      <w:spacing w:before="1080" w:after="240" w:line="240" w:lineRule="auto"/>
      <w:ind w:left="992" w:hanging="992"/>
    </w:pPr>
    <w:rPr>
      <w:rFonts w:ascii="Century Gothic" w:hAnsi="Century Gothic" w:cs="Times New Roman"/>
      <w:caps/>
      <w:color w:val="333399"/>
      <w:sz w:val="32"/>
    </w:rPr>
  </w:style>
  <w:style w:type="paragraph" w:customStyle="1" w:styleId="SectionTitletwolineslarge">
    <w:name w:val="Section Title (two lines) (large)"/>
    <w:basedOn w:val="Normal"/>
    <w:next w:val="SectionSubtitle"/>
    <w:pPr>
      <w:keepNext/>
      <w:spacing w:before="1080" w:after="40" w:line="240" w:lineRule="auto"/>
      <w:ind w:left="992" w:hanging="992"/>
    </w:pPr>
    <w:rPr>
      <w:rFonts w:ascii="Century Gothic" w:hAnsi="Century Gothic" w:cs="Times New Roman"/>
      <w:caps/>
      <w:color w:val="333399"/>
      <w:sz w:val="32"/>
    </w:rPr>
  </w:style>
  <w:style w:type="paragraph" w:customStyle="1" w:styleId="SectionTitlethreelineslarge">
    <w:name w:val="Section Title (three lines) (large)"/>
    <w:basedOn w:val="Normal"/>
    <w:next w:val="SectionSubtitle"/>
    <w:pPr>
      <w:keepNext/>
      <w:spacing w:before="800" w:after="40" w:line="240" w:lineRule="auto"/>
      <w:ind w:left="992" w:hanging="992"/>
    </w:pPr>
    <w:rPr>
      <w:rFonts w:ascii="Century Gothic" w:hAnsi="Century Gothic" w:cs="Times New Roman"/>
      <w:caps/>
      <w:color w:val="333399"/>
      <w:sz w:val="32"/>
    </w:rPr>
  </w:style>
  <w:style w:type="paragraph" w:customStyle="1" w:styleId="HeaderSubtitleOutside30">
    <w:name w:val="Header Subtitle Outside (30)"/>
    <w:basedOn w:val="Normal"/>
    <w:next w:val="Normal"/>
    <w:pPr>
      <w:framePr w:w="4000" w:wrap="around" w:vAnchor="page" w:hAnchor="page" w:xAlign="outside" w:y="737"/>
      <w:spacing w:after="0" w:line="240" w:lineRule="auto"/>
      <w:jc w:val="center"/>
    </w:pPr>
    <w:rPr>
      <w:rFonts w:ascii="Century Gothic" w:hAnsi="Century Gothic" w:cs="Times New Roman"/>
      <w:color w:val="333399"/>
      <w:sz w:val="14"/>
    </w:rPr>
  </w:style>
  <w:style w:type="paragraph" w:customStyle="1" w:styleId="PublicationSupertitle">
    <w:name w:val="Publication Supertitle"/>
    <w:basedOn w:val="Normal"/>
    <w:next w:val="Normal"/>
    <w:pPr>
      <w:spacing w:before="2640" w:after="240" w:line="240" w:lineRule="auto"/>
    </w:pPr>
    <w:rPr>
      <w:rFonts w:ascii="Georgia" w:hAnsi="Georgia" w:cs="Times New Roman"/>
      <w:color w:val="333399"/>
      <w:sz w:val="24"/>
    </w:rPr>
  </w:style>
  <w:style w:type="paragraph" w:customStyle="1" w:styleId="HeaderTitleLeft15">
    <w:name w:val="Header Title Left (15)"/>
    <w:basedOn w:val="Normal"/>
    <w:next w:val="Normal"/>
    <w:pPr>
      <w:tabs>
        <w:tab w:val="right" w:pos="9921"/>
      </w:tabs>
      <w:spacing w:before="100" w:after="40" w:line="240" w:lineRule="auto"/>
      <w:jc w:val="both"/>
    </w:pPr>
    <w:rPr>
      <w:rFonts w:ascii="Century Gothic" w:hAnsi="Century Gothic" w:cs="Times New Roman"/>
      <w:color w:val="333399"/>
      <w:sz w:val="14"/>
    </w:rPr>
  </w:style>
  <w:style w:type="paragraph" w:customStyle="1" w:styleId="HeaderSubtitleLeft15">
    <w:name w:val="Header Subtitle Left (15)"/>
    <w:basedOn w:val="Normal"/>
    <w:next w:val="Normal"/>
    <w:pPr>
      <w:tabs>
        <w:tab w:val="right" w:pos="9921"/>
      </w:tabs>
      <w:spacing w:after="0" w:line="240" w:lineRule="auto"/>
      <w:jc w:val="both"/>
    </w:pPr>
    <w:rPr>
      <w:rFonts w:ascii="Century Gothic" w:hAnsi="Century Gothic" w:cs="Times New Roman"/>
      <w:color w:val="333399"/>
      <w:sz w:val="14"/>
    </w:rPr>
  </w:style>
  <w:style w:type="paragraph" w:customStyle="1" w:styleId="HeaderTitleRight15">
    <w:name w:val="Header Title Right (15)"/>
    <w:basedOn w:val="Normal"/>
    <w:next w:val="Normal"/>
    <w:pPr>
      <w:spacing w:before="100" w:after="40" w:line="240" w:lineRule="auto"/>
      <w:jc w:val="right"/>
    </w:pPr>
    <w:rPr>
      <w:rFonts w:ascii="Century Gothic" w:hAnsi="Century Gothic" w:cs="Times New Roman"/>
      <w:color w:val="333399"/>
      <w:sz w:val="14"/>
    </w:rPr>
  </w:style>
  <w:style w:type="paragraph" w:customStyle="1" w:styleId="HeaderSubtitleRight15">
    <w:name w:val="Header Subtitle Right (15)"/>
    <w:basedOn w:val="Normal"/>
    <w:next w:val="Normal"/>
    <w:pPr>
      <w:spacing w:after="0" w:line="240" w:lineRule="auto"/>
      <w:jc w:val="right"/>
    </w:pPr>
    <w:rPr>
      <w:rFonts w:ascii="Century Gothic" w:hAnsi="Century Gothic" w:cs="Times New Roman"/>
      <w:color w:val="333399"/>
      <w:sz w:val="14"/>
    </w:rPr>
  </w:style>
  <w:style w:type="paragraph" w:customStyle="1" w:styleId="HeaderTitleLeft45">
    <w:name w:val="Header Title Left (45)"/>
    <w:basedOn w:val="Normal"/>
    <w:next w:val="Normal"/>
    <w:pPr>
      <w:tabs>
        <w:tab w:val="right" w:pos="8504"/>
      </w:tabs>
      <w:spacing w:before="100" w:after="40" w:line="240" w:lineRule="auto"/>
      <w:ind w:left="-1701"/>
      <w:jc w:val="both"/>
    </w:pPr>
    <w:rPr>
      <w:rFonts w:ascii="Century Gothic" w:hAnsi="Century Gothic" w:cs="Times New Roman"/>
      <w:color w:val="333399"/>
      <w:sz w:val="14"/>
    </w:rPr>
  </w:style>
  <w:style w:type="paragraph" w:customStyle="1" w:styleId="HeaderSubtitleLeft45">
    <w:name w:val="Header Subtitle Left (45)"/>
    <w:basedOn w:val="Normal"/>
    <w:next w:val="Normal"/>
    <w:pPr>
      <w:tabs>
        <w:tab w:val="right" w:pos="8504"/>
      </w:tabs>
      <w:spacing w:after="0" w:line="240" w:lineRule="auto"/>
      <w:ind w:left="-1701"/>
      <w:jc w:val="both"/>
    </w:pPr>
    <w:rPr>
      <w:rFonts w:ascii="Century Gothic" w:hAnsi="Century Gothic" w:cs="Times New Roman"/>
      <w:color w:val="333399"/>
      <w:sz w:val="14"/>
    </w:rPr>
  </w:style>
  <w:style w:type="paragraph" w:customStyle="1" w:styleId="HeaderTitleRight45">
    <w:name w:val="Header Title Right (45)"/>
    <w:basedOn w:val="Normal"/>
    <w:next w:val="Normal"/>
    <w:pPr>
      <w:spacing w:before="100" w:after="40" w:line="240" w:lineRule="auto"/>
      <w:ind w:right="-1701"/>
      <w:jc w:val="right"/>
    </w:pPr>
    <w:rPr>
      <w:rFonts w:ascii="Century Gothic" w:hAnsi="Century Gothic" w:cs="Times New Roman"/>
      <w:color w:val="333399"/>
      <w:sz w:val="14"/>
    </w:rPr>
  </w:style>
  <w:style w:type="paragraph" w:customStyle="1" w:styleId="HeaderSubtitleRight45">
    <w:name w:val="Header Subtitle Right (45)"/>
    <w:basedOn w:val="Normal"/>
    <w:next w:val="Normal"/>
    <w:pPr>
      <w:spacing w:after="0" w:line="240" w:lineRule="auto"/>
      <w:ind w:right="-1701"/>
      <w:jc w:val="right"/>
    </w:pPr>
    <w:rPr>
      <w:rFonts w:ascii="Century Gothic" w:hAnsi="Century Gothic" w:cs="Times New Roman"/>
      <w:color w:val="333399"/>
      <w:sz w:val="14"/>
    </w:rPr>
  </w:style>
  <w:style w:type="paragraph" w:customStyle="1" w:styleId="FooterPageNumber45">
    <w:name w:val="Footer PageNumber (45)"/>
    <w:basedOn w:val="Normal"/>
    <w:next w:val="Normal"/>
    <w:pPr>
      <w:framePr w:w="567" w:hSpace="1417" w:wrap="around" w:vAnchor="page" w:hAnchor="page" w:xAlign="outside" w:y="16046"/>
      <w:spacing w:after="0" w:line="240" w:lineRule="auto"/>
      <w:jc w:val="center"/>
    </w:pPr>
    <w:rPr>
      <w:rFonts w:ascii="Century Gothic" w:hAnsi="Century Gothic" w:cs="Times New Roman"/>
      <w:color w:val="333399"/>
      <w:sz w:val="18"/>
    </w:rPr>
  </w:style>
  <w:style w:type="paragraph" w:customStyle="1" w:styleId="HEADINGTOC">
    <w:name w:val="HEADING TOC"/>
    <w:basedOn w:val="Normal"/>
    <w:next w:val="Normal"/>
    <w:pPr>
      <w:keepNext/>
      <w:spacing w:before="120" w:after="120" w:line="240" w:lineRule="atLeast"/>
      <w:jc w:val="both"/>
    </w:pPr>
    <w:rPr>
      <w:rFonts w:ascii="Century Gothic" w:hAnsi="Century Gothic" w:cs="Times New Roman"/>
      <w:caps/>
      <w:color w:val="333399"/>
      <w:sz w:val="28"/>
    </w:rPr>
  </w:style>
  <w:style w:type="paragraph" w:styleId="TableofAuthorities">
    <w:name w:val="table of authorities"/>
    <w:basedOn w:val="Normal"/>
    <w:next w:val="Normal"/>
    <w:uiPriority w:val="99"/>
    <w:unhideWhenUsed/>
    <w:pPr>
      <w:tabs>
        <w:tab w:val="left" w:pos="1134"/>
        <w:tab w:val="left" w:pos="14173"/>
      </w:tabs>
      <w:spacing w:after="0" w:line="240" w:lineRule="atLeast"/>
      <w:ind w:left="1134" w:hanging="1134"/>
      <w:jc w:val="both"/>
    </w:pPr>
    <w:rPr>
      <w:rFonts w:ascii="Times New Roman" w:hAnsi="Times New Roman" w:cs="Times New Roman"/>
      <w:color w:val="000000"/>
      <w:sz w:val="24"/>
    </w:rPr>
  </w:style>
  <w:style w:type="paragraph" w:customStyle="1" w:styleId="Abbreviation">
    <w:name w:val="Abbreviation"/>
    <w:basedOn w:val="Normal"/>
    <w:pPr>
      <w:spacing w:after="0" w:line="240" w:lineRule="atLeast"/>
      <w:ind w:left="1134" w:hanging="1134"/>
      <w:jc w:val="both"/>
    </w:pPr>
    <w:rPr>
      <w:rFonts w:ascii="Times New Roman" w:hAnsi="Times New Roman" w:cs="Times New Roman"/>
      <w:color w:val="000000"/>
      <w:sz w:val="24"/>
    </w:rPr>
  </w:style>
  <w:style w:type="paragraph" w:customStyle="1" w:styleId="SNText">
    <w:name w:val="SN Text"/>
    <w:basedOn w:val="Normal"/>
    <w:pPr>
      <w:tabs>
        <w:tab w:val="left" w:pos="2268"/>
      </w:tabs>
      <w:spacing w:line="240" w:lineRule="atLeast"/>
      <w:ind w:left="2268"/>
      <w:jc w:val="both"/>
    </w:pPr>
    <w:rPr>
      <w:rFonts w:ascii="Times New Roman" w:hAnsi="Times New Roman" w:cs="Times New Roman"/>
      <w:color w:val="000000"/>
      <w:sz w:val="24"/>
    </w:rPr>
  </w:style>
  <w:style w:type="paragraph" w:customStyle="1" w:styleId="SNSideNote">
    <w:name w:val="SN SideNote"/>
    <w:basedOn w:val="Normal"/>
    <w:next w:val="SNText"/>
    <w:pPr>
      <w:keepNext/>
      <w:framePr w:w="1984" w:h="567" w:hSpace="283" w:wrap="around" w:vAnchor="text" w:hAnchor="margin" w:y="1"/>
      <w:spacing w:line="240" w:lineRule="atLeast"/>
    </w:pPr>
    <w:rPr>
      <w:rFonts w:ascii="Century Gothic" w:hAnsi="Century Gothic" w:cs="Times New Roman"/>
      <w:color w:val="333399"/>
      <w:sz w:val="18"/>
    </w:rPr>
  </w:style>
  <w:style w:type="paragraph" w:customStyle="1" w:styleId="SNNumberedHeading1">
    <w:name w:val="SN Numbered Heading 1"/>
    <w:basedOn w:val="Normal"/>
    <w:next w:val="SNText"/>
    <w:pPr>
      <w:keepNext/>
      <w:tabs>
        <w:tab w:val="left" w:pos="2835"/>
      </w:tabs>
      <w:spacing w:before="200" w:after="240" w:line="240" w:lineRule="atLeast"/>
      <w:ind w:left="2835" w:hanging="567"/>
      <w:jc w:val="both"/>
      <w:outlineLvl w:val="0"/>
    </w:pPr>
    <w:rPr>
      <w:rFonts w:ascii="Century Gothic" w:hAnsi="Century Gothic" w:cs="Times New Roman"/>
      <w:b/>
      <w:caps/>
      <w:color w:val="333399"/>
      <w:sz w:val="18"/>
    </w:rPr>
  </w:style>
  <w:style w:type="paragraph" w:customStyle="1" w:styleId="SNNumberedHeading2">
    <w:name w:val="SN Numbered Heading 2"/>
    <w:basedOn w:val="Normal"/>
    <w:next w:val="SNText"/>
    <w:pPr>
      <w:keepNext/>
      <w:tabs>
        <w:tab w:val="left" w:pos="2835"/>
      </w:tabs>
      <w:spacing w:before="100" w:after="240" w:line="240" w:lineRule="atLeast"/>
      <w:ind w:left="2835" w:hanging="567"/>
      <w:jc w:val="both"/>
      <w:outlineLvl w:val="0"/>
    </w:pPr>
    <w:rPr>
      <w:rFonts w:ascii="Century Gothic" w:hAnsi="Century Gothic" w:cs="Times New Roman"/>
      <w:color w:val="333399"/>
      <w:sz w:val="18"/>
    </w:rPr>
  </w:style>
  <w:style w:type="paragraph" w:customStyle="1" w:styleId="SNNumberedHeading1Top">
    <w:name w:val="SN Numbered Heading 1 Top"/>
    <w:basedOn w:val="SNNumberedHeading1"/>
    <w:next w:val="SNText"/>
    <w:pPr>
      <w:tabs>
        <w:tab w:val="clear" w:pos="2835"/>
      </w:tabs>
      <w:spacing w:before="0"/>
    </w:pPr>
  </w:style>
  <w:style w:type="paragraph" w:customStyle="1" w:styleId="SNNumberedHeading2Top">
    <w:name w:val="SN Numbered Heading 2 Top"/>
    <w:basedOn w:val="SNNumberedHeading2"/>
    <w:next w:val="SNText"/>
    <w:pPr>
      <w:tabs>
        <w:tab w:val="clear" w:pos="2835"/>
      </w:tabs>
      <w:spacing w:before="0"/>
    </w:pPr>
  </w:style>
  <w:style w:type="paragraph" w:customStyle="1" w:styleId="BoxShape">
    <w:name w:val="Box Shape"/>
    <w:basedOn w:val="Normal"/>
    <w:next w:val="Normal"/>
    <w:pPr>
      <w:keepNext/>
      <w:spacing w:before="120" w:after="120" w:line="240" w:lineRule="atLeast"/>
      <w:jc w:val="center"/>
    </w:pPr>
    <w:rPr>
      <w:rFonts w:ascii="Times New Roman" w:hAnsi="Times New Roman" w:cs="Times New Roman"/>
      <w:color w:val="000000"/>
      <w:sz w:val="24"/>
    </w:rPr>
  </w:style>
  <w:style w:type="paragraph" w:customStyle="1" w:styleId="BoxContinueTop">
    <w:name w:val="Box Continue Top"/>
    <w:basedOn w:val="Normal"/>
    <w:next w:val="Normal"/>
    <w:pPr>
      <w:keepNext/>
      <w:spacing w:before="20" w:after="0" w:line="240" w:lineRule="auto"/>
      <w:ind w:left="283"/>
      <w:jc w:val="both"/>
    </w:pPr>
    <w:rPr>
      <w:rFonts w:ascii="Century Gothic" w:hAnsi="Century Gothic" w:cs="Times New Roman"/>
      <w:i/>
      <w:color w:val="333399"/>
      <w:sz w:val="14"/>
    </w:rPr>
  </w:style>
  <w:style w:type="paragraph" w:customStyle="1" w:styleId="BoxContinueBottom">
    <w:name w:val="Box Continue Bottom"/>
    <w:basedOn w:val="Normal"/>
    <w:next w:val="Normal"/>
    <w:pPr>
      <w:spacing w:after="20" w:line="240" w:lineRule="auto"/>
      <w:ind w:right="283"/>
      <w:jc w:val="right"/>
    </w:pPr>
    <w:rPr>
      <w:rFonts w:ascii="Century Gothic" w:hAnsi="Century Gothic" w:cs="Times New Roman"/>
      <w:i/>
      <w:color w:val="333399"/>
      <w:sz w:val="14"/>
    </w:rPr>
  </w:style>
  <w:style w:type="paragraph" w:customStyle="1" w:styleId="TableContinueTop">
    <w:name w:val="Table Continue Top"/>
    <w:basedOn w:val="Normal"/>
    <w:next w:val="Normal"/>
    <w:pPr>
      <w:keepNext/>
      <w:spacing w:before="20" w:after="0" w:line="240" w:lineRule="auto"/>
      <w:ind w:left="283"/>
      <w:jc w:val="both"/>
    </w:pPr>
    <w:rPr>
      <w:rFonts w:ascii="Century Gothic" w:hAnsi="Century Gothic" w:cs="Times New Roman"/>
      <w:i/>
      <w:color w:val="333399"/>
      <w:sz w:val="14"/>
    </w:rPr>
  </w:style>
  <w:style w:type="paragraph" w:customStyle="1" w:styleId="TableContinueBottom">
    <w:name w:val="Table Continue Bottom"/>
    <w:basedOn w:val="Normal"/>
    <w:next w:val="Normal"/>
    <w:pPr>
      <w:spacing w:after="20" w:line="240" w:lineRule="auto"/>
      <w:ind w:right="283"/>
      <w:jc w:val="right"/>
    </w:pPr>
    <w:rPr>
      <w:rFonts w:ascii="Century Gothic" w:hAnsi="Century Gothic" w:cs="Times New Roman"/>
      <w:i/>
      <w:color w:val="333399"/>
      <w:sz w:val="14"/>
    </w:rPr>
  </w:style>
  <w:style w:type="paragraph" w:customStyle="1" w:styleId="BottomTable">
    <w:name w:val="Bottom Table"/>
    <w:basedOn w:val="Normal"/>
    <w:next w:val="Normal"/>
    <w:pPr>
      <w:spacing w:after="0" w:line="240" w:lineRule="auto"/>
    </w:pPr>
    <w:rPr>
      <w:rFonts w:ascii="Times New Roman" w:hAnsi="Times New Roman" w:cs="Times New Roman"/>
      <w:color w:val="000000"/>
      <w:sz w:val="24"/>
    </w:rPr>
  </w:style>
  <w:style w:type="paragraph" w:customStyle="1" w:styleId="DefaultTable">
    <w:name w:val="Default Table"/>
    <w:basedOn w:val="Normal"/>
    <w:next w:val="Normal"/>
    <w:pPr>
      <w:spacing w:after="0" w:line="240" w:lineRule="auto"/>
    </w:pPr>
    <w:rPr>
      <w:rFonts w:ascii="Times New Roman" w:hAnsi="Times New Roman" w:cs="Times New Roman"/>
      <w:color w:val="000000"/>
      <w:sz w:val="24"/>
    </w:rPr>
  </w:style>
  <w:style w:type="paragraph" w:customStyle="1" w:styleId="BottomCenterTable">
    <w:name w:val="Bottom Center Table"/>
    <w:basedOn w:val="Normal"/>
    <w:next w:val="Normal"/>
    <w:pPr>
      <w:spacing w:before="160" w:after="0" w:line="240" w:lineRule="auto"/>
      <w:jc w:val="center"/>
    </w:pPr>
    <w:rPr>
      <w:rFonts w:ascii="Times New Roman" w:hAnsi="Times New Roman" w:cs="Times New Roman"/>
      <w:color w:val="000000"/>
      <w:sz w:val="24"/>
    </w:rPr>
  </w:style>
  <w:style w:type="paragraph" w:customStyle="1" w:styleId="BottomTableRestrictedShape">
    <w:name w:val="Bottom Table Restricted Shape"/>
    <w:basedOn w:val="Normal"/>
    <w:next w:val="Normal"/>
    <w:pPr>
      <w:spacing w:before="160" w:after="0" w:line="240" w:lineRule="auto"/>
      <w:jc w:val="center"/>
    </w:pPr>
    <w:rPr>
      <w:rFonts w:ascii="Times New Roman" w:hAnsi="Times New Roman" w:cs="Times New Roman"/>
      <w:color w:val="000000"/>
      <w:sz w:val="24"/>
    </w:rPr>
  </w:style>
  <w:style w:type="paragraph" w:customStyle="1" w:styleId="GraphTitle">
    <w:name w:val="Graph Title"/>
    <w:basedOn w:val="Normal"/>
    <w:next w:val="Normal"/>
    <w:pPr>
      <w:keepNext/>
      <w:pBdr>
        <w:top w:val="single" w:sz="2" w:space="2" w:color="auto"/>
        <w:bottom w:val="single" w:sz="2" w:space="2" w:color="auto"/>
      </w:pBdr>
      <w:tabs>
        <w:tab w:val="left" w:pos="1020"/>
        <w:tab w:val="left" w:pos="1077"/>
        <w:tab w:val="left" w:pos="1134"/>
      </w:tabs>
      <w:spacing w:after="40" w:line="240" w:lineRule="auto"/>
      <w:ind w:left="1020" w:hanging="1020"/>
    </w:pPr>
    <w:rPr>
      <w:rFonts w:ascii="Century Gothic" w:hAnsi="Century Gothic" w:cs="Times New Roman"/>
      <w:color w:val="333399"/>
      <w:sz w:val="18"/>
    </w:rPr>
  </w:style>
  <w:style w:type="paragraph" w:customStyle="1" w:styleId="GraphSource">
    <w:name w:val="Graph Source"/>
    <w:basedOn w:val="Normal"/>
    <w:pPr>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GraphFootnote">
    <w:name w:val="Graph Footnote"/>
    <w:basedOn w:val="Normal"/>
    <w:pPr>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GraphShape">
    <w:name w:val="Graph Shape"/>
    <w:basedOn w:val="Normal"/>
    <w:next w:val="Normal"/>
    <w:pPr>
      <w:keepNext/>
      <w:spacing w:after="0" w:line="240" w:lineRule="auto"/>
      <w:jc w:val="center"/>
    </w:pPr>
    <w:rPr>
      <w:rFonts w:ascii="Times New Roman" w:hAnsi="Times New Roman" w:cs="Times New Roman"/>
      <w:color w:val="000000"/>
      <w:sz w:val="24"/>
    </w:rPr>
  </w:style>
  <w:style w:type="paragraph" w:customStyle="1" w:styleId="TableTitle">
    <w:name w:val="Table Title"/>
    <w:basedOn w:val="Normal"/>
    <w:next w:val="Normal"/>
    <w:pPr>
      <w:keepNext/>
      <w:pBdr>
        <w:top w:val="single" w:sz="2" w:space="2" w:color="auto"/>
        <w:bottom w:val="single" w:sz="2" w:space="2" w:color="auto"/>
      </w:pBdr>
      <w:tabs>
        <w:tab w:val="left" w:pos="1020"/>
        <w:tab w:val="left" w:pos="1077"/>
        <w:tab w:val="left" w:pos="1134"/>
      </w:tabs>
      <w:spacing w:after="40" w:line="240" w:lineRule="auto"/>
      <w:ind w:left="1020" w:hanging="1020"/>
    </w:pPr>
    <w:rPr>
      <w:rFonts w:ascii="Century Gothic" w:hAnsi="Century Gothic" w:cs="Times New Roman"/>
      <w:color w:val="333399"/>
      <w:sz w:val="18"/>
    </w:rPr>
  </w:style>
  <w:style w:type="paragraph" w:customStyle="1" w:styleId="TableSource">
    <w:name w:val="Table Source"/>
    <w:basedOn w:val="Normal"/>
    <w:pPr>
      <w:keepNext/>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TableFootnote">
    <w:name w:val="Table Footnote"/>
    <w:basedOn w:val="Normal"/>
    <w:pPr>
      <w:keepNext/>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TableShape">
    <w:name w:val="Table Shape"/>
    <w:basedOn w:val="Normal"/>
    <w:next w:val="Normal"/>
    <w:pPr>
      <w:keepNext/>
      <w:spacing w:after="0" w:line="240" w:lineRule="auto"/>
      <w:jc w:val="center"/>
    </w:pPr>
    <w:rPr>
      <w:rFonts w:ascii="Times New Roman" w:hAnsi="Times New Roman" w:cs="Times New Roman"/>
      <w:color w:val="000000"/>
      <w:sz w:val="24"/>
    </w:rPr>
  </w:style>
  <w:style w:type="paragraph" w:customStyle="1" w:styleId="SlimCell">
    <w:name w:val="Slim Cell"/>
    <w:basedOn w:val="Normal"/>
    <w:next w:val="Normal"/>
    <w:pPr>
      <w:spacing w:after="0" w:line="240" w:lineRule="auto"/>
      <w:jc w:val="both"/>
    </w:pPr>
    <w:rPr>
      <w:rFonts w:ascii="Times New Roman" w:hAnsi="Times New Roman" w:cs="Times New Roman"/>
      <w:color w:val="000000"/>
      <w:sz w:val="2"/>
    </w:rPr>
  </w:style>
  <w:style w:type="paragraph" w:customStyle="1" w:styleId="MultipageDelimiter">
    <w:name w:val="Multipage Delimiter"/>
    <w:basedOn w:val="Normal"/>
    <w:next w:val="Normal"/>
    <w:pPr>
      <w:spacing w:after="0" w:line="20" w:lineRule="exact"/>
      <w:jc w:val="both"/>
    </w:pPr>
    <w:rPr>
      <w:rFonts w:ascii="Times New Roman" w:hAnsi="Times New Roman" w:cs="Times New Roman"/>
      <w:color w:val="000000"/>
      <w:sz w:val="2"/>
    </w:rPr>
  </w:style>
  <w:style w:type="paragraph" w:customStyle="1" w:styleId="MapTitle">
    <w:name w:val="Map Title"/>
    <w:basedOn w:val="Normal"/>
    <w:next w:val="Normal"/>
    <w:pPr>
      <w:keepNext/>
      <w:pBdr>
        <w:top w:val="single" w:sz="2" w:space="2" w:color="auto"/>
        <w:bottom w:val="single" w:sz="2" w:space="2" w:color="auto"/>
      </w:pBdr>
      <w:spacing w:after="40" w:line="240" w:lineRule="auto"/>
      <w:ind w:left="935" w:hanging="935"/>
    </w:pPr>
    <w:rPr>
      <w:rFonts w:ascii="Century Gothic" w:hAnsi="Century Gothic" w:cs="Times New Roman"/>
      <w:color w:val="333399"/>
      <w:sz w:val="18"/>
    </w:rPr>
  </w:style>
  <w:style w:type="paragraph" w:customStyle="1" w:styleId="MapShape">
    <w:name w:val="Map Shape"/>
    <w:basedOn w:val="Normal"/>
    <w:next w:val="Normal"/>
    <w:pPr>
      <w:keepNext/>
      <w:spacing w:after="0" w:line="240" w:lineRule="auto"/>
      <w:jc w:val="center"/>
    </w:pPr>
    <w:rPr>
      <w:rFonts w:ascii="Times New Roman" w:hAnsi="Times New Roman" w:cs="Times New Roman"/>
      <w:color w:val="000000"/>
      <w:sz w:val="24"/>
    </w:rPr>
  </w:style>
  <w:style w:type="paragraph" w:customStyle="1" w:styleId="MapSource">
    <w:name w:val="Map Source"/>
    <w:basedOn w:val="Normal"/>
    <w:pPr>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MapFootnote">
    <w:name w:val="Map Footnote"/>
    <w:basedOn w:val="Normal"/>
    <w:pPr>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Abstract">
    <w:name w:val="Abstract"/>
    <w:basedOn w:val="Normal"/>
    <w:pPr>
      <w:framePr w:w="8504" w:wrap="around" w:vAnchor="text" w:hAnchor="text" w:y="1"/>
      <w:spacing w:after="240" w:line="240" w:lineRule="atLeast"/>
      <w:ind w:left="57" w:right="57"/>
      <w:jc w:val="both"/>
    </w:pPr>
    <w:rPr>
      <w:rFonts w:ascii="Times New Roman" w:hAnsi="Times New Roman" w:cs="Times New Roman"/>
      <w:i/>
      <w:color w:val="000000"/>
      <w:sz w:val="24"/>
    </w:rPr>
  </w:style>
  <w:style w:type="paragraph" w:customStyle="1" w:styleId="EPKitHiddenFrame">
    <w:name w:val="EPKit Hidden Frame"/>
    <w:basedOn w:val="Normal"/>
    <w:next w:val="Normal"/>
    <w:pPr>
      <w:framePr w:w="11" w:h="11" w:hRule="exact" w:wrap="around" w:vAnchor="page" w:hAnchor="page" w:yAlign="top"/>
      <w:spacing w:after="240" w:line="240" w:lineRule="atLeast"/>
      <w:jc w:val="both"/>
    </w:pPr>
    <w:rPr>
      <w:rFonts w:ascii="Times New Roman" w:hAnsi="Times New Roman" w:cs="Times New Roman"/>
      <w:color w:val="000000"/>
      <w:sz w:val="24"/>
    </w:rPr>
  </w:style>
  <w:style w:type="paragraph" w:styleId="TOC4">
    <w:name w:val="toc 4"/>
    <w:basedOn w:val="Normal"/>
    <w:next w:val="Normal"/>
    <w:autoRedefine/>
    <w:uiPriority w:val="39"/>
    <w:unhideWhenUsed/>
    <w:pPr>
      <w:tabs>
        <w:tab w:val="left" w:pos="1644"/>
        <w:tab w:val="right" w:pos="8504"/>
      </w:tabs>
      <w:spacing w:after="0" w:line="240" w:lineRule="atLeast"/>
      <w:ind w:left="1531" w:right="425" w:hanging="567"/>
    </w:pPr>
    <w:rPr>
      <w:rFonts w:ascii="Century Gothic" w:hAnsi="Century Gothic" w:cs="Times New Roman"/>
      <w:color w:val="333399"/>
      <w:sz w:val="16"/>
    </w:rPr>
  </w:style>
  <w:style w:type="paragraph" w:customStyle="1" w:styleId="SectionTitleTop">
    <w:name w:val="Section Title Top"/>
    <w:basedOn w:val="SectionTitle"/>
    <w:pPr>
      <w:tabs>
        <w:tab w:val="right" w:pos="8504"/>
      </w:tabs>
      <w:spacing w:before="800"/>
    </w:pPr>
  </w:style>
  <w:style w:type="paragraph" w:styleId="Header">
    <w:name w:val="header"/>
    <w:basedOn w:val="Normal"/>
    <w:link w:val="HeaderChar"/>
    <w:uiPriority w:val="99"/>
    <w:unhideWhenUsed/>
    <w:pPr>
      <w:tabs>
        <w:tab w:val="center" w:pos="4513"/>
        <w:tab w:val="right" w:pos="9026"/>
      </w:tabs>
      <w:spacing w:after="0" w:line="240" w:lineRule="auto"/>
      <w:jc w:val="both"/>
    </w:pPr>
    <w:rPr>
      <w:rFonts w:ascii="Times New Roman" w:eastAsia="Times New Roman" w:hAnsi="Times New Roman" w:cs="Times New Roman"/>
      <w:color w:val="000000"/>
      <w:sz w:val="24"/>
      <w:szCs w:val="24"/>
    </w:r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4"/>
      <w:szCs w:val="24"/>
    </w:rPr>
  </w:style>
  <w:style w:type="paragraph" w:customStyle="1" w:styleId="EPKitTCFrame">
    <w:name w:val="EPKit TC Frame"/>
    <w:basedOn w:val="Normal"/>
    <w:link w:val="EPKitTCFrameChar"/>
    <w:pPr>
      <w:spacing w:after="240" w:line="240" w:lineRule="atLeast"/>
      <w:jc w:val="both"/>
    </w:pPr>
    <w:rPr>
      <w:rFonts w:ascii="Times New Roman" w:hAnsi="Times New Roman" w:cs="Times New Roman"/>
      <w:vanish/>
      <w:color w:val="000000"/>
      <w:sz w:val="20"/>
    </w:rPr>
  </w:style>
  <w:style w:type="character" w:customStyle="1" w:styleId="EPKitTCFrameChar">
    <w:name w:val="EPKit TC Frame Char"/>
    <w:basedOn w:val="DefaultParagraphFont"/>
    <w:link w:val="EPKitTCFrame"/>
    <w:rPr>
      <w:rFonts w:ascii="Times New Roman" w:hAnsi="Times New Roman" w:cs="Times New Roman"/>
      <w:vanish/>
      <w:color w:val="000000"/>
      <w:sz w:val="20"/>
    </w:rPr>
  </w:style>
  <w:style w:type="character" w:styleId="Hyperlink">
    <w:name w:val="Hyperlink"/>
    <w:basedOn w:val="DefaultParagraphFont"/>
    <w:uiPriority w:val="99"/>
    <w:unhideWhenUsed/>
    <w:rPr>
      <w:color w:val="0000FF" w:themeColor="hyperlink"/>
      <w:u w:val="single"/>
    </w:rPr>
  </w:style>
  <w:style w:type="character" w:customStyle="1" w:styleId="NumberedHeading1Char">
    <w:name w:val="Numbered Heading 1 Char"/>
    <w:basedOn w:val="DefaultParagraphFont"/>
    <w:link w:val="NumberedHeading1"/>
    <w:rPr>
      <w:rFonts w:ascii="Century Gothic" w:hAnsi="Century Gothic" w:cs="Times New Roman"/>
      <w:b/>
      <w:caps/>
      <w:color w:val="333399"/>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character" w:customStyle="1" w:styleId="HeadingChar">
    <w:name w:val="Heading Char"/>
    <w:basedOn w:val="DefaultParagraphFont"/>
    <w:link w:val="Heading"/>
    <w:rPr>
      <w:rFonts w:ascii="Century Gothic" w:hAnsi="Century Gothic" w:cs="Times New Roman"/>
      <w:b/>
      <w:color w:val="333399"/>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paragraph" w:styleId="BalloonText">
    <w:name w:val="Balloon Text"/>
    <w:basedOn w:val="Normal"/>
    <w:link w:val="BalloonTextChar"/>
    <w:uiPriority w:val="99"/>
    <w:semiHidden/>
    <w:unhideWhenUsed/>
    <w:pPr>
      <w:spacing w:after="0" w:line="240" w:lineRule="auto"/>
      <w:jc w:val="both"/>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Pr>
      <w:rFonts w:ascii="Segoe UI" w:hAnsi="Segoe UI" w:cs="Segoe UI"/>
      <w:color w:val="000000"/>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240" w:line="240" w:lineRule="auto"/>
      <w:jc w:val="both"/>
    </w:pPr>
    <w:rPr>
      <w:rFonts w:ascii="Times New Roman" w:hAnsi="Times New Roman" w:cs="Times New Roman"/>
      <w:color w:val="000000"/>
      <w:sz w:val="24"/>
      <w:szCs w:val="20"/>
    </w:rPr>
  </w:style>
  <w:style w:type="character" w:customStyle="1" w:styleId="CommentTextChar">
    <w:name w:val="Comment Text Char"/>
    <w:basedOn w:val="DefaultParagraphFont"/>
    <w:link w:val="CommentText"/>
    <w:uiPriority w:val="99"/>
    <w:semiHidden/>
    <w:rPr>
      <w:rFonts w:ascii="Times New Roman" w:hAnsi="Times New Roman" w:cs="Times New Roman"/>
      <w:color w:val="000000"/>
      <w:sz w:val="24"/>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color w:val="000000"/>
      <w:sz w:val="24"/>
      <w:szCs w:val="20"/>
    </w:rPr>
  </w:style>
  <w:style w:type="paragraph" w:styleId="Revision">
    <w:name w:val="Revision"/>
    <w:hidden/>
    <w:uiPriority w:val="99"/>
    <w:semiHidden/>
    <w:pPr>
      <w:spacing w:after="0" w:line="240" w:lineRule="auto"/>
    </w:pPr>
    <w:rPr>
      <w:rFonts w:ascii="Times New Roman" w:hAnsi="Times New Roman" w:cs="Times New Roman"/>
      <w:color w:val="000000"/>
      <w:sz w:val="20"/>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16 Point,R"/>
    <w:basedOn w:val="Normal"/>
    <w:uiPriority w:val="99"/>
    <w:pPr>
      <w:spacing w:after="160" w:line="240" w:lineRule="exact"/>
    </w:pPr>
    <w:rPr>
      <w:vertAlign w:val="superscript"/>
      <w:lang w:val="en-U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pPr>
      <w:spacing w:after="240" w:line="240" w:lineRule="atLeast"/>
      <w:ind w:left="720"/>
      <w:contextualSpacing/>
      <w:jc w:val="both"/>
    </w:pPr>
    <w:rPr>
      <w:rFonts w:ascii="Times New Roman" w:eastAsia="Times New Roman" w:hAnsi="Times New Roman" w:cs="Times New Roman"/>
      <w:color w:val="000000"/>
      <w:sz w:val="24"/>
      <w:szCs w:val="24"/>
    </w:rPr>
  </w:style>
  <w:style w:type="table" w:customStyle="1" w:styleId="TableGrid18">
    <w:name w:val="Table Grid18"/>
    <w:basedOn w:val="TableNormal"/>
    <w:uiPriority w:val="59"/>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117" Type="http://schemas.openxmlformats.org/officeDocument/2006/relationships/header" Target="header48.xml"/><Relationship Id="rId21" Type="http://schemas.openxmlformats.org/officeDocument/2006/relationships/hyperlink" Target="mailto:ECFIN-GREECE-REQUESTS@ec.europa.eu" TargetMode="External"/><Relationship Id="rId42" Type="http://schemas.openxmlformats.org/officeDocument/2006/relationships/footer" Target="footer16.xml"/><Relationship Id="rId47" Type="http://schemas.openxmlformats.org/officeDocument/2006/relationships/image" Target="media/image3.emf"/><Relationship Id="rId63" Type="http://schemas.openxmlformats.org/officeDocument/2006/relationships/header" Target="header25.xml"/><Relationship Id="rId68" Type="http://schemas.openxmlformats.org/officeDocument/2006/relationships/footer" Target="footer27.xml"/><Relationship Id="rId84" Type="http://schemas.openxmlformats.org/officeDocument/2006/relationships/footer" Target="footer33.xml"/><Relationship Id="rId89" Type="http://schemas.openxmlformats.org/officeDocument/2006/relationships/header" Target="header36.xml"/><Relationship Id="rId112" Type="http://schemas.openxmlformats.org/officeDocument/2006/relationships/hyperlink" Target="https://www.consilium.europa.eu/media/35749/z-councils-council-configurations-ecofin-eurogroup-2018-180621-specific-commitments-to-ensure-the-continuity-and-completion-of-reforms-adopted-under-the-esm-programme_2.pdf" TargetMode="External"/><Relationship Id="rId16" Type="http://schemas.openxmlformats.org/officeDocument/2006/relationships/header" Target="header5.xml"/><Relationship Id="rId107" Type="http://schemas.openxmlformats.org/officeDocument/2006/relationships/footer" Target="footer43.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footer" Target="footer21.xml"/><Relationship Id="rId58" Type="http://schemas.openxmlformats.org/officeDocument/2006/relationships/header" Target="header23.xml"/><Relationship Id="rId66" Type="http://schemas.openxmlformats.org/officeDocument/2006/relationships/footer" Target="footer26.xml"/><Relationship Id="rId74" Type="http://schemas.openxmlformats.org/officeDocument/2006/relationships/header" Target="header29.xml"/><Relationship Id="rId79" Type="http://schemas.openxmlformats.org/officeDocument/2006/relationships/header" Target="header31.xml"/><Relationship Id="rId87" Type="http://schemas.openxmlformats.org/officeDocument/2006/relationships/footer" Target="footer34.xml"/><Relationship Id="rId102" Type="http://schemas.openxmlformats.org/officeDocument/2006/relationships/footer" Target="footer41.xml"/><Relationship Id="rId110" Type="http://schemas.openxmlformats.org/officeDocument/2006/relationships/footer" Target="footer45.xml"/><Relationship Id="rId115" Type="http://schemas.openxmlformats.org/officeDocument/2006/relationships/footer" Target="footer46.xml"/><Relationship Id="rId5" Type="http://schemas.openxmlformats.org/officeDocument/2006/relationships/webSettings" Target="webSettings.xml"/><Relationship Id="rId61" Type="http://schemas.openxmlformats.org/officeDocument/2006/relationships/header" Target="header24.xml"/><Relationship Id="rId82" Type="http://schemas.openxmlformats.org/officeDocument/2006/relationships/footer" Target="footer32.xml"/><Relationship Id="rId90" Type="http://schemas.openxmlformats.org/officeDocument/2006/relationships/footer" Target="footer36.xml"/><Relationship Id="rId95" Type="http://schemas.openxmlformats.org/officeDocument/2006/relationships/header" Target="header39.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header" Target="header19.xml"/><Relationship Id="rId56" Type="http://schemas.openxmlformats.org/officeDocument/2006/relationships/image" Target="media/image6.emf"/><Relationship Id="rId64" Type="http://schemas.openxmlformats.org/officeDocument/2006/relationships/header" Target="header26.xml"/><Relationship Id="rId69" Type="http://schemas.openxmlformats.org/officeDocument/2006/relationships/image" Target="media/image7.emf"/><Relationship Id="rId77" Type="http://schemas.openxmlformats.org/officeDocument/2006/relationships/header" Target="header30.xml"/><Relationship Id="rId100" Type="http://schemas.openxmlformats.org/officeDocument/2006/relationships/header" Target="header41.xml"/><Relationship Id="rId105" Type="http://schemas.openxmlformats.org/officeDocument/2006/relationships/header" Target="header43.xml"/><Relationship Id="rId113" Type="http://schemas.openxmlformats.org/officeDocument/2006/relationships/header" Target="header46.xml"/><Relationship Id="rId118" Type="http://schemas.openxmlformats.org/officeDocument/2006/relationships/footer" Target="footer48.xml"/><Relationship Id="rId8" Type="http://schemas.openxmlformats.org/officeDocument/2006/relationships/image" Target="media/image1.emf"/><Relationship Id="rId51" Type="http://schemas.openxmlformats.org/officeDocument/2006/relationships/footer" Target="footer20.xml"/><Relationship Id="rId72" Type="http://schemas.openxmlformats.org/officeDocument/2006/relationships/image" Target="media/image10.emf"/><Relationship Id="rId80" Type="http://schemas.openxmlformats.org/officeDocument/2006/relationships/header" Target="header32.xml"/><Relationship Id="rId85" Type="http://schemas.openxmlformats.org/officeDocument/2006/relationships/header" Target="header34.xml"/><Relationship Id="rId93" Type="http://schemas.openxmlformats.org/officeDocument/2006/relationships/footer" Target="footer37.xml"/><Relationship Id="rId98" Type="http://schemas.openxmlformats.org/officeDocument/2006/relationships/image" Target="media/image12.emf"/><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image" Target="media/image2.emf"/><Relationship Id="rId59" Type="http://schemas.openxmlformats.org/officeDocument/2006/relationships/footer" Target="footer22.xml"/><Relationship Id="rId67" Type="http://schemas.openxmlformats.org/officeDocument/2006/relationships/header" Target="header27.xml"/><Relationship Id="rId103" Type="http://schemas.openxmlformats.org/officeDocument/2006/relationships/header" Target="header42.xml"/><Relationship Id="rId108" Type="http://schemas.openxmlformats.org/officeDocument/2006/relationships/footer" Target="footer44.xml"/><Relationship Id="rId116" Type="http://schemas.openxmlformats.org/officeDocument/2006/relationships/footer" Target="footer47.xml"/><Relationship Id="rId20" Type="http://schemas.openxmlformats.org/officeDocument/2006/relationships/footer" Target="footer6.xml"/><Relationship Id="rId41" Type="http://schemas.openxmlformats.org/officeDocument/2006/relationships/header" Target="header17.xml"/><Relationship Id="rId54" Type="http://schemas.openxmlformats.org/officeDocument/2006/relationships/image" Target="media/image4.jpg"/><Relationship Id="rId62" Type="http://schemas.openxmlformats.org/officeDocument/2006/relationships/footer" Target="footer24.xml"/><Relationship Id="rId70" Type="http://schemas.openxmlformats.org/officeDocument/2006/relationships/image" Target="media/image8.emf"/><Relationship Id="rId75" Type="http://schemas.openxmlformats.org/officeDocument/2006/relationships/footer" Target="footer28.xml"/><Relationship Id="rId83" Type="http://schemas.openxmlformats.org/officeDocument/2006/relationships/header" Target="header33.xml"/><Relationship Id="rId88" Type="http://schemas.openxmlformats.org/officeDocument/2006/relationships/footer" Target="footer35.xml"/><Relationship Id="rId91" Type="http://schemas.openxmlformats.org/officeDocument/2006/relationships/header" Target="header37.xml"/><Relationship Id="rId96" Type="http://schemas.openxmlformats.org/officeDocument/2006/relationships/footer" Target="footer39.xml"/><Relationship Id="rId111" Type="http://schemas.openxmlformats.org/officeDocument/2006/relationships/hyperlink" Target="https://www.consilium.europa.eu/media/35749/z-councils-council-configurations-ecofin-eurogroup-2018-180621-specific-commitments-to-ensure-the-continuity-and-completion-of-reforms-adopted-under-the-esm-programme_2.pdf"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header" Target="header20.xml"/><Relationship Id="rId57" Type="http://schemas.openxmlformats.org/officeDocument/2006/relationships/header" Target="header22.xml"/><Relationship Id="rId106" Type="http://schemas.openxmlformats.org/officeDocument/2006/relationships/header" Target="header44.xml"/><Relationship Id="rId114" Type="http://schemas.openxmlformats.org/officeDocument/2006/relationships/header" Target="header47.xml"/><Relationship Id="rId119"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1.xml"/><Relationship Id="rId60" Type="http://schemas.openxmlformats.org/officeDocument/2006/relationships/footer" Target="footer23.xml"/><Relationship Id="rId65" Type="http://schemas.openxmlformats.org/officeDocument/2006/relationships/footer" Target="footer25.xml"/><Relationship Id="rId73" Type="http://schemas.openxmlformats.org/officeDocument/2006/relationships/header" Target="header28.xml"/><Relationship Id="rId78" Type="http://schemas.openxmlformats.org/officeDocument/2006/relationships/footer" Target="footer30.xml"/><Relationship Id="rId81" Type="http://schemas.openxmlformats.org/officeDocument/2006/relationships/footer" Target="footer31.xml"/><Relationship Id="rId86" Type="http://schemas.openxmlformats.org/officeDocument/2006/relationships/header" Target="header35.xml"/><Relationship Id="rId94" Type="http://schemas.openxmlformats.org/officeDocument/2006/relationships/footer" Target="footer38.xml"/><Relationship Id="rId99" Type="http://schemas.openxmlformats.org/officeDocument/2006/relationships/header" Target="header40.xml"/><Relationship Id="rId101"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footer" Target="footer15.xml"/><Relationship Id="rId109" Type="http://schemas.openxmlformats.org/officeDocument/2006/relationships/header" Target="header45.xml"/><Relationship Id="rId34" Type="http://schemas.openxmlformats.org/officeDocument/2006/relationships/header" Target="header13.xml"/><Relationship Id="rId50" Type="http://schemas.openxmlformats.org/officeDocument/2006/relationships/footer" Target="footer19.xml"/><Relationship Id="rId55" Type="http://schemas.openxmlformats.org/officeDocument/2006/relationships/image" Target="media/image5.emf"/><Relationship Id="rId76" Type="http://schemas.openxmlformats.org/officeDocument/2006/relationships/footer" Target="footer29.xml"/><Relationship Id="rId97" Type="http://schemas.openxmlformats.org/officeDocument/2006/relationships/image" Target="media/image11.emf"/><Relationship Id="rId104" Type="http://schemas.openxmlformats.org/officeDocument/2006/relationships/footer" Target="footer42.xm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9.emf"/><Relationship Id="rId92" Type="http://schemas.openxmlformats.org/officeDocument/2006/relationships/header" Target="header38.xml"/><Relationship Id="rId2" Type="http://schemas.openxmlformats.org/officeDocument/2006/relationships/styles" Target="styles.xml"/><Relationship Id="rId29" Type="http://schemas.openxmlformats.org/officeDocument/2006/relationships/header" Target="header1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sites/info/files/economy-finance/c_2018_8016_el_en.pdf" TargetMode="External"/><Relationship Id="rId2" Type="http://schemas.openxmlformats.org/officeDocument/2006/relationships/hyperlink" Target="https://ec.europa.eu/info/sites/info/files/economy-finance/ip116_en.pdf" TargetMode="External"/><Relationship Id="rId1" Type="http://schemas.openxmlformats.org/officeDocument/2006/relationships/hyperlink" Target="https://www.consilium.europa.eu/media/35749/z-councils-council-configurations-ecofin-eurogroup-2018-180621-specific-commitments-to-ensure-the-continuity-and-completion-of-reforms-adopted-under-the-esm-programme_2.pdf" TargetMode="External"/><Relationship Id="rId4" Type="http://schemas.openxmlformats.org/officeDocument/2006/relationships/hyperlink" Target="https://www.consilium.europa.eu/en/press/press-releases/2019/12/04/eurogroup-statement-on-greece-of-4-december-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30031</Words>
  <Characters>165775</Characters>
  <Application>Microsoft Office Word</Application>
  <DocSecurity>0</DocSecurity>
  <Lines>2673</Lines>
  <Paragraphs>533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16</cp:revision>
  <dcterms:created xsi:type="dcterms:W3CDTF">2020-02-21T15:37:00Z</dcterms:created>
  <dcterms:modified xsi:type="dcterms:W3CDTF">2020-02-24T16:35:00Z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CP-025</vt:lpwstr>
  </property>
  <property fmtid="{D5CDD505-2E9C-101B-9397-08002B2CF9AE}" pid="7" name="Last edited using">
    <vt:lpwstr>LW 7.0.1, Build 20190916</vt:lpwstr>
  </property>
  <property fmtid="{D5CDD505-2E9C-101B-9397-08002B2CF9AE}" pid="8" name="Created using">
    <vt:lpwstr>LW 7.0.1, Build 20190916</vt:lpwstr>
  </property>
</Properties>
</file>