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CB8AEEB7-4773-44EC-9D4C-80113758DC3E" style="width:451.25pt;height:379.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да бъде заета от името на Съюза в рамките на Международния съвет по зърното</w:t>
      </w:r>
      <w:r>
        <w:t xml:space="preserve"> </w:t>
      </w:r>
      <w:r>
        <w:rPr>
          <w:noProof/>
        </w:rPr>
        <w:t xml:space="preserve">във връзка с присъединяването на Република Сърбия към </w:t>
      </w:r>
      <w:r>
        <w:rPr>
          <w:b/>
          <w:noProof/>
        </w:rPr>
        <w:t>Конвенцията за търговията със зърно от 1995 г.</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Конвенцията за търговията със зърно от 1995 г.</w:t>
      </w:r>
    </w:p>
    <w:p>
      <w:pPr>
        <w:rPr>
          <w:rFonts w:eastAsia="Arial Unicode MS"/>
          <w:noProof/>
        </w:rPr>
      </w:pPr>
      <w:r>
        <w:rPr>
          <w:noProof/>
        </w:rPr>
        <w:t>С Конвенцията за търговията със зърно от 1995 г. (наричана по-долу „Конвенцията“) се цели да се задълбочи международното сътрудничество във всички аспекти на търговията със зърно, да се насърчи разширяването на международната търговия със зърно и да се осигури възможно най-свободно протичане на тази търговия. Освен това с Конвенцията се цели да се допринесе възможно най-пълно за стабилността на международните пазари на зърно в интерес на всички членове, да се засили продоволствената сигурност в световен мащаб и да се предостави форум за обмен на информация и обсъждане на въпросите и опасенията на членовете във връзка с търговията със зърно.</w:t>
      </w:r>
    </w:p>
    <w:p>
      <w:pPr>
        <w:rPr>
          <w:rFonts w:eastAsia="Arial Unicode MS"/>
          <w:noProof/>
        </w:rPr>
      </w:pPr>
      <w:r>
        <w:rPr>
          <w:noProof/>
        </w:rPr>
        <w:t>Конвенцията влезе в сила на 1 юли 1995 г.</w:t>
      </w:r>
    </w:p>
    <w:p>
      <w:pPr>
        <w:rPr>
          <w:rFonts w:eastAsia="Arial Unicode MS"/>
          <w:noProof/>
        </w:rPr>
      </w:pPr>
      <w:r>
        <w:rPr>
          <w:noProof/>
        </w:rPr>
        <w:t>Съюзът е страна по Конвенцията</w:t>
      </w:r>
      <w:r>
        <w:rPr>
          <w:rStyle w:val="FootnoteReference"/>
          <w:noProof/>
        </w:rPr>
        <w:footnoteReference w:id="1"/>
      </w:r>
      <w:r>
        <w:rPr>
          <w:noProof/>
        </w:rPr>
        <w:t>.</w:t>
      </w:r>
    </w:p>
    <w:p>
      <w:pPr>
        <w:pStyle w:val="ManualHeading2"/>
        <w:rPr>
          <w:noProof/>
        </w:rPr>
      </w:pPr>
      <w:r>
        <w:t>2.2.</w:t>
      </w:r>
      <w:r>
        <w:tab/>
      </w:r>
      <w:r>
        <w:rPr>
          <w:noProof/>
        </w:rPr>
        <w:t>Международен съвет по зърното</w:t>
      </w:r>
    </w:p>
    <w:p>
      <w:pPr>
        <w:rPr>
          <w:rFonts w:eastAsia="Arial Unicode MS"/>
          <w:noProof/>
        </w:rPr>
      </w:pPr>
      <w:r>
        <w:rPr>
          <w:noProof/>
        </w:rPr>
        <w:t>Международният съвет по зърното („МСЗ“) е междуправителствена организация, която работи за постигането на целите по член 1 на Конвенцията. По-специално, МСЗ има за цел:</w:t>
      </w:r>
    </w:p>
    <w:p>
      <w:pPr>
        <w:pStyle w:val="Point0"/>
        <w:rPr>
          <w:noProof/>
        </w:rPr>
      </w:pPr>
      <w:r>
        <w:rPr>
          <w:noProof/>
        </w:rPr>
        <w:t>а)</w:t>
      </w:r>
      <w:r>
        <w:rPr>
          <w:noProof/>
        </w:rPr>
        <w:tab/>
        <w:t>да развива международното сътрудничество във всички аспекти на търговията със зърно;</w:t>
      </w:r>
    </w:p>
    <w:p>
      <w:pPr>
        <w:pStyle w:val="Point0"/>
        <w:rPr>
          <w:noProof/>
        </w:rPr>
      </w:pPr>
      <w:r>
        <w:rPr>
          <w:noProof/>
        </w:rPr>
        <w:t>б)</w:t>
      </w:r>
      <w:r>
        <w:rPr>
          <w:noProof/>
        </w:rPr>
        <w:tab/>
        <w:t>да насърчава разширяването, откритостта и справедливостта на международната търговия в сектора на зърнените храни;</w:t>
      </w:r>
    </w:p>
    <w:p>
      <w:pPr>
        <w:pStyle w:val="Point0"/>
        <w:rPr>
          <w:noProof/>
        </w:rPr>
      </w:pPr>
      <w:r>
        <w:rPr>
          <w:noProof/>
        </w:rPr>
        <w:t>в)</w:t>
      </w:r>
      <w:r>
        <w:rPr>
          <w:noProof/>
        </w:rPr>
        <w:tab/>
        <w:t>да съдейства за стабилността на международния пазар на зърнени храни, да повишава продоволствената сигурност в световен мащаб и да допринася за развитието на държавите, чиито икономики са силно зависими от търговските продажби на зърно;</w:t>
      </w:r>
    </w:p>
    <w:p>
      <w:pPr>
        <w:rPr>
          <w:rFonts w:eastAsia="Arial Unicode MS"/>
          <w:noProof/>
        </w:rPr>
      </w:pPr>
      <w:r>
        <w:rPr>
          <w:noProof/>
        </w:rPr>
        <w:t>За постигането на тези цели се работи посредством подобряване на прозрачността на пазара чрез обмен на информация, анализ и консултации относно развитието на пазара на зърнени храни и на политиката в тази област.</w:t>
      </w:r>
    </w:p>
    <w:p>
      <w:pPr>
        <w:rPr>
          <w:noProof/>
        </w:rPr>
      </w:pPr>
      <w:r>
        <w:rPr>
          <w:noProof/>
        </w:rPr>
        <w:t xml:space="preserve">Понастоящем в МСЗ членуват 28 държави и организации. Сред тях фигурират много от най-едрите производители и вносители на зърнени култури в света. Освен ЕС, членове на МСЗ са Аржентина, Австралия, Канада, Египет, Индия, Япония, Русия, Украйна и САЩ, наред с други държави. Китай и Бразилия, обаче, не са членове. </w:t>
      </w:r>
    </w:p>
    <w:p>
      <w:pPr>
        <w:rPr>
          <w:noProof/>
        </w:rPr>
      </w:pPr>
      <w:r>
        <w:rPr>
          <w:noProof/>
        </w:rPr>
        <w:t xml:space="preserve">28-те членове на МСЗ имат общо 2000 гласа. </w:t>
      </w:r>
    </w:p>
    <w:p>
      <w:pPr>
        <w:rPr>
          <w:noProof/>
        </w:rPr>
      </w:pPr>
      <w:r>
        <w:rPr>
          <w:noProof/>
        </w:rPr>
        <w:lastRenderedPageBreak/>
        <w:t>За бюджетните процедури (член 11 от Конвенцията), т.е. за определянето на годишните вноски от членовете, през 2019/20 ЕС разполага с 372 гласа</w:t>
      </w:r>
      <w:r>
        <w:rPr>
          <w:rStyle w:val="FootnoteReference"/>
          <w:noProof/>
        </w:rPr>
        <w:footnoteReference w:id="2"/>
      </w:r>
      <w:r>
        <w:rPr>
          <w:noProof/>
        </w:rPr>
        <w:t xml:space="preserve">. </w:t>
      </w:r>
    </w:p>
    <w:p>
      <w:pPr>
        <w:rPr>
          <w:noProof/>
          <w:highlight w:val="yellow"/>
        </w:rPr>
      </w:pPr>
      <w:r>
        <w:rPr>
          <w:noProof/>
        </w:rPr>
        <w:t>За целите на вземането на решения, т.е. когато се провежда гласуване (вж. член 12 от Конвенцията), са разпределени 1000 гласа за 10-те членове износители (в това число 245-те гласа на Съюза) и 1000 гласа — за 18-те членове вносители. Трябва да се подчертае, че по принцип МСЗ работи с консенсус и много рядко се случва в действителност да бъде проведено гласуване.</w:t>
      </w:r>
    </w:p>
    <w:p>
      <w:pPr>
        <w:rPr>
          <w:rFonts w:eastAsia="Arial Unicode MS"/>
          <w:noProof/>
        </w:rPr>
      </w:pPr>
      <w:r>
        <w:rPr>
          <w:noProof/>
        </w:rPr>
        <w:t>На заседанията на МСЗ Съюзът се представлява от Комисията. Държавите членки могат да присъстват на срещите на МСЗ, и по-специално на заседанията на Съвета.</w:t>
      </w:r>
    </w:p>
    <w:p>
      <w:pPr>
        <w:pStyle w:val="ManualHeading2"/>
        <w:rPr>
          <w:noProof/>
        </w:rPr>
      </w:pPr>
      <w:r>
        <w:t>2.3.</w:t>
      </w:r>
      <w:r>
        <w:tab/>
      </w:r>
      <w:r>
        <w:rPr>
          <w:noProof/>
        </w:rPr>
        <w:t>Предвиден акт</w:t>
      </w:r>
      <w:r>
        <w:t xml:space="preserve"> </w:t>
      </w:r>
      <w:r>
        <w:rPr>
          <w:noProof/>
        </w:rPr>
        <w:t>на Международния съвет по зърното</w:t>
      </w:r>
    </w:p>
    <w:p>
      <w:pPr>
        <w:rPr>
          <w:rFonts w:eastAsia="Arial Unicode MS"/>
          <w:noProof/>
        </w:rPr>
      </w:pPr>
      <w:r>
        <w:rPr>
          <w:noProof/>
        </w:rPr>
        <w:t>На 23 януари 2020 г. Република Сърбия</w:t>
      </w:r>
      <w:r>
        <w:rPr>
          <w:rStyle w:val="FootnoteReference"/>
          <w:noProof/>
        </w:rPr>
        <w:footnoteReference w:id="3"/>
      </w:r>
      <w:r>
        <w:rPr>
          <w:noProof/>
        </w:rPr>
        <w:t xml:space="preserve"> официално подаде молба за присъединяване към Конвенцията. На 27 януари 2020 г. секретариатът на МСЗ информира членовете си относно кандидатурата на Република Сърбия.</w:t>
      </w:r>
    </w:p>
    <w:p>
      <w:pPr>
        <w:rPr>
          <w:rFonts w:eastAsia="Arial Unicode MS"/>
          <w:noProof/>
        </w:rPr>
      </w:pPr>
      <w:r>
        <w:rPr>
          <w:noProof/>
        </w:rPr>
        <w:t xml:space="preserve">Съгласно член 27, параграф 2 от Конвенцията присъединяването е отворено за правителствата на всички държави, при условията, които МСЗ счете за целесъобразни. В съответствие с член 33, буква г) от Правилника за дейността съгласно Конвенцията относно търговията със зърнени култури („Процедурен правилник“), Административният комитет разглежда и предлага на вниманието на МСЗ молби за присъединяване съгласно член 27, параграф 2. </w:t>
      </w:r>
    </w:p>
    <w:p>
      <w:pPr>
        <w:rPr>
          <w:rFonts w:eastAsia="Arial Unicode MS"/>
          <w:noProof/>
        </w:rPr>
      </w:pPr>
      <w:r>
        <w:rPr>
          <w:noProof/>
        </w:rPr>
        <w:t xml:space="preserve">Броят на гласовете, с които разполага присъединяващата се страна за целите на член 11 от Конвенцията (т.е. годишното финансово участие на членовете), се определят от дела на общата търговия със зърно на присъединяващите се страни в общата търговия със зърно на всички страни членки на МСЗ, в съответствие с член 33, буква б) от Правилника за дейността. </w:t>
      </w:r>
    </w:p>
    <w:p>
      <w:pPr>
        <w:rPr>
          <w:rFonts w:eastAsia="Arial Unicode MS"/>
          <w:noProof/>
        </w:rPr>
      </w:pPr>
      <w:r>
        <w:rPr>
          <w:noProof/>
        </w:rPr>
        <w:t>Съгласно член 12, параграф 1 от Конвенцията МСЗ трябва да определи членовете износители и членовете вносители за целите на Конвенцията, като вземе предвид моделите на търговия със зърнени култури на тези членове и техните собствени възгледи. МСЗ ще определи също така съответните им права на глас в съответствие с параграфи 2 и 3 от същата разпоредба.</w:t>
      </w:r>
    </w:p>
    <w:p>
      <w:pPr>
        <w:rPr>
          <w:rFonts w:eastAsia="Arial Unicode MS"/>
          <w:noProof/>
        </w:rPr>
      </w:pPr>
      <w:r>
        <w:rPr>
          <w:noProof/>
        </w:rPr>
        <w:t>Тъй като следващото заседание на МСЗ ще се проведе едва на 8 юни 2020 г., секретариатът на МСЗ предлага одобрението на МСЗ за присъединяването на Република Сърбия да бъде дадено чрез гласуване по пощата, за да се даде възможност за по-ранно присъединяване. Ако до 31 март 2020 г. не постъпят възражения от страна на настоящите членове на МСЗ, присъединяването на Република Сърбия ще влезе в сила на 1 април 2020 г.</w:t>
      </w:r>
    </w:p>
    <w:p>
      <w:pPr>
        <w:rPr>
          <w:rFonts w:eastAsia="Arial Unicode MS"/>
          <w:noProof/>
        </w:rPr>
      </w:pPr>
      <w:r>
        <w:rPr>
          <w:noProof/>
        </w:rPr>
        <w:t xml:space="preserve">Въпреки че в Конвенцията не са определени специални правила относно процедурата за гласуване по пощата („писмена процедура“), в член 14 от Конвенцията относно вземането на решения в МСЗ не се изисква тези решения да бъдат вземани на заседание на МСЗ. </w:t>
      </w:r>
    </w:p>
    <w:p>
      <w:pPr>
        <w:pStyle w:val="ManualHeading1"/>
        <w:rPr>
          <w:rFonts w:eastAsia="Arial Unicode MS"/>
          <w:noProof/>
        </w:rPr>
      </w:pPr>
      <w:r>
        <w:lastRenderedPageBreak/>
        <w:t>3.</w:t>
      </w:r>
      <w:r>
        <w:tab/>
      </w:r>
      <w:r>
        <w:rPr>
          <w:noProof/>
        </w:rPr>
        <w:t>Позиция, която трябва да се заеме от името на Съюза</w:t>
      </w:r>
    </w:p>
    <w:p>
      <w:pPr>
        <w:pBdr>
          <w:top w:val="nil"/>
          <w:left w:val="nil"/>
          <w:bottom w:val="nil"/>
          <w:right w:val="nil"/>
          <w:between w:val="nil"/>
          <w:bar w:val="nil"/>
        </w:pBdr>
        <w:spacing w:before="0" w:after="240"/>
        <w:rPr>
          <w:rFonts w:eastAsia="Arial Unicode MS"/>
          <w:noProof/>
          <w:highlight w:val="yellow"/>
        </w:rPr>
      </w:pPr>
      <w:r>
        <w:rPr>
          <w:b/>
          <w:noProof/>
        </w:rPr>
        <w:t>Конвенцията за търговията със зърно от 1995 г.</w:t>
      </w:r>
      <w:r>
        <w:rPr>
          <w:noProof/>
        </w:rPr>
        <w:t xml:space="preserve"> бе сключена от Съюза с Решение 96/88/EO на Съвета</w:t>
      </w:r>
      <w:r>
        <w:rPr>
          <w:rStyle w:val="FootnoteReference"/>
          <w:noProof/>
        </w:rPr>
        <w:footnoteReference w:id="4"/>
      </w:r>
      <w:r>
        <w:rPr>
          <w:noProof/>
        </w:rPr>
        <w:t xml:space="preserve"> за срок до 30 юни 1998 г. и оттогава срокът на нейното действие редовно се удължава. При всяко от тези удължавания срокът на действие на Конвенцията се удължава с най-много две години, в съответствие с член 33 от Конвенцията. За последно срокът на действие на Конвенцията бе удължен с решение на МСЗ през юни 2019 г. и тя продължава да е в сила до 30 юни 2021 г.</w:t>
      </w:r>
      <w:r>
        <w:rPr>
          <w:rStyle w:val="FootnoteReference"/>
          <w:noProof/>
        </w:rPr>
        <w:footnoteReference w:id="5"/>
      </w:r>
      <w:r>
        <w:rPr>
          <w:noProof/>
        </w:rPr>
        <w:t>.</w:t>
      </w:r>
      <w:r>
        <w:rPr>
          <w:noProof/>
          <w:highlight w:val="yellow"/>
        </w:rPr>
        <w:t xml:space="preserve"> </w:t>
      </w:r>
    </w:p>
    <w:p>
      <w:pPr>
        <w:pBdr>
          <w:top w:val="nil"/>
          <w:left w:val="nil"/>
          <w:bottom w:val="nil"/>
          <w:right w:val="nil"/>
          <w:between w:val="nil"/>
          <w:bar w:val="nil"/>
        </w:pBdr>
        <w:spacing w:before="0" w:after="240"/>
        <w:rPr>
          <w:rFonts w:eastAsia="Arial Unicode MS"/>
          <w:noProof/>
        </w:rPr>
      </w:pPr>
      <w:r>
        <w:rPr>
          <w:noProof/>
        </w:rPr>
        <w:t xml:space="preserve">Съюзът винаги е бил активен член на МСЗ и подкрепя разширяването на организацията. </w:t>
      </w:r>
    </w:p>
    <w:p>
      <w:pPr>
        <w:pBdr>
          <w:top w:val="nil"/>
          <w:left w:val="nil"/>
          <w:bottom w:val="nil"/>
          <w:right w:val="nil"/>
          <w:between w:val="nil"/>
          <w:bar w:val="nil"/>
        </w:pBdr>
        <w:spacing w:before="0" w:after="240"/>
        <w:rPr>
          <w:rFonts w:eastAsia="Arial Unicode MS"/>
          <w:noProof/>
        </w:rPr>
      </w:pPr>
      <w:r>
        <w:rPr>
          <w:noProof/>
        </w:rPr>
        <w:t xml:space="preserve">Република Сърбия е основен производител на селскостопански продукти, и по-специално на царевица — една от основните култури, обхванати от работата на МСЗ. </w:t>
      </w:r>
    </w:p>
    <w:p>
      <w:pPr>
        <w:pBdr>
          <w:top w:val="nil"/>
          <w:left w:val="nil"/>
          <w:bottom w:val="nil"/>
          <w:right w:val="nil"/>
          <w:between w:val="nil"/>
          <w:bar w:val="nil"/>
        </w:pBdr>
        <w:spacing w:before="0" w:after="240"/>
        <w:rPr>
          <w:rFonts w:eastAsia="Arial Unicode MS"/>
          <w:noProof/>
        </w:rPr>
      </w:pPr>
      <w:r>
        <w:rPr>
          <w:noProof/>
        </w:rPr>
        <w:t>Република Сърбия подаде молба за членство в ЕС на 19 декември 2009 г. и на 1 март 2012 г. Европейският съвет предостави на Сърбия статут на страна кандидатка.</w:t>
      </w:r>
    </w:p>
    <w:p>
      <w:pPr>
        <w:pBdr>
          <w:top w:val="nil"/>
          <w:left w:val="nil"/>
          <w:bottom w:val="nil"/>
          <w:right w:val="nil"/>
          <w:between w:val="nil"/>
          <w:bar w:val="nil"/>
        </w:pBdr>
        <w:spacing w:before="0" w:after="240"/>
        <w:rPr>
          <w:rFonts w:eastAsia="Arial Unicode MS"/>
          <w:noProof/>
        </w:rPr>
      </w:pPr>
      <w:r>
        <w:rPr>
          <w:noProof/>
        </w:rPr>
        <w:t>Целта на настоящото предложение е Съветът да упълномощи Комисията да одобри присъединяването на Република Сърбия към Конвенцията.</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6"/>
      </w:r>
      <w:r>
        <w:rPr>
          <w:noProof/>
        </w:rPr>
        <w:t>.</w:t>
      </w:r>
    </w:p>
    <w:p>
      <w:pPr>
        <w:pStyle w:val="ManualHeading3"/>
        <w:rPr>
          <w:noProof/>
        </w:rPr>
      </w:pPr>
      <w:r>
        <w:t>4.1.2.</w:t>
      </w:r>
      <w:r>
        <w:tab/>
      </w:r>
      <w:r>
        <w:rPr>
          <w:noProof/>
        </w:rPr>
        <w:t>Приложение в конкретния случай</w:t>
      </w:r>
    </w:p>
    <w:p>
      <w:pPr>
        <w:rPr>
          <w:i/>
          <w:noProof/>
          <w:highlight w:val="yellow"/>
        </w:rPr>
      </w:pPr>
      <w:r>
        <w:rPr>
          <w:noProof/>
        </w:rPr>
        <w:t>Предвиденият акт на МСЗ ще доведе до увеличаване на броя на членовете на МСЗ. Предвиденият акт има правни последици най-вече защото ще повлияе на баланса на силите при вземането на решения в рамките на МСЗ, чиито решения изискват мнозинство от членовете износители и вносители и са задължителни за нейните членове, както е посочено в член 14 от Конвенцията.</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lastRenderedPageBreak/>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 xml:space="preserve">Основните цел и съдържание на предвидения акт са свързани с търговията със селскостопански продукти. </w:t>
      </w:r>
    </w:p>
    <w:p>
      <w:pPr>
        <w:rPr>
          <w:noProof/>
        </w:rPr>
      </w:pPr>
      <w:r>
        <w:rPr>
          <w:noProof/>
        </w:rPr>
        <w:t>Поради това материалноправното основание за предложеното решение е първата алинея на член 207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първата алинея на член 207 от ДФЕС във връзка с член 218, параграф 9 от ДФЕС.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2020/0032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установяване на позицията, която да бъде заета от името на Европейския съюз в рамките на Международния съвет по зърното по отношение на присъединяването на Република Сърбия към Конвенцията за търговията със зърно от 1995 г.</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първата алинея на член 207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Конвенцията за търговията със зърно от 1995 г. (наричана по-долу „Конвенцията“) бе сключена от Съюза с Решение № 96/88/ЕО на Съвета</w:t>
      </w:r>
      <w:r>
        <w:rPr>
          <w:rStyle w:val="FootnoteReference"/>
          <w:noProof/>
        </w:rPr>
        <w:footnoteReference w:id="7"/>
      </w:r>
      <w:r>
        <w:rPr>
          <w:noProof/>
        </w:rPr>
        <w:t xml:space="preserve"> и влезе в сила на 1 юли 1995 г. Конвенцията бе сключена за срок от три години и оттогава срокът на нейното действие редовно се удължава с допълнителен период от две години. За последно срокът на действие на Конвенцията бе удължен с решение на Международния съвет по зърното на неговото 49-о заседание през юни 2019 г.</w:t>
      </w:r>
      <w:r>
        <w:rPr>
          <w:rStyle w:val="FootnoteReference"/>
          <w:noProof/>
        </w:rPr>
        <w:footnoteReference w:id="8"/>
      </w:r>
      <w:r>
        <w:rPr>
          <w:noProof/>
        </w:rPr>
        <w:t xml:space="preserve"> и тя продължава да е в сила до 30 юни 2021 г.</w:t>
      </w:r>
    </w:p>
    <w:p>
      <w:pPr>
        <w:pStyle w:val="ManualConsidrant"/>
        <w:rPr>
          <w:noProof/>
        </w:rPr>
      </w:pPr>
      <w:r>
        <w:t>(2)</w:t>
      </w:r>
      <w:r>
        <w:tab/>
      </w:r>
      <w:r>
        <w:rPr>
          <w:noProof/>
        </w:rPr>
        <w:t>Съгласно член 27, параграф 2 от Конвенцията присъединяването към нея е отворено за правителствата на всички държави, при условията, които Международния съвет по зърното счете за целесъобразни.</w:t>
      </w:r>
    </w:p>
    <w:p>
      <w:pPr>
        <w:pStyle w:val="ManualConsidrant"/>
        <w:rPr>
          <w:noProof/>
        </w:rPr>
      </w:pPr>
      <w:r>
        <w:t>(3)</w:t>
      </w:r>
      <w:r>
        <w:tab/>
      </w:r>
      <w:r>
        <w:rPr>
          <w:noProof/>
        </w:rPr>
        <w:t>На 23 януари 2020 г. Република Сърбия официално подаде молба за присъединяване към Конвенцията.</w:t>
      </w:r>
    </w:p>
    <w:p>
      <w:pPr>
        <w:pStyle w:val="ManualConsidrant"/>
        <w:rPr>
          <w:noProof/>
        </w:rPr>
      </w:pPr>
      <w:r>
        <w:t>(4)</w:t>
      </w:r>
      <w:r>
        <w:tab/>
      </w:r>
      <w:r>
        <w:rPr>
          <w:noProof/>
        </w:rPr>
        <w:t>На 1 март 2012 г. Европейският съвет даде на Сърбия статут на страна кандидатка.</w:t>
      </w:r>
    </w:p>
    <w:p>
      <w:pPr>
        <w:pStyle w:val="ManualConsidrant"/>
        <w:rPr>
          <w:noProof/>
        </w:rPr>
      </w:pPr>
      <w:r>
        <w:t>(5)</w:t>
      </w:r>
      <w:r>
        <w:tab/>
      </w:r>
      <w:r>
        <w:rPr>
          <w:noProof/>
        </w:rPr>
        <w:t>Република Сърбия е основен производител на зърнени култури, и по-специално на царевица.</w:t>
      </w:r>
    </w:p>
    <w:p>
      <w:pPr>
        <w:pStyle w:val="ManualConsidrant"/>
        <w:rPr>
          <w:noProof/>
        </w:rPr>
      </w:pPr>
      <w:r>
        <w:t>(6)</w:t>
      </w:r>
      <w:r>
        <w:tab/>
      </w:r>
      <w:r>
        <w:rPr>
          <w:noProof/>
        </w:rPr>
        <w:t>Тъй като присъединяването на Република Сърбия към Конвенцията е в интерес на Съюза, е целесъобразно да се установи позицията, която трябва да се заеме от името на Съюза в рамките на Международния съвет по зърното,</w:t>
      </w:r>
    </w:p>
    <w:p>
      <w:pPr>
        <w:pStyle w:val="Formuledadoption"/>
        <w:rPr>
          <w:noProof/>
        </w:rPr>
      </w:pPr>
      <w:r>
        <w:rPr>
          <w:noProof/>
        </w:rPr>
        <w:lastRenderedPageBreak/>
        <w:t>ПРИЕ НАСТОЯЩОТО РЕШЕНИЕ:</w:t>
      </w:r>
    </w:p>
    <w:p>
      <w:pPr>
        <w:pStyle w:val="Titrearticle"/>
        <w:rPr>
          <w:noProof/>
        </w:rPr>
      </w:pPr>
      <w:r>
        <w:rPr>
          <w:noProof/>
        </w:rPr>
        <w:t>Член 1</w:t>
      </w:r>
    </w:p>
    <w:p>
      <w:pPr>
        <w:rPr>
          <w:i/>
          <w:noProof/>
        </w:rPr>
      </w:pPr>
      <w:r>
        <w:rPr>
          <w:noProof/>
        </w:rPr>
        <w:t>Позицията, която Комисията трябва да заеме от името на Европейския съюз в рамките на Международния съвет по зърното, е за одобряване на присъединяването на Република Сърбия към Конвенцията за търговията със зърно от 1995 г.</w:t>
      </w:r>
    </w:p>
    <w:p>
      <w:pPr>
        <w:pStyle w:val="Titrearticle"/>
        <w:rPr>
          <w:noProof/>
        </w:rPr>
      </w:pPr>
      <w:r>
        <w:rPr>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ОВ L 21, 27.1.1996 г., стр. 47. </w:t>
      </w:r>
    </w:p>
  </w:footnote>
  <w:footnote w:id="2">
    <w:p>
      <w:pPr>
        <w:pStyle w:val="FootnoteText"/>
      </w:pPr>
      <w:r>
        <w:rPr>
          <w:rStyle w:val="FootnoteReference"/>
        </w:rPr>
        <w:footnoteRef/>
      </w:r>
      <w:r>
        <w:tab/>
        <w:t>Работата на МСЗ е организирана въз основа на финансова година, която продължава от 1 юли до 30 юни.</w:t>
      </w:r>
    </w:p>
  </w:footnote>
  <w:footnote w:id="3">
    <w:p>
      <w:pPr>
        <w:pStyle w:val="FootnoteText"/>
      </w:pPr>
      <w:r>
        <w:rPr>
          <w:rStyle w:val="FootnoteReference"/>
        </w:rPr>
        <w:footnoteRef/>
      </w:r>
      <w:r>
        <w:tab/>
        <w:t>С писмо на министъра на земеделието, горите и управлението на водите на Република Сърбия</w:t>
      </w:r>
    </w:p>
  </w:footnote>
  <w:footnote w:id="4">
    <w:p>
      <w:pPr>
        <w:pStyle w:val="FootnoteText"/>
      </w:pPr>
      <w:r>
        <w:rPr>
          <w:rStyle w:val="FootnoteReference"/>
        </w:rPr>
        <w:footnoteRef/>
      </w:r>
      <w:r>
        <w:tab/>
        <w:t>ОВ L 21, 27.1.1996 г., стр. 47.</w:t>
      </w:r>
    </w:p>
  </w:footnote>
  <w:footnote w:id="5">
    <w:p>
      <w:pPr>
        <w:pStyle w:val="FootnoteText"/>
      </w:pPr>
      <w:r>
        <w:rPr>
          <w:rStyle w:val="FootnoteReference"/>
        </w:rPr>
        <w:footnoteRef/>
      </w:r>
      <w:r>
        <w:tab/>
        <w:t>Решение (ЕС) 2019/813 на Съвета от 17 май 2019 г. (ОВ L 133, 21.5.2019 г., стр. 19).</w:t>
      </w:r>
    </w:p>
  </w:footnote>
  <w:footnote w:id="6">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7">
    <w:p>
      <w:pPr>
        <w:pStyle w:val="FootnoteText"/>
      </w:pPr>
      <w:r>
        <w:rPr>
          <w:rStyle w:val="FootnoteReference"/>
        </w:rPr>
        <w:footnoteRef/>
      </w:r>
      <w:r>
        <w:tab/>
        <w:t>Решение 96/88/ЕО на Съвета от 19 декември 1995 г. относно одобряването от Европейската общност на Конвенцията за търговия със зърно и Конвенцията за продоволствената помощ, които съставляват Международното споразумение за зърното от 1995 г. (ОВ L 21, 27.1.1996 г., стp. 47).</w:t>
      </w:r>
    </w:p>
  </w:footnote>
  <w:footnote w:id="8">
    <w:p>
      <w:pPr>
        <w:pStyle w:val="FootnoteText"/>
      </w:pPr>
      <w:r>
        <w:rPr>
          <w:rStyle w:val="FootnoteReference"/>
        </w:rPr>
        <w:footnoteRef/>
      </w:r>
      <w:r>
        <w:tab/>
        <w:t>Решение (ЕС) 2019/813 на Съвета от 17 май 2019 г. за позицията, която трябва да се заеме от името на Европейския съюз в рамките на Международния съвет по зърното по отношение на удължаването на срока на действие на Конвенцията за търговията със зърно от 1995 г. (ОВ L 133, 21.5.2019 г., стр.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8292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0CA1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AA42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BE53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62E3A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9C37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06C9FE4"/>
    <w:lvl w:ilvl="0">
      <w:start w:val="1"/>
      <w:numFmt w:val="decimal"/>
      <w:pStyle w:val="ListNumber"/>
      <w:lvlText w:val="%1."/>
      <w:lvlJc w:val="left"/>
      <w:pPr>
        <w:tabs>
          <w:tab w:val="num" w:pos="360"/>
        </w:tabs>
        <w:ind w:left="360" w:hanging="360"/>
      </w:pPr>
    </w:lvl>
  </w:abstractNum>
  <w:abstractNum w:abstractNumId="7">
    <w:nsid w:val="FFFFFF89"/>
    <w:multiLevelType w:val="singleLevel"/>
    <w:tmpl w:val="95A210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26 09:35:2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B8AEEB7-4773-44EC-9D4C-80113758DC3E"/>
    <w:docVar w:name="LW_COVERPAGE_TYPE" w:val="1"/>
    <w:docVar w:name="LW_CROSSREFERENCE" w:val="&lt;UNUSED&gt;"/>
    <w:docVar w:name="LW_DocType" w:val="COM"/>
    <w:docVar w:name="LW_EMISSION" w:val="27.2.2020"/>
    <w:docVar w:name="LW_EMISSION_ISODATE" w:val="2020-02-27"/>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32"/>
    <w:docVar w:name="LW_REF.II.NEW.CP_YEAR" w:val="2020"/>
    <w:docVar w:name="LW_REF.INST.NEW" w:val="COM"/>
    <w:docVar w:name="LW_REF.INST.NEW_ADOPTED" w:val="final"/>
    <w:docVar w:name="LW_REF.INST.NEW_TEXT" w:val="(2020) 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89?\u1090?\u1072?\u1085?\u1086?\u1074?\u1103?\u1074?\u1072?\u1085?\u1077? \u1085?\u1072?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2?\u1077?\u1078?\u1076?\u1091?\u1085?\u1072?\u1088?\u1086?\u1076?\u1085?\u1080?\u1103? \u1089?\u1098?\u1074?\u1077?\u1090? \u1087?\u1086? \u1079?\u1098?\u1088?\u1085?\u1086?\u1090?\u1086? \u1087?\u1086? \u1086?\u1090?\u1085?\u1086?\u1096?\u1077?\u1085?\u1080?\u1077? \u1085?\u1072? \u1087?\u1088?\u1080?\u1089?\u1098?\u1077?\u1076?\u1080?\u1085?\u1103?\u1074?\u1072?\u1085?\u1077?\u1090?\u1086? \u1085?\u1072? \u1056?\u1077?\u1087?\u1091?\u1073?\u1083?\u1080?\u1082?\u1072? \u1057?\u1098?\u1088?\u1073?\u1080?\u1103? \u1082?\u1098?\u1084? \u1050?\u1086?\u1085?\u1074?\u1077?\u1085?\u1094?\u1080?\u1103?\u1090?\u1072? \u1079?\u1072? \u1090?\u1098?\u1088?\u1075?\u1086?\u1074?\u1080?\u1103?\u1090?\u1072? \u1089?\u1098?\u1089? \u1079?\u1098?\u1088?\u1085?\u1086? \u1086?\u1090? 1995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40A5CA8-056C-4C28-90AD-2C29C7C5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1662</Words>
  <Characters>8963</Characters>
  <Application>Microsoft Office Word</Application>
  <DocSecurity>0</DocSecurity>
  <Lines>179</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2020-02-24T20:00:00Z</dcterms:created>
  <dcterms:modified xsi:type="dcterms:W3CDTF">2020-02-26T08:35:00Z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