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4922F9B-0ECC-48BE-A864-C7AB10712218" style="width:450.7pt;height:361.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relatif à l’exercice du pouvoir d’adopter des actes délégués conféré à la Commission en vertu de la directive (UE) 2015/2203 du Parlement européen et du Conseil du 25 novembre 2015 relative au rapprochement des législations des États membres concernant les caséines et caséinates destinés à l'alimentation humaine et abrogeant la directive 83/417/CEE du Conseil</w:t>
      </w:r>
      <w:r>
        <w:rPr>
          <w:noProof/>
        </w:rPr>
        <w:br/>
      </w:r>
    </w:p>
    <w:p>
      <w:pPr>
        <w:jc w:val="center"/>
        <w:rPr>
          <w:rFonts w:ascii="Arial" w:hAnsi="Arial" w:cs="Arial"/>
          <w:b/>
          <w:noProof/>
        </w:rPr>
      </w:pPr>
    </w:p>
    <w:sdt>
      <w:sdtPr>
        <w:rPr>
          <w:rFonts w:asciiTheme="minorHAnsi" w:eastAsiaTheme="minorHAnsi" w:hAnsiTheme="minorHAnsi" w:cstheme="minorBidi"/>
          <w:noProof/>
          <w:color w:val="auto"/>
          <w:sz w:val="22"/>
          <w:szCs w:val="22"/>
        </w:rPr>
        <w:id w:val="-1016466526"/>
        <w:docPartObj>
          <w:docPartGallery w:val="Table of Contents"/>
          <w:docPartUnique/>
        </w:docPartObj>
      </w:sdtPr>
      <w:sdtEndPr>
        <w:rPr>
          <w:b/>
          <w:bCs/>
        </w:rPr>
      </w:sdtEndPr>
      <w:sdtContent>
        <w:p>
          <w:pPr>
            <w:pStyle w:val="TOCHeading"/>
            <w:rPr>
              <w:noProof/>
            </w:rPr>
          </w:pPr>
          <w:r>
            <w:rPr>
              <w:noProof/>
            </w:rPr>
            <w:t>Sommaire</w:t>
          </w:r>
        </w:p>
        <w:p>
          <w:pPr>
            <w:pStyle w:val="TOC1"/>
            <w:tabs>
              <w:tab w:val="left" w:pos="440"/>
              <w:tab w:val="right" w:leader="dot" w:pos="9350"/>
            </w:tabs>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32930173" w:history="1">
            <w:r>
              <w:rPr>
                <w:rStyle w:val="Hyperlink"/>
                <w:rFonts w:ascii="Times New Roman" w:eastAsia="Times New Roman" w:hAnsi="Times New Roman" w:cs="Times New Roman"/>
                <w:b/>
                <w:smallCaps/>
                <w:noProof/>
              </w:rPr>
              <w:t>1.</w:t>
            </w:r>
            <w:r>
              <w:rPr>
                <w:rFonts w:eastAsiaTheme="minorEastAsia"/>
                <w:noProof/>
                <w:lang w:val="en-US"/>
              </w:rPr>
              <w:tab/>
            </w:r>
            <w:r>
              <w:rPr>
                <w:rStyle w:val="Hyperlink"/>
                <w:rFonts w:ascii="Times New Roman" w:hAnsi="Times New Roman"/>
                <w:b/>
                <w:smallCaps/>
                <w:noProof/>
              </w:rPr>
              <w:t>Directive (UE) 2015/2203 du Parlement européen et du Conseil du 25 novembre 2015 relative au rapprochement des législations des États membres concernant les caséines et caséinates destinés à l'alimentation humaine et abrogeant la directive 83/417/CEE du onseil</w:t>
            </w:r>
            <w:r>
              <w:rPr>
                <w:noProof/>
                <w:webHidden/>
              </w:rPr>
              <w:tab/>
            </w:r>
            <w:r>
              <w:rPr>
                <w:noProof/>
                <w:webHidden/>
              </w:rPr>
              <w:fldChar w:fldCharType="begin"/>
            </w:r>
            <w:r>
              <w:rPr>
                <w:noProof/>
                <w:webHidden/>
              </w:rPr>
              <w:instrText xml:space="preserve"> PAGEREF _Toc32930173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880"/>
              <w:tab w:val="right" w:leader="dot" w:pos="9350"/>
            </w:tabs>
            <w:rPr>
              <w:rFonts w:eastAsiaTheme="minorEastAsia"/>
              <w:noProof/>
              <w:lang w:val="en-US"/>
            </w:rPr>
          </w:pPr>
          <w:hyperlink w:anchor="_Toc32930174" w:history="1">
            <w:r>
              <w:rPr>
                <w:rStyle w:val="Hyperlink"/>
                <w:rFonts w:ascii="Times New Roman" w:eastAsia="Times New Roman" w:hAnsi="Times New Roman" w:cs="Times New Roman"/>
                <w:b/>
                <w:noProof/>
              </w:rPr>
              <w:t>1.1.</w:t>
            </w:r>
            <w:r>
              <w:rPr>
                <w:rFonts w:eastAsiaTheme="minorEastAsia"/>
                <w:noProof/>
                <w:lang w:val="en-US"/>
              </w:rPr>
              <w:tab/>
            </w:r>
            <w:r>
              <w:rPr>
                <w:rStyle w:val="Hyperlink"/>
                <w:rFonts w:ascii="Times New Roman" w:hAnsi="Times New Roman"/>
                <w:b/>
                <w:noProof/>
              </w:rPr>
              <w:t>Introduction</w:t>
            </w:r>
            <w:r>
              <w:rPr>
                <w:noProof/>
                <w:webHidden/>
              </w:rPr>
              <w:tab/>
            </w:r>
            <w:r>
              <w:rPr>
                <w:noProof/>
                <w:webHidden/>
              </w:rPr>
              <w:fldChar w:fldCharType="begin"/>
            </w:r>
            <w:r>
              <w:rPr>
                <w:noProof/>
                <w:webHidden/>
              </w:rPr>
              <w:instrText xml:space="preserve"> PAGEREF _Toc32930174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880"/>
              <w:tab w:val="right" w:leader="dot" w:pos="9350"/>
            </w:tabs>
            <w:rPr>
              <w:rFonts w:eastAsiaTheme="minorEastAsia"/>
              <w:noProof/>
              <w:lang w:val="en-US"/>
            </w:rPr>
          </w:pPr>
          <w:hyperlink w:anchor="_Toc32930175" w:history="1">
            <w:r>
              <w:rPr>
                <w:rStyle w:val="Hyperlink"/>
                <w:rFonts w:ascii="Times New Roman" w:eastAsia="Times New Roman" w:hAnsi="Times New Roman" w:cs="Times New Roman"/>
                <w:b/>
                <w:noProof/>
              </w:rPr>
              <w:t>1.2.</w:t>
            </w:r>
            <w:r>
              <w:rPr>
                <w:rFonts w:eastAsiaTheme="minorEastAsia"/>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_Toc32930175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50"/>
            </w:tabs>
            <w:rPr>
              <w:rFonts w:eastAsiaTheme="minorEastAsia"/>
              <w:noProof/>
              <w:lang w:val="en-US"/>
            </w:rPr>
          </w:pPr>
          <w:hyperlink w:anchor="_Toc32930176" w:history="1">
            <w:r>
              <w:rPr>
                <w:rStyle w:val="Hyperlink"/>
                <w:rFonts w:ascii="Times New Roman" w:eastAsia="Times New Roman" w:hAnsi="Times New Roman" w:cs="Times New Roman"/>
                <w:b/>
                <w:noProof/>
              </w:rPr>
              <w:t>1.3.</w:t>
            </w:r>
            <w:r>
              <w:rPr>
                <w:rFonts w:eastAsiaTheme="minorEastAsia"/>
                <w:noProof/>
                <w:lang w:val="en-US"/>
              </w:rPr>
              <w:tab/>
            </w:r>
            <w:r>
              <w:rPr>
                <w:rStyle w:val="Hyperlink"/>
                <w:rFonts w:ascii="Times New Roman" w:hAnsi="Times New Roman"/>
                <w:b/>
                <w:noProof/>
              </w:rPr>
              <w:t>Exercice de la délégation</w:t>
            </w:r>
            <w:r>
              <w:rPr>
                <w:noProof/>
                <w:webHidden/>
              </w:rPr>
              <w:tab/>
            </w:r>
            <w:r>
              <w:rPr>
                <w:noProof/>
                <w:webHidden/>
              </w:rPr>
              <w:fldChar w:fldCharType="begin"/>
            </w:r>
            <w:r>
              <w:rPr>
                <w:noProof/>
                <w:webHidden/>
              </w:rPr>
              <w:instrText xml:space="preserve"> PAGEREF _Toc32930176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50"/>
            </w:tabs>
            <w:rPr>
              <w:rFonts w:eastAsiaTheme="minorEastAsia"/>
              <w:noProof/>
              <w:lang w:val="en-US"/>
            </w:rPr>
          </w:pPr>
          <w:hyperlink w:anchor="_Toc32930177" w:history="1">
            <w:r>
              <w:rPr>
                <w:rStyle w:val="Hyperlink"/>
                <w:rFonts w:ascii="Times New Roman" w:eastAsia="Times New Roman" w:hAnsi="Times New Roman" w:cs="Times New Roman"/>
                <w:b/>
                <w:noProof/>
              </w:rPr>
              <w:t>1.4.</w:t>
            </w:r>
            <w:r>
              <w:rPr>
                <w:rFonts w:eastAsiaTheme="minorEastAsia"/>
                <w:noProof/>
                <w:lang w:val="en-US"/>
              </w:rPr>
              <w:tab/>
            </w:r>
            <w:r>
              <w:rPr>
                <w:rStyle w:val="Hyperlink"/>
                <w:rFonts w:ascii="Times New Roman" w:hAnsi="Times New Roman"/>
                <w:b/>
                <w:noProof/>
              </w:rPr>
              <w:t>Conclusions</w:t>
            </w:r>
            <w:r>
              <w:rPr>
                <w:noProof/>
                <w:webHidden/>
              </w:rPr>
              <w:tab/>
            </w:r>
            <w:r>
              <w:rPr>
                <w:noProof/>
                <w:webHidden/>
              </w:rPr>
              <w:fldChar w:fldCharType="begin"/>
            </w:r>
            <w:r>
              <w:rPr>
                <w:noProof/>
                <w:webHidden/>
              </w:rPr>
              <w:instrText xml:space="preserve"> PAGEREF _Toc32930177 \h </w:instrText>
            </w:r>
            <w:r>
              <w:rPr>
                <w:noProof/>
                <w:webHidden/>
              </w:rPr>
            </w:r>
            <w:r>
              <w:rPr>
                <w:noProof/>
                <w:webHidden/>
              </w:rPr>
              <w:fldChar w:fldCharType="separate"/>
            </w:r>
            <w:r>
              <w:rPr>
                <w:noProof/>
                <w:webHidden/>
              </w:rPr>
              <w:t>2</w:t>
            </w:r>
            <w:r>
              <w:rPr>
                <w:noProof/>
                <w:webHidden/>
              </w:rPr>
              <w:fldChar w:fldCharType="end"/>
            </w:r>
          </w:hyperlink>
        </w:p>
        <w:p>
          <w:pPr>
            <w:rPr>
              <w:b/>
              <w:bCs/>
              <w:noProof/>
            </w:rPr>
          </w:pPr>
          <w:r>
            <w:rPr>
              <w:b/>
              <w:bCs/>
              <w:noProof/>
            </w:rPr>
            <w:fldChar w:fldCharType="end"/>
          </w:r>
        </w:p>
      </w:sdtContent>
    </w:sdt>
    <w:p>
      <w:pPr>
        <w:jc w:val="center"/>
        <w:rPr>
          <w:rFonts w:ascii="Arial" w:hAnsi="Arial" w:cs="Arial"/>
          <w:b/>
          <w:noProof/>
        </w:rPr>
      </w:pP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2" w:name="_Toc32930173"/>
      <w:r>
        <w:rPr>
          <w:rFonts w:ascii="Times New Roman" w:hAnsi="Times New Roman"/>
          <w:b/>
          <w:smallCaps/>
          <w:noProof/>
        </w:rPr>
        <w:t>Directive (UE) 2015/2203 du Parlement européen et du Conseil du 25 novembre 2015 relative au rapprochement des législations des États membres concernant les caséines et caséinates destinés à l'alimentation humaine et abrogeant la directive 83/417/CEE du Conseil</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3" w:name="_Toc32930174"/>
      <w:r>
        <w:rPr>
          <w:rFonts w:ascii="Times New Roman" w:hAnsi="Times New Roman"/>
          <w:b/>
          <w:noProof/>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directive (UE) 2015/2203 du Parlement européen et du Conseil</w:t>
      </w:r>
      <w:r>
        <w:rPr>
          <w:rFonts w:ascii="Times New Roman" w:hAnsi="Times New Roman" w:cs="Times New Roman"/>
          <w:noProof/>
          <w:color w:val="444444"/>
          <w:vertAlign w:val="superscript"/>
        </w:rPr>
        <w:footnoteReference w:id="1"/>
      </w:r>
      <w:r>
        <w:rPr>
          <w:rFonts w:ascii="Times New Roman" w:hAnsi="Times New Roman"/>
          <w:noProof/>
        </w:rPr>
        <w:t xml:space="preserve"> prévoit le rapprochement des législations des États membres concernant les caséines et les caséinates destinés à l’alimentation humaine afin de faciliter la libre circulation des marchandises dans le marché intérieur tout en assurant un niveau élevé de protection de la santé.</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L’article 5 habilite la Commission à adopter des actes délégués pour modifier les normes énoncées aux annexes I et II afin de tenir compte de l’évolution des normes internationales applicables et des progrès techniques.</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4" w:name="_Toc32930175"/>
      <w:r>
        <w:rPr>
          <w:rFonts w:ascii="Times New Roman" w:hAnsi="Times New Roman"/>
          <w:b/>
          <w:noProof/>
        </w:rPr>
        <w:t>Base juridique</w:t>
      </w:r>
      <w:bookmarkEnd w:id="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L’article 6, paragraphe 2, impose l’élaboration d’un rapport. En vertu de cette disposition, le pouvoir d’adopter des actes délégués visé à l’article 5 est conféré à la Commission pour une période de cinq ans à compter du 21 décembre 2015.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5" w:name="_Toc32930176"/>
      <w:r>
        <w:rPr>
          <w:rFonts w:ascii="Times New Roman" w:hAnsi="Times New Roman"/>
          <w:b/>
          <w:noProof/>
        </w:rPr>
        <w:t>Exercice de la délégation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La Commission n’a adopté aucun acte délégué conformément à l’article 5, étant donné qu’elle ne voit pas la nécessité de modifier les normes énoncées aux annexes I et II.</w:t>
      </w:r>
      <w:r>
        <w:rPr>
          <w:rFonts w:ascii="Times New Roman" w:hAnsi="Times New Roman"/>
          <w:noProof/>
        </w:rPr>
        <w:cr/>
      </w:r>
      <w:r>
        <w:rPr>
          <w:rFonts w:ascii="Times New Roman" w:hAnsi="Times New Roman"/>
          <w:noProof/>
        </w:rPr>
        <w:br/>
        <w:t>À ce stade, la Commission n’a pas l’intention d’utiliser l’habilitation dans un avenir proche. Toutefois, il ne peut être exclu qu’il puisse devenir nécessaire de l’utiliser.</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6" w:name="_Toc32930177"/>
      <w:r>
        <w:rPr>
          <w:rFonts w:ascii="Times New Roman" w:hAnsi="Times New Roman"/>
          <w:b/>
          <w:noProof/>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L’habilitation n’a pas été utilisée, car il n’existait aucune obligation légale ni nécessité de l’utiliser.</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898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Directive (UE) 2015/2203 du Parlement européen et du Conseil du 25 novembre 2015 relative au rapprochement des législations des États membres concernant les caséines et caséinates destinés à l'alimentation humaine et abrogeant la directive 83/417/CEE du Conseil (JO L 314 du 1.12.2015,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145E"/>
    <w:multiLevelType w:val="multilevel"/>
    <w:tmpl w:val="D3944FC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lvlText w:val="%1.%2.%3."/>
      <w:lvlJc w:val="left"/>
      <w:pPr>
        <w:tabs>
          <w:tab w:val="num" w:pos="737"/>
        </w:tabs>
        <w:ind w:left="737" w:hanging="737"/>
      </w:pPr>
      <w:rPr>
        <w:rFonts w:hint="default"/>
        <w:u w:val="none"/>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1049"/>
        </w:tabs>
        <w:ind w:left="1049" w:hanging="1049"/>
      </w:pPr>
      <w:rPr>
        <w:rFonts w:hint="default"/>
      </w:rPr>
    </w:lvl>
    <w:lvl w:ilvl="5">
      <w:start w:val="1"/>
      <w:numFmt w:val="decimal"/>
      <w:suff w:val="space"/>
      <w:lvlText w:val="%1.%2.%3.%4.%5.%6."/>
      <w:lvlJc w:val="left"/>
      <w:pPr>
        <w:ind w:firstLine="0"/>
      </w:pPr>
      <w:rPr>
        <w:rFonts w:hint="default"/>
      </w:rPr>
    </w:lvl>
    <w:lvl w:ilvl="6">
      <w:start w:val="1"/>
      <w:numFmt w:val="decimal"/>
      <w:suff w:val="space"/>
      <w:lvlText w:val="%1.%2.%3.%4.%5.%6.%7."/>
      <w:lvlJc w:val="left"/>
      <w:pPr>
        <w:ind w:firstLine="0"/>
      </w:pPr>
      <w:rPr>
        <w:rFonts w:hint="default"/>
      </w:rPr>
    </w:lvl>
    <w:lvl w:ilvl="7">
      <w:start w:val="1"/>
      <w:numFmt w:val="decimal"/>
      <w:suff w:val="space"/>
      <w:lvlText w:val="%1.%2.%3.%4.%5.%6.%7.%8."/>
      <w:lvlJc w:val="left"/>
      <w:pPr>
        <w:ind w:firstLine="0"/>
      </w:pPr>
      <w:rPr>
        <w:rFonts w:hint="default"/>
      </w:rPr>
    </w:lvl>
    <w:lvl w:ilvl="8">
      <w:start w:val="1"/>
      <w:numFmt w:val="decimal"/>
      <w:suff w:val="space"/>
      <w:lvlText w:val="%1.%2.%3.%4.%5.%6.%7.%8.%9."/>
      <w:lvlJc w:val="left"/>
      <w:pPr>
        <w:ind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922F9B-0ECC-48BE-A864-C7AB10712218"/>
    <w:docVar w:name="LW_COVERPAGE_TYPE" w:val="1"/>
    <w:docVar w:name="LW_CROSSREFERENCE" w:val="&lt;UNUSED&gt;"/>
    <w:docVar w:name="LW_DocType" w:val="NORMAL"/>
    <w:docVar w:name="LW_EMISSION" w:val="2.3.2020"/>
    <w:docVar w:name="LW_EMISSION_ISODATE" w:val="2020-03-0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u8217?exercice du pouvoir d\u8217?adopter des actes délégués conféré à la Commission en vertu de la directive (UE) 2015/2203 du Parlement européen et du Conseil du 25 novembre 2015 relative au rapprochement des législations des États membres concernant les caséines et caséinates destinés à l'alimentation humaine et abrogeant la directive 83/417/CEE du Conseil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0"/>
    <w:qFormat/>
    <w:pPr>
      <w:keepNext/>
      <w:tabs>
        <w:tab w:val="num" w:pos="595"/>
        <w:tab w:val="left" w:pos="737"/>
      </w:tabs>
      <w:spacing w:before="420" w:after="120" w:line="264" w:lineRule="auto"/>
      <w:ind w:left="595" w:hanging="595"/>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tabs>
        <w:tab w:val="num" w:pos="737"/>
        <w:tab w:val="left" w:pos="935"/>
      </w:tabs>
      <w:spacing w:before="360" w:after="120" w:line="264" w:lineRule="auto"/>
      <w:ind w:left="737" w:hanging="737"/>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tabs>
        <w:tab w:val="num" w:pos="850"/>
        <w:tab w:val="left" w:pos="1049"/>
      </w:tabs>
      <w:spacing w:before="360" w:after="120" w:line="264" w:lineRule="auto"/>
      <w:ind w:left="850" w:hanging="850"/>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tabs>
        <w:tab w:val="num" w:pos="1049"/>
      </w:tabs>
      <w:spacing w:after="120" w:line="264" w:lineRule="auto"/>
      <w:ind w:left="1049" w:hanging="1049"/>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line="276" w:lineRule="auto"/>
    </w:pPr>
  </w:style>
  <w:style w:type="paragraph" w:styleId="TOC2">
    <w:name w:val="toc 2"/>
    <w:basedOn w:val="Normal"/>
    <w:next w:val="Normal"/>
    <w:autoRedefine/>
    <w:uiPriority w:val="39"/>
    <w:unhideWhenUsed/>
    <w:pPr>
      <w:spacing w:after="100" w:line="276" w:lineRule="auto"/>
      <w:ind w:left="220"/>
    </w:p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character" w:styleId="FootnoteReference">
    <w:name w:val="footnote reference"/>
    <w:basedOn w:val="DefaultParagraphFont"/>
    <w:semiHidden/>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0"/>
    <w:qFormat/>
    <w:pPr>
      <w:keepNext/>
      <w:tabs>
        <w:tab w:val="num" w:pos="595"/>
        <w:tab w:val="left" w:pos="737"/>
      </w:tabs>
      <w:spacing w:before="420" w:after="120" w:line="264" w:lineRule="auto"/>
      <w:ind w:left="595" w:hanging="595"/>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tabs>
        <w:tab w:val="num" w:pos="737"/>
        <w:tab w:val="left" w:pos="935"/>
      </w:tabs>
      <w:spacing w:before="360" w:after="120" w:line="264" w:lineRule="auto"/>
      <w:ind w:left="737" w:hanging="737"/>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tabs>
        <w:tab w:val="num" w:pos="850"/>
        <w:tab w:val="left" w:pos="1049"/>
      </w:tabs>
      <w:spacing w:before="360" w:after="120" w:line="264" w:lineRule="auto"/>
      <w:ind w:left="850" w:hanging="850"/>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tabs>
        <w:tab w:val="num" w:pos="1049"/>
      </w:tabs>
      <w:spacing w:after="120" w:line="264" w:lineRule="auto"/>
      <w:ind w:left="1049" w:hanging="1049"/>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line="276" w:lineRule="auto"/>
    </w:pPr>
  </w:style>
  <w:style w:type="paragraph" w:styleId="TOC2">
    <w:name w:val="toc 2"/>
    <w:basedOn w:val="Normal"/>
    <w:next w:val="Normal"/>
    <w:autoRedefine/>
    <w:uiPriority w:val="39"/>
    <w:unhideWhenUsed/>
    <w:pPr>
      <w:spacing w:after="100" w:line="276" w:lineRule="auto"/>
      <w:ind w:left="220"/>
    </w:p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character" w:styleId="FootnoteReference">
    <w:name w:val="footnote reference"/>
    <w:basedOn w:val="DefaultParagraphFont"/>
    <w:semiHidden/>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475</Words>
  <Characters>2592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2020-01-17T11:06:00Z</dcterms:created>
  <dcterms:modified xsi:type="dcterms:W3CDTF">2020-02-26T16:38:00Z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