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7C5AA5C6-DE4D-47DF-AA9C-8540E8B3E59B" style="width:450.75pt;height:3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ДОКЛАД НА КОМИСИЯТА ДО ЕВРОПЕЙСКИЯ ПАРЛАМЕНТ И СЪВЕТА</w:t>
      </w:r>
    </w:p>
    <w:p>
      <w:pPr>
        <w:pStyle w:val="Titreobjet"/>
        <w:rPr>
          <w:noProof/>
        </w:rPr>
      </w:pPr>
      <w:r>
        <w:rPr>
          <w:noProof/>
        </w:rPr>
        <w:t>относно упражняването на правомощието за приемане на делегирани актове, предоставено на Комисията по силата на Директива (ЕС) 2015/2203 на Европейския парламент и на Съвета от 25 ноември 2015 година относно сближаването на законодателствата на държавите членки във връзка с казеините и казеинатите, предназначени за консумация от човека, и за отмяна на Директива 83/417/ЕИО на Съвета</w:t>
      </w:r>
      <w:r>
        <w:rPr>
          <w:noProof/>
        </w:rPr>
        <w:br/>
      </w:r>
    </w:p>
    <w:p>
      <w:pPr>
        <w:jc w:val="center"/>
        <w:rPr>
          <w:rFonts w:ascii="Arial" w:hAnsi="Arial" w:cs="Arial"/>
          <w:b/>
          <w:noProof/>
        </w:rPr>
      </w:pPr>
    </w:p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id w:val="-1016466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>
          <w:pPr>
            <w:pStyle w:val="TOCHeading"/>
            <w:rPr>
              <w:noProof/>
            </w:rPr>
          </w:pPr>
          <w:r>
            <w:rPr>
              <w:noProof/>
            </w:rPr>
            <w:t>Съдържание</w:t>
          </w:r>
        </w:p>
        <w:p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32851160" w:history="1">
            <w:r>
              <w:rPr>
                <w:rStyle w:val="Hyperlink"/>
                <w:rFonts w:ascii="Times New Roman" w:eastAsia="Times New Roman" w:hAnsi="Times New Roman" w:cs="Times New Roman"/>
                <w:b/>
                <w:smallCaps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smallCaps/>
                <w:noProof/>
              </w:rPr>
              <w:t>Директива (ЕС) 2015/2203 на Европейския парламент и на Съвета от 25 ноември 2015 година относно сближаването на законодателствата на държавите членки във връзка с казеините и казеинатите, предназначени за консумация от човека, и за отмяна на Директива 83417/ЕИО на Съвета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_Toc32851160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32851161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Въведение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_Toc32851161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32851162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Правно 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_Toc32851162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32851163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1.3.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Упражняване на делегирането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_Toc32851163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32851164" w:history="1">
            <w:r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1.4.</w:t>
            </w:r>
            <w:r>
              <w:rPr>
                <w:rFonts w:eastAsiaTheme="minorEastAsia"/>
                <w:noProof/>
                <w:lang w:val="en-US"/>
              </w:rPr>
              <w:tab/>
            </w:r>
            <w:r>
              <w:rPr>
                <w:rStyle w:val="Hyperlink"/>
                <w:rFonts w:ascii="Times New Roman" w:hAnsi="Times New Roman"/>
                <w:b/>
                <w:noProof/>
              </w:rPr>
              <w:t>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_Toc32851164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>
      <w:pPr>
        <w:jc w:val="center"/>
        <w:rPr>
          <w:rFonts w:ascii="Arial" w:hAnsi="Arial" w:cs="Arial"/>
          <w:b/>
          <w:noProof/>
        </w:rPr>
      </w:pPr>
    </w:p>
    <w:p>
      <w:pPr>
        <w:keepNext/>
        <w:numPr>
          <w:ilvl w:val="0"/>
          <w:numId w:val="1"/>
        </w:numPr>
        <w:tabs>
          <w:tab w:val="left" w:pos="510"/>
        </w:tabs>
        <w:spacing w:before="480" w:after="120" w:line="264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bookmarkStart w:id="2" w:name="_Toc32851160"/>
      <w:r>
        <w:rPr>
          <w:rFonts w:ascii="Times New Roman" w:hAnsi="Times New Roman"/>
          <w:b/>
          <w:smallCaps/>
          <w:noProof/>
          <w:sz w:val="24"/>
          <w:szCs w:val="24"/>
        </w:rPr>
        <w:t>Директива (ЕС) 2015/2203 на Европейския парламент и на Съвета от 25 ноември 2015 година относно сближаването на законодателствата на държавите членки във връзка с казеините и казеинатите, предназначени за консумация от човека, и за отмяна на Директива 83/417/ЕИО на Съвета</w:t>
      </w:r>
      <w:bookmarkEnd w:id="2"/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3" w:name="_Toc32851161"/>
      <w:r>
        <w:rPr>
          <w:rFonts w:ascii="Times New Roman" w:hAnsi="Times New Roman"/>
          <w:b/>
          <w:noProof/>
          <w:sz w:val="24"/>
          <w:szCs w:val="24"/>
        </w:rPr>
        <w:t>Въведение</w:t>
      </w:r>
      <w:bookmarkEnd w:id="3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Директива (ЕС) 2015/2203 на Европейския парламент и на Съвета</w:t>
      </w:r>
      <w:r>
        <w:rPr>
          <w:rFonts w:ascii="Times New Roman" w:hAnsi="Times New Roman" w:cs="Times New Roman"/>
          <w:noProof/>
          <w:color w:val="444444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се предвижда сближаването на законодателствата на държавите членки във връзка с казеините и казеинатите, предназначени за консумация от човека, с цел да се улесни свободното движение на стоки във вътрешния пазар, като същевременно се осигурява висока степен на защита на здравето.</w:t>
      </w:r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 член 5 на Комисията се предоставя правомощието да приема делегирани актове, за да изменя стандартите, посочени в приложения I и II, с цел да бъдат отчетени промените в съответните международни стандарти, както и техническият прогрес.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4" w:name="_Toc32851162"/>
      <w:r>
        <w:rPr>
          <w:rFonts w:ascii="Times New Roman" w:hAnsi="Times New Roman"/>
          <w:b/>
          <w:noProof/>
          <w:sz w:val="24"/>
          <w:szCs w:val="24"/>
        </w:rPr>
        <w:t>Правно основание</w:t>
      </w:r>
      <w:bookmarkEnd w:id="4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Докладът се изисква съгласно член 6, параграф 2. Съгласно тази разпоредба правомощието да приема делегирани актове, посочено в член 5, се предоставя на Комисията за срок от пет години, считано от 21 декември 2015 г. Комисията изготвя доклад относно делегирането на правомощия не по-късно от девет месеца преди изтичането на петгодишния срок. Делегирането на правомощия се продължава мълчаливо за срокове с еднаква продължителност, освен ако Европейският парламент или Съветът не възразят срещу подобно продължаване не по-късно от три месеца преди изтичането на всеки срок.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5" w:name="_Toc32851163"/>
      <w:r>
        <w:rPr>
          <w:rFonts w:ascii="Times New Roman" w:hAnsi="Times New Roman"/>
          <w:b/>
          <w:noProof/>
          <w:sz w:val="24"/>
          <w:szCs w:val="24"/>
        </w:rPr>
        <w:t>Упражняване на делегирането</w:t>
      </w:r>
      <w:bookmarkEnd w:id="5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Комисията не е приела делегирани актове съгласно член 5, тъй като не е установила необходимост от изменение на стандартите, посочени в приложения I и II. Понастоящем Комисията не възнамерява да използва това правомощие в близко бъдеще.</w:t>
      </w:r>
      <w:r>
        <w:rPr>
          <w:rFonts w:ascii="Times New Roman" w:hAnsi="Times New Roman"/>
          <w:noProof/>
          <w:sz w:val="24"/>
          <w:szCs w:val="24"/>
        </w:rPr>
        <w:cr/>
      </w:r>
      <w:r>
        <w:rPr>
          <w:rFonts w:ascii="Times New Roman" w:hAnsi="Times New Roman"/>
          <w:noProof/>
          <w:sz w:val="24"/>
          <w:szCs w:val="24"/>
        </w:rPr>
        <w:br/>
        <w:t xml:space="preserve"> Не може обаче да се изключи възможността да възникне необходимост от неговото използване.</w:t>
      </w:r>
    </w:p>
    <w:p>
      <w:pPr>
        <w:keepNext/>
        <w:numPr>
          <w:ilvl w:val="1"/>
          <w:numId w:val="1"/>
        </w:numPr>
        <w:tabs>
          <w:tab w:val="left" w:pos="737"/>
        </w:tabs>
        <w:spacing w:before="420" w:after="120" w:line="264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6" w:name="_Toc32851164"/>
      <w:r>
        <w:rPr>
          <w:rFonts w:ascii="Times New Roman" w:hAnsi="Times New Roman"/>
          <w:b/>
          <w:noProof/>
          <w:sz w:val="24"/>
          <w:szCs w:val="24"/>
        </w:rPr>
        <w:t>Заключения</w:t>
      </w:r>
      <w:bookmarkEnd w:id="6"/>
    </w:p>
    <w:p>
      <w:pPr>
        <w:tabs>
          <w:tab w:val="left" w:pos="340"/>
          <w:tab w:val="left" w:pos="510"/>
          <w:tab w:val="left" w:pos="1021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Предоставеното правомощие не е използвано поради липса на правно задължение или необходимост от неговото използване.</w:t>
      </w:r>
    </w:p>
    <w:p>
      <w:pPr>
        <w:rPr>
          <w:noProof/>
          <w:sz w:val="24"/>
          <w:szCs w:val="24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6898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Директива (ЕС) 2015/2203 на Европейския парламент и на Съвета от 25 ноември 2015 г. относно сближаването на законодателствата на държавите членки във връзка с казеините и казеинатите, предназначени за консумация от човека, и за отмяна на Директива 83/417/ЕИО на Съвета, ОВ L 314, 1.12.2015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145E"/>
    <w:multiLevelType w:val="multilevel"/>
    <w:tmpl w:val="D3944F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  <w:ind w:left="595" w:hanging="5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7C5AA5C6-DE4D-47DF-AA9C-8540E8B3E59B"/>
    <w:docVar w:name="LW_COVERPAGE_TYPE" w:val="1"/>
    <w:docVar w:name="LW_CROSSREFERENCE" w:val="&lt;UNUSED&gt;"/>
    <w:docVar w:name="LW_DocType" w:val="NORMAL"/>
    <w:docVar w:name="LW_EMISSION" w:val="2.3.2020"/>
    <w:docVar w:name="LW_EMISSION_ISODATE" w:val="2020-03-02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7?\u1086? \u1089?\u1080?\u1083?\u1072?\u1090?\u1072? \u1085?\u1072? \u1044?\u1080?\u1088?\u1077?\u1082?\u1090?\u1080?\u1074?\u1072? (\u1045?\u1057?) 2015/2203 \u1085?\u1072? \u1045?\u1074?\u1088?\u1086?\u1087?\u1077?\u1081?\u1089?\u1082?\u1080?\u1103? \u1087?\u1072?\u1088?\u1083?\u1072?\u1084?\u1077?\u1085?\u1090? \u1080? \u1085?\u1072? \u1057?\u1098?\u1074?\u1077?\u1090?\u1072? \u1086?\u1090? 25 \u1085?\u1086?\u1077?\u1084?\u1074?\u1088?\u1080? 2015 \u1075?\u1086?\u1076?\u1080?\u1085?\u1072? \u1086?\u1090?\u1085?\u1086?\u1089?\u1085?\u1086? \u1089?\u1073?\u1083?\u1080?\u1078?\u1072?\u1074?\u1072?\u1085?\u1077?\u1090?\u1086? \u1085?\u1072? \u1079?\u1072?\u1082?\u1086?\u1085?\u1086?\u1076?\u1072?\u1090?\u1077?\u1083?\u1089?\u1090?\u1074?\u1072?\u1090?\u1072? \u1085?\u1072? \u1076?\u1098?\u1088?\u1078?\u1072?\u1074?\u1080?\u1090?\u1077? \u1095?\u1083?\u1077?\u1085?\u1082?\u1080? \u1074?\u1098?\u1074? \u1074?\u1088?\u1098?\u1079?\u1082?\u1072? \u1089? \u1082?\u1072?\u1079?\u1077?\u1080?\u1085?\u1080?\u1090?\u1077? \u1080? \u1082?\u1072?\u1079?\u1077?\u1080?\u1085?\u1072?\u1090?\u1080?\u1090?\u1077?, \u1087?\u1088?\u1077?\u1076?\u1085?\u1072?\u1079?\u1085?\u1072?\u1095?\u1077?\u1085?\u1080? \u1079?\u1072? \u1082?\u1086?\u1085?\u1089?\u1091?\u1084?\u1072?\u1094?\u1080?\u1103? \u1086?\u1090? \u1095?\u1086?\u1074?\u1077?\u1082?\u1072?, \u1080? \u1079?\u1072? \u1086?\u1090?\u1084?\u1103?\u1085?\u1072? \u1085?\u1072? \u1044?\u1080?\u1088?\u1077?\u1082?\u1090?\u1080?\u1074?\u1072? 83/417/\u1045?\u1048?\u1054? \u1085?\u1072? \u1057?\u1098?\u1074?\u1077?\u1090?\u1072?_x000b_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0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tabs>
        <w:tab w:val="num" w:pos="595"/>
        <w:tab w:val="left" w:pos="737"/>
      </w:tabs>
      <w:spacing w:before="420" w:after="120" w:line="264" w:lineRule="auto"/>
      <w:ind w:left="595" w:hanging="595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tabs>
        <w:tab w:val="num" w:pos="737"/>
        <w:tab w:val="left" w:pos="935"/>
      </w:tabs>
      <w:spacing w:before="360" w:after="120" w:line="264" w:lineRule="auto"/>
      <w:ind w:left="737" w:hanging="737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tabs>
        <w:tab w:val="num" w:pos="850"/>
        <w:tab w:val="left" w:pos="1049"/>
      </w:tabs>
      <w:spacing w:before="360" w:after="120" w:line="264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tabs>
        <w:tab w:val="num" w:pos="1049"/>
      </w:tabs>
      <w:spacing w:after="120" w:line="264" w:lineRule="auto"/>
      <w:ind w:left="1049" w:hanging="1049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 w:line="276" w:lineRule="auto"/>
      <w:ind w:left="220"/>
    </w:p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0" w:unhideWhenUsed="0" w:qFormat="1"/>
    <w:lsdException w:name="heading 2" w:uiPriority="90" w:qFormat="1"/>
    <w:lsdException w:name="heading 3" w:uiPriority="90" w:qFormat="1"/>
    <w:lsdException w:name="heading 4" w:uiPriority="9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0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0"/>
    <w:qFormat/>
    <w:pPr>
      <w:keepNext/>
      <w:tabs>
        <w:tab w:val="num" w:pos="595"/>
        <w:tab w:val="left" w:pos="737"/>
      </w:tabs>
      <w:spacing w:before="420" w:after="120" w:line="264" w:lineRule="auto"/>
      <w:ind w:left="595" w:hanging="595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0"/>
    <w:qFormat/>
    <w:pPr>
      <w:keepNext/>
      <w:tabs>
        <w:tab w:val="num" w:pos="737"/>
        <w:tab w:val="left" w:pos="935"/>
      </w:tabs>
      <w:spacing w:before="360" w:after="120" w:line="264" w:lineRule="auto"/>
      <w:ind w:left="737" w:hanging="737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0"/>
    <w:qFormat/>
    <w:pPr>
      <w:keepNext/>
      <w:tabs>
        <w:tab w:val="num" w:pos="850"/>
        <w:tab w:val="left" w:pos="1049"/>
      </w:tabs>
      <w:spacing w:before="360" w:after="120" w:line="264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pPr>
      <w:keepNext/>
      <w:tabs>
        <w:tab w:val="num" w:pos="1049"/>
      </w:tabs>
      <w:spacing w:after="120" w:line="264" w:lineRule="auto"/>
      <w:ind w:left="1049" w:hanging="1049"/>
      <w:jc w:val="both"/>
      <w:outlineLvl w:val="4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6">
    <w:name w:val="heading 6"/>
    <w:basedOn w:val="Normal"/>
    <w:next w:val="Normal"/>
    <w:link w:val="Heading6Char"/>
    <w:semiHidden/>
    <w:pPr>
      <w:keepNext/>
      <w:spacing w:after="120" w:line="264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7">
    <w:name w:val="heading 7"/>
    <w:basedOn w:val="Normal"/>
    <w:next w:val="Normal"/>
    <w:link w:val="Heading7Char"/>
    <w:semiHidden/>
    <w:pPr>
      <w:keepNext/>
      <w:spacing w:after="120" w:line="264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pPr>
      <w:keepNext/>
      <w:spacing w:after="120" w:line="264" w:lineRule="auto"/>
      <w:jc w:val="both"/>
      <w:outlineLvl w:val="7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9">
    <w:name w:val="heading 9"/>
    <w:basedOn w:val="Normal"/>
    <w:next w:val="Normal"/>
    <w:link w:val="Heading9Char"/>
    <w:semiHidden/>
    <w:pPr>
      <w:keepNext/>
      <w:spacing w:after="120" w:line="264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 w:line="276" w:lineRule="auto"/>
      <w:ind w:left="220"/>
    </w:pPr>
  </w:style>
  <w:style w:type="character" w:customStyle="1" w:styleId="Heading2Char">
    <w:name w:val="Heading 2 Char"/>
    <w:basedOn w:val="DefaultParagraphFont"/>
    <w:link w:val="Heading2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3Char">
    <w:name w:val="Heading 3 Char"/>
    <w:basedOn w:val="DefaultParagraphFont"/>
    <w:link w:val="Heading3"/>
    <w:uiPriority w:val="90"/>
    <w:rPr>
      <w:rFonts w:ascii="Times New Roman" w:eastAsia="Times New Roman" w:hAnsi="Times New Roman" w:cs="Times New Roman"/>
      <w:b/>
      <w:sz w:val="26"/>
      <w:szCs w:val="20"/>
      <w:lang w:val="bg-BG" w:eastAsia="en-GB"/>
    </w:rPr>
  </w:style>
  <w:style w:type="character" w:customStyle="1" w:styleId="Heading4Char">
    <w:name w:val="Heading 4 Char"/>
    <w:basedOn w:val="DefaultParagraphFont"/>
    <w:link w:val="Heading4"/>
    <w:uiPriority w:val="90"/>
    <w:rPr>
      <w:rFonts w:ascii="Times New Roman" w:eastAsia="Times New Roman" w:hAnsi="Times New Roman" w:cs="Times New Roman"/>
      <w:b/>
      <w:szCs w:val="20"/>
      <w:lang w:val="bg-BG" w:eastAsia="en-GB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eastAsia="Times New Roman" w:hAnsi="Times New Roman" w:cs="Times New Roman"/>
      <w:szCs w:val="20"/>
      <w:lang w:val="bg-BG" w:eastAsia="en-GB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eastAsia="Times New Roman" w:hAnsi="Times New Roman" w:cs="Times New Roman"/>
      <w:szCs w:val="20"/>
      <w:lang w:val="bg-BG" w:eastAsia="en-GB"/>
    </w:rPr>
  </w:style>
  <w:style w:type="paragraph" w:styleId="FootnoteText">
    <w:name w:val="footnote text"/>
    <w:basedOn w:val="Normal"/>
    <w:link w:val="FootnoteTextChar"/>
    <w:semiHidden/>
    <w:pPr>
      <w:tabs>
        <w:tab w:val="left" w:pos="454"/>
      </w:tabs>
      <w:spacing w:after="120" w:line="264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bg-BG" w:eastAsia="en-GB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A3B3-08F6-4575-B365-985BDE56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2645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16</cp:revision>
  <dcterms:created xsi:type="dcterms:W3CDTF">2020-01-17T11:06:00Z</dcterms:created>
  <dcterms:modified xsi:type="dcterms:W3CDTF">2020-02-26T16:39:00Z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