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D9704E41-3995-4F7B-8945-6E0FCEC25C4A" style="width:450.7pt;height:374.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exercise of the power to adopt delegated acts conferred to the Commission pursuant to Directive (EU) 2015/2203 of the European Parliament and of the Council of 25 November 2015 on the approximation of the laws of the Member States relating to caseins and caseinates intended for human consumption and repealing Council Directive 83/417/EEC</w:t>
      </w:r>
      <w:r>
        <w:rPr>
          <w:noProof/>
        </w:rPr>
        <w:br/>
      </w:r>
    </w:p>
    <w:p>
      <w:pPr>
        <w:jc w:val="center"/>
        <w:rPr>
          <w:rFonts w:ascii="Arial" w:hAnsi="Arial" w:cs="Arial"/>
          <w:b/>
          <w:noProof/>
        </w:rPr>
      </w:pPr>
    </w:p>
    <w:sdt>
      <w:sdtPr>
        <w:rPr>
          <w:rFonts w:asciiTheme="minorHAnsi" w:eastAsiaTheme="minorHAnsi" w:hAnsiTheme="minorHAnsi" w:cstheme="minorBidi"/>
          <w:noProof/>
          <w:color w:val="auto"/>
          <w:sz w:val="22"/>
          <w:szCs w:val="22"/>
          <w:lang w:val="en-GB"/>
        </w:rPr>
        <w:id w:val="-1016466526"/>
        <w:docPartObj>
          <w:docPartGallery w:val="Table of Contents"/>
          <w:docPartUnique/>
        </w:docPartObj>
      </w:sdtPr>
      <w:sdtEndPr>
        <w:rPr>
          <w:b/>
          <w:bCs/>
        </w:rPr>
      </w:sdtEndPr>
      <w:sdtContent>
        <w:p>
          <w:pPr>
            <w:pStyle w:val="TOCHeading"/>
            <w:rPr>
              <w:noProof/>
            </w:rPr>
          </w:pPr>
          <w:r>
            <w:rPr>
              <w:noProof/>
            </w:rPr>
            <w:t>Contents</w:t>
          </w:r>
        </w:p>
        <w:p>
          <w:pPr>
            <w:pStyle w:val="TOC1"/>
            <w:tabs>
              <w:tab w:val="left" w:pos="440"/>
              <w:tab w:val="right" w:leader="dot" w:pos="9350"/>
            </w:tabs>
            <w:rPr>
              <w:rFonts w:eastAsiaTheme="minorEastAsia"/>
              <w:noProof/>
              <w:lang w:val="fr-BE" w:eastAsia="fr-BE"/>
            </w:rPr>
          </w:pPr>
          <w:r>
            <w:rPr>
              <w:noProof/>
            </w:rPr>
            <w:fldChar w:fldCharType="begin"/>
          </w:r>
          <w:r>
            <w:rPr>
              <w:noProof/>
            </w:rPr>
            <w:instrText xml:space="preserve"> TOC \o "1-3" \h \z \u </w:instrText>
          </w:r>
          <w:r>
            <w:rPr>
              <w:noProof/>
            </w:rPr>
            <w:fldChar w:fldCharType="separate"/>
          </w:r>
          <w:hyperlink w:anchor="_Toc30154598" w:history="1">
            <w:r>
              <w:rPr>
                <w:rStyle w:val="Hyperlink"/>
                <w:rFonts w:ascii="Times New Roman" w:eastAsia="Times New Roman" w:hAnsi="Times New Roman" w:cs="Times New Roman"/>
                <w:b/>
                <w:smallCaps/>
                <w:noProof/>
                <w:lang w:eastAsia="en-GB"/>
              </w:rPr>
              <w:t>1.</w:t>
            </w:r>
            <w:r>
              <w:rPr>
                <w:rFonts w:eastAsiaTheme="minorEastAsia"/>
                <w:noProof/>
                <w:lang w:val="fr-BE" w:eastAsia="fr-BE"/>
              </w:rPr>
              <w:tab/>
            </w:r>
            <w:r>
              <w:rPr>
                <w:rStyle w:val="Hyperlink"/>
                <w:rFonts w:ascii="Times New Roman" w:eastAsia="Times New Roman" w:hAnsi="Times New Roman" w:cs="Times New Roman"/>
                <w:b/>
                <w:smallCaps/>
                <w:noProof/>
                <w:lang w:eastAsia="en-GB"/>
              </w:rPr>
              <w:t>Directive (EU) 2015/2203 of the European Parliament and of the Council of 25 November 2015 on the approximation of the laws of the Member States relating to caseins and caseinates intended for human consumption and repealing Council Directive 83/417/EEC</w:t>
            </w:r>
            <w:r>
              <w:rPr>
                <w:noProof/>
                <w:webHidden/>
              </w:rPr>
              <w:tab/>
            </w:r>
            <w:r>
              <w:rPr>
                <w:noProof/>
                <w:webHidden/>
              </w:rPr>
              <w:fldChar w:fldCharType="begin"/>
            </w:r>
            <w:r>
              <w:rPr>
                <w:noProof/>
                <w:webHidden/>
              </w:rPr>
              <w:instrText xml:space="preserve"> PAGEREF _Toc30154598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880"/>
              <w:tab w:val="right" w:leader="dot" w:pos="9350"/>
            </w:tabs>
            <w:rPr>
              <w:rFonts w:eastAsiaTheme="minorEastAsia"/>
              <w:noProof/>
              <w:lang w:val="fr-BE" w:eastAsia="fr-BE"/>
            </w:rPr>
          </w:pPr>
          <w:hyperlink w:anchor="_Toc30154599" w:history="1">
            <w:r>
              <w:rPr>
                <w:rStyle w:val="Hyperlink"/>
                <w:rFonts w:ascii="Times New Roman" w:eastAsia="Times New Roman" w:hAnsi="Times New Roman" w:cs="Times New Roman"/>
                <w:b/>
                <w:noProof/>
                <w:lang w:eastAsia="en-GB"/>
              </w:rPr>
              <w:t>1.1.</w:t>
            </w:r>
            <w:r>
              <w:rPr>
                <w:rFonts w:eastAsiaTheme="minorEastAsia"/>
                <w:noProof/>
                <w:lang w:val="fr-BE" w:eastAsia="fr-BE"/>
              </w:rPr>
              <w:tab/>
            </w:r>
            <w:r>
              <w:rPr>
                <w:rStyle w:val="Hyperlink"/>
                <w:rFonts w:ascii="Times New Roman" w:eastAsia="Times New Roman" w:hAnsi="Times New Roman" w:cs="Times New Roman"/>
                <w:b/>
                <w:noProof/>
                <w:lang w:eastAsia="en-GB"/>
              </w:rPr>
              <w:t>Introduction</w:t>
            </w:r>
            <w:r>
              <w:rPr>
                <w:noProof/>
                <w:webHidden/>
              </w:rPr>
              <w:tab/>
            </w:r>
            <w:r>
              <w:rPr>
                <w:noProof/>
                <w:webHidden/>
              </w:rPr>
              <w:fldChar w:fldCharType="begin"/>
            </w:r>
            <w:r>
              <w:rPr>
                <w:noProof/>
                <w:webHidden/>
              </w:rPr>
              <w:instrText xml:space="preserve"> PAGEREF _Toc30154599 \h </w:instrText>
            </w:r>
            <w:r>
              <w:rPr>
                <w:noProof/>
                <w:webHidden/>
              </w:rPr>
            </w:r>
            <w:r>
              <w:rPr>
                <w:noProof/>
                <w:webHidden/>
              </w:rPr>
              <w:fldChar w:fldCharType="separate"/>
            </w:r>
            <w:r>
              <w:rPr>
                <w:noProof/>
                <w:webHidden/>
              </w:rPr>
              <w:t>1</w:t>
            </w:r>
            <w:r>
              <w:rPr>
                <w:noProof/>
                <w:webHidden/>
              </w:rPr>
              <w:fldChar w:fldCharType="end"/>
            </w:r>
          </w:hyperlink>
        </w:p>
        <w:p>
          <w:pPr>
            <w:pStyle w:val="TOC2"/>
            <w:tabs>
              <w:tab w:val="left" w:pos="880"/>
              <w:tab w:val="right" w:leader="dot" w:pos="9350"/>
            </w:tabs>
            <w:rPr>
              <w:rFonts w:eastAsiaTheme="minorEastAsia"/>
              <w:noProof/>
              <w:lang w:val="fr-BE" w:eastAsia="fr-BE"/>
            </w:rPr>
          </w:pPr>
          <w:hyperlink w:anchor="_Toc30154600" w:history="1">
            <w:r>
              <w:rPr>
                <w:rStyle w:val="Hyperlink"/>
                <w:rFonts w:ascii="Times New Roman" w:eastAsia="Times New Roman" w:hAnsi="Times New Roman" w:cs="Times New Roman"/>
                <w:b/>
                <w:noProof/>
                <w:lang w:eastAsia="en-GB"/>
              </w:rPr>
              <w:t>1.2.</w:t>
            </w:r>
            <w:r>
              <w:rPr>
                <w:rFonts w:eastAsiaTheme="minorEastAsia"/>
                <w:noProof/>
                <w:lang w:val="fr-BE" w:eastAsia="fr-BE"/>
              </w:rPr>
              <w:tab/>
            </w:r>
            <w:r>
              <w:rPr>
                <w:rStyle w:val="Hyperlink"/>
                <w:rFonts w:ascii="Times New Roman" w:eastAsia="Times New Roman" w:hAnsi="Times New Roman" w:cs="Times New Roman"/>
                <w:b/>
                <w:noProof/>
                <w:lang w:eastAsia="en-GB"/>
              </w:rPr>
              <w:t>Legal Basis</w:t>
            </w:r>
            <w:r>
              <w:rPr>
                <w:noProof/>
                <w:webHidden/>
              </w:rPr>
              <w:tab/>
            </w:r>
            <w:r>
              <w:rPr>
                <w:noProof/>
                <w:webHidden/>
              </w:rPr>
              <w:fldChar w:fldCharType="begin"/>
            </w:r>
            <w:r>
              <w:rPr>
                <w:noProof/>
                <w:webHidden/>
              </w:rPr>
              <w:instrText xml:space="preserve"> PAGEREF _Toc30154600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50"/>
            </w:tabs>
            <w:rPr>
              <w:rFonts w:eastAsiaTheme="minorEastAsia"/>
              <w:noProof/>
              <w:lang w:val="fr-BE" w:eastAsia="fr-BE"/>
            </w:rPr>
          </w:pPr>
          <w:hyperlink w:anchor="_Toc30154601" w:history="1">
            <w:r>
              <w:rPr>
                <w:rStyle w:val="Hyperlink"/>
                <w:rFonts w:ascii="Times New Roman" w:eastAsia="Times New Roman" w:hAnsi="Times New Roman" w:cs="Times New Roman"/>
                <w:b/>
                <w:noProof/>
                <w:lang w:eastAsia="en-GB"/>
              </w:rPr>
              <w:t>1.3.</w:t>
            </w:r>
            <w:r>
              <w:rPr>
                <w:rFonts w:eastAsiaTheme="minorEastAsia"/>
                <w:noProof/>
                <w:lang w:val="fr-BE" w:eastAsia="fr-BE"/>
              </w:rPr>
              <w:tab/>
            </w:r>
            <w:r>
              <w:rPr>
                <w:rStyle w:val="Hyperlink"/>
                <w:rFonts w:ascii="Times New Roman" w:eastAsia="Times New Roman" w:hAnsi="Times New Roman" w:cs="Times New Roman"/>
                <w:b/>
                <w:noProof/>
                <w:lang w:eastAsia="en-GB"/>
              </w:rPr>
              <w:t>Exercise of Delegation</w:t>
            </w:r>
            <w:r>
              <w:rPr>
                <w:noProof/>
                <w:webHidden/>
              </w:rPr>
              <w:tab/>
            </w:r>
            <w:r>
              <w:rPr>
                <w:noProof/>
                <w:webHidden/>
              </w:rPr>
              <w:fldChar w:fldCharType="begin"/>
            </w:r>
            <w:r>
              <w:rPr>
                <w:noProof/>
                <w:webHidden/>
              </w:rPr>
              <w:instrText xml:space="preserve"> PAGEREF _Toc30154601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50"/>
            </w:tabs>
            <w:rPr>
              <w:rFonts w:eastAsiaTheme="minorEastAsia"/>
              <w:noProof/>
              <w:lang w:val="fr-BE" w:eastAsia="fr-BE"/>
            </w:rPr>
          </w:pPr>
          <w:hyperlink w:anchor="_Toc30154602" w:history="1">
            <w:r>
              <w:rPr>
                <w:rStyle w:val="Hyperlink"/>
                <w:rFonts w:ascii="Times New Roman" w:eastAsia="Times New Roman" w:hAnsi="Times New Roman" w:cs="Times New Roman"/>
                <w:b/>
                <w:noProof/>
                <w:lang w:eastAsia="en-GB"/>
              </w:rPr>
              <w:t>1.4.</w:t>
            </w:r>
            <w:r>
              <w:rPr>
                <w:rFonts w:eastAsiaTheme="minorEastAsia"/>
                <w:noProof/>
                <w:lang w:val="fr-BE" w:eastAsia="fr-BE"/>
              </w:rPr>
              <w:tab/>
            </w:r>
            <w:r>
              <w:rPr>
                <w:rStyle w:val="Hyperlink"/>
                <w:rFonts w:ascii="Times New Roman" w:eastAsia="Times New Roman" w:hAnsi="Times New Roman" w:cs="Times New Roman"/>
                <w:b/>
                <w:noProof/>
                <w:lang w:eastAsia="en-GB"/>
              </w:rPr>
              <w:t>Conclusions</w:t>
            </w:r>
            <w:r>
              <w:rPr>
                <w:noProof/>
                <w:webHidden/>
              </w:rPr>
              <w:tab/>
            </w:r>
            <w:r>
              <w:rPr>
                <w:noProof/>
                <w:webHidden/>
              </w:rPr>
              <w:fldChar w:fldCharType="begin"/>
            </w:r>
            <w:r>
              <w:rPr>
                <w:noProof/>
                <w:webHidden/>
              </w:rPr>
              <w:instrText xml:space="preserve"> PAGEREF _Toc30154602 \h </w:instrText>
            </w:r>
            <w:r>
              <w:rPr>
                <w:noProof/>
                <w:webHidden/>
              </w:rPr>
            </w:r>
            <w:r>
              <w:rPr>
                <w:noProof/>
                <w:webHidden/>
              </w:rPr>
              <w:fldChar w:fldCharType="separate"/>
            </w:r>
            <w:r>
              <w:rPr>
                <w:noProof/>
                <w:webHidden/>
              </w:rPr>
              <w:t>2</w:t>
            </w:r>
            <w:r>
              <w:rPr>
                <w:noProof/>
                <w:webHidden/>
              </w:rPr>
              <w:fldChar w:fldCharType="end"/>
            </w:r>
          </w:hyperlink>
        </w:p>
        <w:p>
          <w:pPr>
            <w:spacing w:after="200" w:line="276" w:lineRule="auto"/>
            <w:rPr>
              <w:b/>
              <w:bCs/>
              <w:noProof/>
            </w:rPr>
          </w:pPr>
          <w:r>
            <w:rPr>
              <w:b/>
              <w:bCs/>
              <w:noProof/>
            </w:rPr>
            <w:fldChar w:fldCharType="end"/>
          </w:r>
        </w:p>
      </w:sdtContent>
    </w:sdt>
    <w:p>
      <w:pPr>
        <w:jc w:val="center"/>
        <w:rPr>
          <w:rFonts w:ascii="Arial" w:hAnsi="Arial" w:cs="Arial"/>
          <w:b/>
          <w:noProof/>
        </w:rPr>
      </w:pP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lang w:eastAsia="en-GB"/>
        </w:rPr>
      </w:pPr>
      <w:bookmarkStart w:id="2" w:name="_Toc30154598"/>
      <w:r>
        <w:rPr>
          <w:rFonts w:ascii="Times New Roman" w:eastAsia="Times New Roman" w:hAnsi="Times New Roman" w:cs="Times New Roman"/>
          <w:b/>
          <w:smallCaps/>
          <w:noProof/>
          <w:sz w:val="24"/>
          <w:szCs w:val="24"/>
          <w:lang w:eastAsia="en-GB"/>
        </w:rPr>
        <w:t>Directive (EU) 2015/2203 of the European Parliament and of the Council of 25 November 2015 on the approximation of the laws of the Member States relating to caseins and caseinates intended for human consumption and repealing Council Directive 83/417/EEC</w:t>
      </w:r>
      <w:bookmarkEnd w:id="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3" w:name="_Toc30154599"/>
      <w:r>
        <w:rPr>
          <w:rFonts w:ascii="Times New Roman" w:eastAsia="Times New Roman" w:hAnsi="Times New Roman" w:cs="Times New Roman"/>
          <w:b/>
          <w:noProof/>
          <w:sz w:val="24"/>
          <w:szCs w:val="24"/>
          <w:lang w:eastAsia="en-GB"/>
        </w:rPr>
        <w:t>Introduction</w:t>
      </w:r>
      <w:bookmarkEnd w:id="3"/>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(EU) 2015/2203 of the European Parliament and of the Council</w:t>
      </w:r>
      <w:r>
        <w:rPr>
          <w:rFonts w:ascii="Times New Roman" w:hAnsi="Times New Roman" w:cs="Times New Roman"/>
          <w:noProof/>
          <w:color w:val="444444"/>
          <w:sz w:val="24"/>
          <w:szCs w:val="24"/>
          <w:vertAlign w:val="superscript"/>
        </w:rPr>
        <w:footnoteReference w:id="1"/>
      </w:r>
      <w:r>
        <w:rPr>
          <w:rFonts w:ascii="Times New Roman" w:hAnsi="Times New Roman" w:cs="Times New Roman"/>
          <w:noProof/>
          <w:sz w:val="24"/>
          <w:szCs w:val="24"/>
        </w:rPr>
        <w:t xml:space="preserve"> provides for the approximation of the laws of the Member States on caseins and caseinates intended for human consumption to facilitate the free movement of goods in the internal market while providing a high level of protection of health.</w:t>
      </w:r>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Article 5 empowers the Commission to adopt delegated acts to amend the standards set out in Annexes I and II in order to take account of developments in relevant international standards and of technical progress.</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4" w:name="_Toc30154600"/>
      <w:r>
        <w:rPr>
          <w:rFonts w:ascii="Times New Roman" w:eastAsia="Times New Roman" w:hAnsi="Times New Roman" w:cs="Times New Roman"/>
          <w:b/>
          <w:noProof/>
          <w:sz w:val="24"/>
          <w:szCs w:val="24"/>
          <w:lang w:eastAsia="en-GB"/>
        </w:rPr>
        <w:t>Legal Basis</w:t>
      </w:r>
      <w:bookmarkEnd w:id="4"/>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report is required under Article 6(2). Pursuant to this provision, the power to adopt delegated acts referred to in Article 5 shall be conferred on the Commission for a period of five years from 21 December 2015. The Commission shall draw up a report in respect of the delegation of power not later than nine months before the end of the five-year period. The delegation of power is tacitly extended for periods of an identical duration, unless the European Parliament or the Council opposes such extension not later than three months before the end of each period.</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5" w:name="_Toc30154601"/>
      <w:r>
        <w:rPr>
          <w:rFonts w:ascii="Times New Roman" w:eastAsia="Times New Roman" w:hAnsi="Times New Roman" w:cs="Times New Roman"/>
          <w:b/>
          <w:noProof/>
          <w:sz w:val="24"/>
          <w:szCs w:val="24"/>
          <w:lang w:eastAsia="en-GB"/>
        </w:rPr>
        <w:t>Exercise of Delegation</w:t>
      </w:r>
      <w:bookmarkEnd w:id="5"/>
    </w:p>
    <w:p>
      <w:pPr>
        <w:tabs>
          <w:tab w:val="left" w:pos="340"/>
          <w:tab w:val="left" w:pos="510"/>
          <w:tab w:val="left" w:pos="1021"/>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Commission has not adopted any delegated act pursuant to Article 5 since the Commission has not identified any need to amend the standards set out in Annexes I and II. The Commission does at this moment not intend to use the empowerment in the near future. However, it cannot be excluded that it can become necessary to use it.</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lang w:eastAsia="en-GB"/>
        </w:rPr>
      </w:pPr>
      <w:bookmarkStart w:id="6" w:name="_Toc30154602"/>
      <w:r>
        <w:rPr>
          <w:rFonts w:ascii="Times New Roman" w:eastAsia="Times New Roman" w:hAnsi="Times New Roman" w:cs="Times New Roman"/>
          <w:b/>
          <w:noProof/>
          <w:sz w:val="24"/>
          <w:szCs w:val="24"/>
          <w:lang w:eastAsia="en-GB"/>
        </w:rPr>
        <w:t>Conclusions</w:t>
      </w:r>
      <w:bookmarkEnd w:id="6"/>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empowerment has not been used, because there was no legal obligation nor any necessity to use it.</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898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US"/>
        </w:rPr>
      </w:pPr>
      <w:r>
        <w:rPr>
          <w:rStyle w:val="FootnoteReference"/>
        </w:rPr>
        <w:footnoteRef/>
      </w:r>
      <w:r>
        <w:t xml:space="preserve"> </w:t>
      </w:r>
      <w:r>
        <w:tab/>
        <w:t>Directive (EU) 2015/2203 of the European Parliament and of the Council of 25 November 2015 on the approximation of the laws of the Member States relating to caseins and caseinates intended for human consumption and repealing Council Directive 83/417/EEC, OJ L 314, 1.12.2015,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5145E"/>
    <w:multiLevelType w:val="multilevel"/>
    <w:tmpl w:val="D3944FC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95"/>
        </w:tabs>
        <w:ind w:left="595" w:hanging="595"/>
      </w:pPr>
      <w:rPr>
        <w:rFonts w:hint="default"/>
      </w:rPr>
    </w:lvl>
    <w:lvl w:ilvl="2">
      <w:start w:val="1"/>
      <w:numFmt w:val="decimal"/>
      <w:lvlText w:val="%1.%2.%3."/>
      <w:lvlJc w:val="left"/>
      <w:pPr>
        <w:tabs>
          <w:tab w:val="num" w:pos="737"/>
        </w:tabs>
        <w:ind w:left="737" w:hanging="737"/>
      </w:pPr>
      <w:rPr>
        <w:rFonts w:hint="default"/>
        <w:u w:val="none"/>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1049"/>
        </w:tabs>
        <w:ind w:left="1049" w:hanging="1049"/>
      </w:pPr>
      <w:rPr>
        <w:rFonts w:hint="default"/>
      </w:rPr>
    </w:lvl>
    <w:lvl w:ilvl="5">
      <w:start w:val="1"/>
      <w:numFmt w:val="decimal"/>
      <w:suff w:val="space"/>
      <w:lvlText w:val="%1.%2.%3.%4.%5.%6."/>
      <w:lvlJc w:val="left"/>
      <w:pPr>
        <w:ind w:firstLine="0"/>
      </w:pPr>
      <w:rPr>
        <w:rFonts w:hint="default"/>
      </w:rPr>
    </w:lvl>
    <w:lvl w:ilvl="6">
      <w:start w:val="1"/>
      <w:numFmt w:val="decimal"/>
      <w:suff w:val="space"/>
      <w:lvlText w:val="%1.%2.%3.%4.%5.%6.%7."/>
      <w:lvlJc w:val="left"/>
      <w:pPr>
        <w:ind w:firstLine="0"/>
      </w:pPr>
      <w:rPr>
        <w:rFonts w:hint="default"/>
      </w:rPr>
    </w:lvl>
    <w:lvl w:ilvl="7">
      <w:start w:val="1"/>
      <w:numFmt w:val="decimal"/>
      <w:suff w:val="space"/>
      <w:lvlText w:val="%1.%2.%3.%4.%5.%6.%7.%8."/>
      <w:lvlJc w:val="left"/>
      <w:pPr>
        <w:ind w:firstLine="0"/>
      </w:pPr>
      <w:rPr>
        <w:rFonts w:hint="default"/>
      </w:rPr>
    </w:lvl>
    <w:lvl w:ilvl="8">
      <w:start w:val="1"/>
      <w:numFmt w:val="decimal"/>
      <w:suff w:val="space"/>
      <w:lvlText w:val="%1.%2.%3.%4.%5.%6.%7.%8.%9."/>
      <w:lvlJc w:val="left"/>
      <w:pPr>
        <w:ind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9704E41-3995-4F7B-8945-6E0FCEC25C4A"/>
    <w:docVar w:name="LW_COVERPAGE_TYPE" w:val="1"/>
    <w:docVar w:name="LW_CROSSREFERENCE" w:val="&lt;UNUSED&gt;"/>
    <w:docVar w:name="LW_DocType" w:val="NORMAL"/>
    <w:docVar w:name="LW_EMISSION" w:val="2.3.2020"/>
    <w:docVar w:name="LW_EMISSION_ISODATE" w:val="2020-03-0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to the Commission pursuant to Directive (EU) 2015/2203 of the European Parliament and of the Council of 25 November 2015 on the approximation of the laws of the Member States relating to caseins and caseinates intended for human consumption and repealing Council Directive 83/417/EEC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0"/>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0"/>
    <w:qFormat/>
    <w:pPr>
      <w:keepNext/>
      <w:tabs>
        <w:tab w:val="num" w:pos="595"/>
        <w:tab w:val="left" w:pos="737"/>
      </w:tabs>
      <w:spacing w:before="420" w:after="120" w:line="264" w:lineRule="auto"/>
      <w:ind w:left="595" w:hanging="595"/>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tabs>
        <w:tab w:val="num" w:pos="737"/>
        <w:tab w:val="left" w:pos="935"/>
      </w:tabs>
      <w:spacing w:before="360" w:after="120" w:line="264" w:lineRule="auto"/>
      <w:ind w:left="737" w:hanging="737"/>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tabs>
        <w:tab w:val="num" w:pos="850"/>
        <w:tab w:val="left" w:pos="1049"/>
      </w:tabs>
      <w:spacing w:before="360" w:after="120" w:line="264" w:lineRule="auto"/>
      <w:ind w:left="850" w:hanging="850"/>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tabs>
        <w:tab w:val="num" w:pos="1049"/>
      </w:tabs>
      <w:spacing w:after="120" w:line="264" w:lineRule="auto"/>
      <w:ind w:left="1049" w:hanging="1049"/>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pPr>
      <w:spacing w:after="100" w:line="276" w:lineRule="auto"/>
    </w:pPr>
  </w:style>
  <w:style w:type="paragraph" w:styleId="TOC2">
    <w:name w:val="toc 2"/>
    <w:basedOn w:val="Normal"/>
    <w:next w:val="Normal"/>
    <w:autoRedefine/>
    <w:uiPriority w:val="39"/>
    <w:unhideWhenUsed/>
    <w:pPr>
      <w:spacing w:after="100" w:line="276" w:lineRule="auto"/>
      <w:ind w:left="220"/>
    </w:p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en-GB"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0"/>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0"/>
    <w:qFormat/>
    <w:pPr>
      <w:keepNext/>
      <w:tabs>
        <w:tab w:val="num" w:pos="595"/>
        <w:tab w:val="left" w:pos="737"/>
      </w:tabs>
      <w:spacing w:before="420" w:after="120" w:line="264" w:lineRule="auto"/>
      <w:ind w:left="595" w:hanging="595"/>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tabs>
        <w:tab w:val="num" w:pos="737"/>
        <w:tab w:val="left" w:pos="935"/>
      </w:tabs>
      <w:spacing w:before="360" w:after="120" w:line="264" w:lineRule="auto"/>
      <w:ind w:left="737" w:hanging="737"/>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tabs>
        <w:tab w:val="num" w:pos="850"/>
        <w:tab w:val="left" w:pos="1049"/>
      </w:tabs>
      <w:spacing w:before="360" w:after="120" w:line="264" w:lineRule="auto"/>
      <w:ind w:left="850" w:hanging="850"/>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tabs>
        <w:tab w:val="num" w:pos="1049"/>
      </w:tabs>
      <w:spacing w:after="120" w:line="264" w:lineRule="auto"/>
      <w:ind w:left="1049" w:hanging="1049"/>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pPr>
      <w:spacing w:after="100" w:line="276" w:lineRule="auto"/>
    </w:pPr>
  </w:style>
  <w:style w:type="paragraph" w:styleId="TOC2">
    <w:name w:val="toc 2"/>
    <w:basedOn w:val="Normal"/>
    <w:next w:val="Normal"/>
    <w:autoRedefine/>
    <w:uiPriority w:val="39"/>
    <w:unhideWhenUsed/>
    <w:pPr>
      <w:spacing w:after="100" w:line="276" w:lineRule="auto"/>
      <w:ind w:left="220"/>
    </w:p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en-GB"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en-GB"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en-GB"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en-GB"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2469</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dcterms:created xsi:type="dcterms:W3CDTF">2020-01-17T11:06:00Z</dcterms:created>
  <dcterms:modified xsi:type="dcterms:W3CDTF">2020-02-26T16:38:00Z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