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42F" w:rsidRDefault="00A75D0F">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3EF8564-4FCF-473D-B0D7-2E81F4316C51" style="width:450.35pt;height:334.3pt">
            <v:imagedata r:id="rId9" o:title=""/>
          </v:shape>
        </w:pict>
      </w:r>
    </w:p>
    <w:bookmarkEnd w:id="0"/>
    <w:p w:rsidR="00B7142F" w:rsidRDefault="00B7142F">
      <w:pPr>
        <w:rPr>
          <w:noProof/>
        </w:rPr>
        <w:sectPr w:rsidR="00B7142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B7142F" w:rsidRDefault="00A75D0F">
      <w:pPr>
        <w:autoSpaceDE w:val="0"/>
        <w:autoSpaceDN w:val="0"/>
        <w:adjustRightInd w:val="0"/>
        <w:spacing w:after="0" w:line="240" w:lineRule="auto"/>
        <w:jc w:val="center"/>
        <w:rPr>
          <w:rFonts w:ascii="Times New Roman" w:hAnsi="Times New Roman"/>
          <w:b/>
          <w:noProof/>
          <w:sz w:val="24"/>
          <w:szCs w:val="24"/>
        </w:rPr>
      </w:pPr>
      <w:r>
        <w:rPr>
          <w:rFonts w:ascii="Times New Roman" w:hAnsi="Times New Roman"/>
          <w:b/>
          <w:noProof/>
        </w:rPr>
        <w:lastRenderedPageBreak/>
        <w:t>RAPPORT DE LA COMMISSION AU PARLEMENT EUROPÉEN ET AU CONSEIL</w:t>
      </w:r>
      <w:r>
        <w:rPr>
          <w:rFonts w:ascii="Times New Roman" w:hAnsi="Times New Roman"/>
          <w:b/>
          <w:noProof/>
        </w:rPr>
        <w:br/>
      </w:r>
    </w:p>
    <w:p w:rsidR="00B7142F" w:rsidRDefault="00A75D0F">
      <w:pPr>
        <w:autoSpaceDE w:val="0"/>
        <w:autoSpaceDN w:val="0"/>
        <w:adjustRightInd w:val="0"/>
        <w:spacing w:after="0" w:line="240" w:lineRule="auto"/>
        <w:jc w:val="center"/>
        <w:rPr>
          <w:rFonts w:ascii="Times New Roman" w:hAnsi="Times New Roman"/>
          <w:b/>
          <w:noProof/>
          <w:sz w:val="24"/>
          <w:szCs w:val="24"/>
        </w:rPr>
      </w:pPr>
      <w:r>
        <w:rPr>
          <w:rFonts w:ascii="Times New Roman" w:hAnsi="Times New Roman"/>
          <w:b/>
          <w:noProof/>
        </w:rPr>
        <w:t xml:space="preserve">sur l’exercice par la Commission du pouvoir d’adopter des actes délégués qui lui </w:t>
      </w:r>
      <w:r>
        <w:rPr>
          <w:rFonts w:ascii="Times New Roman" w:hAnsi="Times New Roman"/>
          <w:b/>
          <w:noProof/>
        </w:rPr>
        <w:t>est conféré en vertu de l’article 18, paragraphe 2, de la directive 2014/45/UE, de l’article 7, paragraphe 2, de la directive 1999/37/CE et de l’article 22, paragraphe 2, de la directive 2014/47/UE</w:t>
      </w:r>
    </w:p>
    <w:p w:rsidR="00B7142F" w:rsidRDefault="00B7142F">
      <w:pPr>
        <w:jc w:val="both"/>
        <w:rPr>
          <w:rFonts w:ascii="Times New Roman" w:hAnsi="Times New Roman"/>
          <w:noProof/>
          <w:sz w:val="24"/>
          <w:szCs w:val="24"/>
        </w:rPr>
      </w:pPr>
    </w:p>
    <w:p w:rsidR="00B7142F" w:rsidRDefault="00A75D0F">
      <w:pPr>
        <w:jc w:val="both"/>
        <w:rPr>
          <w:rFonts w:ascii="Times New Roman" w:hAnsi="Times New Roman"/>
          <w:b/>
          <w:noProof/>
          <w:sz w:val="24"/>
          <w:szCs w:val="24"/>
        </w:rPr>
      </w:pPr>
      <w:r>
        <w:rPr>
          <w:rFonts w:ascii="Times New Roman" w:hAnsi="Times New Roman"/>
          <w:b/>
          <w:noProof/>
        </w:rPr>
        <w:t>1. Introduction</w:t>
      </w:r>
    </w:p>
    <w:p w:rsidR="00B7142F" w:rsidRDefault="00A75D0F">
      <w:pPr>
        <w:spacing w:line="240" w:lineRule="auto"/>
        <w:jc w:val="both"/>
        <w:rPr>
          <w:rFonts w:ascii="Times New Roman" w:hAnsi="Times New Roman"/>
          <w:noProof/>
          <w:sz w:val="24"/>
          <w:szCs w:val="24"/>
        </w:rPr>
      </w:pPr>
      <w:r>
        <w:rPr>
          <w:rFonts w:ascii="Times New Roman" w:hAnsi="Times New Roman"/>
          <w:noProof/>
        </w:rPr>
        <w:t>L’article 17 de la directive 2014/45/UE</w:t>
      </w:r>
      <w:r>
        <w:rPr>
          <w:rStyle w:val="FootnoteReference"/>
          <w:rFonts w:ascii="Times New Roman" w:hAnsi="Times New Roman"/>
          <w:noProof/>
        </w:rPr>
        <w:footnoteReference w:id="1"/>
      </w:r>
      <w:r>
        <w:rPr>
          <w:rFonts w:ascii="Times New Roman" w:hAnsi="Times New Roman"/>
          <w:noProof/>
        </w:rPr>
        <w:t>,</w:t>
      </w:r>
      <w:r>
        <w:rPr>
          <w:rFonts w:ascii="Times New Roman" w:hAnsi="Times New Roman"/>
          <w:noProof/>
        </w:rPr>
        <w:t xml:space="preserve"> l’article 6 de la directive 1999/37/CE</w:t>
      </w:r>
      <w:r>
        <w:rPr>
          <w:rStyle w:val="FootnoteReference"/>
          <w:rFonts w:ascii="Times New Roman" w:hAnsi="Times New Roman"/>
          <w:noProof/>
        </w:rPr>
        <w:footnoteReference w:id="2"/>
      </w:r>
      <w:r>
        <w:rPr>
          <w:rFonts w:ascii="Times New Roman" w:hAnsi="Times New Roman"/>
          <w:noProof/>
        </w:rPr>
        <w:t>, telle que modifiée par la directive 2014/46/UE</w:t>
      </w:r>
      <w:r>
        <w:rPr>
          <w:rStyle w:val="FootnoteReference"/>
          <w:rFonts w:ascii="Times New Roman" w:hAnsi="Times New Roman"/>
          <w:noProof/>
        </w:rPr>
        <w:footnoteReference w:id="3"/>
      </w:r>
      <w:r>
        <w:rPr>
          <w:rFonts w:ascii="Times New Roman" w:hAnsi="Times New Roman"/>
          <w:noProof/>
        </w:rPr>
        <w:t>, et l’article 21 de la directive 2014/47/UE</w:t>
      </w:r>
      <w:r>
        <w:rPr>
          <w:rStyle w:val="FootnoteReference"/>
          <w:rFonts w:ascii="Times New Roman" w:hAnsi="Times New Roman"/>
          <w:noProof/>
        </w:rPr>
        <w:footnoteReference w:id="4"/>
      </w:r>
      <w:r>
        <w:rPr>
          <w:rFonts w:ascii="Times New Roman" w:hAnsi="Times New Roman"/>
          <w:noProof/>
        </w:rPr>
        <w:t xml:space="preserve"> confèrent à la Commission le pouvoir d’adopter des actes délégués. Ce pouvoir a été conféré à la Commission pour une duré</w:t>
      </w:r>
      <w:r>
        <w:rPr>
          <w:rFonts w:ascii="Times New Roman" w:hAnsi="Times New Roman"/>
          <w:noProof/>
        </w:rPr>
        <w:t xml:space="preserve">e de 5 ans à compter du 19 mai 2014, qui devrait être tacitement prorogée pour des périodes d’une durée identique. </w:t>
      </w:r>
    </w:p>
    <w:p w:rsidR="00B7142F" w:rsidRDefault="00A75D0F">
      <w:pPr>
        <w:spacing w:line="240" w:lineRule="auto"/>
        <w:jc w:val="both"/>
        <w:rPr>
          <w:rFonts w:ascii="Times New Roman" w:hAnsi="Times New Roman"/>
          <w:b/>
          <w:noProof/>
          <w:sz w:val="24"/>
          <w:szCs w:val="24"/>
        </w:rPr>
      </w:pPr>
      <w:r>
        <w:rPr>
          <w:rFonts w:ascii="Times New Roman" w:hAnsi="Times New Roman"/>
          <w:noProof/>
        </w:rPr>
        <w:br/>
      </w:r>
      <w:r>
        <w:rPr>
          <w:rFonts w:ascii="Times New Roman" w:hAnsi="Times New Roman"/>
          <w:b/>
          <w:noProof/>
        </w:rPr>
        <w:t>2. Base juridique du rapport</w:t>
      </w:r>
    </w:p>
    <w:p w:rsidR="00B7142F" w:rsidRDefault="00A75D0F">
      <w:pPr>
        <w:spacing w:line="240" w:lineRule="auto"/>
        <w:jc w:val="both"/>
        <w:rPr>
          <w:rFonts w:ascii="Times New Roman" w:hAnsi="Times New Roman"/>
          <w:noProof/>
          <w:sz w:val="24"/>
          <w:szCs w:val="24"/>
        </w:rPr>
      </w:pPr>
      <w:r>
        <w:rPr>
          <w:rFonts w:ascii="Times New Roman" w:hAnsi="Times New Roman"/>
          <w:noProof/>
        </w:rPr>
        <w:t>Conformément à l’article 18, paragraphe 2, de la directive 2014/45/UE, à l’article 7, paragraphe 2, de la dire</w:t>
      </w:r>
      <w:r>
        <w:rPr>
          <w:rFonts w:ascii="Times New Roman" w:hAnsi="Times New Roman"/>
          <w:noProof/>
        </w:rPr>
        <w:t>ctive 1999/37/CE et à l’article 22, paragraphe 2, de la directive 2014/47/UE, respectivement, la Commission devrait élaborer un rapport relatif à la délégation de pouvoir prévue dans chacune de ces directives, au plus tard neuf mois avant la fin de la péri</w:t>
      </w:r>
      <w:r>
        <w:rPr>
          <w:rFonts w:ascii="Times New Roman" w:hAnsi="Times New Roman"/>
          <w:noProof/>
        </w:rPr>
        <w:t>ode de cinq ans, soit avant le 19 août 2018. La Commission est pleinement consciente que le présent rapport est soumis tardivement, et elle le déplore.</w:t>
      </w:r>
    </w:p>
    <w:p w:rsidR="00B7142F" w:rsidRDefault="00B7142F">
      <w:pPr>
        <w:spacing w:line="240" w:lineRule="auto"/>
        <w:jc w:val="both"/>
        <w:rPr>
          <w:rFonts w:ascii="Times New Roman" w:hAnsi="Times New Roman"/>
          <w:b/>
          <w:noProof/>
          <w:sz w:val="24"/>
          <w:szCs w:val="24"/>
        </w:rPr>
      </w:pPr>
    </w:p>
    <w:p w:rsidR="00B7142F" w:rsidRDefault="00A75D0F">
      <w:pPr>
        <w:spacing w:line="240" w:lineRule="auto"/>
        <w:jc w:val="both"/>
        <w:rPr>
          <w:rFonts w:ascii="Times New Roman" w:hAnsi="Times New Roman"/>
          <w:b/>
          <w:noProof/>
          <w:sz w:val="24"/>
          <w:szCs w:val="24"/>
        </w:rPr>
      </w:pPr>
      <w:r>
        <w:rPr>
          <w:rFonts w:ascii="Times New Roman" w:hAnsi="Times New Roman"/>
          <w:b/>
          <w:noProof/>
        </w:rPr>
        <w:t>3. Exercice de la délégation</w:t>
      </w:r>
    </w:p>
    <w:p w:rsidR="00B7142F" w:rsidRDefault="00A75D0F">
      <w:pPr>
        <w:spacing w:line="240" w:lineRule="auto"/>
        <w:jc w:val="both"/>
        <w:rPr>
          <w:rFonts w:ascii="Times New Roman" w:hAnsi="Times New Roman"/>
          <w:noProof/>
          <w:sz w:val="24"/>
          <w:szCs w:val="24"/>
        </w:rPr>
      </w:pPr>
      <w:r>
        <w:rPr>
          <w:rFonts w:ascii="Times New Roman" w:hAnsi="Times New Roman"/>
          <w:noProof/>
        </w:rPr>
        <w:t xml:space="preserve">La Commission n’a encore exercé aucune des délégations de pouvoir prévues par l’une ou l’autre des trois directives. Le tableau ci-dessous présente les mesures spécifiques au titre des délégations de pouvoir en question: </w:t>
      </w:r>
    </w:p>
    <w:p w:rsidR="00B7142F" w:rsidRDefault="00B7142F">
      <w:pPr>
        <w:spacing w:line="240" w:lineRule="auto"/>
        <w:jc w:val="both"/>
        <w:rPr>
          <w:rFonts w:ascii="Times New Roman" w:hAnsi="Times New Roman"/>
          <w:noProof/>
          <w:sz w:val="24"/>
          <w:szCs w:val="24"/>
        </w:rPr>
      </w:pPr>
    </w:p>
    <w:p w:rsidR="00B7142F" w:rsidRDefault="00B7142F">
      <w:pPr>
        <w:spacing w:line="240" w:lineRule="auto"/>
        <w:jc w:val="both"/>
        <w:rPr>
          <w:rFonts w:ascii="Times New Roman" w:hAnsi="Times New Roman"/>
          <w:noProof/>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B7142F">
        <w:tc>
          <w:tcPr>
            <w:tcW w:w="4536" w:type="dxa"/>
            <w:shd w:val="clear" w:color="auto" w:fill="BFBFBF"/>
          </w:tcPr>
          <w:p w:rsidR="00B7142F" w:rsidRDefault="00A75D0F">
            <w:pPr>
              <w:spacing w:line="240" w:lineRule="auto"/>
              <w:jc w:val="both"/>
              <w:rPr>
                <w:rFonts w:ascii="Times New Roman" w:hAnsi="Times New Roman"/>
                <w:noProof/>
                <w:sz w:val="24"/>
                <w:szCs w:val="24"/>
              </w:rPr>
            </w:pPr>
            <w:r>
              <w:rPr>
                <w:rFonts w:ascii="Times New Roman" w:hAnsi="Times New Roman"/>
                <w:noProof/>
              </w:rPr>
              <w:lastRenderedPageBreak/>
              <w:t>Délégations de pouvoir prévues p</w:t>
            </w:r>
            <w:r>
              <w:rPr>
                <w:rFonts w:ascii="Times New Roman" w:hAnsi="Times New Roman"/>
                <w:noProof/>
              </w:rPr>
              <w:t>ar la directive 2014/45/UE</w:t>
            </w:r>
          </w:p>
        </w:tc>
        <w:tc>
          <w:tcPr>
            <w:tcW w:w="4536" w:type="dxa"/>
            <w:shd w:val="clear" w:color="auto" w:fill="BFBFBF"/>
          </w:tcPr>
          <w:p w:rsidR="00B7142F" w:rsidRDefault="00A75D0F">
            <w:pPr>
              <w:spacing w:line="240" w:lineRule="auto"/>
              <w:jc w:val="both"/>
              <w:rPr>
                <w:rFonts w:ascii="Times New Roman" w:hAnsi="Times New Roman"/>
                <w:noProof/>
                <w:sz w:val="24"/>
                <w:szCs w:val="24"/>
              </w:rPr>
            </w:pPr>
            <w:r>
              <w:rPr>
                <w:rFonts w:ascii="Times New Roman" w:hAnsi="Times New Roman"/>
                <w:noProof/>
              </w:rPr>
              <w:t xml:space="preserve">Description du pouvoir d’adopter des actes délégués </w:t>
            </w:r>
          </w:p>
        </w:tc>
      </w:tr>
      <w:tr w:rsidR="00B7142F">
        <w:tc>
          <w:tcPr>
            <w:tcW w:w="4536" w:type="dxa"/>
            <w:shd w:val="clear" w:color="auto" w:fill="auto"/>
          </w:tcPr>
          <w:p w:rsidR="00B7142F" w:rsidRDefault="00B7142F">
            <w:pPr>
              <w:spacing w:line="240" w:lineRule="auto"/>
              <w:jc w:val="center"/>
              <w:rPr>
                <w:rFonts w:ascii="Times New Roman" w:hAnsi="Times New Roman"/>
                <w:noProof/>
                <w:sz w:val="24"/>
                <w:szCs w:val="24"/>
              </w:rPr>
            </w:pPr>
          </w:p>
          <w:p w:rsidR="00B7142F" w:rsidRDefault="00B7142F">
            <w:pPr>
              <w:spacing w:line="240" w:lineRule="auto"/>
              <w:jc w:val="center"/>
              <w:rPr>
                <w:rFonts w:ascii="Times New Roman" w:hAnsi="Times New Roman"/>
                <w:noProof/>
                <w:sz w:val="24"/>
                <w:szCs w:val="24"/>
              </w:rPr>
            </w:pPr>
          </w:p>
          <w:p w:rsidR="00B7142F" w:rsidRDefault="00A75D0F">
            <w:pPr>
              <w:spacing w:line="240" w:lineRule="auto"/>
              <w:jc w:val="center"/>
              <w:rPr>
                <w:rFonts w:ascii="Times New Roman" w:hAnsi="Times New Roman"/>
                <w:noProof/>
                <w:sz w:val="24"/>
                <w:szCs w:val="24"/>
              </w:rPr>
            </w:pPr>
            <w:r>
              <w:rPr>
                <w:rFonts w:ascii="Times New Roman" w:hAnsi="Times New Roman"/>
                <w:noProof/>
              </w:rPr>
              <w:t>Article 17</w:t>
            </w:r>
          </w:p>
        </w:tc>
        <w:tc>
          <w:tcPr>
            <w:tcW w:w="4536" w:type="dxa"/>
            <w:shd w:val="clear" w:color="auto" w:fill="auto"/>
          </w:tcPr>
          <w:p w:rsidR="00B7142F" w:rsidRDefault="00A75D0F">
            <w:pPr>
              <w:numPr>
                <w:ilvl w:val="0"/>
                <w:numId w:val="9"/>
              </w:numPr>
              <w:tabs>
                <w:tab w:val="left" w:pos="270"/>
              </w:tabs>
              <w:spacing w:line="240" w:lineRule="auto"/>
              <w:jc w:val="both"/>
              <w:rPr>
                <w:rFonts w:ascii="Times New Roman" w:hAnsi="Times New Roman"/>
                <w:noProof/>
                <w:sz w:val="24"/>
                <w:szCs w:val="24"/>
              </w:rPr>
            </w:pPr>
            <w:r>
              <w:rPr>
                <w:rFonts w:ascii="Times New Roman" w:hAnsi="Times New Roman"/>
                <w:noProof/>
              </w:rPr>
              <w:t>Pour mettre à jour les désignations de la catégorie de véhicules le cas échéant lors de changements apportés aux catégories de véhicules à la suite de modificatio</w:t>
            </w:r>
            <w:r>
              <w:rPr>
                <w:rFonts w:ascii="Times New Roman" w:hAnsi="Times New Roman"/>
                <w:noProof/>
              </w:rPr>
              <w:t>ns de la législation relative à la réception par type, sans porter atteinte à la portée et aux fréquences des contrôles.</w:t>
            </w:r>
          </w:p>
          <w:p w:rsidR="00B7142F" w:rsidRDefault="00A75D0F">
            <w:pPr>
              <w:numPr>
                <w:ilvl w:val="0"/>
                <w:numId w:val="9"/>
              </w:numPr>
              <w:tabs>
                <w:tab w:val="left" w:pos="270"/>
              </w:tabs>
              <w:spacing w:line="240" w:lineRule="auto"/>
              <w:jc w:val="both"/>
              <w:rPr>
                <w:rFonts w:ascii="Times New Roman" w:hAnsi="Times New Roman"/>
                <w:noProof/>
                <w:sz w:val="24"/>
                <w:szCs w:val="24"/>
              </w:rPr>
            </w:pPr>
            <w:r>
              <w:rPr>
                <w:rFonts w:ascii="Times New Roman" w:hAnsi="Times New Roman"/>
                <w:noProof/>
              </w:rPr>
              <w:t xml:space="preserve">Pour mettre à jour l’annexe I, point 3, en cas d’apparition de méthodes de contrôle plus efficaces et plus effectives, sans étendre la </w:t>
            </w:r>
            <w:r>
              <w:rPr>
                <w:rFonts w:ascii="Times New Roman" w:hAnsi="Times New Roman"/>
                <w:noProof/>
              </w:rPr>
              <w:t>liste des points devant être contrôlés.</w:t>
            </w:r>
          </w:p>
          <w:p w:rsidR="00B7142F" w:rsidRDefault="00A75D0F">
            <w:pPr>
              <w:numPr>
                <w:ilvl w:val="0"/>
                <w:numId w:val="9"/>
              </w:numPr>
              <w:tabs>
                <w:tab w:val="left" w:pos="270"/>
              </w:tabs>
              <w:spacing w:line="240" w:lineRule="auto"/>
              <w:jc w:val="both"/>
              <w:rPr>
                <w:rFonts w:ascii="Times New Roman" w:hAnsi="Times New Roman"/>
                <w:noProof/>
                <w:sz w:val="24"/>
                <w:szCs w:val="24"/>
              </w:rPr>
            </w:pPr>
            <w:r>
              <w:rPr>
                <w:rFonts w:ascii="Times New Roman" w:hAnsi="Times New Roman"/>
                <w:noProof/>
              </w:rPr>
              <w:t>Pour adapter l’annexe I, point 3, après évaluation positive des coûts et des avantages, en ce qui concerne la liste des points à contrôler, les méthodes, les causes de défaillance et l’évaluation des défaillances, en</w:t>
            </w:r>
            <w:r>
              <w:rPr>
                <w:rFonts w:ascii="Times New Roman" w:hAnsi="Times New Roman"/>
                <w:noProof/>
              </w:rPr>
              <w:t xml:space="preserve"> cas de modification des exigences obligatoires applicables à la réception par type dans la législation de l’Union dans les domaines de la sécurité et de l’environnement.</w:t>
            </w:r>
          </w:p>
        </w:tc>
      </w:tr>
    </w:tbl>
    <w:p w:rsidR="00B7142F" w:rsidRDefault="00B7142F">
      <w:pPr>
        <w:jc w:val="both"/>
        <w:rPr>
          <w:rFonts w:ascii="Times New Roman" w:hAnsi="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44"/>
      </w:tblGrid>
      <w:tr w:rsidR="00B7142F">
        <w:tc>
          <w:tcPr>
            <w:tcW w:w="4536" w:type="dxa"/>
            <w:shd w:val="clear" w:color="auto" w:fill="BFBFBF"/>
          </w:tcPr>
          <w:p w:rsidR="00B7142F" w:rsidRDefault="00A75D0F">
            <w:pPr>
              <w:jc w:val="both"/>
              <w:rPr>
                <w:rFonts w:ascii="Times New Roman" w:hAnsi="Times New Roman"/>
                <w:noProof/>
                <w:sz w:val="24"/>
                <w:szCs w:val="24"/>
              </w:rPr>
            </w:pPr>
            <w:r>
              <w:rPr>
                <w:rFonts w:ascii="Times New Roman" w:hAnsi="Times New Roman"/>
                <w:noProof/>
              </w:rPr>
              <w:t>Délégations de pouvoir prévues par la directive 1999/37/CE</w:t>
            </w:r>
          </w:p>
        </w:tc>
        <w:tc>
          <w:tcPr>
            <w:tcW w:w="4644" w:type="dxa"/>
            <w:shd w:val="clear" w:color="auto" w:fill="BFBFBF"/>
          </w:tcPr>
          <w:p w:rsidR="00B7142F" w:rsidRDefault="00A75D0F">
            <w:pPr>
              <w:jc w:val="both"/>
              <w:rPr>
                <w:rFonts w:ascii="Times New Roman" w:hAnsi="Times New Roman"/>
                <w:noProof/>
                <w:sz w:val="24"/>
                <w:szCs w:val="24"/>
              </w:rPr>
            </w:pPr>
            <w:r>
              <w:rPr>
                <w:rFonts w:ascii="Times New Roman" w:hAnsi="Times New Roman"/>
                <w:noProof/>
              </w:rPr>
              <w:t xml:space="preserve">Description du pouvoir </w:t>
            </w:r>
            <w:r>
              <w:rPr>
                <w:rFonts w:ascii="Times New Roman" w:hAnsi="Times New Roman"/>
                <w:noProof/>
              </w:rPr>
              <w:t>d’adopter des actes délégués</w:t>
            </w:r>
          </w:p>
        </w:tc>
      </w:tr>
      <w:tr w:rsidR="00B7142F">
        <w:tc>
          <w:tcPr>
            <w:tcW w:w="4536" w:type="dxa"/>
            <w:shd w:val="clear" w:color="auto" w:fill="auto"/>
          </w:tcPr>
          <w:p w:rsidR="00B7142F" w:rsidRDefault="00B7142F">
            <w:pPr>
              <w:jc w:val="center"/>
              <w:rPr>
                <w:rFonts w:ascii="Times New Roman" w:hAnsi="Times New Roman"/>
                <w:noProof/>
                <w:sz w:val="24"/>
                <w:szCs w:val="24"/>
              </w:rPr>
            </w:pPr>
          </w:p>
          <w:p w:rsidR="00B7142F" w:rsidRDefault="00B7142F">
            <w:pPr>
              <w:jc w:val="center"/>
              <w:rPr>
                <w:rFonts w:ascii="Times New Roman" w:hAnsi="Times New Roman"/>
                <w:noProof/>
                <w:sz w:val="24"/>
                <w:szCs w:val="24"/>
              </w:rPr>
            </w:pPr>
          </w:p>
          <w:p w:rsidR="00B7142F" w:rsidRDefault="00A75D0F">
            <w:pPr>
              <w:jc w:val="center"/>
              <w:rPr>
                <w:rFonts w:ascii="Times New Roman" w:hAnsi="Times New Roman"/>
                <w:noProof/>
                <w:sz w:val="24"/>
                <w:szCs w:val="24"/>
              </w:rPr>
            </w:pPr>
            <w:r>
              <w:rPr>
                <w:rFonts w:ascii="Times New Roman" w:hAnsi="Times New Roman"/>
                <w:noProof/>
              </w:rPr>
              <w:t>Article 6</w:t>
            </w:r>
          </w:p>
        </w:tc>
        <w:tc>
          <w:tcPr>
            <w:tcW w:w="4644" w:type="dxa"/>
            <w:shd w:val="clear" w:color="auto" w:fill="auto"/>
          </w:tcPr>
          <w:p w:rsidR="00B7142F" w:rsidRDefault="00A75D0F">
            <w:pPr>
              <w:numPr>
                <w:ilvl w:val="0"/>
                <w:numId w:val="8"/>
              </w:numPr>
              <w:jc w:val="both"/>
              <w:rPr>
                <w:rFonts w:ascii="Times New Roman" w:hAnsi="Times New Roman"/>
                <w:noProof/>
                <w:sz w:val="24"/>
                <w:szCs w:val="24"/>
              </w:rPr>
            </w:pPr>
            <w:r>
              <w:rPr>
                <w:rFonts w:ascii="Times New Roman" w:hAnsi="Times New Roman"/>
                <w:noProof/>
              </w:rPr>
              <w:t xml:space="preserve">Pour modifier les annexes I et II en cas d’élargissement de l’Union. </w:t>
            </w:r>
          </w:p>
          <w:p w:rsidR="00B7142F" w:rsidRDefault="00A75D0F">
            <w:pPr>
              <w:numPr>
                <w:ilvl w:val="0"/>
                <w:numId w:val="8"/>
              </w:numPr>
              <w:jc w:val="both"/>
              <w:rPr>
                <w:rFonts w:ascii="Times New Roman" w:hAnsi="Times New Roman"/>
                <w:noProof/>
                <w:sz w:val="24"/>
                <w:szCs w:val="24"/>
              </w:rPr>
            </w:pPr>
            <w:r>
              <w:rPr>
                <w:rFonts w:ascii="Times New Roman" w:hAnsi="Times New Roman"/>
                <w:noProof/>
              </w:rPr>
              <w:t xml:space="preserve">Pour modifier l’annexe I en ce qui concerne des éléments non obligatoires en cas de modifications des définitions ou du contenu des certificats </w:t>
            </w:r>
            <w:r>
              <w:rPr>
                <w:rFonts w:ascii="Times New Roman" w:hAnsi="Times New Roman"/>
                <w:noProof/>
              </w:rPr>
              <w:t>de conformité dans la législation relative à la réception par type en la matière.</w:t>
            </w:r>
          </w:p>
        </w:tc>
      </w:tr>
    </w:tbl>
    <w:p w:rsidR="00B7142F" w:rsidRDefault="00B7142F">
      <w:pPr>
        <w:jc w:val="both"/>
        <w:rPr>
          <w:rFonts w:ascii="Times New Roman" w:hAnsi="Times New Roman"/>
          <w:noProof/>
          <w:sz w:val="24"/>
          <w:szCs w:val="24"/>
        </w:rPr>
      </w:pPr>
    </w:p>
    <w:p w:rsidR="00B7142F" w:rsidRDefault="00B7142F">
      <w:pPr>
        <w:jc w:val="both"/>
        <w:rPr>
          <w:rFonts w:ascii="Times New Roman" w:hAnsi="Times New Roman"/>
          <w:noProof/>
          <w:sz w:val="24"/>
          <w:szCs w:val="24"/>
        </w:rPr>
      </w:pPr>
    </w:p>
    <w:p w:rsidR="00B7142F" w:rsidRDefault="00B7142F">
      <w:pPr>
        <w:jc w:val="both"/>
        <w:rPr>
          <w:rFonts w:ascii="Times New Roman" w:hAnsi="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44"/>
      </w:tblGrid>
      <w:tr w:rsidR="00B7142F">
        <w:tc>
          <w:tcPr>
            <w:tcW w:w="4536" w:type="dxa"/>
            <w:shd w:val="clear" w:color="auto" w:fill="BFBFBF"/>
          </w:tcPr>
          <w:p w:rsidR="00B7142F" w:rsidRDefault="00A75D0F">
            <w:pPr>
              <w:jc w:val="both"/>
              <w:rPr>
                <w:rFonts w:ascii="Times New Roman" w:hAnsi="Times New Roman"/>
                <w:noProof/>
                <w:sz w:val="24"/>
                <w:szCs w:val="24"/>
              </w:rPr>
            </w:pPr>
            <w:r>
              <w:rPr>
                <w:rFonts w:ascii="Times New Roman" w:hAnsi="Times New Roman"/>
                <w:noProof/>
              </w:rPr>
              <w:t>Délégations de pouvoir prévues par la directive 2014/47/UE</w:t>
            </w:r>
          </w:p>
        </w:tc>
        <w:tc>
          <w:tcPr>
            <w:tcW w:w="4644" w:type="dxa"/>
            <w:shd w:val="clear" w:color="auto" w:fill="BFBFBF"/>
          </w:tcPr>
          <w:p w:rsidR="00B7142F" w:rsidRDefault="00A75D0F">
            <w:pPr>
              <w:jc w:val="both"/>
              <w:rPr>
                <w:rFonts w:ascii="Times New Roman" w:hAnsi="Times New Roman"/>
                <w:noProof/>
                <w:sz w:val="24"/>
                <w:szCs w:val="24"/>
              </w:rPr>
            </w:pPr>
            <w:r>
              <w:rPr>
                <w:rFonts w:ascii="Times New Roman" w:hAnsi="Times New Roman"/>
                <w:noProof/>
              </w:rPr>
              <w:t>Description du pouvoir d’adopter des actes délégués</w:t>
            </w:r>
          </w:p>
        </w:tc>
      </w:tr>
      <w:tr w:rsidR="00B7142F">
        <w:tc>
          <w:tcPr>
            <w:tcW w:w="4536" w:type="dxa"/>
            <w:shd w:val="clear" w:color="auto" w:fill="auto"/>
          </w:tcPr>
          <w:p w:rsidR="00B7142F" w:rsidRDefault="00B7142F">
            <w:pPr>
              <w:jc w:val="center"/>
              <w:rPr>
                <w:rFonts w:ascii="Times New Roman" w:hAnsi="Times New Roman"/>
                <w:noProof/>
                <w:sz w:val="24"/>
                <w:szCs w:val="24"/>
              </w:rPr>
            </w:pPr>
          </w:p>
          <w:p w:rsidR="00B7142F" w:rsidRDefault="00B7142F">
            <w:pPr>
              <w:jc w:val="center"/>
              <w:rPr>
                <w:rFonts w:ascii="Times New Roman" w:hAnsi="Times New Roman"/>
                <w:noProof/>
                <w:sz w:val="24"/>
                <w:szCs w:val="24"/>
              </w:rPr>
            </w:pPr>
          </w:p>
          <w:p w:rsidR="00B7142F" w:rsidRDefault="00B7142F">
            <w:pPr>
              <w:jc w:val="center"/>
              <w:rPr>
                <w:rFonts w:ascii="Times New Roman" w:hAnsi="Times New Roman"/>
                <w:noProof/>
                <w:sz w:val="24"/>
                <w:szCs w:val="24"/>
              </w:rPr>
            </w:pPr>
          </w:p>
          <w:p w:rsidR="00B7142F" w:rsidRDefault="00A75D0F">
            <w:pPr>
              <w:jc w:val="center"/>
              <w:rPr>
                <w:rFonts w:ascii="Times New Roman" w:hAnsi="Times New Roman"/>
                <w:noProof/>
                <w:sz w:val="24"/>
                <w:szCs w:val="24"/>
              </w:rPr>
            </w:pPr>
            <w:r>
              <w:rPr>
                <w:rFonts w:ascii="Times New Roman" w:hAnsi="Times New Roman"/>
                <w:noProof/>
              </w:rPr>
              <w:t>Article 21</w:t>
            </w:r>
          </w:p>
        </w:tc>
        <w:tc>
          <w:tcPr>
            <w:tcW w:w="4644" w:type="dxa"/>
            <w:shd w:val="clear" w:color="auto" w:fill="auto"/>
          </w:tcPr>
          <w:p w:rsidR="00B7142F" w:rsidRDefault="00A75D0F">
            <w:pPr>
              <w:numPr>
                <w:ilvl w:val="0"/>
                <w:numId w:val="9"/>
              </w:numPr>
              <w:ind w:right="-2"/>
              <w:jc w:val="both"/>
              <w:rPr>
                <w:rFonts w:ascii="Times New Roman" w:hAnsi="Times New Roman"/>
                <w:noProof/>
                <w:sz w:val="24"/>
                <w:szCs w:val="24"/>
              </w:rPr>
            </w:pPr>
            <w:r>
              <w:rPr>
                <w:rFonts w:ascii="Times New Roman" w:hAnsi="Times New Roman"/>
                <w:noProof/>
              </w:rPr>
              <w:t xml:space="preserve">Pour mettre à jour, le cas échéant, </w:t>
            </w:r>
            <w:r>
              <w:rPr>
                <w:rFonts w:ascii="Times New Roman" w:hAnsi="Times New Roman"/>
                <w:noProof/>
              </w:rPr>
              <w:t>l’annexe IV afin de tenir compte des changements apportés aux catégories de véhicules à la suite de modifications de la législation relative à la réception par type, sans préjudice du champ d’application de la directive.</w:t>
            </w:r>
          </w:p>
          <w:p w:rsidR="00B7142F" w:rsidRDefault="00A75D0F">
            <w:pPr>
              <w:numPr>
                <w:ilvl w:val="0"/>
                <w:numId w:val="9"/>
              </w:numPr>
              <w:ind w:right="-2"/>
              <w:jc w:val="both"/>
              <w:rPr>
                <w:rFonts w:ascii="Times New Roman" w:hAnsi="Times New Roman"/>
                <w:noProof/>
                <w:sz w:val="24"/>
                <w:szCs w:val="24"/>
              </w:rPr>
            </w:pPr>
            <w:r>
              <w:rPr>
                <w:rFonts w:ascii="Times New Roman" w:hAnsi="Times New Roman"/>
                <w:noProof/>
              </w:rPr>
              <w:t>Pour mettre à jour l’annexe II, poi</w:t>
            </w:r>
            <w:r>
              <w:rPr>
                <w:rFonts w:ascii="Times New Roman" w:hAnsi="Times New Roman"/>
                <w:noProof/>
              </w:rPr>
              <w:t>nt 2, lorsque des méthodes de contrôle plus efficaces et plus performantes deviennent disponibles, sans étendre la liste des points à contrôler.</w:t>
            </w:r>
          </w:p>
          <w:p w:rsidR="00B7142F" w:rsidRDefault="00A75D0F">
            <w:pPr>
              <w:numPr>
                <w:ilvl w:val="0"/>
                <w:numId w:val="9"/>
              </w:numPr>
              <w:ind w:right="-2"/>
              <w:jc w:val="both"/>
              <w:rPr>
                <w:rFonts w:ascii="Times New Roman" w:hAnsi="Times New Roman"/>
                <w:noProof/>
                <w:sz w:val="24"/>
                <w:szCs w:val="24"/>
              </w:rPr>
            </w:pPr>
            <w:r>
              <w:rPr>
                <w:rFonts w:ascii="Times New Roman" w:hAnsi="Times New Roman"/>
                <w:noProof/>
              </w:rPr>
              <w:t>Pour adapter l’annexe II, point 2, en ce qui concerne la liste des points à contrôler, les méthodes, les causes</w:t>
            </w:r>
            <w:r>
              <w:rPr>
                <w:rFonts w:ascii="Times New Roman" w:hAnsi="Times New Roman"/>
                <w:noProof/>
              </w:rPr>
              <w:t xml:space="preserve"> des défaillances et l’évaluation des défaillances en cas de modification des exigences obligatoires applicables à la réception par type dans la législation de l’Union dans les domaines de la sécurité ou de l’environnement. </w:t>
            </w:r>
          </w:p>
        </w:tc>
      </w:tr>
    </w:tbl>
    <w:p w:rsidR="00B7142F" w:rsidRDefault="00B7142F">
      <w:pPr>
        <w:jc w:val="both"/>
        <w:rPr>
          <w:rFonts w:ascii="Times New Roman" w:hAnsi="Times New Roman"/>
          <w:noProof/>
          <w:sz w:val="24"/>
          <w:szCs w:val="24"/>
        </w:rPr>
      </w:pPr>
    </w:p>
    <w:p w:rsidR="00B7142F" w:rsidRDefault="00A75D0F">
      <w:pPr>
        <w:spacing w:line="240" w:lineRule="auto"/>
        <w:jc w:val="both"/>
        <w:rPr>
          <w:rFonts w:ascii="Times New Roman" w:hAnsi="Times New Roman"/>
          <w:noProof/>
          <w:sz w:val="24"/>
          <w:szCs w:val="24"/>
        </w:rPr>
      </w:pPr>
      <w:r>
        <w:rPr>
          <w:rFonts w:ascii="Times New Roman" w:hAnsi="Times New Roman"/>
          <w:noProof/>
        </w:rPr>
        <w:t>Les délégations de pouvoir prévues à l’article 17 de la directive 2014/45/UE, telles que susmentionnées, n’ont pas été exercées. Toutefois, compte tenu des modifications de la désignation des catégories de véhicules à la suite de modifications de la législ</w:t>
      </w:r>
      <w:r>
        <w:rPr>
          <w:rFonts w:ascii="Times New Roman" w:hAnsi="Times New Roman"/>
          <w:noProof/>
        </w:rPr>
        <w:t xml:space="preserve">ation relative à la réception par type [règlement (UE) 2018/858], la Commission devrait exercer cette délégation du pouvoir d’adopter un acte délégué. </w:t>
      </w:r>
    </w:p>
    <w:p w:rsidR="00B7142F" w:rsidRDefault="00A75D0F">
      <w:pPr>
        <w:spacing w:line="240" w:lineRule="auto"/>
        <w:jc w:val="both"/>
        <w:rPr>
          <w:rFonts w:ascii="Times New Roman" w:hAnsi="Times New Roman"/>
          <w:noProof/>
          <w:sz w:val="24"/>
          <w:szCs w:val="24"/>
        </w:rPr>
      </w:pPr>
      <w:r>
        <w:rPr>
          <w:rFonts w:ascii="Times New Roman" w:hAnsi="Times New Roman"/>
          <w:noProof/>
        </w:rPr>
        <w:t>Aucune modification n’ayant été apportée en ce qui concerne les méthodes de contrôle, il n’était pas néc</w:t>
      </w:r>
      <w:r>
        <w:rPr>
          <w:rFonts w:ascii="Times New Roman" w:hAnsi="Times New Roman"/>
          <w:noProof/>
        </w:rPr>
        <w:t xml:space="preserve">essaire d’exercer la délégation de pouvoir en la matière. </w:t>
      </w:r>
    </w:p>
    <w:p w:rsidR="00B7142F" w:rsidRDefault="00A75D0F">
      <w:pPr>
        <w:spacing w:line="240" w:lineRule="auto"/>
        <w:jc w:val="both"/>
        <w:rPr>
          <w:rFonts w:ascii="Times New Roman" w:hAnsi="Times New Roman"/>
          <w:noProof/>
          <w:sz w:val="24"/>
          <w:szCs w:val="24"/>
        </w:rPr>
      </w:pPr>
      <w:r>
        <w:rPr>
          <w:rFonts w:ascii="Times New Roman" w:hAnsi="Times New Roman"/>
          <w:noProof/>
        </w:rPr>
        <w:t xml:space="preserve">Enfin, après évaluation positive des coûts et des avantages, en ce qui concerne la liste des points à contrôler, les méthodes, les causes de défaillance et l’évaluation des défaillances, en cas de </w:t>
      </w:r>
      <w:r>
        <w:rPr>
          <w:rFonts w:ascii="Times New Roman" w:hAnsi="Times New Roman"/>
          <w:noProof/>
        </w:rPr>
        <w:t>modification des exigences obligatoires applicables à la réception par type dans la législation de l’Union dans les domaines de la sécurité et de l’environnement, la Commission exercera la délégation du pouvoir d’adapter l’annexe I, point 3, de la directiv</w:t>
      </w:r>
      <w:r>
        <w:rPr>
          <w:rFonts w:ascii="Times New Roman" w:hAnsi="Times New Roman"/>
          <w:noProof/>
        </w:rPr>
        <w:t xml:space="preserve">e 2014/45/UE. </w:t>
      </w:r>
    </w:p>
    <w:p w:rsidR="00B7142F" w:rsidRDefault="00A75D0F">
      <w:pPr>
        <w:spacing w:line="240" w:lineRule="auto"/>
        <w:jc w:val="both"/>
        <w:rPr>
          <w:rFonts w:ascii="Times New Roman" w:hAnsi="Times New Roman"/>
          <w:noProof/>
          <w:sz w:val="24"/>
          <w:szCs w:val="24"/>
        </w:rPr>
      </w:pPr>
      <w:r>
        <w:rPr>
          <w:rFonts w:ascii="Times New Roman" w:hAnsi="Times New Roman"/>
          <w:noProof/>
        </w:rPr>
        <w:t>En particulier, une étude visant à évaluer le rapport coût-efficacité de l’inclusion du service eCall dans le cadre du système de contrôle périodique de l’Union européenne a été achevée et recommande d’inclure le service eCall dans l’annexe </w:t>
      </w:r>
      <w:r>
        <w:rPr>
          <w:rFonts w:ascii="Times New Roman" w:hAnsi="Times New Roman"/>
          <w:noProof/>
        </w:rPr>
        <w:t>I et l’annexe III de la directive 2014/45/UE. À cet égard, la Commission créera bientôt un groupe d’experts afin de solliciter les conseils et de faire appel à l’expertise des États membres et d’autres parties intéressées en vue de la préparation de l’acte</w:t>
      </w:r>
      <w:r>
        <w:rPr>
          <w:rFonts w:ascii="Times New Roman" w:hAnsi="Times New Roman"/>
          <w:noProof/>
        </w:rPr>
        <w:t xml:space="preserve"> délégué. </w:t>
      </w:r>
    </w:p>
    <w:p w:rsidR="00B7142F" w:rsidRDefault="00A75D0F">
      <w:pPr>
        <w:spacing w:line="240" w:lineRule="auto"/>
        <w:jc w:val="both"/>
        <w:rPr>
          <w:rFonts w:ascii="Times New Roman" w:hAnsi="Times New Roman"/>
          <w:noProof/>
          <w:sz w:val="24"/>
          <w:szCs w:val="24"/>
        </w:rPr>
      </w:pPr>
      <w:r>
        <w:rPr>
          <w:rFonts w:ascii="Times New Roman" w:hAnsi="Times New Roman"/>
          <w:noProof/>
        </w:rPr>
        <w:t xml:space="preserve">Les délégations de pouvoir prévues à l’article 6 de la directive 1999/37/CE, telles que susmentionnées, n’ont pas été exercées puisqu’il n’y a pas eu d’élargissement de l’Union ni de modification du contenu des certificats de conformité dans la </w:t>
      </w:r>
      <w:r>
        <w:rPr>
          <w:rFonts w:ascii="Times New Roman" w:hAnsi="Times New Roman"/>
          <w:noProof/>
        </w:rPr>
        <w:t xml:space="preserve">législation relative à la réception par type en la matière (directive 2007/46/CE). </w:t>
      </w:r>
    </w:p>
    <w:p w:rsidR="00B7142F" w:rsidRDefault="00A75D0F">
      <w:pPr>
        <w:spacing w:line="240" w:lineRule="auto"/>
        <w:jc w:val="both"/>
        <w:rPr>
          <w:rFonts w:ascii="Times New Roman" w:hAnsi="Times New Roman"/>
          <w:noProof/>
          <w:sz w:val="24"/>
          <w:szCs w:val="24"/>
        </w:rPr>
      </w:pPr>
      <w:r>
        <w:rPr>
          <w:rFonts w:ascii="Times New Roman" w:hAnsi="Times New Roman"/>
          <w:noProof/>
        </w:rPr>
        <w:t>Les délégations de pouvoir prévues à l’article 21 de la directive 2014/47/UE, telles que susmentionnées, n’ont pas été exercées. Cependant, comme c’est le cas pour la direc</w:t>
      </w:r>
      <w:r>
        <w:rPr>
          <w:rFonts w:ascii="Times New Roman" w:hAnsi="Times New Roman"/>
          <w:noProof/>
        </w:rPr>
        <w:t>tive 2014/45/UE, la Commission exercera bientôt la délégation du pouvoir de mettre à jour la désignation de la catégorie de véhicules (véhicules appartenant à la catégorie T5) à la suite de modifications de la législation relative à la réception par type [</w:t>
      </w:r>
      <w:r>
        <w:rPr>
          <w:rFonts w:ascii="Times New Roman" w:hAnsi="Times New Roman"/>
          <w:noProof/>
        </w:rPr>
        <w:t>règlement (UE) 2019/519]. Le groupe d’experts susmentionné sera également bientôt informé en vue de la préparation de l’acte délégué relatif à la mise à jour des désignations de la catégorie de véhicules dans les directives 2014/45/UE et 2014/47/UE. En out</w:t>
      </w:r>
      <w:r>
        <w:rPr>
          <w:rFonts w:ascii="Times New Roman" w:hAnsi="Times New Roman"/>
          <w:noProof/>
        </w:rPr>
        <w:t xml:space="preserve">re, aucune modification n’ayant été apportée en ce qui concerne les méthodes de contrôle et la liste des points à contrôler, les méthodes, les causes de défaillance et l’évaluation des défaillances, aucune autre délégation de pouvoir n’a été exercée.   </w:t>
      </w:r>
    </w:p>
    <w:p w:rsidR="00B7142F" w:rsidRDefault="00A75D0F">
      <w:pPr>
        <w:spacing w:line="240" w:lineRule="auto"/>
        <w:jc w:val="both"/>
        <w:rPr>
          <w:rFonts w:ascii="Times New Roman" w:hAnsi="Times New Roman"/>
          <w:b/>
          <w:noProof/>
          <w:sz w:val="24"/>
          <w:szCs w:val="24"/>
        </w:rPr>
      </w:pPr>
      <w:r>
        <w:rPr>
          <w:rFonts w:ascii="Times New Roman" w:hAnsi="Times New Roman"/>
          <w:noProof/>
        </w:rPr>
        <w:br/>
      </w:r>
      <w:r>
        <w:rPr>
          <w:rFonts w:ascii="Times New Roman" w:hAnsi="Times New Roman"/>
          <w:b/>
          <w:noProof/>
        </w:rPr>
        <w:t>4</w:t>
      </w:r>
      <w:r>
        <w:rPr>
          <w:rFonts w:ascii="Times New Roman" w:hAnsi="Times New Roman"/>
          <w:b/>
          <w:noProof/>
        </w:rPr>
        <w:t>. Conclusion</w:t>
      </w:r>
    </w:p>
    <w:p w:rsidR="00B7142F" w:rsidRDefault="00A75D0F">
      <w:pPr>
        <w:spacing w:line="240" w:lineRule="auto"/>
        <w:jc w:val="both"/>
        <w:rPr>
          <w:rFonts w:ascii="Times New Roman" w:hAnsi="Times New Roman"/>
          <w:noProof/>
          <w:sz w:val="24"/>
          <w:szCs w:val="24"/>
        </w:rPr>
      </w:pPr>
      <w:r>
        <w:rPr>
          <w:rFonts w:ascii="Times New Roman" w:hAnsi="Times New Roman"/>
          <w:noProof/>
        </w:rPr>
        <w:t>En soumettant le présent rapport, la Commission s’acquitte de l’obligation de rapport que lui imposent l’article 18, paragraphe 2, de la directive 2014/45/UE, l’article 7, paragraphe 2, de la directive 1999/37/CE et l’article 22, paragraphe 2,</w:t>
      </w:r>
      <w:r>
        <w:rPr>
          <w:rFonts w:ascii="Times New Roman" w:hAnsi="Times New Roman"/>
          <w:noProof/>
        </w:rPr>
        <w:t xml:space="preserve"> de la directive 2014/47/UE. </w:t>
      </w:r>
    </w:p>
    <w:p w:rsidR="00B7142F" w:rsidRDefault="00A75D0F">
      <w:pPr>
        <w:spacing w:line="240" w:lineRule="auto"/>
        <w:jc w:val="both"/>
        <w:rPr>
          <w:rFonts w:ascii="Times New Roman" w:hAnsi="Times New Roman"/>
          <w:noProof/>
          <w:sz w:val="24"/>
          <w:szCs w:val="24"/>
        </w:rPr>
      </w:pPr>
      <w:r>
        <w:rPr>
          <w:rFonts w:ascii="Times New Roman" w:hAnsi="Times New Roman"/>
          <w:noProof/>
        </w:rPr>
        <w:t>La Commission invite le Conseil et le Parlement européen à prendre acte du présent rapport.</w:t>
      </w:r>
    </w:p>
    <w:sectPr w:rsidR="00B7142F" w:rsidSect="00A75D0F">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2F" w:rsidRDefault="00A75D0F">
      <w:pPr>
        <w:spacing w:after="0" w:line="240" w:lineRule="auto"/>
      </w:pPr>
      <w:r>
        <w:separator/>
      </w:r>
    </w:p>
  </w:endnote>
  <w:endnote w:type="continuationSeparator" w:id="0">
    <w:p w:rsidR="00B7142F" w:rsidRDefault="00A75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F" w:rsidRDefault="00B71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F" w:rsidRDefault="00A75D0F">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F" w:rsidRDefault="00B7142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F" w:rsidRDefault="00B7142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F" w:rsidRDefault="00A75D0F">
    <w:pPr>
      <w:pStyle w:val="Footer"/>
      <w:jc w:val="center"/>
    </w:pPr>
    <w:r>
      <w:fldChar w:fldCharType="begin"/>
    </w:r>
    <w:r>
      <w:instrText xml:space="preserve"> PAGE   \* MERGEFORMAT </w:instrText>
    </w:r>
    <w:r>
      <w:fldChar w:fldCharType="separate"/>
    </w:r>
    <w:r>
      <w:rPr>
        <w:noProof/>
      </w:rPr>
      <w:t>1</w:t>
    </w:r>
    <w:r>
      <w:fldChar w:fldCharType="end"/>
    </w:r>
  </w:p>
  <w:p w:rsidR="00B7142F" w:rsidRDefault="00B7142F">
    <w:pPr>
      <w:pStyle w:val="FooterCoverPage"/>
      <w:rPr>
        <w:rFonts w:ascii="Arial" w:hAnsi="Arial" w:cs="Arial"/>
        <w:b/>
        <w:sz w:val="48"/>
        <w:lang w:val="es-E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F" w:rsidRDefault="00B71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2F" w:rsidRDefault="00A75D0F">
      <w:pPr>
        <w:spacing w:after="0" w:line="240" w:lineRule="auto"/>
      </w:pPr>
      <w:r>
        <w:separator/>
      </w:r>
    </w:p>
  </w:footnote>
  <w:footnote w:type="continuationSeparator" w:id="0">
    <w:p w:rsidR="00B7142F" w:rsidRDefault="00A75D0F">
      <w:pPr>
        <w:spacing w:after="0" w:line="240" w:lineRule="auto"/>
      </w:pPr>
      <w:r>
        <w:continuationSeparator/>
      </w:r>
    </w:p>
  </w:footnote>
  <w:footnote w:id="1">
    <w:p w:rsidR="00B7142F" w:rsidRDefault="00A75D0F">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Directive 2014/45/UE du Parlement européen et du Conseil du 3 avril 2014 relative au contrôle technique périodique des véhicules à moteur et de leurs remorques, et abrogeant la directive 2009/40/CE (Texte présentant de l’intérêt pour l’EEE) (JO L 127 du 2</w:t>
      </w:r>
      <w:r>
        <w:rPr>
          <w:rFonts w:ascii="Times New Roman" w:hAnsi="Times New Roman"/>
          <w:sz w:val="16"/>
          <w:szCs w:val="16"/>
        </w:rPr>
        <w:t>9.4.2014, p. 51).</w:t>
      </w:r>
    </w:p>
    <w:p w:rsidR="00B7142F" w:rsidRDefault="00B7142F">
      <w:pPr>
        <w:pStyle w:val="FootnoteText"/>
        <w:rPr>
          <w:rFonts w:ascii="Times New Roman" w:hAnsi="Times New Roman"/>
          <w:sz w:val="16"/>
          <w:szCs w:val="16"/>
        </w:rPr>
      </w:pPr>
    </w:p>
  </w:footnote>
  <w:footnote w:id="2">
    <w:p w:rsidR="00B7142F" w:rsidRDefault="00A75D0F">
      <w:pPr>
        <w:pStyle w:val="NormalWeb"/>
        <w:shd w:val="clear" w:color="auto" w:fill="FFFFFF"/>
        <w:spacing w:before="0" w:beforeAutospacing="0" w:after="75" w:afterAutospacing="0"/>
        <w:rPr>
          <w:color w:val="444444"/>
          <w:sz w:val="16"/>
          <w:szCs w:val="16"/>
        </w:rPr>
      </w:pPr>
      <w:r>
        <w:rPr>
          <w:rStyle w:val="FootnoteReference"/>
          <w:sz w:val="16"/>
          <w:szCs w:val="16"/>
        </w:rPr>
        <w:t>2</w:t>
      </w:r>
      <w:r>
        <w:rPr>
          <w:sz w:val="16"/>
          <w:szCs w:val="16"/>
        </w:rPr>
        <w:t xml:space="preserve"> </w:t>
      </w:r>
      <w:r>
        <w:rPr>
          <w:color w:val="444444"/>
          <w:sz w:val="16"/>
          <w:szCs w:val="16"/>
        </w:rPr>
        <w:t>Directive 1999/37/CE du Conseil du 29 avril 1999 relative aux documents d’immatriculation des véhicules.</w:t>
      </w:r>
    </w:p>
    <w:p w:rsidR="00B7142F" w:rsidRDefault="00A75D0F">
      <w:pPr>
        <w:pStyle w:val="NormalWeb"/>
        <w:shd w:val="clear" w:color="auto" w:fill="FFFFFF"/>
        <w:spacing w:before="0" w:beforeAutospacing="0" w:after="75" w:afterAutospacing="0"/>
        <w:rPr>
          <w:color w:val="444444"/>
          <w:sz w:val="16"/>
          <w:szCs w:val="16"/>
        </w:rPr>
      </w:pPr>
      <w:r>
        <w:rPr>
          <w:rStyle w:val="Emphasis"/>
          <w:i w:val="0"/>
          <w:color w:val="444444"/>
          <w:sz w:val="16"/>
          <w:szCs w:val="16"/>
        </w:rPr>
        <w:t>JO L 138 du 1.6.1999, p. 57.</w:t>
      </w:r>
    </w:p>
    <w:p w:rsidR="00B7142F" w:rsidRDefault="00B7142F">
      <w:pPr>
        <w:pStyle w:val="FootnoteText"/>
        <w:rPr>
          <w:rFonts w:ascii="Times New Roman" w:hAnsi="Times New Roman"/>
          <w:sz w:val="16"/>
          <w:szCs w:val="16"/>
        </w:rPr>
      </w:pPr>
    </w:p>
  </w:footnote>
  <w:footnote w:id="3">
    <w:p w:rsidR="00B7142F" w:rsidRDefault="00A75D0F">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Directive 2014/46/UE du Parlement européen et du Conseil du 3 avril 2014 portant modification de la directive 1999/37/CE du Conseil relative aux documents d’immatriculation des véhicules (JO L 127 du 29.4.2014, p. 129).</w:t>
      </w:r>
    </w:p>
    <w:p w:rsidR="00B7142F" w:rsidRDefault="00B7142F">
      <w:pPr>
        <w:pStyle w:val="FootnoteText"/>
        <w:rPr>
          <w:rFonts w:ascii="Times New Roman" w:hAnsi="Times New Roman"/>
          <w:sz w:val="16"/>
          <w:szCs w:val="16"/>
        </w:rPr>
      </w:pPr>
    </w:p>
  </w:footnote>
  <w:footnote w:id="4">
    <w:p w:rsidR="00B7142F" w:rsidRDefault="00A75D0F">
      <w:pPr>
        <w:pStyle w:val="FootnoteText"/>
        <w:rPr>
          <w:rFonts w:ascii="Times New Roman" w:hAnsi="Times New Roman"/>
          <w:sz w:val="16"/>
          <w:szCs w:val="16"/>
        </w:rPr>
      </w:pPr>
      <w:r>
        <w:rPr>
          <w:rStyle w:val="FootnoteReference"/>
          <w:rFonts w:ascii="Times New Roman" w:hAnsi="Times New Roman"/>
          <w:sz w:val="16"/>
          <w:szCs w:val="16"/>
        </w:rPr>
        <w:t>4</w:t>
      </w:r>
      <w:r>
        <w:rPr>
          <w:rFonts w:ascii="Times New Roman" w:hAnsi="Times New Roman"/>
          <w:sz w:val="16"/>
          <w:szCs w:val="16"/>
        </w:rPr>
        <w:t xml:space="preserve"> Directive 2014/47/UE du Parlemen</w:t>
      </w:r>
      <w:r>
        <w:rPr>
          <w:rFonts w:ascii="Times New Roman" w:hAnsi="Times New Roman"/>
          <w:sz w:val="16"/>
          <w:szCs w:val="16"/>
        </w:rPr>
        <w:t>t européen et du Conseil du 3 avril 2014 relative au contrôle technique routier des véhicules utilitaires circulant dans l’Union, et abrogeant la directive 2000/30/CE (Texte présentant de l’intérêt pour l’EEE) (JO L 127 du 29.4.2014, p.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F" w:rsidRDefault="00B714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F" w:rsidRDefault="00B7142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F" w:rsidRDefault="00B7142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F" w:rsidRDefault="00B7142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F" w:rsidRDefault="00B7142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42F" w:rsidRDefault="00B71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2F19"/>
    <w:multiLevelType w:val="hybridMultilevel"/>
    <w:tmpl w:val="5226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60E20"/>
    <w:multiLevelType w:val="multilevel"/>
    <w:tmpl w:val="0D0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3D6259"/>
    <w:multiLevelType w:val="hybridMultilevel"/>
    <w:tmpl w:val="852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88744C"/>
    <w:multiLevelType w:val="hybridMultilevel"/>
    <w:tmpl w:val="69C4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30642B"/>
    <w:multiLevelType w:val="multilevel"/>
    <w:tmpl w:val="3806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B703F2"/>
    <w:multiLevelType w:val="hybridMultilevel"/>
    <w:tmpl w:val="1E7AA1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21B196D"/>
    <w:multiLevelType w:val="hybridMultilevel"/>
    <w:tmpl w:val="30BA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6631B5"/>
    <w:multiLevelType w:val="multilevel"/>
    <w:tmpl w:val="4E7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
  </w:num>
  <w:num w:numId="5">
    <w:abstractNumId w:val="4"/>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removePersonalInformation/>
  <w:removeDateAndTime/>
  <w:hideSpellingErrors/>
  <w:hideGrammaticalErrors/>
  <w:doNotTrackMoves/>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B3EF8564-4FCF-473D-B0D7-2E81F4316C51"/>
    <w:docVar w:name="LW_COVERPAGE_TYPE" w:val="1"/>
    <w:docVar w:name="LW_CROSSREFERENCE" w:val="&lt;UNUSED&gt;"/>
    <w:docVar w:name="LW_DocType" w:val="NORMAL"/>
    <w:docVar w:name="LW_EMISSION" w:val="4.3.2020"/>
    <w:docVar w:name="LW_EMISSION_ISODATE" w:val="2020-03-0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r l\u8217?exercice par la Commission du pouvoir d\u8217?adopter des actes délégués qui lui est conféré en vertu de l\u8217?article 18, paragraphe 2, de la directive 2014/45/UE, de l\u8217?article 7, paragraphe 2, de la directive 1999/37/CE et de l\u8217?article 22, paragraphe 2, de la directive 2014/47/UE&lt;/FMT&gt;"/>
    <w:docVar w:name="LW_TYPE.DOC.CP" w:val="RAPPORT DE LA COMMISSION AU PARLEMENT EUROPÉEN ET AU CONSEIL"/>
  </w:docVars>
  <w:rsids>
    <w:rsidRoot w:val="00B7142F"/>
    <w:rsid w:val="00A75D0F"/>
    <w:rsid w:val="00B71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en-US"/>
    </w:rPr>
  </w:style>
  <w:style w:type="character" w:styleId="FootnoteReference">
    <w:name w:val="footnote reference"/>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fr-FR"/>
    </w:rPr>
  </w:style>
  <w:style w:type="character" w:styleId="Strong">
    <w:name w:val="Strong"/>
    <w:uiPriority w:val="22"/>
    <w:qFormat/>
    <w:rPr>
      <w:b/>
      <w:bCs/>
    </w:rPr>
  </w:style>
  <w:style w:type="paragraph" w:customStyle="1" w:styleId="Datedadoption">
    <w:name w:val="Date d'adoption"/>
    <w:basedOn w:val="Normal"/>
    <w:next w:val="Normal"/>
    <w:pPr>
      <w:spacing w:before="360" w:after="0" w:line="240" w:lineRule="auto"/>
      <w:jc w:val="center"/>
    </w:pPr>
    <w:rPr>
      <w:rFonts w:ascii="Times New Roman" w:hAnsi="Times New Roman"/>
      <w:b/>
      <w:sz w:val="24"/>
      <w:lang w:eastAsia="en-GB"/>
    </w:rPr>
  </w:style>
  <w:style w:type="paragraph" w:customStyle="1" w:styleId="Typedudocument">
    <w:name w:val="Type du document"/>
    <w:basedOn w:val="Normal"/>
    <w:next w:val="Normal"/>
    <w:pPr>
      <w:spacing w:before="360" w:after="0" w:line="240" w:lineRule="auto"/>
      <w:jc w:val="center"/>
    </w:pPr>
    <w:rPr>
      <w:rFonts w:ascii="Times New Roman" w:hAnsi="Times New Roman"/>
      <w:b/>
      <w:sz w:val="24"/>
      <w:lang w:eastAsia="en-GB"/>
    </w:rPr>
  </w:style>
  <w:style w:type="character" w:customStyle="1" w:styleId="Marker">
    <w:name w:val="Marker"/>
    <w:rPr>
      <w:color w:val="0000FF"/>
      <w:shd w:val="clear" w:color="auto" w:fill="auto"/>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SecurityMarking">
    <w:name w:val="SecurityMarking"/>
    <w:basedOn w:val="Normal"/>
    <w:pPr>
      <w:spacing w:after="0"/>
      <w:ind w:left="5103"/>
    </w:pPr>
    <w:rPr>
      <w:rFonts w:ascii="Times New Roman" w:hAnsi="Times New Roman"/>
      <w:sz w:val="28"/>
    </w:rPr>
  </w:style>
  <w:style w:type="paragraph" w:customStyle="1" w:styleId="DateMarking">
    <w:name w:val="DateMarking"/>
    <w:basedOn w:val="Normal"/>
    <w:pPr>
      <w:spacing w:after="0"/>
      <w:ind w:left="5103"/>
    </w:pPr>
    <w:rPr>
      <w:rFonts w:ascii="Times New Roman" w:hAnsi="Times New Roman"/>
      <w:i/>
      <w:sz w:val="28"/>
    </w:rPr>
  </w:style>
  <w:style w:type="paragraph" w:customStyle="1" w:styleId="ReleasableTo">
    <w:name w:val="ReleasableTo"/>
    <w:basedOn w:val="Normal"/>
    <w:pPr>
      <w:spacing w:after="0"/>
      <w:ind w:left="5103"/>
    </w:pPr>
    <w:rPr>
      <w:rFonts w:ascii="Times New Roman" w:hAnsi="Times New Roman"/>
      <w:i/>
      <w:sz w:val="2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Emphasis">
    <w:name w:val="Emphasis"/>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19044">
      <w:bodyDiv w:val="1"/>
      <w:marLeft w:val="0"/>
      <w:marRight w:val="0"/>
      <w:marTop w:val="0"/>
      <w:marBottom w:val="0"/>
      <w:divBdr>
        <w:top w:val="none" w:sz="0" w:space="0" w:color="auto"/>
        <w:left w:val="none" w:sz="0" w:space="0" w:color="auto"/>
        <w:bottom w:val="none" w:sz="0" w:space="0" w:color="auto"/>
        <w:right w:val="none" w:sz="0" w:space="0" w:color="auto"/>
      </w:divBdr>
    </w:div>
    <w:div w:id="233324841">
      <w:bodyDiv w:val="1"/>
      <w:marLeft w:val="0"/>
      <w:marRight w:val="0"/>
      <w:marTop w:val="0"/>
      <w:marBottom w:val="0"/>
      <w:divBdr>
        <w:top w:val="none" w:sz="0" w:space="0" w:color="auto"/>
        <w:left w:val="none" w:sz="0" w:space="0" w:color="auto"/>
        <w:bottom w:val="none" w:sz="0" w:space="0" w:color="auto"/>
        <w:right w:val="none" w:sz="0" w:space="0" w:color="auto"/>
      </w:divBdr>
    </w:div>
    <w:div w:id="434790441">
      <w:bodyDiv w:val="1"/>
      <w:marLeft w:val="0"/>
      <w:marRight w:val="0"/>
      <w:marTop w:val="0"/>
      <w:marBottom w:val="0"/>
      <w:divBdr>
        <w:top w:val="none" w:sz="0" w:space="0" w:color="auto"/>
        <w:left w:val="none" w:sz="0" w:space="0" w:color="auto"/>
        <w:bottom w:val="none" w:sz="0" w:space="0" w:color="auto"/>
        <w:right w:val="none" w:sz="0" w:space="0" w:color="auto"/>
      </w:divBdr>
    </w:div>
    <w:div w:id="747842947">
      <w:bodyDiv w:val="1"/>
      <w:marLeft w:val="0"/>
      <w:marRight w:val="0"/>
      <w:marTop w:val="0"/>
      <w:marBottom w:val="0"/>
      <w:divBdr>
        <w:top w:val="none" w:sz="0" w:space="0" w:color="auto"/>
        <w:left w:val="none" w:sz="0" w:space="0" w:color="auto"/>
        <w:bottom w:val="none" w:sz="0" w:space="0" w:color="auto"/>
        <w:right w:val="none" w:sz="0" w:space="0" w:color="auto"/>
      </w:divBdr>
    </w:div>
    <w:div w:id="965698105">
      <w:bodyDiv w:val="1"/>
      <w:marLeft w:val="0"/>
      <w:marRight w:val="0"/>
      <w:marTop w:val="0"/>
      <w:marBottom w:val="0"/>
      <w:divBdr>
        <w:top w:val="none" w:sz="0" w:space="0" w:color="auto"/>
        <w:left w:val="none" w:sz="0" w:space="0" w:color="auto"/>
        <w:bottom w:val="none" w:sz="0" w:space="0" w:color="auto"/>
        <w:right w:val="none" w:sz="0" w:space="0" w:color="auto"/>
      </w:divBdr>
    </w:div>
    <w:div w:id="1099258576">
      <w:bodyDiv w:val="1"/>
      <w:marLeft w:val="0"/>
      <w:marRight w:val="0"/>
      <w:marTop w:val="0"/>
      <w:marBottom w:val="0"/>
      <w:divBdr>
        <w:top w:val="none" w:sz="0" w:space="0" w:color="auto"/>
        <w:left w:val="none" w:sz="0" w:space="0" w:color="auto"/>
        <w:bottom w:val="none" w:sz="0" w:space="0" w:color="auto"/>
        <w:right w:val="none" w:sz="0" w:space="0" w:color="auto"/>
      </w:divBdr>
      <w:divsChild>
        <w:div w:id="344091694">
          <w:marLeft w:val="0"/>
          <w:marRight w:val="0"/>
          <w:marTop w:val="0"/>
          <w:marBottom w:val="0"/>
          <w:divBdr>
            <w:top w:val="none" w:sz="0" w:space="0" w:color="auto"/>
            <w:left w:val="none" w:sz="0" w:space="0" w:color="auto"/>
            <w:bottom w:val="none" w:sz="0" w:space="0" w:color="auto"/>
            <w:right w:val="none" w:sz="0" w:space="0" w:color="auto"/>
          </w:divBdr>
          <w:divsChild>
            <w:div w:id="914513707">
              <w:marLeft w:val="0"/>
              <w:marRight w:val="0"/>
              <w:marTop w:val="0"/>
              <w:marBottom w:val="0"/>
              <w:divBdr>
                <w:top w:val="none" w:sz="0" w:space="0" w:color="auto"/>
                <w:left w:val="none" w:sz="0" w:space="0" w:color="auto"/>
                <w:bottom w:val="none" w:sz="0" w:space="0" w:color="auto"/>
                <w:right w:val="none" w:sz="0" w:space="0" w:color="auto"/>
              </w:divBdr>
              <w:divsChild>
                <w:div w:id="461193679">
                  <w:marLeft w:val="0"/>
                  <w:marRight w:val="0"/>
                  <w:marTop w:val="0"/>
                  <w:marBottom w:val="0"/>
                  <w:divBdr>
                    <w:top w:val="none" w:sz="0" w:space="0" w:color="auto"/>
                    <w:left w:val="none" w:sz="0" w:space="0" w:color="auto"/>
                    <w:bottom w:val="none" w:sz="0" w:space="0" w:color="auto"/>
                    <w:right w:val="none" w:sz="0" w:space="0" w:color="auto"/>
                  </w:divBdr>
                  <w:divsChild>
                    <w:div w:id="1626349287">
                      <w:marLeft w:val="0"/>
                      <w:marRight w:val="0"/>
                      <w:marTop w:val="0"/>
                      <w:marBottom w:val="0"/>
                      <w:divBdr>
                        <w:top w:val="none" w:sz="0" w:space="0" w:color="auto"/>
                        <w:left w:val="none" w:sz="0" w:space="0" w:color="auto"/>
                        <w:bottom w:val="none" w:sz="0" w:space="0" w:color="auto"/>
                        <w:right w:val="none" w:sz="0" w:space="0" w:color="auto"/>
                      </w:divBdr>
                      <w:divsChild>
                        <w:div w:id="1397046399">
                          <w:marLeft w:val="0"/>
                          <w:marRight w:val="0"/>
                          <w:marTop w:val="0"/>
                          <w:marBottom w:val="0"/>
                          <w:divBdr>
                            <w:top w:val="none" w:sz="0" w:space="0" w:color="auto"/>
                            <w:left w:val="none" w:sz="0" w:space="0" w:color="auto"/>
                            <w:bottom w:val="none" w:sz="0" w:space="0" w:color="auto"/>
                            <w:right w:val="none" w:sz="0" w:space="0" w:color="auto"/>
                          </w:divBdr>
                          <w:divsChild>
                            <w:div w:id="928583353">
                              <w:marLeft w:val="0"/>
                              <w:marRight w:val="0"/>
                              <w:marTop w:val="0"/>
                              <w:marBottom w:val="0"/>
                              <w:divBdr>
                                <w:top w:val="none" w:sz="0" w:space="0" w:color="auto"/>
                                <w:left w:val="none" w:sz="0" w:space="0" w:color="auto"/>
                                <w:bottom w:val="none" w:sz="0" w:space="0" w:color="auto"/>
                                <w:right w:val="none" w:sz="0" w:space="0" w:color="auto"/>
                              </w:divBdr>
                              <w:divsChild>
                                <w:div w:id="1280994997">
                                  <w:marLeft w:val="0"/>
                                  <w:marRight w:val="0"/>
                                  <w:marTop w:val="180"/>
                                  <w:marBottom w:val="0"/>
                                  <w:divBdr>
                                    <w:top w:val="none" w:sz="0" w:space="0" w:color="auto"/>
                                    <w:left w:val="none" w:sz="0" w:space="0" w:color="auto"/>
                                    <w:bottom w:val="none" w:sz="0" w:space="0" w:color="auto"/>
                                    <w:right w:val="none" w:sz="0" w:space="0" w:color="auto"/>
                                  </w:divBdr>
                                  <w:divsChild>
                                    <w:div w:id="1000088100">
                                      <w:marLeft w:val="0"/>
                                      <w:marRight w:val="0"/>
                                      <w:marTop w:val="0"/>
                                      <w:marBottom w:val="0"/>
                                      <w:divBdr>
                                        <w:top w:val="dashed" w:sz="2" w:space="0" w:color="074A8B"/>
                                        <w:left w:val="dashed" w:sz="2" w:space="0" w:color="074A8B"/>
                                        <w:bottom w:val="dashed" w:sz="6" w:space="14" w:color="074A8B"/>
                                        <w:right w:val="dashed" w:sz="2" w:space="0" w:color="074A8B"/>
                                      </w:divBdr>
                                    </w:div>
                                  </w:divsChild>
                                </w:div>
                              </w:divsChild>
                            </w:div>
                          </w:divsChild>
                        </w:div>
                      </w:divsChild>
                    </w:div>
                  </w:divsChild>
                </w:div>
              </w:divsChild>
            </w:div>
          </w:divsChild>
        </w:div>
      </w:divsChild>
    </w:div>
    <w:div w:id="1106539459">
      <w:bodyDiv w:val="1"/>
      <w:marLeft w:val="0"/>
      <w:marRight w:val="0"/>
      <w:marTop w:val="0"/>
      <w:marBottom w:val="0"/>
      <w:divBdr>
        <w:top w:val="none" w:sz="0" w:space="0" w:color="auto"/>
        <w:left w:val="none" w:sz="0" w:space="0" w:color="auto"/>
        <w:bottom w:val="none" w:sz="0" w:space="0" w:color="auto"/>
        <w:right w:val="none" w:sz="0" w:space="0" w:color="auto"/>
      </w:divBdr>
    </w:div>
    <w:div w:id="1794051883">
      <w:bodyDiv w:val="1"/>
      <w:marLeft w:val="0"/>
      <w:marRight w:val="0"/>
      <w:marTop w:val="0"/>
      <w:marBottom w:val="0"/>
      <w:divBdr>
        <w:top w:val="none" w:sz="0" w:space="0" w:color="auto"/>
        <w:left w:val="none" w:sz="0" w:space="0" w:color="auto"/>
        <w:bottom w:val="none" w:sz="0" w:space="0" w:color="auto"/>
        <w:right w:val="none" w:sz="0" w:space="0" w:color="auto"/>
      </w:divBdr>
    </w:div>
    <w:div w:id="183422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58D04-5ED9-422C-905C-3B144169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2020-01-23T08:42:00Z</dcterms:created>
  <dcterms:modified xsi:type="dcterms:W3CDTF">2020-03-02T08:42:00Z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