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29E" w:rsidRDefault="00602901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538557E5-4AC2-4ADC-AEF7-EBFCA25B3E19" style="width:450.75pt;height:334.5pt">
            <v:imagedata r:id="rId8" o:title=""/>
          </v:shape>
        </w:pict>
      </w:r>
    </w:p>
    <w:bookmarkEnd w:id="0"/>
    <w:p w:rsidR="0090329E" w:rsidRDefault="0090329E">
      <w:pPr>
        <w:rPr>
          <w:noProof/>
        </w:rPr>
        <w:sectPr w:rsidR="0090329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p w:rsidR="0090329E" w:rsidRDefault="00602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t>ДОКЛАД НА КОМИСИЯТА ДО ЕВРОПЕЙСКИЯ ПАРЛАМЕНТ И СЪВЕТА</w:t>
      </w:r>
      <w:r>
        <w:rPr>
          <w:rFonts w:ascii="Times New Roman" w:hAnsi="Times New Roman"/>
          <w:b/>
          <w:noProof/>
          <w:sz w:val="24"/>
          <w:szCs w:val="24"/>
        </w:rPr>
        <w:br/>
      </w:r>
    </w:p>
    <w:p w:rsidR="0090329E" w:rsidRDefault="00602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относно упражняването на делегирани правомощия от Комисията за приемане на делегирани </w:t>
      </w:r>
      <w:r>
        <w:rPr>
          <w:rFonts w:ascii="Times New Roman" w:hAnsi="Times New Roman"/>
          <w:b/>
          <w:noProof/>
          <w:sz w:val="24"/>
          <w:szCs w:val="24"/>
        </w:rPr>
        <w:t>актове съгласно член 18, параграф 2 от Директива 2014/45/ЕС, член 7, параграф 2 от Директива 1999/37/ЕО и член 22, параграф 2 от Директива 2014/47/ЕС</w:t>
      </w:r>
    </w:p>
    <w:p w:rsidR="0090329E" w:rsidRDefault="0090329E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90329E" w:rsidRDefault="00602901">
      <w:pPr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1. Въведение</w:t>
      </w:r>
    </w:p>
    <w:p w:rsidR="0090329E" w:rsidRDefault="00602901">
      <w:pPr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С член 17 от Директива 2014/45/ЕС</w:t>
      </w:r>
      <w:r>
        <w:rPr>
          <w:rStyle w:val="FootnoteReference"/>
          <w:rFonts w:ascii="Times New Roman" w:hAnsi="Times New Roman"/>
          <w:noProof/>
          <w:sz w:val="24"/>
          <w:szCs w:val="24"/>
        </w:rPr>
        <w:footnoteReference w:id="1"/>
      </w:r>
      <w:r>
        <w:rPr>
          <w:rFonts w:ascii="Times New Roman" w:hAnsi="Times New Roman"/>
          <w:noProof/>
          <w:sz w:val="24"/>
          <w:szCs w:val="24"/>
        </w:rPr>
        <w:t>, член 6 от Директива 1999/37/ЕО</w:t>
      </w:r>
      <w:r>
        <w:rPr>
          <w:rStyle w:val="FootnoteReference"/>
          <w:rFonts w:ascii="Times New Roman" w:hAnsi="Times New Roman"/>
          <w:noProof/>
          <w:sz w:val="24"/>
          <w:szCs w:val="24"/>
        </w:rPr>
        <w:footnoteReference w:id="2"/>
      </w:r>
      <w:r>
        <w:rPr>
          <w:rFonts w:ascii="Times New Roman" w:hAnsi="Times New Roman"/>
          <w:noProof/>
          <w:sz w:val="24"/>
          <w:szCs w:val="24"/>
        </w:rPr>
        <w:t>, изменена с Регламент 20</w:t>
      </w:r>
      <w:r>
        <w:rPr>
          <w:rFonts w:ascii="Times New Roman" w:hAnsi="Times New Roman"/>
          <w:noProof/>
          <w:sz w:val="24"/>
          <w:szCs w:val="24"/>
        </w:rPr>
        <w:t>14/46/ЕС</w:t>
      </w:r>
      <w:r>
        <w:rPr>
          <w:rStyle w:val="FootnoteReference"/>
          <w:rFonts w:ascii="Times New Roman" w:hAnsi="Times New Roman"/>
          <w:noProof/>
          <w:sz w:val="24"/>
          <w:szCs w:val="24"/>
        </w:rPr>
        <w:footnoteReference w:id="3"/>
      </w:r>
      <w:r>
        <w:rPr>
          <w:rFonts w:ascii="Times New Roman" w:hAnsi="Times New Roman"/>
          <w:noProof/>
          <w:sz w:val="24"/>
          <w:szCs w:val="24"/>
        </w:rPr>
        <w:t xml:space="preserve"> и член 21 от Директива 2014/47/ЕС</w:t>
      </w:r>
      <w:r>
        <w:rPr>
          <w:rStyle w:val="FootnoteReference"/>
          <w:rFonts w:ascii="Times New Roman" w:hAnsi="Times New Roman"/>
          <w:noProof/>
          <w:sz w:val="24"/>
          <w:szCs w:val="24"/>
        </w:rPr>
        <w:footnoteReference w:id="4"/>
      </w:r>
      <w:r>
        <w:rPr>
          <w:rFonts w:ascii="Times New Roman" w:hAnsi="Times New Roman"/>
          <w:noProof/>
          <w:sz w:val="24"/>
          <w:szCs w:val="24"/>
        </w:rPr>
        <w:t xml:space="preserve"> на Комисията се предоставят правомощия да приема делегирани актове. Тези правомощия бяха предоставени на Комисията за период от 5 години, считано от 19 май 2014 г., и следва да се продължават мълчаливо за сроков</w:t>
      </w:r>
      <w:r>
        <w:rPr>
          <w:rFonts w:ascii="Times New Roman" w:hAnsi="Times New Roman"/>
          <w:noProof/>
          <w:sz w:val="24"/>
          <w:szCs w:val="24"/>
        </w:rPr>
        <w:t xml:space="preserve">е с еднаква продължителност. </w:t>
      </w:r>
    </w:p>
    <w:p w:rsidR="0090329E" w:rsidRDefault="00602901">
      <w:pPr>
        <w:spacing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br/>
      </w:r>
      <w:r>
        <w:rPr>
          <w:rFonts w:ascii="Times New Roman" w:hAnsi="Times New Roman"/>
          <w:b/>
          <w:noProof/>
          <w:sz w:val="24"/>
          <w:szCs w:val="24"/>
        </w:rPr>
        <w:t>2. Правно основание за доклада</w:t>
      </w:r>
    </w:p>
    <w:p w:rsidR="0090329E" w:rsidRDefault="00602901">
      <w:pPr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Съгласно член 18, параграф 2 от Директива 2014/45/ЕС, член 7, параграф 2 от Директива 1999/37/ЕО и член 22, параграф 2 от Директива 2014/47/ЕС съответно Комисията следва да изготви доклад относн</w:t>
      </w:r>
      <w:r>
        <w:rPr>
          <w:rFonts w:ascii="Times New Roman" w:hAnsi="Times New Roman"/>
          <w:noProof/>
          <w:sz w:val="24"/>
          <w:szCs w:val="24"/>
        </w:rPr>
        <w:t>о делегирането на правомощия, предвидено във всяка отделна директива, не по-късно от девет месеца преди изтичането на петгодишния срок, т.е. преди 19 август 2018 г. Комисията признава недвусмислено и истински съжалява, че представя настоящия доклад със зак</w:t>
      </w:r>
      <w:r>
        <w:rPr>
          <w:rFonts w:ascii="Times New Roman" w:hAnsi="Times New Roman"/>
          <w:noProof/>
          <w:sz w:val="24"/>
          <w:szCs w:val="24"/>
        </w:rPr>
        <w:t>ъснение.</w:t>
      </w:r>
    </w:p>
    <w:p w:rsidR="0090329E" w:rsidRDefault="0090329E">
      <w:pPr>
        <w:spacing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90329E" w:rsidRDefault="00602901">
      <w:pPr>
        <w:spacing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3. Упражняване на делегирането</w:t>
      </w:r>
    </w:p>
    <w:p w:rsidR="0090329E" w:rsidRDefault="00602901">
      <w:pPr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До момента Комисията не е упражнила правомощия по никоя от трите директиви. Следната таблица показва конкретните мерки по съответните правомощия: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90329E">
        <w:tc>
          <w:tcPr>
            <w:tcW w:w="4536" w:type="dxa"/>
            <w:shd w:val="clear" w:color="auto" w:fill="BFBFBF"/>
          </w:tcPr>
          <w:p w:rsidR="0090329E" w:rsidRDefault="00602901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Правомощия съгласно Директива 2014/45/ЕС</w:t>
            </w:r>
          </w:p>
        </w:tc>
        <w:tc>
          <w:tcPr>
            <w:tcW w:w="4536" w:type="dxa"/>
            <w:shd w:val="clear" w:color="auto" w:fill="BFBFBF"/>
          </w:tcPr>
          <w:p w:rsidR="0090329E" w:rsidRDefault="00602901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Описание на правомощието за приемане на делегирани актове </w:t>
            </w:r>
          </w:p>
        </w:tc>
      </w:tr>
      <w:tr w:rsidR="0090329E">
        <w:tc>
          <w:tcPr>
            <w:tcW w:w="4536" w:type="dxa"/>
            <w:shd w:val="clear" w:color="auto" w:fill="auto"/>
          </w:tcPr>
          <w:p w:rsidR="0090329E" w:rsidRDefault="0090329E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90329E" w:rsidRDefault="0090329E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90329E" w:rsidRDefault="00602901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Член 17</w:t>
            </w:r>
          </w:p>
        </w:tc>
        <w:tc>
          <w:tcPr>
            <w:tcW w:w="4536" w:type="dxa"/>
            <w:shd w:val="clear" w:color="auto" w:fill="auto"/>
          </w:tcPr>
          <w:p w:rsidR="0090329E" w:rsidRDefault="00602901">
            <w:pPr>
              <w:numPr>
                <w:ilvl w:val="0"/>
                <w:numId w:val="9"/>
              </w:numPr>
              <w:tabs>
                <w:tab w:val="left" w:pos="270"/>
              </w:tabs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Актуализиране на категориите превозни средства, по целесъобразност, в случай на промени в категориите на превозните средства, произтичащи от изменения в законодателството за определяне н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а типа,</w:t>
            </w:r>
            <w:r>
              <w:rPr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без да се засяга обхватът и честотата на проверките;</w:t>
            </w:r>
          </w:p>
          <w:p w:rsidR="0090329E" w:rsidRDefault="00602901">
            <w:pPr>
              <w:numPr>
                <w:ilvl w:val="0"/>
                <w:numId w:val="9"/>
              </w:numPr>
              <w:tabs>
                <w:tab w:val="left" w:pos="270"/>
              </w:tabs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Актуализиране на приложение I, точка 3 в случай на наличие на по-ефикасни и ефективни методи на проверка,</w:t>
            </w:r>
            <w:r>
              <w:rPr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без да се разширява списъкът на елементите, подлежащи на проверка;</w:t>
            </w:r>
          </w:p>
          <w:p w:rsidR="0090329E" w:rsidRDefault="00602901">
            <w:pPr>
              <w:numPr>
                <w:ilvl w:val="0"/>
                <w:numId w:val="9"/>
              </w:numPr>
              <w:tabs>
                <w:tab w:val="left" w:pos="270"/>
              </w:tabs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Адаптиране на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приложение I, точка 3, след положителна оценка на съответните разходи и ползи, по отношение на списъка на елементите, подлежащи на проверка, методите, причините за неизправност и оценката на неизправностите в случай на изменение в задължителните изисквания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, отнасящи се до одобряването на типа, в законодателството на Съюза в областта на безопасността и на околната среда.</w:t>
            </w:r>
          </w:p>
        </w:tc>
      </w:tr>
    </w:tbl>
    <w:p w:rsidR="0090329E" w:rsidRDefault="0090329E">
      <w:pPr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644"/>
      </w:tblGrid>
      <w:tr w:rsidR="0090329E">
        <w:tc>
          <w:tcPr>
            <w:tcW w:w="4536" w:type="dxa"/>
            <w:shd w:val="clear" w:color="auto" w:fill="BFBFBF"/>
          </w:tcPr>
          <w:p w:rsidR="0090329E" w:rsidRDefault="00602901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Правомощия съгласно Директива 1999/37/ЕО</w:t>
            </w:r>
          </w:p>
        </w:tc>
        <w:tc>
          <w:tcPr>
            <w:tcW w:w="4644" w:type="dxa"/>
            <w:shd w:val="clear" w:color="auto" w:fill="BFBFBF"/>
          </w:tcPr>
          <w:p w:rsidR="0090329E" w:rsidRDefault="00602901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Описание на правомощието за приемане на делегирани актове</w:t>
            </w:r>
          </w:p>
        </w:tc>
      </w:tr>
      <w:tr w:rsidR="0090329E">
        <w:tc>
          <w:tcPr>
            <w:tcW w:w="4536" w:type="dxa"/>
            <w:shd w:val="clear" w:color="auto" w:fill="auto"/>
          </w:tcPr>
          <w:p w:rsidR="0090329E" w:rsidRDefault="0090329E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90329E" w:rsidRDefault="0090329E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90329E" w:rsidRDefault="00602901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Член 6</w:t>
            </w:r>
          </w:p>
        </w:tc>
        <w:tc>
          <w:tcPr>
            <w:tcW w:w="4644" w:type="dxa"/>
            <w:shd w:val="clear" w:color="auto" w:fill="auto"/>
          </w:tcPr>
          <w:p w:rsidR="0090329E" w:rsidRDefault="00602901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Изменяне на приложения I и II в случай на разширяване на Съюза. </w:t>
            </w:r>
          </w:p>
          <w:p w:rsidR="0090329E" w:rsidRDefault="00602901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Изменяне на приложение I, свързано с незадължителни елементи в случай на промяна на определенията или съдържанието на сертификатите за съответствие в съответното законодателство на Съюза за о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добряване на типа.</w:t>
            </w:r>
          </w:p>
        </w:tc>
      </w:tr>
    </w:tbl>
    <w:p w:rsidR="0090329E" w:rsidRDefault="0090329E">
      <w:pPr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644"/>
      </w:tblGrid>
      <w:tr w:rsidR="0090329E">
        <w:tc>
          <w:tcPr>
            <w:tcW w:w="4536" w:type="dxa"/>
            <w:shd w:val="clear" w:color="auto" w:fill="BFBFBF"/>
          </w:tcPr>
          <w:p w:rsidR="0090329E" w:rsidRDefault="00602901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Правомощия съгласно Директива 2014/47/ЕС</w:t>
            </w:r>
          </w:p>
        </w:tc>
        <w:tc>
          <w:tcPr>
            <w:tcW w:w="4644" w:type="dxa"/>
            <w:shd w:val="clear" w:color="auto" w:fill="BFBFBF"/>
          </w:tcPr>
          <w:p w:rsidR="0090329E" w:rsidRDefault="00602901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Описание на правомощието за приемане на делегирани актове</w:t>
            </w:r>
          </w:p>
        </w:tc>
      </w:tr>
      <w:tr w:rsidR="0090329E">
        <w:tc>
          <w:tcPr>
            <w:tcW w:w="4536" w:type="dxa"/>
            <w:shd w:val="clear" w:color="auto" w:fill="auto"/>
          </w:tcPr>
          <w:p w:rsidR="0090329E" w:rsidRDefault="0090329E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90329E" w:rsidRDefault="0090329E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90329E" w:rsidRDefault="0090329E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90329E" w:rsidRDefault="00602901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Член 21</w:t>
            </w:r>
          </w:p>
        </w:tc>
        <w:tc>
          <w:tcPr>
            <w:tcW w:w="4644" w:type="dxa"/>
            <w:shd w:val="clear" w:color="auto" w:fill="auto"/>
          </w:tcPr>
          <w:p w:rsidR="0090329E" w:rsidRDefault="00602901">
            <w:pPr>
              <w:numPr>
                <w:ilvl w:val="0"/>
                <w:numId w:val="9"/>
              </w:numPr>
              <w:ind w:right="-2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Актуализиране на приложение IV, по целесъобразност, за да се отчетат промените в категориите на превозните средства,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произтичащи от изменения в законодателството за одобряване на типа, без да се засяга обхватът на настоящата директива;</w:t>
            </w:r>
          </w:p>
          <w:p w:rsidR="0090329E" w:rsidRDefault="00602901">
            <w:pPr>
              <w:numPr>
                <w:ilvl w:val="0"/>
                <w:numId w:val="9"/>
              </w:numPr>
              <w:ind w:right="-2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Актуализиране на приложение II, точка 2, в случай на наличие на по-ефикасни и ефективни методи за проверка, без да се разширява списъкът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на елементите, подлежащи на проверка,</w:t>
            </w:r>
          </w:p>
          <w:p w:rsidR="0090329E" w:rsidRDefault="00602901">
            <w:pPr>
              <w:numPr>
                <w:ilvl w:val="0"/>
                <w:numId w:val="9"/>
              </w:numPr>
              <w:ind w:right="-2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Адаптиране на приложение II, точка 2, по отношение на списъка на елементите, подлежащи на проверка, методите, причините за неизправност и оценката на неизправностите в случай на изменение на задължителните изисквания,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отнасящи се до одобряването на типа, в законодателството на Съюза в областта на безопасността или на околната среда. </w:t>
            </w:r>
          </w:p>
        </w:tc>
      </w:tr>
    </w:tbl>
    <w:p w:rsidR="0090329E" w:rsidRDefault="0090329E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90329E" w:rsidRDefault="00602901">
      <w:pPr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Посочените по-горе правомощия по член 17 от Директива 2014/45/ЕС не бяха упражнени. Същевременно, предвид промените в обозначенията на к</w:t>
      </w:r>
      <w:r>
        <w:rPr>
          <w:rFonts w:ascii="Times New Roman" w:hAnsi="Times New Roman"/>
          <w:noProof/>
          <w:sz w:val="24"/>
          <w:szCs w:val="24"/>
        </w:rPr>
        <w:t xml:space="preserve">атегориите превозни средства, произтичащи от измененията в законодателството за одобряване на типа (Регламент (ЕС) 2018/858), Комисията следва да упражни правомощието си за приемане на делегиран акт. </w:t>
      </w:r>
    </w:p>
    <w:p w:rsidR="0090329E" w:rsidRDefault="00602901">
      <w:pPr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При методите за изпитване няма промени, поради което не</w:t>
      </w:r>
      <w:r>
        <w:rPr>
          <w:rFonts w:ascii="Times New Roman" w:hAnsi="Times New Roman"/>
          <w:noProof/>
          <w:sz w:val="24"/>
          <w:szCs w:val="24"/>
        </w:rPr>
        <w:t xml:space="preserve"> беше необходимо да се упражнява правомощието, свързано с тази точка. </w:t>
      </w:r>
    </w:p>
    <w:p w:rsidR="0090329E" w:rsidRDefault="00602901">
      <w:pPr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Последно, след положителна оценка на разходите и ползите, по отношение на списъка на елементите, подлежащи на проверка, методите, причините за неизправност и оценката на неизправностите</w:t>
      </w:r>
      <w:r>
        <w:rPr>
          <w:rFonts w:ascii="Times New Roman" w:hAnsi="Times New Roman"/>
          <w:noProof/>
          <w:sz w:val="24"/>
          <w:szCs w:val="24"/>
        </w:rPr>
        <w:t xml:space="preserve"> в случай на изменение на задължителните изисквания, отнасящи се до одобряването на типа, в законодателството на Съюза в областта на безопасността или на околната среда, Комисията ще упражни правомощието си за адаптиране на приложение I, точка 3 от Директи</w:t>
      </w:r>
      <w:r>
        <w:rPr>
          <w:rFonts w:ascii="Times New Roman" w:hAnsi="Times New Roman"/>
          <w:noProof/>
          <w:sz w:val="24"/>
          <w:szCs w:val="24"/>
        </w:rPr>
        <w:t xml:space="preserve">ва 2014/45/ЕС. </w:t>
      </w:r>
    </w:p>
    <w:p w:rsidR="0090329E" w:rsidRDefault="00602901">
      <w:pPr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По-конкретно, в приключено проучване за оценка на икономическата ефективност на това системата eCall да бъде включена в рамките на схемата за периодични проверки на Европейския съюз се препоръчва тази система да бъде включена в приложение I</w:t>
      </w:r>
      <w:r>
        <w:rPr>
          <w:rFonts w:ascii="Times New Roman" w:hAnsi="Times New Roman"/>
          <w:noProof/>
          <w:sz w:val="24"/>
          <w:szCs w:val="24"/>
        </w:rPr>
        <w:t xml:space="preserve"> и приложение III към Директива 2014/45/ЕС. В това отношение Комисията е на път да състави експертна група, която да потърси съвет и експертно мнение от държавите членки и други заинтересовани страни за изготвянето на делегирания акт. </w:t>
      </w:r>
    </w:p>
    <w:p w:rsidR="0090329E" w:rsidRDefault="00602901">
      <w:pPr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Горепосочените право</w:t>
      </w:r>
      <w:r>
        <w:rPr>
          <w:rFonts w:ascii="Times New Roman" w:hAnsi="Times New Roman"/>
          <w:noProof/>
          <w:sz w:val="24"/>
          <w:szCs w:val="24"/>
        </w:rPr>
        <w:t xml:space="preserve">мощия по член 6 от Директива 1999/37/ЕО не бяха упражнени, тъй като нямаше нито разширяване на Съюза, нито промяна в съдържанието на сертификатите за съответствие в съответното законодателство за одобряване на типа (Директива 2007/46/ЕО). </w:t>
      </w:r>
    </w:p>
    <w:p w:rsidR="0090329E" w:rsidRDefault="00602901">
      <w:pPr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Горепосочените правомощия по член 21 от Директива 2014/47/ЕС не бяха упражнени, но както при Директива 2014/45/ЕС, Комисията скоро ще упражни правомощието си да актуализира обозначението на категорията превозно средство (категория „Т5“), поради измененията</w:t>
      </w:r>
      <w:r>
        <w:rPr>
          <w:rFonts w:ascii="Times New Roman" w:hAnsi="Times New Roman"/>
          <w:noProof/>
          <w:sz w:val="24"/>
          <w:szCs w:val="24"/>
        </w:rPr>
        <w:t xml:space="preserve"> в законодателството за одобряване на типа (Регламент (ЕС) 2019/519). Посочената по-горе експертна група също се очаква да бъде информирана относно изготвянето на делегирания акт за актуализиране на обозначенията на категориите превозни средства в Директив</w:t>
      </w:r>
      <w:r>
        <w:rPr>
          <w:rFonts w:ascii="Times New Roman" w:hAnsi="Times New Roman"/>
          <w:noProof/>
          <w:sz w:val="24"/>
          <w:szCs w:val="24"/>
        </w:rPr>
        <w:t xml:space="preserve">а 2014/45/ЕС и Директива 2014/47/ЕС. Освен това, тъй като методите на изпитване и списъкът на елементите на изпитване, методите, причините за неизправност и оценката на недостатъците остават без промяна, не са били упражнени други правомощия.   </w:t>
      </w:r>
    </w:p>
    <w:p w:rsidR="0090329E" w:rsidRDefault="00602901">
      <w:pPr>
        <w:spacing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br/>
      </w:r>
      <w:r>
        <w:rPr>
          <w:rFonts w:ascii="Times New Roman" w:hAnsi="Times New Roman"/>
          <w:b/>
          <w:noProof/>
          <w:sz w:val="24"/>
          <w:szCs w:val="24"/>
        </w:rPr>
        <w:t>4. Заключ</w:t>
      </w:r>
      <w:r>
        <w:rPr>
          <w:rFonts w:ascii="Times New Roman" w:hAnsi="Times New Roman"/>
          <w:b/>
          <w:noProof/>
          <w:sz w:val="24"/>
          <w:szCs w:val="24"/>
        </w:rPr>
        <w:t>ение</w:t>
      </w:r>
    </w:p>
    <w:p w:rsidR="0090329E" w:rsidRDefault="00602901">
      <w:pPr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С настоящия доклад Комисията изпълнява задължението си да докладва в съответствие с член 18, параграф 2 от Директива 2014/45/ЕС, член 7, параграф 2 от Директива 1999/37/ЕО и член 22, параграф 2 от Директива 2014/47/ЕС. </w:t>
      </w:r>
    </w:p>
    <w:p w:rsidR="0090329E" w:rsidRDefault="00602901">
      <w:pPr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Комисията приканва Съвета и Евр</w:t>
      </w:r>
      <w:r>
        <w:rPr>
          <w:rFonts w:ascii="Times New Roman" w:hAnsi="Times New Roman"/>
          <w:noProof/>
          <w:sz w:val="24"/>
          <w:szCs w:val="24"/>
        </w:rPr>
        <w:t>опейския парламент да вземат под внимание съдържанието на настоящия доклад.</w:t>
      </w:r>
    </w:p>
    <w:sectPr w:rsidR="0090329E" w:rsidSect="0060290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29E" w:rsidRDefault="00602901">
      <w:pPr>
        <w:spacing w:after="0" w:line="240" w:lineRule="auto"/>
      </w:pPr>
      <w:r>
        <w:separator/>
      </w:r>
    </w:p>
  </w:endnote>
  <w:endnote w:type="continuationSeparator" w:id="0">
    <w:p w:rsidR="0090329E" w:rsidRDefault="00602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29E" w:rsidRDefault="009032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29E" w:rsidRDefault="00602901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29E" w:rsidRDefault="0090329E">
    <w:pPr>
      <w:pStyle w:val="FooterCover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29E" w:rsidRDefault="0090329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29E" w:rsidRDefault="0060290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90329E" w:rsidRDefault="0090329E">
    <w:pPr>
      <w:pStyle w:val="FooterCoverPage"/>
      <w:rPr>
        <w:rFonts w:ascii="Arial" w:hAnsi="Arial" w:cs="Arial"/>
        <w:b/>
        <w:sz w:val="48"/>
        <w:lang w:val="es-E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29E" w:rsidRDefault="009032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29E" w:rsidRDefault="00602901">
      <w:pPr>
        <w:spacing w:after="0" w:line="240" w:lineRule="auto"/>
      </w:pPr>
      <w:r>
        <w:separator/>
      </w:r>
    </w:p>
  </w:footnote>
  <w:footnote w:type="continuationSeparator" w:id="0">
    <w:p w:rsidR="0090329E" w:rsidRDefault="00602901">
      <w:pPr>
        <w:spacing w:after="0" w:line="240" w:lineRule="auto"/>
      </w:pPr>
      <w:r>
        <w:continuationSeparator/>
      </w:r>
    </w:p>
  </w:footnote>
  <w:footnote w:id="1">
    <w:p w:rsidR="0090329E" w:rsidRDefault="00602901">
      <w:pPr>
        <w:pStyle w:val="FootnoteText"/>
        <w:rPr>
          <w:rFonts w:ascii="Times New Roman" w:hAnsi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Директива 2014/45/ЕС на Европейския парламент и на Съвета от 3 април 2014 г. относно периодичните прегледи за проверка на техническата изправност на моторните превозни средства и техните ремаркета и за отмяна на Директива 2009/40/ЕО (ОВ L 127, 29.4.2014 г</w:t>
      </w:r>
      <w:r>
        <w:rPr>
          <w:rFonts w:ascii="Times New Roman" w:hAnsi="Times New Roman"/>
          <w:sz w:val="16"/>
          <w:szCs w:val="16"/>
        </w:rPr>
        <w:t>., стр. 51).</w:t>
      </w:r>
    </w:p>
    <w:p w:rsidR="0090329E" w:rsidRDefault="0090329E">
      <w:pPr>
        <w:pStyle w:val="FootnoteText"/>
        <w:rPr>
          <w:rFonts w:ascii="Times New Roman" w:hAnsi="Times New Roman"/>
          <w:sz w:val="16"/>
          <w:szCs w:val="16"/>
        </w:rPr>
      </w:pPr>
    </w:p>
  </w:footnote>
  <w:footnote w:id="2">
    <w:p w:rsidR="0090329E" w:rsidRDefault="00602901">
      <w:pPr>
        <w:pStyle w:val="NormalWeb"/>
        <w:shd w:val="clear" w:color="auto" w:fill="FFFFFF"/>
        <w:spacing w:before="0" w:beforeAutospacing="0" w:after="75" w:afterAutospacing="0"/>
        <w:rPr>
          <w:color w:val="444444"/>
          <w:sz w:val="16"/>
          <w:szCs w:val="16"/>
        </w:rPr>
      </w:pPr>
      <w:r>
        <w:rPr>
          <w:rStyle w:val="FootnoteReference"/>
          <w:sz w:val="16"/>
          <w:szCs w:val="16"/>
        </w:rPr>
        <w:t>2</w:t>
      </w:r>
      <w:r>
        <w:rPr>
          <w:sz w:val="16"/>
          <w:szCs w:val="16"/>
        </w:rPr>
        <w:t xml:space="preserve"> </w:t>
      </w:r>
      <w:r>
        <w:rPr>
          <w:color w:val="444444"/>
          <w:sz w:val="16"/>
          <w:szCs w:val="16"/>
        </w:rPr>
        <w:t>Директива 1999/37/ЕО на Съвета от 29 април 1999 година относно документите за регистрация на превозни средства.</w:t>
      </w:r>
    </w:p>
    <w:p w:rsidR="0090329E" w:rsidRDefault="00602901">
      <w:pPr>
        <w:pStyle w:val="NormalWeb"/>
        <w:shd w:val="clear" w:color="auto" w:fill="FFFFFF"/>
        <w:spacing w:before="0" w:beforeAutospacing="0" w:after="75" w:afterAutospacing="0"/>
        <w:rPr>
          <w:color w:val="444444"/>
          <w:sz w:val="16"/>
          <w:szCs w:val="16"/>
        </w:rPr>
      </w:pPr>
      <w:r>
        <w:rPr>
          <w:rStyle w:val="Emphasis"/>
          <w:i w:val="0"/>
          <w:color w:val="444444"/>
          <w:sz w:val="16"/>
          <w:szCs w:val="16"/>
        </w:rPr>
        <w:t>ОВ L 138, 1.6.1999 г., стр. 57–65.</w:t>
      </w:r>
    </w:p>
    <w:p w:rsidR="0090329E" w:rsidRDefault="0090329E">
      <w:pPr>
        <w:pStyle w:val="FootnoteText"/>
        <w:rPr>
          <w:rFonts w:ascii="Times New Roman" w:hAnsi="Times New Roman"/>
          <w:sz w:val="16"/>
          <w:szCs w:val="16"/>
        </w:rPr>
      </w:pPr>
    </w:p>
  </w:footnote>
  <w:footnote w:id="3">
    <w:p w:rsidR="0090329E" w:rsidRDefault="00602901">
      <w:pPr>
        <w:pStyle w:val="FootnoteText"/>
        <w:rPr>
          <w:rFonts w:ascii="Times New Roman" w:hAnsi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Директива 2014/46/ЕС на Европейския парламент и на Съвета от 3 април 2014 г. за изменение </w:t>
      </w:r>
      <w:r>
        <w:rPr>
          <w:rFonts w:ascii="Times New Roman" w:hAnsi="Times New Roman"/>
          <w:sz w:val="16"/>
          <w:szCs w:val="16"/>
        </w:rPr>
        <w:t>на Директива 1999/37/ЕО на Съвета относно документите за регистрация на превозни средства (ОВ L 127, 29.4.2014 г., стр. 129).</w:t>
      </w:r>
    </w:p>
    <w:p w:rsidR="0090329E" w:rsidRDefault="0090329E">
      <w:pPr>
        <w:pStyle w:val="FootnoteText"/>
        <w:rPr>
          <w:rFonts w:ascii="Times New Roman" w:hAnsi="Times New Roman"/>
          <w:sz w:val="16"/>
          <w:szCs w:val="16"/>
        </w:rPr>
      </w:pPr>
    </w:p>
  </w:footnote>
  <w:footnote w:id="4">
    <w:p w:rsidR="0090329E" w:rsidRDefault="00602901">
      <w:pPr>
        <w:pStyle w:val="FootnoteText"/>
        <w:rPr>
          <w:rFonts w:ascii="Times New Roman" w:hAnsi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 xml:space="preserve"> Директива 2014/47/ЕС на Европейския парламент и на Съвета от 3 април 2014 г. относно крайпътната техническа проверка на изправн</w:t>
      </w:r>
      <w:r>
        <w:rPr>
          <w:rFonts w:ascii="Times New Roman" w:hAnsi="Times New Roman"/>
          <w:sz w:val="16"/>
          <w:szCs w:val="16"/>
        </w:rPr>
        <w:t>остта на търговски превозни средства, които се движат на територията на Съюза, и за отмяна на Директива 2000/30/ЕО, ОВ L 127, 29.4.2014 г., стр. 134.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29E" w:rsidRDefault="009032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29E" w:rsidRDefault="0090329E">
    <w:pPr>
      <w:pStyle w:val="HeaderCoverPag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29E" w:rsidRDefault="0090329E">
    <w:pPr>
      <w:pStyle w:val="HeaderCoverPag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29E" w:rsidRDefault="0090329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29E" w:rsidRDefault="0090329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29E" w:rsidRDefault="009032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22F19"/>
    <w:multiLevelType w:val="hybridMultilevel"/>
    <w:tmpl w:val="5226E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60E20"/>
    <w:multiLevelType w:val="multilevel"/>
    <w:tmpl w:val="0D0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3D6259"/>
    <w:multiLevelType w:val="hybridMultilevel"/>
    <w:tmpl w:val="8526A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8744C"/>
    <w:multiLevelType w:val="hybridMultilevel"/>
    <w:tmpl w:val="69C41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0642B"/>
    <w:multiLevelType w:val="multilevel"/>
    <w:tmpl w:val="3806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B703F2"/>
    <w:multiLevelType w:val="hybridMultilevel"/>
    <w:tmpl w:val="1E7AA1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B196D"/>
    <w:multiLevelType w:val="hybridMultilevel"/>
    <w:tmpl w:val="30BAC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631B5"/>
    <w:multiLevelType w:val="multilevel"/>
    <w:tmpl w:val="4E74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oNotTrackMoves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cStatus" w:val="Green"/>
    <w:docVar w:name="LW_CORRIGENDUM" w:val="&lt;UNUSED&gt;"/>
    <w:docVar w:name="LW_COVERPAGE_EXISTS" w:val="True"/>
    <w:docVar w:name="LW_COVERPAGE_GUID" w:val="538557E5-4AC2-4ADC-AEF7-EBFCA25B3E19"/>
    <w:docVar w:name="LW_COVERPAGE_TYPE" w:val="1"/>
    <w:docVar w:name="LW_CROSSREFERENCE" w:val="&lt;UNUSED&gt;"/>
    <w:docVar w:name="LW_DocType" w:val="NORMAL"/>
    <w:docVar w:name="LW_EMISSION" w:val="4.3.2020"/>
    <w:docVar w:name="LW_EMISSION_ISODATE" w:val="2020-03-04"/>
    <w:docVar w:name="LW_EMISSION_LOCATION" w:val="BRX"/>
    <w:docVar w:name="LW_EMISSION_PREFIX" w:val="Брюксел, "/>
    <w:docVar w:name="LW_EMISSION_SUFFIX" w:val=" \u1075?."/>
    <w:docVar w:name="LW_ID_DOCTYPE_NONLW" w:val="CP-006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20) 7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\u1086?\u1090?\u1085?\u1086?\u1089?\u1085?\u1086? \u1091?\u1087?\u1088?\u1072?\u1078?\u1085?\u1103?\u1074?\u1072?\u1085?\u1077?\u1090?\u1086? \u1085?\u1072? \u1076?\u1077?\u1083?\u1077?\u1075?\u1080?\u1088?\u1072?\u1085?\u1080? \u1087?\u1088?\u1072?\u1074?\u1086?\u1084?\u1086?\u1097?\u1080?\u1103? \u1086?\u1090? \u1050?\u1086?\u1084?\u1080?\u1089?\u1080?\u1103?\u1090?\u1072? \u1079?\u1072? \u1087?\u1088?\u1080?\u1077?\u1084?\u1072?\u1085?\u1077? \u1085?\u1072? \u1076?\u1077?\u1083?\u1077?\u1075?\u1080?\u1088?\u1072?\u1085?\u1080? \u1072?\u1082?\u1090?\u1086?\u1074?\u1077? \u1089?\u1098?\u1075?\u1083?\u1072?\u1089?\u1085?\u1086? \u1095?\u1083?\u1077?\u1085? 18, \u1087?\u1072?\u1088?\u1072?\u1075?\u1088?\u1072?\u1092? 2 \u1086?\u1090? \u1044?\u1080?\u1088?\u1077?\u1082?\u1090?\u1080?\u1074?\u1072? 2014/45/\u1045?\u1057?, \u1095?\u1083?\u1077?\u1085? 7, \u1087?\u1072?\u1088?\u1072?\u1075?\u1088?\u1072?\u1092? 2 \u1086?\u1090? \u1044?\u1080?\u1088?\u1077?\u1082?\u1090?\u1080?\u1074?\u1072? 1999/37/\u1045?\u1054? \u1080? \u1095?\u1083?\u1077?\u1085? 22, \u1087?\u1072?\u1088?\u1072?\u1075?\u1088?\u1072?\u1092? 2 \u1086?\u1090? \u1044?\u1080?\u1088?\u1077?\u1082?\u1090?\u1080?\u1074?\u1072? 2014/47/\u1045?\u1057?"/>
    <w:docVar w:name="LW_TYPE.DOC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"/>
  </w:docVars>
  <w:rsids>
    <w:rsidRoot w:val="0090329E"/>
    <w:rsid w:val="00602901"/>
    <w:rsid w:val="0090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Pr>
      <w:lang w:eastAsia="en-US"/>
    </w:rPr>
  </w:style>
  <w:style w:type="character" w:styleId="FootnoteReference">
    <w:name w:val="footnote reference"/>
    <w:rPr>
      <w:vertAlign w:val="superscript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</w:rPr>
  </w:style>
  <w:style w:type="character" w:customStyle="1" w:styleId="FooterCoverPageChar">
    <w:name w:val="Footer Cover Page Char"/>
    <w:link w:val="FooterCoverPage"/>
    <w:rPr>
      <w:rFonts w:ascii="Times New Roman" w:hAnsi="Times New Roman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</w:rPr>
  </w:style>
  <w:style w:type="character" w:customStyle="1" w:styleId="FooterChar">
    <w:name w:val="Footer Char"/>
    <w:link w:val="Footer"/>
    <w:uiPriority w:val="99"/>
    <w:rPr>
      <w:rFonts w:ascii="Times New Roman" w:hAnsi="Times New Roman"/>
      <w:sz w:val="24"/>
      <w:szCs w:val="22"/>
      <w:lang w:val="bg-BG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Datedadoption">
    <w:name w:val="Date d'adoption"/>
    <w:basedOn w:val="Normal"/>
    <w:next w:val="Normal"/>
    <w:pPr>
      <w:spacing w:before="360" w:after="0" w:line="240" w:lineRule="auto"/>
      <w:jc w:val="center"/>
    </w:pPr>
    <w:rPr>
      <w:rFonts w:ascii="Times New Roman" w:hAnsi="Times New Roman"/>
      <w:b/>
      <w:sz w:val="24"/>
      <w:lang w:eastAsia="en-GB"/>
    </w:rPr>
  </w:style>
  <w:style w:type="paragraph" w:customStyle="1" w:styleId="Typedudocument">
    <w:name w:val="Type du document"/>
    <w:basedOn w:val="Normal"/>
    <w:next w:val="Normal"/>
    <w:pPr>
      <w:spacing w:before="360" w:after="0" w:line="240" w:lineRule="auto"/>
      <w:jc w:val="center"/>
    </w:pPr>
    <w:rPr>
      <w:rFonts w:ascii="Times New Roman" w:hAnsi="Times New Roman"/>
      <w:b/>
      <w:sz w:val="24"/>
      <w:lang w:eastAsia="en-GB"/>
    </w:rPr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link w:val="HeaderCoverPage"/>
    <w:rPr>
      <w:rFonts w:ascii="Times New Roman" w:hAnsi="Times New Roman"/>
      <w:sz w:val="24"/>
      <w:szCs w:val="22"/>
      <w:lang w:eastAsia="en-US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TitreobjetPagedecouverture">
    <w:name w:val="Titre objet (Page de couverture)"/>
    <w:basedOn w:val="Titreobjet"/>
    <w:next w:val="Normal"/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/>
      <w:sz w:val="28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/>
      <w:i/>
      <w:sz w:val="28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Emphasis">
    <w:name w:val="Emphasis"/>
    <w:uiPriority w:val="20"/>
    <w:qFormat/>
    <w:rPr>
      <w:i/>
      <w:i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4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9499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8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074A8B"/>
                                        <w:left w:val="dashed" w:sz="2" w:space="0" w:color="074A8B"/>
                                        <w:bottom w:val="dashed" w:sz="6" w:space="14" w:color="074A8B"/>
                                        <w:right w:val="dashed" w:sz="2" w:space="0" w:color="074A8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F83DF-3F1D-4F11-9E6B-30326B2BB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898</Words>
  <Characters>5380</Characters>
  <Application>Microsoft Office Word</Application>
  <DocSecurity>0</DocSecurity>
  <Lines>158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2020-01-23T08:42:00Z</dcterms:created>
  <dcterms:modified xsi:type="dcterms:W3CDTF">2020-02-27T09:46:00Z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tatus">
    <vt:lpwstr>Green</vt:lpwstr>
  </property>
  <property fmtid="{D5CDD505-2E9C-101B-9397-08002B2CF9AE}" pid="3" name="Level of sensitivity">
    <vt:lpwstr>Standard treatment</vt:lpwstr>
  </property>
  <property fmtid="{D5CDD505-2E9C-101B-9397-08002B2CF9AE}" pid="4" name="Last edited using">
    <vt:lpwstr>LW 7.0, Build 20190717</vt:lpwstr>
  </property>
  <property fmtid="{D5CDD505-2E9C-101B-9397-08002B2CF9AE}" pid="5" name="Part">
    <vt:lpwstr>1</vt:lpwstr>
  </property>
  <property fmtid="{D5CDD505-2E9C-101B-9397-08002B2CF9AE}" pid="6" name="Total parts">
    <vt:lpwstr>1</vt:lpwstr>
  </property>
  <property fmtid="{D5CDD505-2E9C-101B-9397-08002B2CF9AE}" pid="7" name="CPTemplateID">
    <vt:lpwstr>CP-006</vt:lpwstr>
  </property>
</Properties>
</file>