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59" w:rsidRDefault="006F0F6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FFB12C8-15E8-43DA-A142-70AE7CAE3243" style="width:450pt;height:334.5pt">
            <v:imagedata r:id="rId9" o:title=""/>
          </v:shape>
        </w:pict>
      </w:r>
    </w:p>
    <w:bookmarkEnd w:id="0"/>
    <w:p w:rsidR="00034159" w:rsidRDefault="00034159">
      <w:pPr>
        <w:rPr>
          <w:noProof/>
        </w:rPr>
        <w:sectPr w:rsidR="0003415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034159" w:rsidRDefault="006F0F6C">
      <w:pPr>
        <w:autoSpaceDE w:val="0"/>
        <w:autoSpaceDN w:val="0"/>
        <w:adjustRightInd w:val="0"/>
        <w:spacing w:after="0" w:line="240" w:lineRule="auto"/>
        <w:jc w:val="center"/>
        <w:rPr>
          <w:rFonts w:ascii="Times New Roman" w:hAnsi="Times New Roman"/>
          <w:b/>
          <w:noProof/>
          <w:sz w:val="24"/>
          <w:szCs w:val="24"/>
        </w:rPr>
      </w:pPr>
      <w:r>
        <w:rPr>
          <w:rFonts w:ascii="Times New Roman" w:hAnsi="Times New Roman"/>
          <w:b/>
          <w:noProof/>
          <w:sz w:val="24"/>
          <w:szCs w:val="24"/>
        </w:rPr>
        <w:lastRenderedPageBreak/>
        <w:t>REPORT FROM THE COMMISSION TO THE EUROPEAN PARLIAMENT AND THE COUNCIL</w:t>
      </w:r>
      <w:r>
        <w:rPr>
          <w:rFonts w:ascii="Times New Roman" w:hAnsi="Times New Roman"/>
          <w:b/>
          <w:noProof/>
          <w:sz w:val="24"/>
          <w:szCs w:val="24"/>
        </w:rPr>
        <w:br/>
      </w:r>
    </w:p>
    <w:p w:rsidR="00034159" w:rsidRDefault="006F0F6C">
      <w:pPr>
        <w:autoSpaceDE w:val="0"/>
        <w:autoSpaceDN w:val="0"/>
        <w:adjustRightInd w:val="0"/>
        <w:spacing w:after="0" w:line="240" w:lineRule="auto"/>
        <w:jc w:val="center"/>
        <w:rPr>
          <w:rFonts w:ascii="Times New Roman" w:hAnsi="Times New Roman"/>
          <w:b/>
          <w:noProof/>
          <w:sz w:val="24"/>
          <w:szCs w:val="24"/>
        </w:rPr>
      </w:pPr>
      <w:r>
        <w:rPr>
          <w:rFonts w:ascii="Times New Roman" w:hAnsi="Times New Roman"/>
          <w:b/>
          <w:noProof/>
          <w:sz w:val="24"/>
          <w:szCs w:val="24"/>
        </w:rPr>
        <w:t xml:space="preserve">on the exercise of delegation of powers to the Commission to adopt </w:t>
      </w:r>
      <w:r>
        <w:rPr>
          <w:rFonts w:ascii="Times New Roman" w:hAnsi="Times New Roman"/>
          <w:b/>
          <w:noProof/>
          <w:sz w:val="24"/>
          <w:szCs w:val="24"/>
        </w:rPr>
        <w:t>delegated acts, pursuant to Article 18(2) of Directive 2014/45/EU, Article 7(2) of Directive 1999/37/EC and Article 22(2) of Directive 2014/47/EU</w:t>
      </w:r>
    </w:p>
    <w:p w:rsidR="00034159" w:rsidRDefault="00034159">
      <w:pPr>
        <w:jc w:val="both"/>
        <w:rPr>
          <w:rFonts w:ascii="Times New Roman" w:hAnsi="Times New Roman"/>
          <w:noProof/>
          <w:sz w:val="24"/>
          <w:szCs w:val="24"/>
        </w:rPr>
      </w:pPr>
    </w:p>
    <w:p w:rsidR="00034159" w:rsidRDefault="006F0F6C">
      <w:pPr>
        <w:jc w:val="both"/>
        <w:rPr>
          <w:rFonts w:ascii="Times New Roman" w:hAnsi="Times New Roman"/>
          <w:b/>
          <w:noProof/>
          <w:sz w:val="24"/>
          <w:szCs w:val="24"/>
        </w:rPr>
      </w:pPr>
      <w:r>
        <w:rPr>
          <w:rFonts w:ascii="Times New Roman" w:hAnsi="Times New Roman"/>
          <w:b/>
          <w:noProof/>
          <w:sz w:val="24"/>
          <w:szCs w:val="24"/>
        </w:rPr>
        <w:t>1. Introduction</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Article 17 of Directive 2014/45/EU</w:t>
      </w:r>
      <w:r>
        <w:rPr>
          <w:rStyle w:val="FootnoteReference"/>
          <w:rFonts w:ascii="Times New Roman" w:hAnsi="Times New Roman"/>
          <w:noProof/>
          <w:sz w:val="24"/>
          <w:szCs w:val="24"/>
        </w:rPr>
        <w:footnoteReference w:id="1"/>
      </w:r>
      <w:r>
        <w:rPr>
          <w:rFonts w:ascii="Times New Roman" w:hAnsi="Times New Roman"/>
          <w:noProof/>
          <w:sz w:val="24"/>
          <w:szCs w:val="24"/>
        </w:rPr>
        <w:t>, Article 6 of Directive 1999/37/EC</w:t>
      </w:r>
      <w:r>
        <w:rPr>
          <w:rStyle w:val="FootnoteReference"/>
          <w:rFonts w:ascii="Times New Roman" w:hAnsi="Times New Roman"/>
          <w:noProof/>
          <w:sz w:val="24"/>
          <w:szCs w:val="24"/>
        </w:rPr>
        <w:footnoteReference w:id="2"/>
      </w:r>
      <w:r>
        <w:rPr>
          <w:rFonts w:ascii="Times New Roman" w:hAnsi="Times New Roman"/>
          <w:noProof/>
          <w:sz w:val="24"/>
          <w:szCs w:val="24"/>
        </w:rPr>
        <w:t xml:space="preserve"> as amended by Regulat</w:t>
      </w:r>
      <w:r>
        <w:rPr>
          <w:rFonts w:ascii="Times New Roman" w:hAnsi="Times New Roman"/>
          <w:noProof/>
          <w:sz w:val="24"/>
          <w:szCs w:val="24"/>
        </w:rPr>
        <w:t>ion 2014/46/EU</w:t>
      </w:r>
      <w:r>
        <w:rPr>
          <w:rStyle w:val="FootnoteReference"/>
          <w:rFonts w:ascii="Times New Roman" w:hAnsi="Times New Roman"/>
          <w:noProof/>
          <w:sz w:val="24"/>
          <w:szCs w:val="24"/>
        </w:rPr>
        <w:footnoteReference w:id="3"/>
      </w:r>
      <w:r>
        <w:rPr>
          <w:rFonts w:ascii="Times New Roman" w:hAnsi="Times New Roman"/>
          <w:noProof/>
          <w:sz w:val="24"/>
          <w:szCs w:val="24"/>
        </w:rPr>
        <w:t>, and Article 21 Directive of 2014/47/EU</w:t>
      </w:r>
      <w:r>
        <w:rPr>
          <w:rStyle w:val="FootnoteReference"/>
          <w:rFonts w:ascii="Times New Roman" w:hAnsi="Times New Roman"/>
          <w:noProof/>
          <w:sz w:val="24"/>
          <w:szCs w:val="24"/>
        </w:rPr>
        <w:footnoteReference w:id="4"/>
      </w:r>
      <w:r>
        <w:rPr>
          <w:rFonts w:ascii="Times New Roman" w:hAnsi="Times New Roman"/>
          <w:noProof/>
          <w:sz w:val="24"/>
          <w:szCs w:val="24"/>
        </w:rPr>
        <w:t xml:space="preserve"> conferred powers on the Commission to adopt delegated acts. These powers have been conferred on the Commission for a period of 5 years from 19 May 2014 and should be tacitly extended for periods of i</w:t>
      </w:r>
      <w:r>
        <w:rPr>
          <w:rFonts w:ascii="Times New Roman" w:hAnsi="Times New Roman"/>
          <w:noProof/>
          <w:sz w:val="24"/>
          <w:szCs w:val="24"/>
        </w:rPr>
        <w:t xml:space="preserve">dentical duration. </w:t>
      </w:r>
    </w:p>
    <w:p w:rsidR="00034159" w:rsidRDefault="006F0F6C">
      <w:pPr>
        <w:spacing w:line="240" w:lineRule="auto"/>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szCs w:val="24"/>
        </w:rPr>
        <w:t>2. Legal basis for the report</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Pursuant to Article 18(2), of Directives 2014/45/EU, Article 7(2) of Directive 1999/37/EC and Article 22(2) of Directive 2014/47/EU, respectively, the Commission should draw up a report in respect to the d</w:t>
      </w:r>
      <w:r>
        <w:rPr>
          <w:rFonts w:ascii="Times New Roman" w:hAnsi="Times New Roman"/>
          <w:noProof/>
          <w:sz w:val="24"/>
          <w:szCs w:val="24"/>
        </w:rPr>
        <w:t>elegation of powers provided in each respective Directive, not later than nine months before the end of the five-year period, thus before 19 August 2018. The Commission fully acknowledges and deeply regrets for the late submission of this report.</w:t>
      </w:r>
    </w:p>
    <w:p w:rsidR="00034159" w:rsidRDefault="00034159">
      <w:pPr>
        <w:spacing w:line="240" w:lineRule="auto"/>
        <w:jc w:val="both"/>
        <w:rPr>
          <w:rFonts w:ascii="Times New Roman" w:hAnsi="Times New Roman"/>
          <w:b/>
          <w:noProof/>
          <w:sz w:val="24"/>
          <w:szCs w:val="24"/>
        </w:rPr>
      </w:pPr>
    </w:p>
    <w:p w:rsidR="00034159" w:rsidRDefault="006F0F6C">
      <w:pPr>
        <w:spacing w:line="240" w:lineRule="auto"/>
        <w:jc w:val="both"/>
        <w:rPr>
          <w:rFonts w:ascii="Times New Roman" w:hAnsi="Times New Roman"/>
          <w:b/>
          <w:noProof/>
          <w:sz w:val="24"/>
          <w:szCs w:val="24"/>
        </w:rPr>
      </w:pPr>
      <w:r>
        <w:rPr>
          <w:rFonts w:ascii="Times New Roman" w:hAnsi="Times New Roman"/>
          <w:b/>
          <w:noProof/>
          <w:sz w:val="24"/>
          <w:szCs w:val="24"/>
        </w:rPr>
        <w:t xml:space="preserve">3. </w:t>
      </w:r>
      <w:r>
        <w:rPr>
          <w:rFonts w:ascii="Times New Roman" w:hAnsi="Times New Roman"/>
          <w:b/>
          <w:noProof/>
          <w:sz w:val="24"/>
          <w:szCs w:val="24"/>
        </w:rPr>
        <w:t>Exercise of the delegation</w:t>
      </w:r>
    </w:p>
    <w:p w:rsidR="00034159" w:rsidRDefault="006F0F6C">
      <w:pPr>
        <w:spacing w:line="240" w:lineRule="auto"/>
        <w:jc w:val="both"/>
        <w:rPr>
          <w:rFonts w:ascii="Times New Roman" w:hAnsi="Times New Roman"/>
          <w:noProof/>
          <w:sz w:val="24"/>
          <w:szCs w:val="24"/>
          <w:lang w:val="en"/>
        </w:rPr>
      </w:pPr>
      <w:r>
        <w:rPr>
          <w:rFonts w:ascii="Times New Roman" w:hAnsi="Times New Roman"/>
          <w:noProof/>
          <w:sz w:val="24"/>
          <w:szCs w:val="24"/>
        </w:rPr>
        <w:t>The Commission has not exercised yet any empowerments for any of the three Directives. The following table</w:t>
      </w:r>
      <w:bookmarkStart w:id="2" w:name="implementing"/>
      <w:bookmarkEnd w:id="2"/>
      <w:r>
        <w:rPr>
          <w:rFonts w:ascii="Times New Roman" w:hAnsi="Times New Roman"/>
          <w:noProof/>
          <w:sz w:val="24"/>
          <w:szCs w:val="24"/>
        </w:rPr>
        <w:t xml:space="preserve"> </w:t>
      </w:r>
      <w:r>
        <w:rPr>
          <w:rFonts w:ascii="Times New Roman" w:hAnsi="Times New Roman"/>
          <w:noProof/>
          <w:sz w:val="24"/>
          <w:szCs w:val="24"/>
          <w:lang w:val="en"/>
        </w:rPr>
        <w:t xml:space="preserve">shows the specific measures under the relevant empowerments: </w:t>
      </w:r>
    </w:p>
    <w:p w:rsidR="00034159" w:rsidRDefault="00034159">
      <w:pPr>
        <w:spacing w:line="240" w:lineRule="auto"/>
        <w:jc w:val="both"/>
        <w:rPr>
          <w:rFonts w:ascii="Times New Roman" w:hAnsi="Times New Roman"/>
          <w:noProof/>
          <w:sz w:val="24"/>
          <w:szCs w:val="24"/>
          <w:lang w:val="en"/>
        </w:rPr>
      </w:pPr>
    </w:p>
    <w:p w:rsidR="00034159" w:rsidRDefault="00034159">
      <w:pPr>
        <w:spacing w:line="240" w:lineRule="auto"/>
        <w:jc w:val="both"/>
        <w:rPr>
          <w:rFonts w:ascii="Times New Roman" w:hAnsi="Times New Roman"/>
          <w:noProof/>
          <w:sz w:val="24"/>
          <w:szCs w:val="24"/>
          <w:lang w:val="e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34159">
        <w:tc>
          <w:tcPr>
            <w:tcW w:w="4536" w:type="dxa"/>
            <w:shd w:val="clear" w:color="auto" w:fill="BFBFBF"/>
          </w:tcPr>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lastRenderedPageBreak/>
              <w:t>Empowerments in Directive 2014/45/EU</w:t>
            </w:r>
          </w:p>
        </w:tc>
        <w:tc>
          <w:tcPr>
            <w:tcW w:w="4536" w:type="dxa"/>
            <w:shd w:val="clear" w:color="auto" w:fill="BFBFBF"/>
          </w:tcPr>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 xml:space="preserve">Delegated act empowerment discription </w:t>
            </w:r>
          </w:p>
        </w:tc>
      </w:tr>
      <w:tr w:rsidR="00034159">
        <w:tc>
          <w:tcPr>
            <w:tcW w:w="4536" w:type="dxa"/>
            <w:shd w:val="clear" w:color="auto" w:fill="auto"/>
          </w:tcPr>
          <w:p w:rsidR="00034159" w:rsidRDefault="00034159">
            <w:pPr>
              <w:spacing w:line="240" w:lineRule="auto"/>
              <w:jc w:val="center"/>
              <w:rPr>
                <w:rFonts w:ascii="Times New Roman" w:hAnsi="Times New Roman"/>
                <w:noProof/>
                <w:sz w:val="24"/>
                <w:szCs w:val="24"/>
              </w:rPr>
            </w:pPr>
          </w:p>
          <w:p w:rsidR="00034159" w:rsidRDefault="00034159">
            <w:pPr>
              <w:spacing w:line="240" w:lineRule="auto"/>
              <w:jc w:val="center"/>
              <w:rPr>
                <w:rFonts w:ascii="Times New Roman" w:hAnsi="Times New Roman"/>
                <w:noProof/>
                <w:sz w:val="24"/>
                <w:szCs w:val="24"/>
              </w:rPr>
            </w:pPr>
          </w:p>
          <w:p w:rsidR="00034159" w:rsidRDefault="006F0F6C">
            <w:pPr>
              <w:spacing w:line="240" w:lineRule="auto"/>
              <w:jc w:val="center"/>
              <w:rPr>
                <w:rFonts w:ascii="Times New Roman" w:hAnsi="Times New Roman"/>
                <w:noProof/>
                <w:sz w:val="24"/>
                <w:szCs w:val="24"/>
              </w:rPr>
            </w:pPr>
            <w:r>
              <w:rPr>
                <w:rFonts w:ascii="Times New Roman" w:hAnsi="Times New Roman"/>
                <w:noProof/>
                <w:sz w:val="24"/>
                <w:szCs w:val="24"/>
              </w:rPr>
              <w:t>Article 17</w:t>
            </w:r>
          </w:p>
        </w:tc>
        <w:tc>
          <w:tcPr>
            <w:tcW w:w="4536" w:type="dxa"/>
            <w:shd w:val="clear" w:color="auto" w:fill="auto"/>
          </w:tcPr>
          <w:p w:rsidR="00034159" w:rsidRDefault="006F0F6C">
            <w:pPr>
              <w:numPr>
                <w:ilvl w:val="0"/>
                <w:numId w:val="9"/>
              </w:numPr>
              <w:tabs>
                <w:tab w:val="left" w:pos="270"/>
              </w:tabs>
              <w:spacing w:line="240" w:lineRule="auto"/>
              <w:jc w:val="both"/>
              <w:rPr>
                <w:rFonts w:ascii="Times New Roman" w:hAnsi="Times New Roman"/>
                <w:noProof/>
                <w:sz w:val="24"/>
                <w:szCs w:val="24"/>
              </w:rPr>
            </w:pPr>
            <w:r>
              <w:rPr>
                <w:rFonts w:ascii="Times New Roman" w:hAnsi="Times New Roman"/>
                <w:noProof/>
                <w:sz w:val="24"/>
                <w:szCs w:val="24"/>
              </w:rPr>
              <w:t>To update the vehicle category designations as appropriate in the event of changes to the vehicle categories stemming from amendments to type approval legislation,</w:t>
            </w:r>
            <w:r>
              <w:rPr>
                <w:noProof/>
              </w:rPr>
              <w:t xml:space="preserve"> </w:t>
            </w:r>
            <w:r>
              <w:rPr>
                <w:rFonts w:ascii="Times New Roman" w:hAnsi="Times New Roman"/>
                <w:noProof/>
                <w:sz w:val="24"/>
                <w:szCs w:val="24"/>
              </w:rPr>
              <w:t>without affecting the scope and frequen</w:t>
            </w:r>
            <w:r>
              <w:rPr>
                <w:rFonts w:ascii="Times New Roman" w:hAnsi="Times New Roman"/>
                <w:noProof/>
                <w:sz w:val="24"/>
                <w:szCs w:val="24"/>
              </w:rPr>
              <w:t>cy of testing.</w:t>
            </w:r>
          </w:p>
          <w:p w:rsidR="00034159" w:rsidRDefault="006F0F6C">
            <w:pPr>
              <w:numPr>
                <w:ilvl w:val="0"/>
                <w:numId w:val="9"/>
              </w:numPr>
              <w:tabs>
                <w:tab w:val="left" w:pos="270"/>
              </w:tabs>
              <w:spacing w:line="240" w:lineRule="auto"/>
              <w:jc w:val="both"/>
              <w:rPr>
                <w:rFonts w:ascii="Times New Roman" w:hAnsi="Times New Roman"/>
                <w:noProof/>
                <w:sz w:val="24"/>
                <w:szCs w:val="24"/>
              </w:rPr>
            </w:pPr>
            <w:r>
              <w:rPr>
                <w:rFonts w:ascii="Times New Roman" w:hAnsi="Times New Roman"/>
                <w:noProof/>
                <w:sz w:val="24"/>
                <w:szCs w:val="24"/>
              </w:rPr>
              <w:t>To update point 3 of Annex I in the event that more efficient and effective test methods become available,</w:t>
            </w:r>
            <w:r>
              <w:rPr>
                <w:noProof/>
              </w:rPr>
              <w:t xml:space="preserve"> </w:t>
            </w:r>
            <w:r>
              <w:rPr>
                <w:rFonts w:ascii="Times New Roman" w:hAnsi="Times New Roman"/>
                <w:noProof/>
                <w:sz w:val="24"/>
                <w:szCs w:val="24"/>
              </w:rPr>
              <w:t>without extending the list of items to be tested.</w:t>
            </w:r>
          </w:p>
          <w:p w:rsidR="00034159" w:rsidRDefault="006F0F6C">
            <w:pPr>
              <w:numPr>
                <w:ilvl w:val="0"/>
                <w:numId w:val="9"/>
              </w:numPr>
              <w:tabs>
                <w:tab w:val="left" w:pos="270"/>
              </w:tabs>
              <w:spacing w:line="240" w:lineRule="auto"/>
              <w:jc w:val="both"/>
              <w:rPr>
                <w:rFonts w:ascii="Times New Roman" w:hAnsi="Times New Roman"/>
                <w:noProof/>
                <w:sz w:val="24"/>
                <w:szCs w:val="24"/>
              </w:rPr>
            </w:pPr>
            <w:r>
              <w:rPr>
                <w:rFonts w:ascii="Times New Roman" w:hAnsi="Times New Roman"/>
                <w:noProof/>
                <w:sz w:val="24"/>
                <w:szCs w:val="24"/>
              </w:rPr>
              <w:t>To adapt point 3 of Annex I, following a positive assessment of the costs and benefi</w:t>
            </w:r>
            <w:r>
              <w:rPr>
                <w:rFonts w:ascii="Times New Roman" w:hAnsi="Times New Roman"/>
                <w:noProof/>
                <w:sz w:val="24"/>
                <w:szCs w:val="24"/>
              </w:rPr>
              <w:t>ts involved, in respect of the list of test items, methods, reasons for failure and assessment of deficiencies in the event of a modification of mandatory requirements relevant for type approval in Union safety and enviromental legislation.</w:t>
            </w:r>
          </w:p>
        </w:tc>
      </w:tr>
    </w:tbl>
    <w:p w:rsidR="00034159" w:rsidRDefault="00034159">
      <w:pPr>
        <w:jc w:val="both"/>
        <w:rPr>
          <w:rFonts w:ascii="Times New Roman" w:hAnsi="Times New Roman"/>
          <w:noProof/>
          <w:sz w:val="24"/>
          <w:szCs w:val="24"/>
          <w:lang w:val="e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44"/>
      </w:tblGrid>
      <w:tr w:rsidR="00034159">
        <w:tc>
          <w:tcPr>
            <w:tcW w:w="4536" w:type="dxa"/>
            <w:shd w:val="clear" w:color="auto" w:fill="BFBFBF"/>
          </w:tcPr>
          <w:p w:rsidR="00034159" w:rsidRDefault="006F0F6C">
            <w:pPr>
              <w:jc w:val="both"/>
              <w:rPr>
                <w:rFonts w:ascii="Times New Roman" w:hAnsi="Times New Roman"/>
                <w:noProof/>
                <w:sz w:val="24"/>
                <w:szCs w:val="24"/>
              </w:rPr>
            </w:pPr>
            <w:r>
              <w:rPr>
                <w:rFonts w:ascii="Times New Roman" w:hAnsi="Times New Roman"/>
                <w:noProof/>
                <w:sz w:val="24"/>
                <w:szCs w:val="24"/>
              </w:rPr>
              <w:t xml:space="preserve">Empowerments </w:t>
            </w:r>
            <w:r>
              <w:rPr>
                <w:rFonts w:ascii="Times New Roman" w:hAnsi="Times New Roman"/>
                <w:noProof/>
                <w:sz w:val="24"/>
                <w:szCs w:val="24"/>
              </w:rPr>
              <w:t>in Directive 1999/37/EC</w:t>
            </w:r>
          </w:p>
        </w:tc>
        <w:tc>
          <w:tcPr>
            <w:tcW w:w="4644" w:type="dxa"/>
            <w:shd w:val="clear" w:color="auto" w:fill="BFBFBF"/>
          </w:tcPr>
          <w:p w:rsidR="00034159" w:rsidRDefault="006F0F6C">
            <w:pPr>
              <w:jc w:val="both"/>
              <w:rPr>
                <w:rFonts w:ascii="Times New Roman" w:hAnsi="Times New Roman"/>
                <w:noProof/>
                <w:sz w:val="24"/>
                <w:szCs w:val="24"/>
              </w:rPr>
            </w:pPr>
            <w:r>
              <w:rPr>
                <w:rFonts w:ascii="Times New Roman" w:hAnsi="Times New Roman"/>
                <w:noProof/>
                <w:sz w:val="24"/>
                <w:szCs w:val="24"/>
              </w:rPr>
              <w:t>Delegated act empowerment discription</w:t>
            </w:r>
          </w:p>
        </w:tc>
      </w:tr>
      <w:tr w:rsidR="00034159">
        <w:tc>
          <w:tcPr>
            <w:tcW w:w="4536" w:type="dxa"/>
            <w:shd w:val="clear" w:color="auto" w:fill="auto"/>
          </w:tcPr>
          <w:p w:rsidR="00034159" w:rsidRDefault="00034159">
            <w:pPr>
              <w:jc w:val="center"/>
              <w:rPr>
                <w:rFonts w:ascii="Times New Roman" w:hAnsi="Times New Roman"/>
                <w:noProof/>
                <w:sz w:val="24"/>
                <w:szCs w:val="24"/>
              </w:rPr>
            </w:pPr>
          </w:p>
          <w:p w:rsidR="00034159" w:rsidRDefault="00034159">
            <w:pPr>
              <w:jc w:val="center"/>
              <w:rPr>
                <w:rFonts w:ascii="Times New Roman" w:hAnsi="Times New Roman"/>
                <w:noProof/>
                <w:sz w:val="24"/>
                <w:szCs w:val="24"/>
              </w:rPr>
            </w:pPr>
          </w:p>
          <w:p w:rsidR="00034159" w:rsidRDefault="006F0F6C">
            <w:pPr>
              <w:jc w:val="center"/>
              <w:rPr>
                <w:rFonts w:ascii="Times New Roman" w:hAnsi="Times New Roman"/>
                <w:noProof/>
                <w:sz w:val="24"/>
                <w:szCs w:val="24"/>
              </w:rPr>
            </w:pPr>
            <w:r>
              <w:rPr>
                <w:rFonts w:ascii="Times New Roman" w:hAnsi="Times New Roman"/>
                <w:noProof/>
                <w:sz w:val="24"/>
                <w:szCs w:val="24"/>
              </w:rPr>
              <w:t>Article 6</w:t>
            </w:r>
          </w:p>
        </w:tc>
        <w:tc>
          <w:tcPr>
            <w:tcW w:w="4644" w:type="dxa"/>
            <w:shd w:val="clear" w:color="auto" w:fill="auto"/>
          </w:tcPr>
          <w:p w:rsidR="00034159" w:rsidRDefault="006F0F6C">
            <w:pPr>
              <w:numPr>
                <w:ilvl w:val="0"/>
                <w:numId w:val="8"/>
              </w:numPr>
              <w:jc w:val="both"/>
              <w:rPr>
                <w:rFonts w:ascii="Times New Roman" w:hAnsi="Times New Roman"/>
                <w:noProof/>
                <w:sz w:val="24"/>
                <w:szCs w:val="24"/>
              </w:rPr>
            </w:pPr>
            <w:r>
              <w:rPr>
                <w:rFonts w:ascii="Times New Roman" w:hAnsi="Times New Roman"/>
                <w:noProof/>
                <w:sz w:val="24"/>
                <w:szCs w:val="24"/>
              </w:rPr>
              <w:t xml:space="preserve">To amend Annexes I and II in the event of the enlargement of the Union. </w:t>
            </w:r>
          </w:p>
          <w:p w:rsidR="00034159" w:rsidRDefault="006F0F6C">
            <w:pPr>
              <w:numPr>
                <w:ilvl w:val="0"/>
                <w:numId w:val="8"/>
              </w:numPr>
              <w:jc w:val="both"/>
              <w:rPr>
                <w:rFonts w:ascii="Times New Roman" w:hAnsi="Times New Roman"/>
                <w:noProof/>
                <w:sz w:val="24"/>
                <w:szCs w:val="24"/>
              </w:rPr>
            </w:pPr>
            <w:r>
              <w:rPr>
                <w:rFonts w:ascii="Times New Roman" w:hAnsi="Times New Roman"/>
                <w:noProof/>
                <w:sz w:val="24"/>
                <w:szCs w:val="24"/>
              </w:rPr>
              <w:t xml:space="preserve">To amend Annex I in relation to non mandatory elements in the event of changes in definitions or of the </w:t>
            </w:r>
            <w:r>
              <w:rPr>
                <w:rFonts w:ascii="Times New Roman" w:hAnsi="Times New Roman"/>
                <w:noProof/>
                <w:sz w:val="24"/>
                <w:szCs w:val="24"/>
              </w:rPr>
              <w:t>content of certificates of conformity in the relevant type-approval legislation.</w:t>
            </w:r>
          </w:p>
        </w:tc>
      </w:tr>
    </w:tbl>
    <w:p w:rsidR="00034159" w:rsidRDefault="00034159">
      <w:pPr>
        <w:jc w:val="both"/>
        <w:rPr>
          <w:rFonts w:ascii="Times New Roman" w:hAnsi="Times New Roman"/>
          <w:noProof/>
          <w:sz w:val="24"/>
          <w:szCs w:val="24"/>
        </w:rPr>
      </w:pPr>
    </w:p>
    <w:p w:rsidR="00034159" w:rsidRDefault="00034159">
      <w:pPr>
        <w:jc w:val="both"/>
        <w:rPr>
          <w:rFonts w:ascii="Times New Roman" w:hAnsi="Times New Roman"/>
          <w:noProof/>
          <w:sz w:val="24"/>
          <w:szCs w:val="24"/>
        </w:rPr>
      </w:pPr>
    </w:p>
    <w:p w:rsidR="00034159" w:rsidRDefault="00034159">
      <w:pPr>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44"/>
      </w:tblGrid>
      <w:tr w:rsidR="00034159">
        <w:tc>
          <w:tcPr>
            <w:tcW w:w="4536" w:type="dxa"/>
            <w:shd w:val="clear" w:color="auto" w:fill="BFBFBF"/>
          </w:tcPr>
          <w:p w:rsidR="00034159" w:rsidRDefault="006F0F6C">
            <w:pPr>
              <w:jc w:val="both"/>
              <w:rPr>
                <w:rFonts w:ascii="Times New Roman" w:hAnsi="Times New Roman"/>
                <w:noProof/>
                <w:sz w:val="24"/>
                <w:szCs w:val="24"/>
              </w:rPr>
            </w:pPr>
            <w:r>
              <w:rPr>
                <w:rFonts w:ascii="Times New Roman" w:hAnsi="Times New Roman"/>
                <w:noProof/>
                <w:sz w:val="24"/>
                <w:szCs w:val="24"/>
              </w:rPr>
              <w:t>Empowerments in Directive 2014/47/EU</w:t>
            </w:r>
          </w:p>
        </w:tc>
        <w:tc>
          <w:tcPr>
            <w:tcW w:w="4644" w:type="dxa"/>
            <w:shd w:val="clear" w:color="auto" w:fill="BFBFBF"/>
          </w:tcPr>
          <w:p w:rsidR="00034159" w:rsidRDefault="006F0F6C">
            <w:pPr>
              <w:jc w:val="both"/>
              <w:rPr>
                <w:rFonts w:ascii="Times New Roman" w:hAnsi="Times New Roman"/>
                <w:noProof/>
                <w:sz w:val="24"/>
                <w:szCs w:val="24"/>
              </w:rPr>
            </w:pPr>
            <w:r>
              <w:rPr>
                <w:rFonts w:ascii="Times New Roman" w:hAnsi="Times New Roman"/>
                <w:noProof/>
                <w:sz w:val="24"/>
                <w:szCs w:val="24"/>
              </w:rPr>
              <w:t>Delegated act empowerment discription</w:t>
            </w:r>
          </w:p>
        </w:tc>
      </w:tr>
      <w:tr w:rsidR="00034159">
        <w:tc>
          <w:tcPr>
            <w:tcW w:w="4536" w:type="dxa"/>
            <w:shd w:val="clear" w:color="auto" w:fill="auto"/>
          </w:tcPr>
          <w:p w:rsidR="00034159" w:rsidRDefault="00034159">
            <w:pPr>
              <w:jc w:val="center"/>
              <w:rPr>
                <w:rFonts w:ascii="Times New Roman" w:hAnsi="Times New Roman"/>
                <w:noProof/>
                <w:sz w:val="24"/>
                <w:szCs w:val="24"/>
              </w:rPr>
            </w:pPr>
          </w:p>
          <w:p w:rsidR="00034159" w:rsidRDefault="00034159">
            <w:pPr>
              <w:jc w:val="center"/>
              <w:rPr>
                <w:rFonts w:ascii="Times New Roman" w:hAnsi="Times New Roman"/>
                <w:noProof/>
                <w:sz w:val="24"/>
                <w:szCs w:val="24"/>
              </w:rPr>
            </w:pPr>
          </w:p>
          <w:p w:rsidR="00034159" w:rsidRDefault="00034159">
            <w:pPr>
              <w:jc w:val="center"/>
              <w:rPr>
                <w:rFonts w:ascii="Times New Roman" w:hAnsi="Times New Roman"/>
                <w:noProof/>
                <w:sz w:val="24"/>
                <w:szCs w:val="24"/>
              </w:rPr>
            </w:pPr>
          </w:p>
          <w:p w:rsidR="00034159" w:rsidRDefault="006F0F6C">
            <w:pPr>
              <w:jc w:val="center"/>
              <w:rPr>
                <w:rFonts w:ascii="Times New Roman" w:hAnsi="Times New Roman"/>
                <w:noProof/>
                <w:sz w:val="24"/>
                <w:szCs w:val="24"/>
              </w:rPr>
            </w:pPr>
            <w:r>
              <w:rPr>
                <w:rFonts w:ascii="Times New Roman" w:hAnsi="Times New Roman"/>
                <w:noProof/>
                <w:sz w:val="24"/>
                <w:szCs w:val="24"/>
              </w:rPr>
              <w:t>Article 21</w:t>
            </w:r>
          </w:p>
        </w:tc>
        <w:tc>
          <w:tcPr>
            <w:tcW w:w="4644" w:type="dxa"/>
            <w:shd w:val="clear" w:color="auto" w:fill="auto"/>
          </w:tcPr>
          <w:p w:rsidR="00034159" w:rsidRDefault="006F0F6C">
            <w:pPr>
              <w:numPr>
                <w:ilvl w:val="0"/>
                <w:numId w:val="9"/>
              </w:numPr>
              <w:ind w:right="-2"/>
              <w:jc w:val="both"/>
              <w:rPr>
                <w:rFonts w:ascii="Times New Roman" w:hAnsi="Times New Roman"/>
                <w:noProof/>
                <w:sz w:val="24"/>
                <w:szCs w:val="24"/>
              </w:rPr>
            </w:pPr>
            <w:r>
              <w:rPr>
                <w:rFonts w:ascii="Times New Roman" w:hAnsi="Times New Roman"/>
                <w:noProof/>
                <w:sz w:val="24"/>
                <w:szCs w:val="24"/>
              </w:rPr>
              <w:t xml:space="preserve">To update Annex IV as appropriate in order to take account of changes to the </w:t>
            </w:r>
            <w:r>
              <w:rPr>
                <w:rFonts w:ascii="Times New Roman" w:hAnsi="Times New Roman"/>
                <w:noProof/>
                <w:sz w:val="24"/>
                <w:szCs w:val="24"/>
              </w:rPr>
              <w:t>vehicle categories stemming from amendments to type approval legislation, without affecting the scope of this Directive.</w:t>
            </w:r>
          </w:p>
          <w:p w:rsidR="00034159" w:rsidRDefault="006F0F6C">
            <w:pPr>
              <w:numPr>
                <w:ilvl w:val="0"/>
                <w:numId w:val="9"/>
              </w:numPr>
              <w:ind w:right="-2"/>
              <w:jc w:val="both"/>
              <w:rPr>
                <w:rFonts w:ascii="Times New Roman" w:hAnsi="Times New Roman"/>
                <w:noProof/>
                <w:sz w:val="24"/>
                <w:szCs w:val="24"/>
              </w:rPr>
            </w:pPr>
            <w:r>
              <w:rPr>
                <w:rFonts w:ascii="Times New Roman" w:hAnsi="Times New Roman"/>
                <w:noProof/>
                <w:sz w:val="24"/>
                <w:szCs w:val="24"/>
              </w:rPr>
              <w:t xml:space="preserve">To update point 2 of Annex II in the event that more efficient and effective test methods become available, without extending the list </w:t>
            </w:r>
            <w:r>
              <w:rPr>
                <w:rFonts w:ascii="Times New Roman" w:hAnsi="Times New Roman"/>
                <w:noProof/>
                <w:sz w:val="24"/>
                <w:szCs w:val="24"/>
              </w:rPr>
              <w:t>of items to be tested.</w:t>
            </w:r>
          </w:p>
          <w:p w:rsidR="00034159" w:rsidRDefault="006F0F6C">
            <w:pPr>
              <w:numPr>
                <w:ilvl w:val="0"/>
                <w:numId w:val="9"/>
              </w:numPr>
              <w:ind w:right="-2"/>
              <w:jc w:val="both"/>
              <w:rPr>
                <w:rFonts w:ascii="Times New Roman" w:hAnsi="Times New Roman"/>
                <w:noProof/>
                <w:sz w:val="24"/>
                <w:szCs w:val="24"/>
              </w:rPr>
            </w:pPr>
            <w:r>
              <w:rPr>
                <w:rFonts w:ascii="Times New Roman" w:hAnsi="Times New Roman"/>
                <w:noProof/>
                <w:sz w:val="24"/>
                <w:szCs w:val="24"/>
              </w:rPr>
              <w:t>To adapt point 2 of Annex II in respect of the list of test items, methods, reasons for failure and assessment of deficiencies in the event of a modification of mandatory requirements relevant for type approval in Union safety or env</w:t>
            </w:r>
            <w:r>
              <w:rPr>
                <w:rFonts w:ascii="Times New Roman" w:hAnsi="Times New Roman"/>
                <w:noProof/>
                <w:sz w:val="24"/>
                <w:szCs w:val="24"/>
              </w:rPr>
              <w:t xml:space="preserve">ironmental legislation. </w:t>
            </w:r>
          </w:p>
        </w:tc>
      </w:tr>
    </w:tbl>
    <w:p w:rsidR="00034159" w:rsidRDefault="00034159">
      <w:pPr>
        <w:jc w:val="both"/>
        <w:rPr>
          <w:rFonts w:ascii="Times New Roman" w:hAnsi="Times New Roman"/>
          <w:noProof/>
          <w:sz w:val="24"/>
          <w:szCs w:val="24"/>
        </w:rPr>
      </w:pPr>
    </w:p>
    <w:p w:rsidR="00034159" w:rsidRDefault="006F0F6C">
      <w:pPr>
        <w:spacing w:line="240" w:lineRule="auto"/>
        <w:jc w:val="both"/>
        <w:rPr>
          <w:rFonts w:ascii="Times New Roman" w:hAnsi="Times New Roman"/>
          <w:noProof/>
          <w:sz w:val="24"/>
          <w:szCs w:val="24"/>
          <w:lang w:val="en-IE"/>
        </w:rPr>
      </w:pPr>
      <w:r>
        <w:rPr>
          <w:rFonts w:ascii="Times New Roman" w:hAnsi="Times New Roman"/>
          <w:noProof/>
          <w:sz w:val="24"/>
          <w:szCs w:val="24"/>
        </w:rPr>
        <w:t>The empowerments in Article 17 of Directive 2014/45/EU, as referred above, have not been exercised. However, given the changes in vehicle category designations stemming from amendments in the type approval</w:t>
      </w:r>
      <w:r>
        <w:rPr>
          <w:rFonts w:ascii="Times New Roman" w:hAnsi="Times New Roman"/>
          <w:noProof/>
          <w:sz w:val="24"/>
          <w:szCs w:val="24"/>
          <w:lang w:val="en-US"/>
        </w:rPr>
        <w:t xml:space="preserve"> </w:t>
      </w:r>
      <w:r>
        <w:rPr>
          <w:rFonts w:ascii="Times New Roman" w:hAnsi="Times New Roman"/>
          <w:noProof/>
          <w:sz w:val="24"/>
          <w:szCs w:val="24"/>
        </w:rPr>
        <w:t>legislation (Regulation</w:t>
      </w:r>
      <w:r>
        <w:rPr>
          <w:rFonts w:ascii="Times New Roman" w:hAnsi="Times New Roman"/>
          <w:noProof/>
          <w:sz w:val="24"/>
          <w:szCs w:val="24"/>
        </w:rPr>
        <w:t xml:space="preserve"> 2018/858/EU), the Commission should exercise this empowerment to adopt a delegated act</w:t>
      </w:r>
      <w:r>
        <w:rPr>
          <w:rFonts w:ascii="Times New Roman" w:hAnsi="Times New Roman"/>
          <w:noProof/>
          <w:sz w:val="24"/>
          <w:szCs w:val="24"/>
          <w:lang w:val="en-IE"/>
        </w:rPr>
        <w:t xml:space="preserve">. </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lang w:val="en-IE"/>
        </w:rPr>
        <w:t xml:space="preserve">Regarding the test methods, </w:t>
      </w:r>
      <w:r>
        <w:rPr>
          <w:rFonts w:ascii="Times New Roman" w:hAnsi="Times New Roman"/>
          <w:noProof/>
          <w:sz w:val="24"/>
          <w:szCs w:val="24"/>
        </w:rPr>
        <w:t xml:space="preserve">they remained unchanged so there was no need to exercise the empowerment related to this point. </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 xml:space="preserve">Finally, following a positive assessment </w:t>
      </w:r>
      <w:r>
        <w:rPr>
          <w:rFonts w:ascii="Times New Roman" w:hAnsi="Times New Roman"/>
          <w:noProof/>
          <w:sz w:val="24"/>
          <w:szCs w:val="24"/>
        </w:rPr>
        <w:t>of the costs and benefits involved, in respect of the list of test items, methods, reasons for failure and assessment of deficiencies in the event of a modification of mandatory requirements relevant for type-approval in Union safety or environmental legis</w:t>
      </w:r>
      <w:r>
        <w:rPr>
          <w:rFonts w:ascii="Times New Roman" w:hAnsi="Times New Roman"/>
          <w:noProof/>
          <w:sz w:val="24"/>
          <w:szCs w:val="24"/>
        </w:rPr>
        <w:t xml:space="preserve">lation, an exercise of empowerment  to adapt point 3 of Annex I to Directive 2014/45/EU is </w:t>
      </w:r>
      <w:r>
        <w:rPr>
          <w:rFonts w:ascii="Times New Roman" w:hAnsi="Times New Roman"/>
          <w:noProof/>
          <w:sz w:val="24"/>
          <w:szCs w:val="24"/>
          <w:lang w:val="en-IE"/>
        </w:rPr>
        <w:t xml:space="preserve">to be exercised </w:t>
      </w:r>
      <w:r>
        <w:rPr>
          <w:rFonts w:ascii="Times New Roman" w:hAnsi="Times New Roman"/>
          <w:noProof/>
          <w:sz w:val="24"/>
          <w:szCs w:val="24"/>
        </w:rPr>
        <w:t xml:space="preserve">by the Commission. </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Specifically, a study to assess whether it is cost-effective to include eCall within the frame of the periodical inspection scheme of the European Union has been finalized, recommending adding eCall to Annex I and Annex III of Directive 2014/45/EU. In this</w:t>
      </w:r>
      <w:r>
        <w:rPr>
          <w:rFonts w:ascii="Times New Roman" w:hAnsi="Times New Roman"/>
          <w:noProof/>
          <w:sz w:val="24"/>
          <w:szCs w:val="24"/>
        </w:rPr>
        <w:t xml:space="preserve"> respect, an expert group is about to be set up by the Commission in order to seek the advice and expertise of Member States and other relevant stakeholders for the preparation of the delegated act. </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The empowerments in Article 6 of Directive 1999/37/EC as</w:t>
      </w:r>
      <w:r>
        <w:rPr>
          <w:rFonts w:ascii="Times New Roman" w:hAnsi="Times New Roman"/>
          <w:noProof/>
          <w:sz w:val="24"/>
          <w:szCs w:val="24"/>
        </w:rPr>
        <w:t xml:space="preserve"> referred above have not been exercised as neither an enlargement of the Union, nor a change in the content of certificates of conformity in the relevant type-approval legislation (Directive 2007/46/EC) have occurred. </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The empowerments in Article 21 of Dir</w:t>
      </w:r>
      <w:r>
        <w:rPr>
          <w:rFonts w:ascii="Times New Roman" w:hAnsi="Times New Roman"/>
          <w:noProof/>
          <w:sz w:val="24"/>
          <w:szCs w:val="24"/>
        </w:rPr>
        <w:t>ective 2014/47/EU as referred above, have not been exercised, however, similarly to Directive 2014/45/EU, an exercise of empowerment to update the vehicle category designation (category T5 vehicles) stemming from amendments in the type approval</w:t>
      </w:r>
      <w:r>
        <w:rPr>
          <w:rFonts w:ascii="Times New Roman" w:hAnsi="Times New Roman"/>
          <w:noProof/>
          <w:sz w:val="24"/>
          <w:szCs w:val="24"/>
          <w:lang w:val="en-US"/>
        </w:rPr>
        <w:t xml:space="preserve"> </w:t>
      </w:r>
      <w:r>
        <w:rPr>
          <w:rFonts w:ascii="Times New Roman" w:hAnsi="Times New Roman"/>
          <w:noProof/>
          <w:sz w:val="24"/>
          <w:szCs w:val="24"/>
        </w:rPr>
        <w:t>legislation</w:t>
      </w:r>
      <w:r>
        <w:rPr>
          <w:rFonts w:ascii="Times New Roman" w:hAnsi="Times New Roman"/>
          <w:noProof/>
          <w:sz w:val="24"/>
          <w:szCs w:val="24"/>
        </w:rPr>
        <w:t xml:space="preserve"> (Regulation 2019/519/EU) is about to be exercised by the Commission. The above referred expert group is also about to be advised for the preparation of the delegated act for the update of vehicle category designations in both Directives 2014/45/EU and 201</w:t>
      </w:r>
      <w:r>
        <w:rPr>
          <w:rFonts w:ascii="Times New Roman" w:hAnsi="Times New Roman"/>
          <w:noProof/>
          <w:sz w:val="24"/>
          <w:szCs w:val="24"/>
        </w:rPr>
        <w:t xml:space="preserve">4/47/EU. Furthermore, as the testing methods and the list of test items, methods, reasons for failure and assessment of deficiencies remain unchanged, no other empowerments have been exercised.   </w:t>
      </w:r>
    </w:p>
    <w:p w:rsidR="00034159" w:rsidRDefault="006F0F6C">
      <w:pPr>
        <w:spacing w:line="240" w:lineRule="auto"/>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szCs w:val="24"/>
        </w:rPr>
        <w:t>4. Conclusion</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With this report the Commission complies wit</w:t>
      </w:r>
      <w:r>
        <w:rPr>
          <w:rFonts w:ascii="Times New Roman" w:hAnsi="Times New Roman"/>
          <w:noProof/>
          <w:sz w:val="24"/>
          <w:szCs w:val="24"/>
        </w:rPr>
        <w:t xml:space="preserve">h the reporting obligation pursuant to Article 18(2) of Directive 2014/45/EU, Article 7(2) of Directive 1999/37EC and Article 22(2) of Directive 2014/47/EU. </w:t>
      </w:r>
    </w:p>
    <w:p w:rsidR="00034159" w:rsidRDefault="006F0F6C">
      <w:pPr>
        <w:spacing w:line="240" w:lineRule="auto"/>
        <w:jc w:val="both"/>
        <w:rPr>
          <w:rFonts w:ascii="Times New Roman" w:hAnsi="Times New Roman"/>
          <w:noProof/>
          <w:sz w:val="24"/>
          <w:szCs w:val="24"/>
        </w:rPr>
      </w:pPr>
      <w:r>
        <w:rPr>
          <w:rFonts w:ascii="Times New Roman" w:hAnsi="Times New Roman"/>
          <w:noProof/>
          <w:sz w:val="24"/>
          <w:szCs w:val="24"/>
        </w:rPr>
        <w:t>The Commission invites the Council and the European Parliament to take note of this report.</w:t>
      </w:r>
    </w:p>
    <w:sectPr w:rsidR="00034159" w:rsidSect="006F0F6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59" w:rsidRDefault="006F0F6C">
      <w:pPr>
        <w:spacing w:after="0" w:line="240" w:lineRule="auto"/>
      </w:pPr>
      <w:r>
        <w:separator/>
      </w:r>
    </w:p>
  </w:endnote>
  <w:endnote w:type="continuationSeparator" w:id="0">
    <w:p w:rsidR="00034159" w:rsidRDefault="006F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6F0F6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6F0F6C">
    <w:pPr>
      <w:pStyle w:val="Footer"/>
      <w:jc w:val="center"/>
    </w:pPr>
    <w:r>
      <w:fldChar w:fldCharType="begin"/>
    </w:r>
    <w:r>
      <w:instrText xml:space="preserve"> PA</w:instrText>
    </w:r>
    <w:r>
      <w:instrText xml:space="preserve">GE   \* MERGEFORMAT </w:instrText>
    </w:r>
    <w:r>
      <w:fldChar w:fldCharType="separate"/>
    </w:r>
    <w:r>
      <w:rPr>
        <w:noProof/>
      </w:rPr>
      <w:t>4</w:t>
    </w:r>
    <w:r>
      <w:rPr>
        <w:noProof/>
      </w:rPr>
      <w:fldChar w:fldCharType="end"/>
    </w:r>
  </w:p>
  <w:p w:rsidR="00034159" w:rsidRDefault="00034159">
    <w:pPr>
      <w:pStyle w:val="FooterCoverPage"/>
      <w:rPr>
        <w:rFonts w:ascii="Arial" w:hAnsi="Arial" w:cs="Arial"/>
        <w:b/>
        <w:sz w:val="48"/>
        <w:lang w:val="es-E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59" w:rsidRDefault="006F0F6C">
      <w:pPr>
        <w:spacing w:after="0" w:line="240" w:lineRule="auto"/>
      </w:pPr>
      <w:r>
        <w:separator/>
      </w:r>
    </w:p>
  </w:footnote>
  <w:footnote w:type="continuationSeparator" w:id="0">
    <w:p w:rsidR="00034159" w:rsidRDefault="006F0F6C">
      <w:pPr>
        <w:spacing w:after="0" w:line="240" w:lineRule="auto"/>
      </w:pPr>
      <w:r>
        <w:continuationSeparator/>
      </w:r>
    </w:p>
  </w:footnote>
  <w:footnote w:id="1">
    <w:p w:rsidR="00034159" w:rsidRDefault="006F0F6C">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2014/45/EU of the European Parliament and of the Council of 3 April 2014 on periodic roadworthiness tests for motor vehicles and their trailers and repealing Directive 2009/40/EC Text with EEA relevance, OJ L 127, 29.4.2014, p. 51.</w:t>
      </w:r>
    </w:p>
    <w:p w:rsidR="00034159" w:rsidRDefault="00034159">
      <w:pPr>
        <w:pStyle w:val="FootnoteText"/>
        <w:rPr>
          <w:rFonts w:ascii="Times New Roman" w:hAnsi="Times New Roman"/>
          <w:sz w:val="16"/>
          <w:szCs w:val="16"/>
        </w:rPr>
      </w:pPr>
    </w:p>
  </w:footnote>
  <w:footnote w:id="2">
    <w:p w:rsidR="00034159" w:rsidRDefault="006F0F6C">
      <w:pPr>
        <w:pStyle w:val="NormalWeb"/>
        <w:shd w:val="clear" w:color="auto" w:fill="FFFFFF"/>
        <w:spacing w:before="0" w:beforeAutospacing="0" w:after="75" w:afterAutospacing="0"/>
        <w:rPr>
          <w:color w:val="444444"/>
          <w:sz w:val="16"/>
          <w:szCs w:val="16"/>
        </w:rPr>
      </w:pPr>
      <w:r>
        <w:rPr>
          <w:rStyle w:val="FootnoteReference"/>
          <w:sz w:val="16"/>
          <w:szCs w:val="16"/>
        </w:rPr>
        <w:t>2</w:t>
      </w:r>
      <w:r>
        <w:rPr>
          <w:sz w:val="16"/>
          <w:szCs w:val="16"/>
        </w:rPr>
        <w:t xml:space="preserve"> </w:t>
      </w:r>
      <w:r>
        <w:rPr>
          <w:color w:val="444444"/>
          <w:sz w:val="16"/>
          <w:szCs w:val="16"/>
        </w:rPr>
        <w:t xml:space="preserve">Council </w:t>
      </w:r>
      <w:r>
        <w:rPr>
          <w:color w:val="444444"/>
          <w:sz w:val="16"/>
          <w:szCs w:val="16"/>
        </w:rPr>
        <w:t>Directive 1999/37/EC of 29 April 1999 on the registration documents for vehicles</w:t>
      </w:r>
    </w:p>
    <w:p w:rsidR="00034159" w:rsidRDefault="006F0F6C">
      <w:pPr>
        <w:pStyle w:val="NormalWeb"/>
        <w:shd w:val="clear" w:color="auto" w:fill="FFFFFF"/>
        <w:spacing w:before="0" w:beforeAutospacing="0" w:after="75" w:afterAutospacing="0"/>
        <w:rPr>
          <w:color w:val="444444"/>
          <w:sz w:val="16"/>
          <w:szCs w:val="16"/>
        </w:rPr>
      </w:pPr>
      <w:r>
        <w:rPr>
          <w:rStyle w:val="Emphasis"/>
          <w:i w:val="0"/>
          <w:color w:val="444444"/>
          <w:sz w:val="16"/>
          <w:szCs w:val="16"/>
        </w:rPr>
        <w:t>OJ L 138, 1.6.1999, p. 57–65</w:t>
      </w:r>
    </w:p>
    <w:p w:rsidR="00034159" w:rsidRDefault="00034159">
      <w:pPr>
        <w:pStyle w:val="FootnoteText"/>
        <w:rPr>
          <w:rFonts w:ascii="Times New Roman" w:hAnsi="Times New Roman"/>
          <w:sz w:val="16"/>
          <w:szCs w:val="16"/>
        </w:rPr>
      </w:pPr>
    </w:p>
  </w:footnote>
  <w:footnote w:id="3">
    <w:p w:rsidR="00034159" w:rsidRDefault="006F0F6C">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2014/46/EU of the European Parliament and of the Council of 3 April 2014 amending Council Directive 1999/37/EC on the registration do</w:t>
      </w:r>
      <w:r>
        <w:rPr>
          <w:rFonts w:ascii="Times New Roman" w:hAnsi="Times New Roman"/>
          <w:sz w:val="16"/>
          <w:szCs w:val="16"/>
        </w:rPr>
        <w:t>cuments for vehicles, OJ L 127, 29.4.2014, p. 129.</w:t>
      </w:r>
    </w:p>
    <w:p w:rsidR="00034159" w:rsidRDefault="00034159">
      <w:pPr>
        <w:pStyle w:val="FootnoteText"/>
        <w:rPr>
          <w:rFonts w:ascii="Times New Roman" w:hAnsi="Times New Roman"/>
          <w:sz w:val="16"/>
          <w:szCs w:val="16"/>
        </w:rPr>
      </w:pPr>
    </w:p>
  </w:footnote>
  <w:footnote w:id="4">
    <w:p w:rsidR="00034159" w:rsidRDefault="006F0F6C">
      <w:pPr>
        <w:pStyle w:val="FootnoteText"/>
        <w:rPr>
          <w:rFonts w:ascii="Times New Roman" w:hAnsi="Times New Roman"/>
          <w:sz w:val="16"/>
          <w:szCs w:val="16"/>
        </w:rPr>
      </w:pPr>
      <w:r>
        <w:rPr>
          <w:rStyle w:val="FootnoteReference"/>
          <w:rFonts w:ascii="Times New Roman" w:hAnsi="Times New Roman"/>
          <w:sz w:val="16"/>
          <w:szCs w:val="16"/>
        </w:rPr>
        <w:t>4</w:t>
      </w:r>
      <w:r>
        <w:rPr>
          <w:rFonts w:ascii="Times New Roman" w:hAnsi="Times New Roman"/>
          <w:sz w:val="16"/>
          <w:szCs w:val="16"/>
        </w:rPr>
        <w:t xml:space="preserve"> Directive 2014/47/EU of the European Parliament and of the Council of 3 April 2014 on the technical roadside inspection of the roadworthiness of commercial vehicles circulating in the Union and repealin</w:t>
      </w:r>
      <w:r>
        <w:rPr>
          <w:rFonts w:ascii="Times New Roman" w:hAnsi="Times New Roman"/>
          <w:sz w:val="16"/>
          <w:szCs w:val="16"/>
        </w:rPr>
        <w:t>g Directive 2000/30/EC Text with EEA relevance, OJ L 127, 29.4.2014, p.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59" w:rsidRDefault="00034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F19"/>
    <w:multiLevelType w:val="hybridMultilevel"/>
    <w:tmpl w:val="522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60E20"/>
    <w:multiLevelType w:val="multilevel"/>
    <w:tmpl w:val="0D0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D6259"/>
    <w:multiLevelType w:val="hybridMultilevel"/>
    <w:tmpl w:val="852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8744C"/>
    <w:multiLevelType w:val="hybridMultilevel"/>
    <w:tmpl w:val="69C4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0642B"/>
    <w:multiLevelType w:val="multilevel"/>
    <w:tmpl w:val="380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703F2"/>
    <w:multiLevelType w:val="hybridMultilevel"/>
    <w:tmpl w:val="1E7AA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21B196D"/>
    <w:multiLevelType w:val="hybridMultilevel"/>
    <w:tmpl w:val="30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6631B5"/>
    <w:multiLevelType w:val="multilevel"/>
    <w:tmpl w:val="4E7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NotTrackMoves/>
  <w:defaultTabStop w:val="720"/>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6FFB12C8-15E8-43DA-A142-70AE7CAE3243"/>
    <w:docVar w:name="LW_COVERPAGE_TYPE" w:val="1"/>
    <w:docVar w:name="LW_CROSSREFERENCE" w:val="&lt;UNUSED&gt;"/>
    <w:docVar w:name="LW_DocType" w:val="NORMAL"/>
    <w:docVar w:name="LW_EMISSION" w:val="4.3.2020"/>
    <w:docVar w:name="LW_EMISSION_ISODATE" w:val="2020-03-0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delegation of powers to the Commission to adopt delegated acts pursuant  to Article 18(2) of Directive 2014/45/EU, Article 7(2) of Directive 1999/37/EC _x000d__x000b_ and Article 22(2) of Directive 2014/47/EU"/>
    <w:docVar w:name="LW_TYPE.DOC.CP" w:val="REPORT FROM THE COMMISSION TO THE EUROPEAN PARLIAMENT AND THE COUNCIL"/>
  </w:docVars>
  <w:rsids>
    <w:rsidRoot w:val="00034159"/>
    <w:rsid w:val="00034159"/>
    <w:rsid w:val="006F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en-GB"/>
    </w:rPr>
  </w:style>
  <w:style w:type="character" w:styleId="Strong">
    <w:name w:val="Strong"/>
    <w:uiPriority w:val="22"/>
    <w:qFormat/>
    <w:rPr>
      <w:b/>
      <w:bCs/>
    </w:rPr>
  </w:style>
  <w:style w:type="paragraph" w:customStyle="1" w:styleId="Datedadoption">
    <w:name w:val="Date d'adoption"/>
    <w:basedOn w:val="Normal"/>
    <w:next w:val="Normal"/>
    <w:pPr>
      <w:spacing w:before="360" w:after="0" w:line="240" w:lineRule="auto"/>
      <w:jc w:val="center"/>
    </w:pPr>
    <w:rPr>
      <w:rFonts w:ascii="Times New Roman" w:hAnsi="Times New Roman"/>
      <w:b/>
      <w:sz w:val="24"/>
      <w:lang w:eastAsia="en-GB"/>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lang w:eastAsia="en-GB"/>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Emphasis">
    <w:name w:val="Emphasis"/>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9044">
      <w:bodyDiv w:val="1"/>
      <w:marLeft w:val="0"/>
      <w:marRight w:val="0"/>
      <w:marTop w:val="0"/>
      <w:marBottom w:val="0"/>
      <w:divBdr>
        <w:top w:val="none" w:sz="0" w:space="0" w:color="auto"/>
        <w:left w:val="none" w:sz="0" w:space="0" w:color="auto"/>
        <w:bottom w:val="none" w:sz="0" w:space="0" w:color="auto"/>
        <w:right w:val="none" w:sz="0" w:space="0" w:color="auto"/>
      </w:divBdr>
    </w:div>
    <w:div w:id="233324841">
      <w:bodyDiv w:val="1"/>
      <w:marLeft w:val="0"/>
      <w:marRight w:val="0"/>
      <w:marTop w:val="0"/>
      <w:marBottom w:val="0"/>
      <w:divBdr>
        <w:top w:val="none" w:sz="0" w:space="0" w:color="auto"/>
        <w:left w:val="none" w:sz="0" w:space="0" w:color="auto"/>
        <w:bottom w:val="none" w:sz="0" w:space="0" w:color="auto"/>
        <w:right w:val="none" w:sz="0" w:space="0" w:color="auto"/>
      </w:divBdr>
    </w:div>
    <w:div w:id="434790441">
      <w:bodyDiv w:val="1"/>
      <w:marLeft w:val="0"/>
      <w:marRight w:val="0"/>
      <w:marTop w:val="0"/>
      <w:marBottom w:val="0"/>
      <w:divBdr>
        <w:top w:val="none" w:sz="0" w:space="0" w:color="auto"/>
        <w:left w:val="none" w:sz="0" w:space="0" w:color="auto"/>
        <w:bottom w:val="none" w:sz="0" w:space="0" w:color="auto"/>
        <w:right w:val="none" w:sz="0" w:space="0" w:color="auto"/>
      </w:divBdr>
    </w:div>
    <w:div w:id="747842947">
      <w:bodyDiv w:val="1"/>
      <w:marLeft w:val="0"/>
      <w:marRight w:val="0"/>
      <w:marTop w:val="0"/>
      <w:marBottom w:val="0"/>
      <w:divBdr>
        <w:top w:val="none" w:sz="0" w:space="0" w:color="auto"/>
        <w:left w:val="none" w:sz="0" w:space="0" w:color="auto"/>
        <w:bottom w:val="none" w:sz="0" w:space="0" w:color="auto"/>
        <w:right w:val="none" w:sz="0" w:space="0" w:color="auto"/>
      </w:divBdr>
    </w:div>
    <w:div w:id="965698105">
      <w:bodyDiv w:val="1"/>
      <w:marLeft w:val="0"/>
      <w:marRight w:val="0"/>
      <w:marTop w:val="0"/>
      <w:marBottom w:val="0"/>
      <w:divBdr>
        <w:top w:val="none" w:sz="0" w:space="0" w:color="auto"/>
        <w:left w:val="none" w:sz="0" w:space="0" w:color="auto"/>
        <w:bottom w:val="none" w:sz="0" w:space="0" w:color="auto"/>
        <w:right w:val="none" w:sz="0" w:space="0" w:color="auto"/>
      </w:divBdr>
    </w:div>
    <w:div w:id="1099258576">
      <w:bodyDiv w:val="1"/>
      <w:marLeft w:val="0"/>
      <w:marRight w:val="0"/>
      <w:marTop w:val="0"/>
      <w:marBottom w:val="0"/>
      <w:divBdr>
        <w:top w:val="none" w:sz="0" w:space="0" w:color="auto"/>
        <w:left w:val="none" w:sz="0" w:space="0" w:color="auto"/>
        <w:bottom w:val="none" w:sz="0" w:space="0" w:color="auto"/>
        <w:right w:val="none" w:sz="0" w:space="0" w:color="auto"/>
      </w:divBdr>
      <w:divsChild>
        <w:div w:id="344091694">
          <w:marLeft w:val="0"/>
          <w:marRight w:val="0"/>
          <w:marTop w:val="0"/>
          <w:marBottom w:val="0"/>
          <w:divBdr>
            <w:top w:val="none" w:sz="0" w:space="0" w:color="auto"/>
            <w:left w:val="none" w:sz="0" w:space="0" w:color="auto"/>
            <w:bottom w:val="none" w:sz="0" w:space="0" w:color="auto"/>
            <w:right w:val="none" w:sz="0" w:space="0" w:color="auto"/>
          </w:divBdr>
          <w:divsChild>
            <w:div w:id="914513707">
              <w:marLeft w:val="0"/>
              <w:marRight w:val="0"/>
              <w:marTop w:val="0"/>
              <w:marBottom w:val="0"/>
              <w:divBdr>
                <w:top w:val="none" w:sz="0" w:space="0" w:color="auto"/>
                <w:left w:val="none" w:sz="0" w:space="0" w:color="auto"/>
                <w:bottom w:val="none" w:sz="0" w:space="0" w:color="auto"/>
                <w:right w:val="none" w:sz="0" w:space="0" w:color="auto"/>
              </w:divBdr>
              <w:divsChild>
                <w:div w:id="461193679">
                  <w:marLeft w:val="0"/>
                  <w:marRight w:val="0"/>
                  <w:marTop w:val="0"/>
                  <w:marBottom w:val="0"/>
                  <w:divBdr>
                    <w:top w:val="none" w:sz="0" w:space="0" w:color="auto"/>
                    <w:left w:val="none" w:sz="0" w:space="0" w:color="auto"/>
                    <w:bottom w:val="none" w:sz="0" w:space="0" w:color="auto"/>
                    <w:right w:val="none" w:sz="0" w:space="0" w:color="auto"/>
                  </w:divBdr>
                  <w:divsChild>
                    <w:div w:id="1626349287">
                      <w:marLeft w:val="0"/>
                      <w:marRight w:val="0"/>
                      <w:marTop w:val="0"/>
                      <w:marBottom w:val="0"/>
                      <w:divBdr>
                        <w:top w:val="none" w:sz="0" w:space="0" w:color="auto"/>
                        <w:left w:val="none" w:sz="0" w:space="0" w:color="auto"/>
                        <w:bottom w:val="none" w:sz="0" w:space="0" w:color="auto"/>
                        <w:right w:val="none" w:sz="0" w:space="0" w:color="auto"/>
                      </w:divBdr>
                      <w:divsChild>
                        <w:div w:id="1397046399">
                          <w:marLeft w:val="0"/>
                          <w:marRight w:val="0"/>
                          <w:marTop w:val="0"/>
                          <w:marBottom w:val="0"/>
                          <w:divBdr>
                            <w:top w:val="none" w:sz="0" w:space="0" w:color="auto"/>
                            <w:left w:val="none" w:sz="0" w:space="0" w:color="auto"/>
                            <w:bottom w:val="none" w:sz="0" w:space="0" w:color="auto"/>
                            <w:right w:val="none" w:sz="0" w:space="0" w:color="auto"/>
                          </w:divBdr>
                          <w:divsChild>
                            <w:div w:id="928583353">
                              <w:marLeft w:val="0"/>
                              <w:marRight w:val="0"/>
                              <w:marTop w:val="0"/>
                              <w:marBottom w:val="0"/>
                              <w:divBdr>
                                <w:top w:val="none" w:sz="0" w:space="0" w:color="auto"/>
                                <w:left w:val="none" w:sz="0" w:space="0" w:color="auto"/>
                                <w:bottom w:val="none" w:sz="0" w:space="0" w:color="auto"/>
                                <w:right w:val="none" w:sz="0" w:space="0" w:color="auto"/>
                              </w:divBdr>
                              <w:divsChild>
                                <w:div w:id="1280994997">
                                  <w:marLeft w:val="0"/>
                                  <w:marRight w:val="0"/>
                                  <w:marTop w:val="180"/>
                                  <w:marBottom w:val="0"/>
                                  <w:divBdr>
                                    <w:top w:val="none" w:sz="0" w:space="0" w:color="auto"/>
                                    <w:left w:val="none" w:sz="0" w:space="0" w:color="auto"/>
                                    <w:bottom w:val="none" w:sz="0" w:space="0" w:color="auto"/>
                                    <w:right w:val="none" w:sz="0" w:space="0" w:color="auto"/>
                                  </w:divBdr>
                                  <w:divsChild>
                                    <w:div w:id="1000088100">
                                      <w:marLeft w:val="0"/>
                                      <w:marRight w:val="0"/>
                                      <w:marTop w:val="0"/>
                                      <w:marBottom w:val="0"/>
                                      <w:divBdr>
                                        <w:top w:val="dashed" w:sz="2" w:space="0" w:color="074A8B"/>
                                        <w:left w:val="dashed" w:sz="2" w:space="0" w:color="074A8B"/>
                                        <w:bottom w:val="dashed" w:sz="6" w:space="14" w:color="074A8B"/>
                                        <w:right w:val="dashed" w:sz="2" w:space="0" w:color="074A8B"/>
                                      </w:divBdr>
                                    </w:div>
                                  </w:divsChild>
                                </w:div>
                              </w:divsChild>
                            </w:div>
                          </w:divsChild>
                        </w:div>
                      </w:divsChild>
                    </w:div>
                  </w:divsChild>
                </w:div>
              </w:divsChild>
            </w:div>
          </w:divsChild>
        </w:div>
      </w:divsChild>
    </w:div>
    <w:div w:id="1106539459">
      <w:bodyDiv w:val="1"/>
      <w:marLeft w:val="0"/>
      <w:marRight w:val="0"/>
      <w:marTop w:val="0"/>
      <w:marBottom w:val="0"/>
      <w:divBdr>
        <w:top w:val="none" w:sz="0" w:space="0" w:color="auto"/>
        <w:left w:val="none" w:sz="0" w:space="0" w:color="auto"/>
        <w:bottom w:val="none" w:sz="0" w:space="0" w:color="auto"/>
        <w:right w:val="none" w:sz="0" w:space="0" w:color="auto"/>
      </w:divBdr>
    </w:div>
    <w:div w:id="1794051883">
      <w:bodyDiv w:val="1"/>
      <w:marLeft w:val="0"/>
      <w:marRight w:val="0"/>
      <w:marTop w:val="0"/>
      <w:marBottom w:val="0"/>
      <w:divBdr>
        <w:top w:val="none" w:sz="0" w:space="0" w:color="auto"/>
        <w:left w:val="none" w:sz="0" w:space="0" w:color="auto"/>
        <w:bottom w:val="none" w:sz="0" w:space="0" w:color="auto"/>
        <w:right w:val="none" w:sz="0" w:space="0" w:color="auto"/>
      </w:divBdr>
    </w:div>
    <w:div w:id="18342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FFC06-63E4-478E-B266-3D383A5F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2020-01-23T08:42:00Z</dcterms:created>
  <dcterms:modified xsi:type="dcterms:W3CDTF">2020-03-02T08:37:00Z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