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DE1BF8FE-9ABC-41B4-8D1F-DEC532792763" style="width:450.4pt;height:459.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2018/0148 (COD)</w:t>
      </w:r>
    </w:p>
    <w:p>
      <w:pPr>
        <w:pStyle w:val="Typedudocument"/>
        <w:rPr>
          <w:noProof/>
        </w:rPr>
      </w:pPr>
      <w:r>
        <w:rPr>
          <w:noProof/>
        </w:rPr>
        <w:t>СЪОБЩЕНИЕ НА КОМИСИЯТА ДО ЕВРОПЕЙСКИЯ ПАРЛАМЕНТ</w:t>
      </w:r>
      <w:r>
        <w:rPr>
          <w:noProof/>
        </w:rPr>
        <w:br/>
      </w:r>
      <w:r>
        <w:rPr>
          <w:noProof/>
        </w:rPr>
        <w:br/>
        <w:t>съгласно член 294, параграф 6 от Договора за функционирането на Европейския съюз</w:t>
      </w:r>
      <w:r>
        <w:rPr>
          <w:noProof/>
        </w:rPr>
        <w:br/>
      </w:r>
      <w:r>
        <w:rPr>
          <w:noProof/>
        </w:rPr>
        <w:br/>
        <w:t>относно</w:t>
      </w:r>
    </w:p>
    <w:p>
      <w:pPr>
        <w:pStyle w:val="Titreobjet"/>
        <w:rPr>
          <w:noProof/>
        </w:rPr>
      </w:pPr>
      <w:r>
        <w:rPr>
          <w:noProof/>
        </w:rPr>
        <w:t>позиция на Съвета относно приемането на Регламент на Европейския парламент и на Съвета относно етикетирането на гуми по отношение на горивната ефективност и други съществени параметри и за отмяна на Регламент (ЕО) № 1222/2009</w:t>
      </w:r>
    </w:p>
    <w:p>
      <w:pPr>
        <w:pStyle w:val="IntrtEEE"/>
        <w:rPr>
          <w:noProof/>
        </w:rPr>
      </w:pPr>
      <w:r>
        <w:rPr>
          <w:noProof/>
        </w:rPr>
        <w:t>(текст от значение за ЕИП)</w:t>
      </w:r>
    </w:p>
    <w:p>
      <w:pPr>
        <w:pStyle w:val="ManualHeading1"/>
        <w:rPr>
          <w:noProof/>
          <w:sz w:val="22"/>
        </w:rPr>
      </w:pPr>
      <w:r>
        <w:rPr>
          <w:noProof/>
        </w:rPr>
        <w:t>1.</w:t>
      </w:r>
      <w:r>
        <w:rPr>
          <w:noProof/>
        </w:rPr>
        <w:tab/>
        <w:t>Контекст</w:t>
      </w:r>
    </w:p>
    <w:tbl>
      <w:tblPr>
        <w:tblW w:w="0" w:type="auto"/>
        <w:tblLayout w:type="fixed"/>
        <w:tblLook w:val="0000" w:firstRow="0" w:lastRow="0" w:firstColumn="0" w:lastColumn="0" w:noHBand="0" w:noVBand="0"/>
      </w:tblPr>
      <w:tblGrid>
        <w:gridCol w:w="7188"/>
        <w:gridCol w:w="2099"/>
      </w:tblGrid>
      <w:tr>
        <w:tc>
          <w:tcPr>
            <w:tcW w:w="7188" w:type="dxa"/>
          </w:tcPr>
          <w:p>
            <w:pPr>
              <w:jc w:val="left"/>
              <w:rPr>
                <w:noProof/>
              </w:rPr>
            </w:pPr>
            <w:r>
              <w:rPr>
                <w:noProof/>
              </w:rPr>
              <w:t xml:space="preserve">Дата на предаване на предложението на Европейския парламент и на Съвета (COM(2018) 296 final — 2018/0148(COD): </w:t>
            </w:r>
          </w:p>
        </w:tc>
        <w:tc>
          <w:tcPr>
            <w:tcW w:w="2099" w:type="dxa"/>
          </w:tcPr>
          <w:p>
            <w:pPr>
              <w:rPr>
                <w:noProof/>
              </w:rPr>
            </w:pPr>
            <w:r>
              <w:rPr>
                <w:noProof/>
              </w:rPr>
              <w:t>17 май 2018 г.</w:t>
            </w:r>
          </w:p>
        </w:tc>
      </w:tr>
      <w:tr>
        <w:trPr>
          <w:cantSplit/>
        </w:trPr>
        <w:tc>
          <w:tcPr>
            <w:tcW w:w="7188" w:type="dxa"/>
          </w:tcPr>
          <w:p>
            <w:pPr>
              <w:jc w:val="left"/>
              <w:rPr>
                <w:noProof/>
              </w:rPr>
            </w:pPr>
            <w:r>
              <w:rPr>
                <w:noProof/>
              </w:rPr>
              <w:t xml:space="preserve">Дата на становището на Европейския икономически и социален комитет: </w:t>
            </w:r>
          </w:p>
        </w:tc>
        <w:tc>
          <w:tcPr>
            <w:tcW w:w="2099" w:type="dxa"/>
          </w:tcPr>
          <w:p>
            <w:pPr>
              <w:jc w:val="left"/>
              <w:rPr>
                <w:noProof/>
              </w:rPr>
            </w:pPr>
            <w:r>
              <w:rPr>
                <w:noProof/>
              </w:rPr>
              <w:t>17 октомври 2018 г.</w:t>
            </w:r>
          </w:p>
        </w:tc>
      </w:tr>
      <w:tr>
        <w:tc>
          <w:tcPr>
            <w:tcW w:w="7188" w:type="dxa"/>
          </w:tcPr>
          <w:p>
            <w:pPr>
              <w:jc w:val="left"/>
              <w:rPr>
                <w:noProof/>
              </w:rPr>
            </w:pPr>
            <w:r>
              <w:rPr>
                <w:noProof/>
              </w:rPr>
              <w:t xml:space="preserve">Дата на позицията на Европейския парламент на първо четене: </w:t>
            </w:r>
          </w:p>
        </w:tc>
        <w:tc>
          <w:tcPr>
            <w:tcW w:w="2099" w:type="dxa"/>
          </w:tcPr>
          <w:p>
            <w:pPr>
              <w:rPr>
                <w:noProof/>
              </w:rPr>
            </w:pPr>
            <w:r>
              <w:rPr>
                <w:noProof/>
              </w:rPr>
              <w:t>26 март 2019 г.</w:t>
            </w:r>
          </w:p>
        </w:tc>
      </w:tr>
      <w:tr>
        <w:tc>
          <w:tcPr>
            <w:tcW w:w="7188" w:type="dxa"/>
          </w:tcPr>
          <w:p>
            <w:pPr>
              <w:jc w:val="left"/>
              <w:rPr>
                <w:noProof/>
              </w:rPr>
            </w:pPr>
            <w:r>
              <w:rPr>
                <w:noProof/>
              </w:rPr>
              <w:t xml:space="preserve">Дата на предаване на измененото предложение: </w:t>
            </w:r>
          </w:p>
        </w:tc>
        <w:tc>
          <w:tcPr>
            <w:tcW w:w="2099" w:type="dxa"/>
          </w:tcPr>
          <w:p>
            <w:pPr>
              <w:rPr>
                <w:noProof/>
              </w:rPr>
            </w:pPr>
            <w:r>
              <w:rPr>
                <w:noProof/>
              </w:rPr>
              <w:t>неприложимо</w:t>
            </w:r>
          </w:p>
        </w:tc>
      </w:tr>
      <w:tr>
        <w:tc>
          <w:tcPr>
            <w:tcW w:w="7188" w:type="dxa"/>
          </w:tcPr>
          <w:p>
            <w:pPr>
              <w:jc w:val="left"/>
              <w:rPr>
                <w:noProof/>
              </w:rPr>
            </w:pPr>
            <w:r>
              <w:rPr>
                <w:noProof/>
              </w:rPr>
              <w:t xml:space="preserve">Дата на приемане на позицията на Съвета: </w:t>
            </w:r>
          </w:p>
        </w:tc>
        <w:tc>
          <w:tcPr>
            <w:tcW w:w="2099" w:type="dxa"/>
          </w:tcPr>
          <w:p>
            <w:pPr>
              <w:rPr>
                <w:noProof/>
              </w:rPr>
            </w:pPr>
            <w:r>
              <w:rPr>
                <w:noProof/>
              </w:rPr>
              <w:t>25 февруари 2020 г.</w:t>
            </w:r>
          </w:p>
        </w:tc>
      </w:tr>
    </w:tbl>
    <w:p>
      <w:pPr>
        <w:pStyle w:val="ManualHeading1"/>
        <w:rPr>
          <w:noProof/>
        </w:rPr>
      </w:pPr>
      <w:r>
        <w:rPr>
          <w:noProof/>
        </w:rPr>
        <w:t>2.</w:t>
      </w:r>
      <w:r>
        <w:rPr>
          <w:noProof/>
        </w:rPr>
        <w:tab/>
        <w:t>Цел на предложението на Комисията</w:t>
      </w:r>
    </w:p>
    <w:p>
      <w:pPr>
        <w:rPr>
          <w:noProof/>
        </w:rPr>
      </w:pPr>
      <w:r>
        <w:rPr>
          <w:noProof/>
        </w:rPr>
        <w:t>На 17 май 2018 г. Комисията прие предложение за Регламент на Европейския парламент и на Съвета относно етикетирането на гуми по отношение на горивната ефективност и други съществени параметри и за отмяна на Регламент (ЕО) № 1222/2009.</w:t>
      </w:r>
    </w:p>
    <w:p>
      <w:pPr>
        <w:rPr>
          <w:noProof/>
        </w:rPr>
      </w:pPr>
      <w:r>
        <w:rPr>
          <w:noProof/>
        </w:rPr>
        <w:t xml:space="preserve">20— 30 % от разхода на гориво на превозното средство се дължи на съпротивлението при търкаляне на гумите. Поради това намаляването на съпротивлението при търкаляне е важно за увеличаване на горивната ефективност и за намаляване на емисиите от парникови газове. </w:t>
      </w:r>
    </w:p>
    <w:p>
      <w:pPr>
        <w:rPr>
          <w:noProof/>
        </w:rPr>
      </w:pPr>
      <w:r>
        <w:rPr>
          <w:noProof/>
        </w:rPr>
        <w:t>Целта на преразглеждането на Регламента за етикетирането на гуми е да се повишат изискванията за информация относно горивната ефективност, шума и безопасността на гумите и тези изисквания да се прилагат за всички гуми — независимо дали за автомобили и микробуси, или тежкотоварни превозни средства. Новите правила за етикетирането на гуми ще дадат възможност на крайните потребители да направят най-добрия избор от гледна точка на горивната ефективност и безопасността, както и да реализират финансови печалби.</w:t>
      </w:r>
    </w:p>
    <w:p>
      <w:pPr>
        <w:rPr>
          <w:noProof/>
        </w:rPr>
      </w:pPr>
      <w:r>
        <w:rPr>
          <w:noProof/>
        </w:rPr>
        <w:lastRenderedPageBreak/>
        <w:t xml:space="preserve">Предложението също така предвижда бъдещото включване върху етикета на информация за износването и пробега (след като бъде установен надежден метод за изпитване), което би допринесло за намаляването на пластмасовите микрочастици от гуми в съответствие със стратегията за пластмасите на Комисията. То също така ще позволи на потребителите да избират по-устойчиви гуми. </w:t>
      </w:r>
    </w:p>
    <w:p>
      <w:pPr>
        <w:rPr>
          <w:noProof/>
        </w:rPr>
      </w:pPr>
      <w:r>
        <w:rPr>
          <w:noProof/>
        </w:rPr>
        <w:t>С предложения регламент се изменя действащият регламент чрез следното:</w:t>
      </w:r>
    </w:p>
    <w:p>
      <w:pPr>
        <w:pStyle w:val="Bullet0"/>
        <w:numPr>
          <w:ilvl w:val="0"/>
          <w:numId w:val="5"/>
        </w:numPr>
        <w:rPr>
          <w:noProof/>
        </w:rPr>
      </w:pPr>
      <w:r>
        <w:rPr>
          <w:noProof/>
        </w:rPr>
        <w:t>Подобряване на видимостта на етикетирането на гумите (етикетът трябва да бъде показван във всички случаи на продажба и реклама, например в интернет, при продажби от разстояние и др.) и повишаване на осведомеността.</w:t>
      </w:r>
    </w:p>
    <w:p>
      <w:pPr>
        <w:pStyle w:val="Bullet0"/>
        <w:rPr>
          <w:noProof/>
        </w:rPr>
      </w:pPr>
      <w:r>
        <w:rPr>
          <w:noProof/>
        </w:rPr>
        <w:t>Подобряване на прилагането и надзора на пазара (включване на етикетирането на гумите в продуктовата база данни, създадена съгласно Регламент 2017/1369).</w:t>
      </w:r>
    </w:p>
    <w:p>
      <w:pPr>
        <w:pStyle w:val="Bullet0"/>
        <w:rPr>
          <w:noProof/>
        </w:rPr>
      </w:pPr>
      <w:r>
        <w:rPr>
          <w:noProof/>
        </w:rPr>
        <w:t>Актуализиране на етикета с цел оптимизиране на информацията, предоставяна на крайните потребители.</w:t>
      </w:r>
    </w:p>
    <w:p>
      <w:pPr>
        <w:pStyle w:val="Bullet0"/>
        <w:rPr>
          <w:noProof/>
        </w:rPr>
      </w:pPr>
      <w:r>
        <w:rPr>
          <w:noProof/>
        </w:rPr>
        <w:t>Включване върху етикета на информация относно работните характеристики на гумите в условия на сняг и лед.</w:t>
      </w:r>
    </w:p>
    <w:p>
      <w:pPr>
        <w:pStyle w:val="Bullet0"/>
        <w:rPr>
          <w:noProof/>
        </w:rPr>
      </w:pPr>
      <w:r>
        <w:rPr>
          <w:noProof/>
        </w:rPr>
        <w:t>Визуално привеждане в съответствие на етикета на гумите с енергийния етикет на ЕС.</w:t>
      </w:r>
    </w:p>
    <w:p>
      <w:pPr>
        <w:pStyle w:val="Bullet0"/>
        <w:rPr>
          <w:noProof/>
        </w:rPr>
      </w:pPr>
      <w:r>
        <w:rPr>
          <w:noProof/>
        </w:rPr>
        <w:t>Осигуряване на възможност за бъдещо включване в етикета на информация относно износването (пластмасови микрочастици), пробега и регенерираните гуми.</w:t>
      </w:r>
    </w:p>
    <w:p>
      <w:pPr>
        <w:pStyle w:val="Bullet0"/>
        <w:rPr>
          <w:noProof/>
        </w:rPr>
      </w:pPr>
      <w:r>
        <w:rPr>
          <w:noProof/>
        </w:rPr>
        <w:t>Определяне на изискване за производителите да предоставят на националните органи стойностите, които те използват, за да декларират класовете върху етикета, с оглед на подобряване на надеждността на информацията върху етикета.</w:t>
      </w:r>
    </w:p>
    <w:p>
      <w:pPr>
        <w:pStyle w:val="ManualHeading1"/>
        <w:spacing w:line="276" w:lineRule="auto"/>
        <w:rPr>
          <w:noProof/>
        </w:rPr>
      </w:pPr>
      <w:r>
        <w:rPr>
          <w:noProof/>
        </w:rPr>
        <w:t>3.</w:t>
      </w:r>
      <w:r>
        <w:rPr>
          <w:noProof/>
        </w:rPr>
        <w:tab/>
        <w:t>Коментари относно позицията на Съвета</w:t>
      </w:r>
    </w:p>
    <w:p>
      <w:pPr>
        <w:rPr>
          <w:noProof/>
        </w:rPr>
      </w:pPr>
      <w:r>
        <w:rPr>
          <w:noProof/>
        </w:rPr>
        <w:t xml:space="preserve">Позицията на Съвета отразява политическото споразумение, постигнато между него и Европейския парламент на неформалната тристранна среща от 13 ноември 2019 г. </w:t>
      </w:r>
    </w:p>
    <w:p>
      <w:pPr>
        <w:rPr>
          <w:noProof/>
        </w:rPr>
      </w:pPr>
      <w:r>
        <w:rPr>
          <w:noProof/>
        </w:rPr>
        <w:t xml:space="preserve">Комисията приветства съгласието на Съвета за използване на делегирани актове вместо актове за изпълнение с цел включване на </w:t>
      </w:r>
      <w:r>
        <w:rPr>
          <w:b/>
          <w:noProof/>
        </w:rPr>
        <w:t>регенерираните гуми</w:t>
      </w:r>
      <w:r>
        <w:rPr>
          <w:noProof/>
        </w:rPr>
        <w:t xml:space="preserve"> в обхвата на регламента, след като бъде установен подходящ метод за изпитване. </w:t>
      </w:r>
    </w:p>
    <w:p>
      <w:pPr>
        <w:rPr>
          <w:noProof/>
        </w:rPr>
      </w:pPr>
      <w:r>
        <w:rPr>
          <w:noProof/>
        </w:rPr>
        <w:t xml:space="preserve">Комисията също така приветства съгласието на Съвета в регламента да бъде включена информация относно </w:t>
      </w:r>
      <w:r>
        <w:rPr>
          <w:b/>
          <w:noProof/>
        </w:rPr>
        <w:t>пробега и износването</w:t>
      </w:r>
      <w:r>
        <w:rPr>
          <w:noProof/>
        </w:rPr>
        <w:t xml:space="preserve"> чрез делегирани актове, а не чрез обикновената законодателна процедура, след като бъде установен подходящ метод за изпитване. Комисията се ангажира да си сътрудничи тясно с промишлени и регулаторни организации или организации по стандартизация и други заинтересовани страни в разработването на подходящи методи за изпитване и измерване. Комисията изразява съжаление, че Съветът счете за необходимо оправомощаването да зависи от извършването на задълбочена оценка на въздействието и на съответни консултации, които при всички случаи са необходими етапи в рамките на процедурата на Комисията за по-добро регулиране.</w:t>
      </w:r>
    </w:p>
    <w:p>
      <w:pPr>
        <w:rPr>
          <w:noProof/>
        </w:rPr>
      </w:pPr>
      <w:r>
        <w:rPr>
          <w:noProof/>
        </w:rPr>
        <w:t xml:space="preserve">Що се отнася до преобразуването на класовете за ефективност върху етикета, Комисията изразява съжаление, че Съветът е решил да не преобразува скалата на </w:t>
      </w:r>
      <w:r>
        <w:rPr>
          <w:noProof/>
        </w:rPr>
        <w:lastRenderedPageBreak/>
        <w:t xml:space="preserve">настоящите гранични стойности, което Комисията счита за пропусната възможност за стимулиране на иновациите и за предоставяне на по-точна информация на потребителите. Комисията също така изразява съжаление, че Съветът не я е оправомощил да актуализира и преобразува скалата на класовете чрез делегирани актове. </w:t>
      </w:r>
    </w:p>
    <w:p>
      <w:pPr>
        <w:rPr>
          <w:noProof/>
        </w:rPr>
      </w:pPr>
      <w:r>
        <w:rPr>
          <w:noProof/>
        </w:rPr>
        <w:t>Въпреки че Комисията приветства факта, че Съветът се съгласи да се „изчистят” класовете за сцепление с влажна повърхност и за съпротивление при търкаляне, т.е. като се заличат класовете, останали празни след прилагането на Регламент (ЕС) 2019/2144 относно общата безопасност, Комисията счита, че би било по-логично да се „изчистят“ и класовете за шум по аналогичен начин.</w:t>
      </w:r>
    </w:p>
    <w:p>
      <w:pPr>
        <w:rPr>
          <w:noProof/>
        </w:rPr>
      </w:pPr>
      <w:r>
        <w:rPr>
          <w:noProof/>
        </w:rPr>
        <w:t>Комисията приветства предложението за оценка на регламента до 1 юни 2025 г. и счита за приемлив подхода на Съвета, съгласно който регламентът следва да започне да се прилага от 1 май 2021 г.</w:t>
      </w:r>
    </w:p>
    <w:p>
      <w:pPr>
        <w:rPr>
          <w:noProof/>
        </w:rPr>
      </w:pPr>
      <w:r>
        <w:rPr>
          <w:noProof/>
        </w:rPr>
        <w:t xml:space="preserve">Комисията е съгласна с позицията на Съвета, че пълният етикет трябва да бъде показван във визуални реклами и че ще бъде възможно показването на етикета чрез вложено изображение в онлайн реклами и продажби, но изразява съжаление, че Съветът не пожела да уточни по какъв начин стопанските субекти следва да направят това. </w:t>
      </w:r>
    </w:p>
    <w:p>
      <w:pPr>
        <w:rPr>
          <w:noProof/>
        </w:rPr>
      </w:pPr>
      <w:r>
        <w:rPr>
          <w:noProof/>
        </w:rPr>
        <w:t>Що се отнася до правото на органите за надзор на пазара да си възстановят разходите от доставчика, Комисията приветства предложението за привеждане на текста в съответствие с Регламент 2019/1020 относно надзора на пазара и съответствието на продуктите, което ще осигури законодателна съгласуваност.</w:t>
      </w:r>
    </w:p>
    <w:p>
      <w:pPr>
        <w:rPr>
          <w:noProof/>
        </w:rPr>
      </w:pPr>
      <w:r>
        <w:rPr>
          <w:noProof/>
        </w:rPr>
        <w:t>Накрая, Комисията приветства предложението за привеждане на оформлението на етикета на гумите в съответствие с наскоро публикуваните енергийни етикети</w:t>
      </w:r>
      <w:r>
        <w:rPr>
          <w:rStyle w:val="FootnoteReference"/>
          <w:noProof/>
        </w:rPr>
        <w:footnoteReference w:id="1"/>
      </w:r>
      <w:r>
        <w:rPr>
          <w:noProof/>
        </w:rPr>
        <w:t>, които получиха значително признание от страна на потребителите. Приветства се също позицията на Съвета за добавяне на пиктограми върху етикета, за да се посочи дали дадена гума е „зимна гума за използване при наличие на обилен сняг“, „гума за лед“, или и двете, което е част от предложението на Комисията.</w:t>
      </w:r>
    </w:p>
    <w:p>
      <w:pPr>
        <w:pStyle w:val="ManualHeading1"/>
        <w:spacing w:line="276" w:lineRule="auto"/>
        <w:rPr>
          <w:noProof/>
        </w:rPr>
      </w:pPr>
      <w:r>
        <w:rPr>
          <w:noProof/>
        </w:rPr>
        <w:t>4.</w:t>
      </w:r>
      <w:r>
        <w:rPr>
          <w:noProof/>
        </w:rPr>
        <w:tab/>
        <w:t>Заключение</w:t>
      </w:r>
    </w:p>
    <w:p>
      <w:pPr>
        <w:keepNext/>
        <w:rPr>
          <w:noProof/>
        </w:rPr>
      </w:pPr>
      <w:r>
        <w:rPr>
          <w:noProof/>
        </w:rPr>
        <w:t xml:space="preserve">Комисията подкрепя резултатите от междуинституционалните преговори, въпреки че изразява съжаление по отношение на някои аспекти на политическото споразумение със Съвета на първо четене (т.е. условията за обвързване на оправомощаването за включване на износването и пробега, както и липсата на оправомощаване за преобразуване на скалата на класовете). </w:t>
      </w:r>
    </w:p>
    <w:p>
      <w:pPr>
        <w:rPr>
          <w:noProof/>
        </w:rPr>
      </w:pPr>
    </w:p>
    <w:sectPr>
      <w:footerReference w:type="default" r:id="rId11"/>
      <w:footerReference w:type="first" r:id="rId1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315, 5.12.2019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DFA96A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8A86BD6"/>
    <w:lvl w:ilvl="0">
      <w:start w:val="1"/>
      <w:numFmt w:val="decimal"/>
      <w:pStyle w:val="ListNumber3"/>
      <w:lvlText w:val="%1."/>
      <w:lvlJc w:val="left"/>
      <w:pPr>
        <w:tabs>
          <w:tab w:val="num" w:pos="926"/>
        </w:tabs>
        <w:ind w:left="926" w:hanging="360"/>
      </w:pPr>
    </w:lvl>
  </w:abstractNum>
  <w:abstractNum w:abstractNumId="2">
    <w:nsid w:val="FFFFFF7F"/>
    <w:multiLevelType w:val="singleLevel"/>
    <w:tmpl w:val="FF40BF66"/>
    <w:lvl w:ilvl="0">
      <w:start w:val="1"/>
      <w:numFmt w:val="decimal"/>
      <w:pStyle w:val="ListNumber2"/>
      <w:lvlText w:val="%1."/>
      <w:lvlJc w:val="left"/>
      <w:pPr>
        <w:tabs>
          <w:tab w:val="num" w:pos="643"/>
        </w:tabs>
        <w:ind w:left="643" w:hanging="360"/>
      </w:pPr>
    </w:lvl>
  </w:abstractNum>
  <w:abstractNum w:abstractNumId="3">
    <w:nsid w:val="FFFFFF81"/>
    <w:multiLevelType w:val="singleLevel"/>
    <w:tmpl w:val="BF780E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FACAA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188C3A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F0C6BC8"/>
    <w:lvl w:ilvl="0">
      <w:start w:val="1"/>
      <w:numFmt w:val="decimal"/>
      <w:pStyle w:val="ListNumber"/>
      <w:lvlText w:val="%1."/>
      <w:lvlJc w:val="left"/>
      <w:pPr>
        <w:tabs>
          <w:tab w:val="num" w:pos="360"/>
        </w:tabs>
        <w:ind w:left="360" w:hanging="360"/>
      </w:pPr>
    </w:lvl>
  </w:abstractNum>
  <w:abstractNum w:abstractNumId="7">
    <w:nsid w:val="FFFFFF89"/>
    <w:multiLevelType w:val="singleLevel"/>
    <w:tmpl w:val="A9D4D68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4"/>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3-04 09:02:0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E1BF8FE-9ABC-41B4-8D1F-DEC532792763"/>
    <w:docVar w:name="LW_COVERPAGE_TYPE" w:val="1"/>
    <w:docVar w:name="LW_CROSSREFERENCE" w:val="&lt;UNUSED&gt;"/>
    <w:docVar w:name="LW_DocType" w:val="COM"/>
    <w:docVar w:name="LW_EMISSION" w:val="4.3.2020"/>
    <w:docVar w:name="LW_EMISSION_ISODATE" w:val="2020-03-04"/>
    <w:docVar w:name="LW_EMISSION_LOCATION" w:val="BRX"/>
    <w:docVar w:name="LW_EMISSION_PREFIX" w:val="\u1041?\u1088?\u1102?\u1082?\u1089?\u1077?\u1083?, "/>
    <w:docVar w:name="LW_EMISSION_SUFFIX" w:val=" \u1075?."/>
    <w:docVar w:name="LW_ID_DOCMODEL" w:val="SJ-028"/>
    <w:docVar w:name="LW_ID_DOCSTRUCTURE" w:val="COM/PL/CODEC"/>
    <w:docVar w:name="LW_ID_DOCTYPE" w:val="SJ-028"/>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48"/>
    <w:docVar w:name="LW_REF.II.NEW.CP_YEAR" w:val="2018"/>
    <w:docVar w:name="LW_REF.INST.NEW" w:val="COM"/>
    <w:docVar w:name="LW_REF.INST.NEW_ADOPTED" w:val="final"/>
    <w:docVar w:name="LW_REF.INST.NEW_TEXT" w:val="(2020) 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7?\u1086?\u1079?\u1080?\u1094?\u1080?\u1103? \u1085?\u1072? \u1057?\u1098?\u1074?\u1077?\u1090?\u1072? \u1086?\u1090?\u1085?\u1086?\u1089?\u1085?\u1086? \u1087?\u1088?\u1080?\u1077?\u1084?\u1072?\u1085?\u1077?\u1090?\u1086? \u1085?\u1072? \u1056?\u1077?\u1075?\u1083?\u1072?\u1084?\u1077?\u1085?\u1090? \u1085?\u1072? \u1045?\u1074?\u1088?\u1086?\u1087?\u1077?\u1081?\u1089?\u1082?\u1080?\u1103? \u1087?\u1072?\u1088?\u1083?\u1072?\u1084?\u1077?\u1085?\u1090? \u1080? \u1085?\u1072? \u1057?\u1098?\u1074?\u1077?\u1090?\u1072? \u1086?\u1090?\u1085?\u1086?\u1089?\u1085?\u1086? \u1077?\u1090?\u1080?\u1082?\u1077?\u1090?\u1080?\u1088?\u1072?\u1085?\u1077?\u1090?\u1086? \u1085?\u1072? \u1075?\u1091?\u1084?\u1080? \u1087?\u1086? \u1086?\u1090?\u1085?\u1086?\u1096?\u1077?\u1085?\u1080?\u1077? \u1085?\u1072? \u1075?\u1086?\u1088?\u1080?\u1074?\u1085?\u1072?\u1090?\u1072? \u1077?\u1092?\u1077?\u1082?\u1090?\u1080?\u1074?\u1085?\u1086?\u1089?\u1090? \u1080? \u1076?\u1088?\u1091?\u1075?\u1080? \u1089?\u1098?\u1097?\u1077?\u1089?\u1090?\u1074?\u1077?\u1085?\u1080? \u1087?\u1072?\u1088?\u1072?\u1084?\u1077?\u1090?\u1088?\u1080? \u1080? \u1079?\u1072? \u1086?\u1090?\u1084?\u1103?\u1085?\u1072? \u1085?\u1072? \u1056?\u1077?\u1075?\u1083?\u1072?\u1084?\u1077?\u1085?\u1090? (\u1045?\u1054?) \u8470? 1222/2009"/>
    <w:docVar w:name="LW_TYPE.DOC.CP" w:val="\u1057?\u1066?\u1054?\u1041?\u1065?\u1045?\u1053?\u1048?\u1045? \u1053?\u1040? \u1050?\u1054?\u1052?\u1048?\u1057?\u1048?\u1071?\u1058?\u1040? \u1044?\u1054? \u1045?\u1042?\u1056?\u1054?\u1055?\u1045?\u1049?\u1057?\u1050?\u1048?\u1071? \u1055?\u1040?\u1056?\u1051?\u1040?\u1052?\u1045?\u1053?\u1058?_x000b__x000b_\u1089?\u1098?\u1075?\u1083?\u1072?\u1089?\u1085?\u1086? \u1095?\u1083?\u1077?\u1085? 294, \u1087?\u1072?\u1088?\u1072?\u1075?\u1088?\u1072?\u1092? 6 \u1086?\u1090? \u1044?\u1086?\u1075?\u1086?\u1074?\u1086?\u1088?\u1072? \u1079?\u1072? \u1092?\u1091?\u1085?\u1082?\u1094?\u1080?\u1086?\u1085?\u1080?\u1088?\u1072?\u1085?\u1077?\u1090?\u1086? \u1085?\u1072? \u1045?\u1074?\u1088?\u1086?\u1087?\u1077?\u1081?\u1089?\u1082?\u1080?\u1103? \u1089?\u1098?\u1102?\u1079?_x000b__x000b_\u1086?\u1090?\u1085?\u1086?\u1089?\u1085?\u1086?"/>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94377-2A41-4B12-8E23-623ADE749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Pages>
  <Words>1008</Words>
  <Characters>5982</Characters>
  <Application>Microsoft Office Word</Application>
  <DocSecurity>0</DocSecurity>
  <Lines>124</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2020-02-24T09:15:00Z</cp:lastPrinted>
  <dcterms:created xsi:type="dcterms:W3CDTF">2020-03-03T12:32:00Z</dcterms:created>
  <dcterms:modified xsi:type="dcterms:W3CDTF">2020-03-04T08:02:00Z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Green (DQC version 03)</vt:lpwstr>
  </property>
</Properties>
</file>