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alt="0C8E3302-DA25-4FDB-BC8B-21C5DB6E944F" style="width:450.8pt;height:383.8pt">
            <v:imagedata r:id="rId8" o:title=""/>
          </v:shape>
        </w:pict>
      </w:r>
    </w:p>
    <w:p>
      <w:pPr>
        <w:rPr>
          <w:noProof/>
        </w:rPr>
        <w:sectPr>
          <w:footerReference w:type="default" r:id="rId9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Typedudocument"/>
        <w:rPr>
          <w:noProof/>
        </w:rPr>
      </w:pPr>
      <w:bookmarkStart w:id="0" w:name="_GoBack"/>
      <w:bookmarkEnd w:id="0"/>
      <w:r>
        <w:rPr>
          <w:noProof/>
        </w:rPr>
        <w:lastRenderedPageBreak/>
        <w:t>РЕШЕНИЕ ЗА ИЗПЪЛНЕНИЕ НА КОМИСИЯТА</w:t>
      </w:r>
    </w:p>
    <w:p>
      <w:pPr>
        <w:pStyle w:val="Datedadoption"/>
        <w:rPr>
          <w:noProof/>
        </w:rPr>
      </w:pPr>
      <w:r>
        <w:t>от 4.3.2020 година</w:t>
      </w:r>
    </w:p>
    <w:p>
      <w:pPr>
        <w:pStyle w:val="Titreobjet"/>
        <w:rPr>
          <w:noProof/>
        </w:rPr>
      </w:pPr>
      <w:r>
        <w:rPr>
          <w:noProof/>
        </w:rPr>
        <w:t>относно предложената гражданска инициатива под надслов „ГЛАСОПОДАВАТЕЛИ БЕЗ ГРАНИЦИ, пълни политически права за гражданите на ЕС.“</w:t>
      </w:r>
    </w:p>
    <w:p>
      <w:pPr>
        <w:pStyle w:val="Languesfaisantfoi"/>
        <w:rPr>
          <w:noProof/>
        </w:rPr>
      </w:pPr>
      <w:r>
        <w:rPr>
          <w:noProof/>
        </w:rPr>
        <w:t>(само текстът на английски език е автентичен)</w:t>
      </w:r>
    </w:p>
    <w:p>
      <w:pPr>
        <w:pStyle w:val="Institutionquiagit"/>
        <w:rPr>
          <w:noProof/>
        </w:rPr>
      </w:pPr>
      <w:r>
        <w:rPr>
          <w:noProof/>
        </w:rPr>
        <w:t>ЕВРОПЕЙСКАТА КОМИСИЯ,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</w:t>
      </w:r>
    </w:p>
    <w:p>
      <w:pPr>
        <w:rPr>
          <w:noProof/>
        </w:rPr>
      </w:pPr>
      <w:r>
        <w:rPr>
          <w:noProof/>
        </w:rPr>
        <w:t>като взе предвид Регламент (ЕС) 2019/788 на Европейския парламент и на Съвета от 17 април 2019 г. относно европейската гражданска инициатива, и по-специално член 6 от него,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Целите на предложената гражданска инициатива под надслов „ГЛАСОПОДАВАТЕЛИ БЕЗ ГРАНИЦИ, пълни политически права за гражданите на ЕС“ са:</w:t>
      </w:r>
    </w:p>
    <w:p>
      <w:pPr>
        <w:pStyle w:val="NormalIndent"/>
        <w:rPr>
          <w:i/>
          <w:noProof/>
        </w:rPr>
      </w:pPr>
      <w:r>
        <w:rPr>
          <w:i/>
          <w:noProof/>
        </w:rPr>
        <w:t>„Изискваме реформи за укрепване на съществуващите права на гражданите на ЕС да гласуват и да бъдат избирани на избори за Европейски парламент и на общински избори в държавата им на пребиваване и ново законодателство за разширяването на тези права, така че да обхванат регионалните и националните избори и референдумите. Основни цели:</w:t>
      </w:r>
    </w:p>
    <w:p>
      <w:pPr>
        <w:pStyle w:val="Bullet1"/>
        <w:numPr>
          <w:ilvl w:val="0"/>
          <w:numId w:val="2"/>
        </w:numPr>
        <w:rPr>
          <w:i/>
          <w:noProof/>
        </w:rPr>
      </w:pPr>
      <w:r>
        <w:rPr>
          <w:i/>
          <w:noProof/>
        </w:rPr>
        <w:t>Премахване на пречките пред регистрацията на граждани на ЕС да гласуват и да бъдат избирани на избори за Европейски парламент и на местни избори в държавата им на пребиваване или произход.</w:t>
      </w:r>
    </w:p>
    <w:p>
      <w:pPr>
        <w:pStyle w:val="Bullet1"/>
        <w:rPr>
          <w:i/>
          <w:noProof/>
        </w:rPr>
      </w:pPr>
      <w:r>
        <w:rPr>
          <w:i/>
          <w:noProof/>
        </w:rPr>
        <w:t>Утвърждаване на всеобщото избирателно право като основно право и ценност. Гражданите на ЕС следва да имат правото да избират дали да гласуват в своята държава на пребиваване или произход за всички избори и референдуми.</w:t>
      </w:r>
    </w:p>
    <w:p>
      <w:pPr>
        <w:pStyle w:val="Bullet1"/>
        <w:rPr>
          <w:rFonts w:eastAsia="DejaVuSans"/>
          <w:i/>
          <w:noProof/>
        </w:rPr>
      </w:pPr>
      <w:r>
        <w:rPr>
          <w:i/>
          <w:noProof/>
        </w:rPr>
        <w:t>Да се изследва въздействието на подобно истинско „европеизиране“ на правото на глас, необходимите гаранции и начините, по които те могат да се предоставят и на граждани на трети държави. Тези реформи премахват петно върху европейската демокрация и създават възможност за транснационална политика.“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 xml:space="preserve">Приложение, предоставено от организаторите във връзка с предложената гражданска инициатива, съдържа допълнителна информация относно тези цели. В него се посочва, че броят на гражданите на ЕС, които живеят и работят в държави членки, различни от тази на тяхното гражданство, нараства, но поради пречките и затрудненията пред упражняването на правото им на глас в тяхната държава на пребиваване те често се чувстват непредставени в местната политика. Съгласно приложението „ниската избирателна активност на </w:t>
      </w:r>
      <w:r>
        <w:rPr>
          <w:noProof/>
        </w:rPr>
        <w:lastRenderedPageBreak/>
        <w:t>мобилните граждани на ЕС на местни и европейски избори не е изненадваща, тъй като те все още разполагат единствено с правото да гласуват на общински и европейски избори в държавата си на пребиваване, но са изключени от изборите и от демократичния избор, които действително имат значение“. Ето защо предложената инициатива се стреми да „превърне гражданството на ЕС в истинско гражданство“, „да направи стъпка към всеобщо избирателно право“ като предостави на гражданите на ЕС пълни политически права, „да насърчи по-добрата интеграция“ и „да спомогне за изграждането на транснационална европейска демокрация“.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Организаторите са предоставили допълнителна информация под формата на брошура.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С Договора за Европейския съюз (ДЕС) се укрепва гражданството на Съюза и се засилва допълнително демократичното функциониране на Съюза, като се предвижда, наред с другото, че всеки гражданин трябва да има правото да участва в демократичния живот на Съюза чрез европейска гражданска инициатива. 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За тази цел процедурите и условията, необходими за гражданската инициатива, следва да бъдат ясни, разбираеми, лесни за прилагане и пропорционални на естеството на гражданската инициатива, така че да насърчават участието на гражданите и да правят Съюза по-достъпен.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>Що се отнася до целта, посочена в параграф 1, първа точка, а именно „премахване на пречките пред регистрацията на граждани на ЕС да гласуват и да бъдат избирани на избори за Европейски парламент и на местни избори в държавата им на пребиваване или произход“, Комисията разполага с правомощия да приеме предложение за правен акт на Съюза в тази област на основание член 22 от ДФЕС.</w:t>
      </w:r>
    </w:p>
    <w:p>
      <w:pPr>
        <w:pStyle w:val="ManualConsidrant"/>
        <w:rPr>
          <w:rFonts w:eastAsia="Calibri"/>
          <w:noProof/>
        </w:rPr>
      </w:pPr>
      <w:r>
        <w:t>(7)</w:t>
      </w:r>
      <w:r>
        <w:tab/>
      </w:r>
      <w:r>
        <w:rPr>
          <w:noProof/>
        </w:rPr>
        <w:t>Що се отнася до целта, посочена в параграф 1, втора точка, а именно „утвърждаване на всеобщото избирателно право като основно право и ценност. Гражданите на ЕС следва да имат правото да избират дали да гласуват в своята държава на пребиваване или произход за всички избори и референдуми“, Комисията разполага с правомощия да приеме предложение за правен акт на Съюза в тази област на основание член 25, параграф 2 от ДФЕС.</w:t>
      </w:r>
    </w:p>
    <w:p>
      <w:pPr>
        <w:pStyle w:val="ManualConsidrant"/>
        <w:rPr>
          <w:noProof/>
        </w:rPr>
      </w:pPr>
      <w:r>
        <w:t>(8)</w:t>
      </w:r>
      <w:r>
        <w:tab/>
      </w:r>
      <w:r>
        <w:rPr>
          <w:noProof/>
        </w:rPr>
        <w:t>Що се отнася до целта, посочена в параграф 1, трета точка, а именно „да се изследва въздействието на подобно истинско „европеизиране“ на правото на глас, необходимите гаранции и начините, по които те могат да се предоставят и на граждани на трети държави“, член 79, параграф 4 от ДФЕС дава право на Съюза „да установява мерки за поощряване и подкрепа на действията на държавите членки за насърчаване на интеграцията на граждани на трети страни, пребиваващи законно на тяхна територия, като се изключва всякакво хармонизиране на законовите и подзаконовите разпоредби на държавите членки“. Следователно член 79, параграф 4 от ДФЕС позволява да се приеме предложение на Комисията за програма за изследвания в областта на демокрацията/правото на глас в ЕС, която да включва компонент, в който се разглежда степента, до която може да се увеличат гражданските права на гражданите на трети държави, пребиваващи на територията на Съюза.</w:t>
      </w:r>
    </w:p>
    <w:p>
      <w:pPr>
        <w:pStyle w:val="ManualConsidrant"/>
        <w:rPr>
          <w:noProof/>
        </w:rPr>
      </w:pPr>
      <w:r>
        <w:t>(9)</w:t>
      </w:r>
      <w:r>
        <w:tab/>
      </w:r>
      <w:r>
        <w:rPr>
          <w:noProof/>
        </w:rPr>
        <w:t xml:space="preserve">По тези причини нито една от частите на предложената инициатива не попада явно извън обхвата на правомощията на Комисията да представи предложение за </w:t>
      </w:r>
      <w:r>
        <w:rPr>
          <w:noProof/>
        </w:rPr>
        <w:lastRenderedPageBreak/>
        <w:t>правен акт на Съюза за целите на прилагането на Договорите в съответствие с член 6, параграф 3, буква в) от Регламент (ЕС) 2019/788.</w:t>
      </w:r>
    </w:p>
    <w:p>
      <w:pPr>
        <w:pStyle w:val="ManualConsidrant"/>
        <w:rPr>
          <w:noProof/>
        </w:rPr>
      </w:pPr>
      <w:r>
        <w:t>(10)</w:t>
      </w:r>
      <w:r>
        <w:tab/>
      </w:r>
      <w:r>
        <w:rPr>
          <w:noProof/>
        </w:rPr>
        <w:t xml:space="preserve">Групата на организаторите е създадена и лицата за контакт са определени в съответствие с член 5, параграфи 1—3 от Регламента. </w:t>
      </w:r>
    </w:p>
    <w:p>
      <w:pPr>
        <w:pStyle w:val="ManualConsidrant"/>
        <w:rPr>
          <w:noProof/>
        </w:rPr>
      </w:pPr>
      <w:r>
        <w:t>(11)</w:t>
      </w:r>
      <w:r>
        <w:tab/>
      </w:r>
      <w:r>
        <w:rPr>
          <w:noProof/>
        </w:rPr>
        <w:t>Предложената инициатива не представлява явна злоупотреба с право, не е явно несериозна или злонамерена, нито е в явно противоречие с ценностите на Съюза, установени в член 2 от ДЕС, и правата, залегнали в Хартата на основните права на Европейския съюз.</w:t>
      </w:r>
    </w:p>
    <w:p>
      <w:pPr>
        <w:pStyle w:val="ManualConsidrant"/>
        <w:rPr>
          <w:noProof/>
        </w:rPr>
      </w:pPr>
      <w:r>
        <w:t>(12)</w:t>
      </w:r>
      <w:r>
        <w:tab/>
      </w:r>
      <w:r>
        <w:rPr>
          <w:noProof/>
        </w:rPr>
        <w:t>Поради това предложената инициатива под надслов „ГЛАСОПОДАВАТЕЛИ БЕЗ ГРАНИЦИ, пълни политически права за гражданите на ЕС.“ следва да бъде регистрирана.</w:t>
      </w:r>
    </w:p>
    <w:p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Предложената гражданска инициатива под надслов „ГЛАСОПОДАВАТЕЛИ БЕЗ ГРАНИЦИ, пълни политически права за гражданите на ЕС.“ се регистрира.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b/>
          <w:noProof/>
        </w:rPr>
      </w:pPr>
      <w:r>
        <w:rPr>
          <w:noProof/>
        </w:rPr>
        <w:t>Регистрацията на гражданската инициатива „ГЛАСОПОДАВАТЕЛИ БЕЗ ГРАНИЦИ, пълни политически права за гражданите на ЕС.“ се прилага от датата на настоящото решение.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rPr>
          <w:noProof/>
        </w:rPr>
      </w:pPr>
      <w:r>
        <w:rPr>
          <w:noProof/>
        </w:rPr>
        <w:t>Адресати на настоящото решение са организаторите на гражданската инициатива под надслов „ГЛАСОПОДАВАТЕЛИ БЕЗ ГРАНИЦИ, пълни политически права за гражданите на ЕС.“, представлявани от г-жа Anna COMACCHIO и г-жа Claire DAUTCOURT, в качеството им на лица за контакт.</w:t>
      </w:r>
    </w:p>
    <w:p>
      <w:pPr>
        <w:pStyle w:val="Fait"/>
        <w:rPr>
          <w:noProof/>
        </w:rPr>
      </w:pPr>
      <w:r>
        <w:t>Съставено в Брюксел на 4.3.2020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Комисията</w:t>
      </w:r>
    </w:p>
    <w:p>
      <w:pPr>
        <w:pStyle w:val="Personnequisigne"/>
        <w:keepNext/>
        <w:rPr>
          <w:noProof/>
        </w:rPr>
      </w:pPr>
      <w:r>
        <w:tab/>
        <w:t>Věra JOUROVÁ</w:t>
      </w:r>
      <w:r>
        <w:br/>
      </w:r>
      <w:r>
        <w:tab/>
        <w:t>Заместник-председател</w:t>
      </w:r>
    </w:p>
    <w:p>
      <w:pPr>
        <w:pStyle w:val="Personnequisigne"/>
        <w:rPr>
          <w:noProof/>
        </w:rPr>
      </w:pPr>
    </w:p>
    <w:sectPr>
      <w:footerReference w:type="default" r:id="rId10"/>
      <w:footerReference w:type="first" r:id="rId11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Sans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621C6AC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BD6852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DFCA2D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793A1A6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EC06616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FD14974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6CAAD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8A36C4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16"/>
    <w:lvlOverride w:ilvl="0">
      <w:startOverride w:val="1"/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 w:numId="25">
    <w:abstractNumId w:val="18"/>
  </w:num>
  <w:num w:numId="26">
    <w:abstractNumId w:val="12"/>
  </w:num>
  <w:num w:numId="27">
    <w:abstractNumId w:val="20"/>
  </w:num>
  <w:num w:numId="28">
    <w:abstractNumId w:val="11"/>
  </w:num>
  <w:num w:numId="29">
    <w:abstractNumId w:val="13"/>
  </w:num>
  <w:num w:numId="30">
    <w:abstractNumId w:val="9"/>
  </w:num>
  <w:num w:numId="31">
    <w:abstractNumId w:val="19"/>
  </w:num>
  <w:num w:numId="32">
    <w:abstractNumId w:val="8"/>
  </w:num>
  <w:num w:numId="33">
    <w:abstractNumId w:val="14"/>
  </w:num>
  <w:num w:numId="34">
    <w:abstractNumId w:val="16"/>
  </w:num>
  <w:num w:numId="35">
    <w:abstractNumId w:val="17"/>
  </w:num>
  <w:num w:numId="36">
    <w:abstractNumId w:val="10"/>
  </w:num>
  <w:num w:numId="37">
    <w:abstractNumId w:val="15"/>
  </w:num>
  <w:num w:numId="38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3-05 10:56:39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1"/>
    <w:docVar w:name="DQCStatus" w:val="Green"/>
    <w:docVar w:name="DQCVersion" w:val="3"/>
    <w:docVar w:name="DQCWithWarnings" w:val="0"/>
    <w:docVar w:name="LW_COVERPAGE_EXISTS" w:val="True"/>
    <w:docVar w:name="LW_COVERPAGE_GUID" w:val="0C8E3302-DA25-4FDB-BC8B-21C5DB6E944F"/>
    <w:docVar w:name="LW_COVERPAGE_TYPE" w:val="1"/>
    <w:docVar w:name="LW_CROSSREFERENCE" w:val="&lt;UNUSED&gt;"/>
    <w:docVar w:name="LW_DATE.ADOPT.CP" w:val="\u1086?\u1090? 4.3.2020 \u1075?\u1086?\u1076?\u1080?\u1085?\u1072?"/>
    <w:docVar w:name="LW_DATE.ADOPT.CP_DATEFORMAT" w:val="\u1086?\u1090? %DATE% \u1075?\u1086?\u1076?\u1080?\u1085?\u1072?"/>
    <w:docVar w:name="LW_DATE.ADOPT.CP_ISODATE" w:val="2020-03-04"/>
    <w:docVar w:name="LW_DocType" w:val="COM"/>
    <w:docVar w:name="LW_EMISSION" w:val="4.3.2020"/>
    <w:docVar w:name="LW_EMISSION_ISODATE" w:val="2020-03-04"/>
    <w:docVar w:name="LW_EMISSION_LOCATION" w:val="BRX"/>
    <w:docVar w:name="LW_EMISSION_PREFIX" w:val="Брюксел, "/>
    <w:docVar w:name="LW_EMISSION_SUFFIX" w:val=" \u1075?."/>
    <w:docVar w:name="LW_ID_DOCMODEL" w:val="SJ-009"/>
    <w:docVar w:name="LW_ID_DOCSIGNATURE" w:val="SJ-009"/>
    <w:docVar w:name="LW_ID_DOCSTRUCTURE" w:val="COM/AA"/>
    <w:docVar w:name="LW_ID_DOCTYPE" w:val="SJ-009"/>
    <w:docVar w:name="LW_INTERETEEE.CP" w:val="&lt;UNUSED&gt;"/>
    <w:docVar w:name="LW_LANGUE" w:val="BG"/>
    <w:docVar w:name="LW_LANGUESFAISANTFOI.CP" w:val="(\u1089?\u1072?\u1084?\u1086? \u1090?\u1077?\u1082?\u1089?\u1090?\u1098?\u1090? \u1085?\u1072? \u1072?\u1085?\u1075?\u1083?\u1080?\u1081?\u1089?\u1082?\u1080? \u1077?\u1079?\u1080?\u1082? \u1077? \u1072?\u1074?\u1090?\u1077?\u1085?\u1090?\u1080?\u1095?\u1077?\u1085?)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"/>
    <w:docVar w:name="LW_REF.INST.NEW_ADOPTED" w:val="final"/>
    <w:docVar w:name="LW_REF.INST.NEW_TEXT" w:val="(2020) 129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\u1086?\u1090?\u1085?\u1086?\u1089?\u1085?\u1086? \u1087?\u1088?\u1077?\u1076?\u1083?\u1086?\u1078?\u1077?\u1085?\u1072?\u1090?\u1072? \u1075?\u1088?\u1072?\u1078?\u1076?\u1072?\u1085?\u1089?\u1082?\u1072? \u1080?\u1085?\u1080?\u1094?\u1080?\u1072?\u1090?\u1080?\u1074?\u1072? \u1087?\u1086?\u1076? \u1085?\u1072?\u1076?\u1089?\u1083?\u1086?\u1074? \u8222?\u1043?\u1051?\u1040?\u1057?\u1054?\u1055?\u1054?\u1044?\u1040?\u1042?\u1040?\u1058?\u1045?\u1051?\u1048? \u1041?\u1045?\u1047? \u1043?\u1056?\u1040?\u1053?\u1048?\u1062?\u1048?, \u1087?\u1098?\u1083?\u1085?\u1080? \u1087?\u1086?\u1083?\u1080?\u1090?\u1080?\u1095?\u1077?\u1089?\u1082?\u1080? \u1087?\u1088?\u1072?\u1074?\u1072? \u1079?\u1072? \u1075?\u1088?\u1072?\u1078?\u1076?\u1072?\u1085?\u1080?\u1090?\u1077? \u1085?\u1072? \u1045?\u1057?.\u8220?"/>
    <w:docVar w:name="LW_TYPE.DOC.CP" w:val="\u1056?\u1045?\u1064?\u1045?\u1053?\u1048?\u1045? \u1047?\u1040? \u1048?\u1047?\u1055?\u1066?\u1051?\u1053?\u1045?\u1053?\u1048?\u1045? \u1053?\u1040? \u1050?\u1054?\u1052?\u1048?\u1057?\u1048?\u1071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unhideWhenUsed/>
    <w:pPr>
      <w:ind w:left="720"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unhideWhenUsed/>
    <w:pPr>
      <w:ind w:left="720"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4</Pages>
  <Words>1014</Words>
  <Characters>5735</Characters>
  <Application>Microsoft Office Word</Application>
  <DocSecurity>0</DocSecurity>
  <Lines>117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DIGIT/C6</cp:lastModifiedBy>
  <cp:revision>20</cp:revision>
  <cp:lastPrinted>2020-02-25T14:13:00Z</cp:lastPrinted>
  <dcterms:created xsi:type="dcterms:W3CDTF">2020-03-03T09:57:00Z</dcterms:created>
  <dcterms:modified xsi:type="dcterms:W3CDTF">2020-03-05T09:56:00Z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COM/AA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SJ-009</vt:lpwstr>
  </property>
  <property fmtid="{D5CDD505-2E9C-101B-9397-08002B2CF9AE}" pid="10" name="DQCStatus">
    <vt:lpwstr>Green (DQC version 03)</vt:lpwstr>
  </property>
</Properties>
</file>