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9C07FD3-4CE1-47F5-AB4B-F6FBCBC1141A" style="width:450.75pt;height:338.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rPr>
          <w:noProof/>
        </w:rPr>
      </w:pPr>
    </w:p>
    <w:p>
      <w:pPr>
        <w:pStyle w:val="Rfrenceinterinstitutionnelle"/>
        <w:rPr>
          <w:noProof/>
        </w:rPr>
      </w:pPr>
      <w:r>
        <w:rPr>
          <w:noProof/>
        </w:rPr>
        <w:t>2020/0038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наличието на прекомерен дефицит в Румъния</w:t>
      </w:r>
    </w:p>
    <w:p>
      <w:pPr>
        <w:pStyle w:val="Institutionquiagit"/>
        <w:rPr>
          <w:noProof/>
        </w:rPr>
      </w:pPr>
      <w:r>
        <w:rPr>
          <w:noProof/>
        </w:rPr>
        <w:t>СЪВЕТЪТ НА ЕВРОПЕЙСКИЯ СЪЮЗ,</w:t>
      </w:r>
    </w:p>
    <w:p>
      <w:pPr>
        <w:rPr>
          <w:noProof/>
          <w:color w:val="000000"/>
        </w:rPr>
      </w:pPr>
      <w:r>
        <w:rPr>
          <w:noProof/>
        </w:rPr>
        <w:t>като взе предвид Договора за функционирането на Европейския съюз, и по-специално член 126, параграф 6 от него,</w:t>
      </w:r>
    </w:p>
    <w:p>
      <w:pPr>
        <w:rPr>
          <w:noProof/>
          <w:color w:val="000000"/>
        </w:rPr>
      </w:pPr>
      <w:r>
        <w:rPr>
          <w:noProof/>
        </w:rPr>
        <w:t>като взе предвид предложението на Комисията,</w:t>
      </w:r>
    </w:p>
    <w:p>
      <w:pPr>
        <w:rPr>
          <w:noProof/>
          <w:color w:val="000000"/>
        </w:rPr>
      </w:pPr>
      <w:r>
        <w:rPr>
          <w:noProof/>
        </w:rPr>
        <w:t>като взе предвид съображенията, представени от Румъния,</w:t>
      </w:r>
    </w:p>
    <w:p>
      <w:pPr>
        <w:rPr>
          <w:noProof/>
          <w:color w:val="000000"/>
        </w:rPr>
      </w:pPr>
      <w:r>
        <w:rPr>
          <w:noProof/>
        </w:rPr>
        <w:t>като има предвид, че:</w:t>
      </w:r>
    </w:p>
    <w:p>
      <w:pPr>
        <w:pStyle w:val="ManualConsidrant"/>
        <w:rPr>
          <w:noProof/>
        </w:rPr>
      </w:pPr>
      <w:r>
        <w:rPr>
          <w:noProof/>
        </w:rPr>
        <w:t>(1)</w:t>
      </w:r>
      <w:r>
        <w:rPr>
          <w:noProof/>
        </w:rPr>
        <w:tab/>
        <w:t>Съгласно член 126 от ДФЕС държавите членки трябва да избягват прекомерния държавен дефицит.</w:t>
      </w:r>
    </w:p>
    <w:p>
      <w:pPr>
        <w:pStyle w:val="ManualConsidrant"/>
        <w:rPr>
          <w:noProof/>
        </w:rPr>
      </w:pPr>
      <w:r>
        <w:rPr>
          <w:noProof/>
        </w:rPr>
        <w:t>(2)</w:t>
      </w:r>
      <w:r>
        <w:rPr>
          <w:noProof/>
        </w:rPr>
        <w:tab/>
        <w:t>Пактът за стабилност и растеж (ПСР) се основава на целта за осигуряване на стабилни публични финанси като средство за укрепване на предпоставките за ценова стабилност и висок и устойчив растеж, водещ до създаване на трудова заетост.</w:t>
      </w:r>
    </w:p>
    <w:p>
      <w:pPr>
        <w:pStyle w:val="ManualConsidrant"/>
        <w:rPr>
          <w:noProof/>
        </w:rPr>
      </w:pPr>
      <w:r>
        <w:rPr>
          <w:noProof/>
        </w:rPr>
        <w:t>(3)</w:t>
      </w:r>
      <w:r>
        <w:rPr>
          <w:noProof/>
        </w:rPr>
        <w:tab/>
        <w:t>Процедурата при прекомерен дефицит (ППДф) съгласно член 126 от ДФЕС, уточнена в Регламент (EО) № 1467/97 на Съвета за ускоряване и изясняване на прилагането на процедурата при прекомерен дефицит</w:t>
      </w:r>
      <w:r>
        <w:rPr>
          <w:rStyle w:val="FootnoteReference"/>
          <w:noProof/>
        </w:rPr>
        <w:footnoteReference w:id="2"/>
      </w:r>
      <w:r>
        <w:rPr>
          <w:noProof/>
        </w:rPr>
        <w:t xml:space="preserve"> (част от ПСР), предвижда вземане на решение за наличието на прекомерен дефицит. Протокол № 12 относно ППДф, приложен към Договора за Европейския съюз и ДФЕС, определя допълнителни разпоредби, свързани с прилагането на процедурата при прекомерен дефицит. С Регламент (ЕО) № 479/2009 на Съвета</w:t>
      </w:r>
      <w:r>
        <w:rPr>
          <w:rStyle w:val="FootnoteReference"/>
          <w:noProof/>
        </w:rPr>
        <w:footnoteReference w:id="3"/>
      </w:r>
      <w:r>
        <w:rPr>
          <w:noProof/>
        </w:rPr>
        <w:t xml:space="preserve"> се определят подробни правила и определения за прилагането на тези разпоредби.</w:t>
      </w:r>
    </w:p>
    <w:p>
      <w:pPr>
        <w:pStyle w:val="ManualConsidrant"/>
        <w:rPr>
          <w:noProof/>
        </w:rPr>
      </w:pPr>
      <w:r>
        <w:rPr>
          <w:noProof/>
        </w:rPr>
        <w:t>(4)</w:t>
      </w:r>
      <w:r>
        <w:rPr>
          <w:noProof/>
        </w:rPr>
        <w:tab/>
        <w:t>Съгласно член 126, параграф 5 от ДФЕС, ако Комисията счита, че в дадена държава членка съществува или може да възникне прекомерен дефицит, тя изпраща становище до съответната държава членка и информира за това Съвета. Като взе предвид доклада си, приет в съответствие с член 126, параграф 3 от ДФЕС, и становището на Икономическия и финансов комитет, прието в съответствие с член 126, параграф 4 от ДФЕС, Комисията заключи, че в Румъния е налице прекомерен дефицит. С оглед на това на [4 март] 2020 г. Комисията изпрати такова становище до Румъния и информира Съвета за това</w:t>
      </w:r>
      <w:r>
        <w:rPr>
          <w:rStyle w:val="FootnoteReference"/>
          <w:noProof/>
        </w:rPr>
        <w:footnoteReference w:id="4"/>
      </w:r>
      <w:r>
        <w:rPr>
          <w:noProof/>
        </w:rPr>
        <w:t>.</w:t>
      </w:r>
    </w:p>
    <w:p>
      <w:pPr>
        <w:pStyle w:val="ManualConsidrant"/>
        <w:rPr>
          <w:noProof/>
        </w:rPr>
      </w:pPr>
      <w:r>
        <w:rPr>
          <w:noProof/>
        </w:rPr>
        <w:lastRenderedPageBreak/>
        <w:t>(5)</w:t>
      </w:r>
      <w:r>
        <w:rPr>
          <w:noProof/>
        </w:rPr>
        <w:tab/>
        <w:t>В член 126, параграф 6 от ДФЕС се предвижда, че Съветът трябва да разгледа всички съображения, представени от заинтересованата държава членка, преди да реши след цялостна оценка дали е налице прекомерен дефицит. В случая с Румъния цялостната оценка води до изложените по-долу заключения.</w:t>
      </w:r>
    </w:p>
    <w:p>
      <w:pPr>
        <w:pStyle w:val="ManualConsidrant"/>
        <w:rPr>
          <w:noProof/>
        </w:rPr>
      </w:pPr>
      <w:r>
        <w:rPr>
          <w:noProof/>
        </w:rPr>
        <w:t>(6)</w:t>
      </w:r>
      <w:r>
        <w:rPr>
          <w:noProof/>
        </w:rPr>
        <w:tab/>
        <w:t>Съгласно данните, предоставени от румънските органи на 30 септември 2019 г. и впоследствие потвърдени от Евростат, бюджетният дефицит на сектор „Държавно управление“ на Румъния достигна 3,0 % от БВП през 2018 г., докато консолидираният държавен дълг възлиза на 35,0 % от БВП. Като се вземат предвид преразгледаните стойности на БВП, обявени от националната статистическа служба след публикуването на съобщението за медиите на Евростат, тези съотношения леко се промениха, като дефицитът през 2018 г. възлиза на 2,9 % от БВП, а дългът — на 34,7 % от БВП. За 2019 г. в уведомлението бе планиран бюджетен дефицит на сектор „Държавно управление“ в размер на 2,8 % от БВП.</w:t>
      </w:r>
    </w:p>
    <w:p>
      <w:pPr>
        <w:pStyle w:val="ManualConsidrant"/>
        <w:rPr>
          <w:noProof/>
          <w:color w:val="000000"/>
        </w:rPr>
      </w:pPr>
      <w:r>
        <w:rPr>
          <w:noProof/>
        </w:rPr>
        <w:t>(7)</w:t>
      </w:r>
      <w:r>
        <w:rPr>
          <w:noProof/>
        </w:rPr>
        <w:tab/>
        <w:t xml:space="preserve">На 10 декември 2019 г. правителството прие фискално-бюджетната стратегия за периода 2020—2022 г. (по-нататък наричана „фискалната стратегия“) с бюджетен дефицит на сектор „Държавно управление“ от 3,8 % от БВП през 2019 г. Това е значително над референтната стойност от 3 % от БВП в Договора. Превишаването на заложената в Договора референтна стойност от 3 % от БВП през 2019 г. не е изключително, тъй като не е резултат от необичайно събитие, нито от сериозен икономически спад по смисъла на Договора и Пакта за стабилност и растеж (ПСР). В прогнозата на Комисията от зимата на 2020 г. се предвижда растеж на реалния БВП от 3,9 % през 2019 г. и 3,8 % през 2020 г., като разликата между фактическия и потенциалния БВП се очаква да бъде около нула. През 2019 г. еднократните позиции възлизаха на 0,1 % от БВП и се дължаха на възстановяването на екологичния гербов налог върху леките автомобили. Планираното превишение на референтната стойност от 3 % от БВП не е временно за целите на Договора и Пакта за стабилност и растеж. Прогнозата на Комисията от зимата на 2020 г., допълнена с фискални променливи, предвижда бюджетен дефицит на сектор „Държавно управление“ в размер на 4,0 % от БВП през 2019 г., 4,9 % през 2020 г. и 6,9 % през 2021 г. Прогнозираното увеличение на дефицита се дължи главно на значителното увеличение на пенсиите. Във фискалната стратегия правителството прогнозира и през 2020 г. и 2021 г. бюджетният дефицит на сектор „Държавно управление“ да остане над референтната стойност, като възлиза на 3,6 % от БВП през 2020 г. и на 3,4 % от БВП през 2021 г. Следователно критерият за дефицита в ДФЕС </w:t>
      </w:r>
      <w:r>
        <w:rPr>
          <w:i/>
          <w:noProof/>
        </w:rPr>
        <w:t>prima facie</w:t>
      </w:r>
      <w:r>
        <w:rPr>
          <w:noProof/>
        </w:rPr>
        <w:t xml:space="preserve"> не е изпълнен.</w:t>
      </w:r>
    </w:p>
    <w:p>
      <w:pPr>
        <w:pStyle w:val="ManualConsidrant"/>
        <w:rPr>
          <w:noProof/>
          <w:color w:val="000000"/>
        </w:rPr>
      </w:pPr>
      <w:r>
        <w:rPr>
          <w:noProof/>
        </w:rPr>
        <w:t>(8)</w:t>
      </w:r>
      <w:r>
        <w:rPr>
          <w:noProof/>
        </w:rPr>
        <w:tab/>
        <w:t>През 2018 г. консолидираният държавен дълг на Румъния възлизаше на 34,7 % от БВП. Както зимната прогноза на Комисията от 2020 г., допълнена с фискални променливи, така и фискалната стратегия прогнозират постоянно нарастване на консолидирания държавен дълг до 2021 г., като обаче той се запази под референтната стойност в Договора. Според фискалната стратегия консолидираният държавен дълг се очаква да нарасне до 37,8 % от БВП през 2021 г. Комисията прогнозира по-рязко увеличение на дълга до 41,9 % от БВП през 2021 г. Така заложеният в Договора критерий за дълга е изпълнен.</w:t>
      </w:r>
    </w:p>
    <w:p>
      <w:pPr>
        <w:pStyle w:val="ManualConsidrant"/>
        <w:rPr>
          <w:noProof/>
          <w:highlight w:val="yellow"/>
        </w:rPr>
      </w:pPr>
      <w:r>
        <w:rPr>
          <w:noProof/>
        </w:rPr>
        <w:lastRenderedPageBreak/>
        <w:t>(9)</w:t>
      </w:r>
      <w:r>
        <w:rPr>
          <w:noProof/>
        </w:rPr>
        <w:tab/>
        <w:t>В съответствие с изискванията на член 126, параграф 3 от ДФЕС Комисията анализира също всички действащи фактори в доклада си по член 126, параграф 3 от ДФЕС. Както е предвидено в член 2, параграф 4 от Регламент (ЕО) № 1467/97, ако съотношението на държавния дълг към БВП надхвърля референтната стойност, съответните фактори се вземат под внимание на отделните етапи на вземането на решение за наличие на прекомерен дефицит. Съответните фактори, по-специално липсата на ефективни действия в отговор на препоръките на Съвета в рамките на процедурата при значително отклонение от 2017 г. насам, ограниченият напредък, постигнат от Румъния по отношение на структурните реформи и големите рискове за фискалната устойчивост, пред които е изправена Румъния в средносрочен и дългосрочен план, бяха взети предвид при оценката на спазването на критерия за дефицита. Те не променят заключението, че критерият за дефицита в Договора не е изпълнен.</w:t>
      </w:r>
    </w:p>
    <w:p>
      <w:pPr>
        <w:pStyle w:val="Formuledadoption"/>
        <w:rPr>
          <w:noProof/>
        </w:rPr>
      </w:pPr>
      <w:r>
        <w:rPr>
          <w:noProof/>
        </w:rPr>
        <w:t>ПРИЕ НАСТОЯЩОТО РЕШЕНИЕ:</w:t>
      </w:r>
    </w:p>
    <w:p>
      <w:pPr>
        <w:pStyle w:val="Titrearticle"/>
        <w:rPr>
          <w:noProof/>
          <w:color w:val="000000"/>
        </w:rPr>
      </w:pPr>
      <w:r>
        <w:rPr>
          <w:noProof/>
        </w:rPr>
        <w:t>Член 1</w:t>
      </w:r>
    </w:p>
    <w:p>
      <w:pPr>
        <w:rPr>
          <w:noProof/>
          <w:color w:val="000000"/>
        </w:rPr>
      </w:pPr>
      <w:r>
        <w:rPr>
          <w:noProof/>
        </w:rPr>
        <w:t>От цялостната оценка следва, че в Румъния е налице прекомерен дефицит поради неспазване на критерия за дефицита.</w:t>
      </w:r>
    </w:p>
    <w:p>
      <w:pPr>
        <w:pStyle w:val="Titrearticle"/>
        <w:rPr>
          <w:noProof/>
          <w:color w:val="000000"/>
        </w:rPr>
      </w:pPr>
      <w:r>
        <w:rPr>
          <w:noProof/>
        </w:rPr>
        <w:t>Член 2</w:t>
      </w:r>
    </w:p>
    <w:p>
      <w:pPr>
        <w:rPr>
          <w:noProof/>
          <w:color w:val="000000"/>
        </w:rPr>
      </w:pPr>
      <w:r>
        <w:rPr>
          <w:noProof/>
        </w:rPr>
        <w:t>Адресат на настоящото решение е Румъния.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OВ L 209, 2.8.1997 г., стр. 6.</w:t>
      </w:r>
    </w:p>
  </w:footnote>
  <w:footnote w:id="3">
    <w:p>
      <w:pPr>
        <w:pStyle w:val="FootnoteText"/>
      </w:pPr>
      <w:r>
        <w:rPr>
          <w:rStyle w:val="FootnoteReference"/>
        </w:rPr>
        <w:footnoteRef/>
      </w:r>
      <w:r>
        <w:tab/>
        <w:t>OВ L 145, 10.6.2009 г., стр. 1.</w:t>
      </w:r>
    </w:p>
  </w:footnote>
  <w:footnote w:id="4">
    <w:p>
      <w:pPr>
        <w:pStyle w:val="FootnoteText"/>
      </w:pPr>
      <w:r>
        <w:rPr>
          <w:rStyle w:val="FootnoteReference"/>
        </w:rPr>
        <w:footnoteRef/>
      </w:r>
      <w:r>
        <w:tab/>
        <w:t>Всички документи, свързани с ППДф за Румъния, са достъпни на адрес: https://ec.europa.eu/info/business-economy-euro/economic-and-fiscal-policy-coordination/eu-economic-governance-monitoring-prevention-correction/stability-and-growth-pact/corrective-arm-excessive-deficit-procedure/closed-excessive-deficit-procedures/romania_en#ongoing-procedure.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4"/>
  </w:num>
  <w:num w:numId="3">
    <w:abstractNumId w:val="12"/>
  </w:num>
  <w:num w:numId="4">
    <w:abstractNumId w:val="3"/>
  </w:num>
  <w:num w:numId="5">
    <w:abstractNumId w:val="5"/>
  </w:num>
  <w:num w:numId="6">
    <w:abstractNumId w:val="1"/>
  </w:num>
  <w:num w:numId="7">
    <w:abstractNumId w:val="11"/>
  </w:num>
  <w:num w:numId="8">
    <w:abstractNumId w:val="0"/>
  </w:num>
  <w:num w:numId="9">
    <w:abstractNumId w:val="6"/>
  </w:num>
  <w:num w:numId="10">
    <w:abstractNumId w:val="8"/>
  </w:num>
  <w:num w:numId="11">
    <w:abstractNumId w:val="9"/>
  </w:num>
  <w:num w:numId="12">
    <w:abstractNumId w:val="2"/>
  </w:num>
  <w:num w:numId="13">
    <w:abstractNumId w:val="7"/>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3-09 15:07: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9C07FD3-4CE1-47F5-AB4B-F6FBCBC1141A"/>
    <w:docVar w:name="LW_COVERPAGE_TYPE" w:val="1"/>
    <w:docVar w:name="LW_CROSSREFERENCE" w:val="&lt;UNUSED&gt;"/>
    <w:docVar w:name="LW_DocType" w:val="COM"/>
    <w:docVar w:name="LW_EMISSION" w:val="4.3.2020"/>
    <w:docVar w:name="LW_EMISSION_ISODATE" w:val="2020-03-0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38"/>
    <w:docVar w:name="LW_REF.II.NEW.CP_YEAR" w:val="2020"/>
    <w:docVar w:name="LW_REF.INST.NEW" w:val="COM"/>
    <w:docVar w:name="LW_REF.INST.NEW_ADOPTED" w:val="final"/>
    <w:docVar w:name="LW_REF.INST.NEW_TEXT" w:val="(2020) 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5?\u1072?\u1083?\u1080?\u1095?\u1080?\u1077?\u1090?\u1086? \u1085?\u1072? \u1087?\u1088?\u1077?\u1082?\u1086?\u1084?\u1077?\u1088?\u1077?\u1085? \u1076?\u1077?\u1092?\u1080?\u1094?\u1080?\u1090? \u1074? \u1056?\u1091?\u1084?\u1098?\u1085?\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Hyperlink">
    <w:name w:val="Hyperlink"/>
    <w:uiPriority w:val="99"/>
    <w:rPr>
      <w:color w:val="0000FF"/>
      <w:u w:val="single"/>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tyle>
  <w:style w:type="paragraph" w:styleId="ListBullet">
    <w:name w:val="List Bullet"/>
    <w:basedOn w:val="Normal"/>
    <w:uiPriority w:val="99"/>
    <w:pPr>
      <w:tabs>
        <w:tab w:val="num" w:pos="709"/>
      </w:tabs>
      <w:ind w:left="360" w:hanging="360"/>
      <w:contextualSpacing/>
    </w:pPr>
  </w:style>
  <w:style w:type="paragraph" w:styleId="ListBullet2">
    <w:name w:val="List Bullet 2"/>
    <w:basedOn w:val="Normal"/>
    <w:uiPriority w:val="99"/>
    <w:pPr>
      <w:tabs>
        <w:tab w:val="num" w:pos="643"/>
        <w:tab w:val="num" w:pos="709"/>
      </w:tabs>
      <w:ind w:left="643" w:hanging="360"/>
      <w:contextualSpacing/>
    </w:pPr>
  </w:style>
  <w:style w:type="paragraph" w:styleId="ListBullet3">
    <w:name w:val="List Bullet 3"/>
    <w:basedOn w:val="Normal"/>
    <w:uiPriority w:val="99"/>
    <w:pPr>
      <w:tabs>
        <w:tab w:val="num" w:pos="709"/>
        <w:tab w:val="num" w:pos="926"/>
      </w:tabs>
      <w:ind w:left="926" w:hanging="360"/>
      <w:contextualSpacing/>
    </w:pPr>
  </w:style>
  <w:style w:type="paragraph" w:styleId="ListBullet4">
    <w:name w:val="List Bullet 4"/>
    <w:basedOn w:val="Normal"/>
    <w:uiPriority w:val="99"/>
    <w:pPr>
      <w:tabs>
        <w:tab w:val="num" w:pos="709"/>
        <w:tab w:val="num" w:pos="1209"/>
      </w:tabs>
      <w:ind w:left="1209" w:hanging="360"/>
      <w:contextualSpacing/>
    </w:pPr>
  </w:style>
  <w:style w:type="paragraph" w:styleId="ListNumber">
    <w:name w:val="List Number"/>
    <w:basedOn w:val="Normal"/>
    <w:uiPriority w:val="99"/>
    <w:pPr>
      <w:tabs>
        <w:tab w:val="num" w:pos="709"/>
      </w:tabs>
      <w:ind w:left="360" w:hanging="360"/>
      <w:contextualSpacing/>
    </w:pPr>
  </w:style>
  <w:style w:type="paragraph" w:styleId="ListNumber2">
    <w:name w:val="List Number 2"/>
    <w:basedOn w:val="Normal"/>
    <w:uiPriority w:val="99"/>
    <w:pPr>
      <w:tabs>
        <w:tab w:val="num" w:pos="643"/>
        <w:tab w:val="num" w:pos="709"/>
      </w:tabs>
      <w:ind w:left="643" w:hanging="360"/>
      <w:contextualSpacing/>
    </w:pPr>
  </w:style>
  <w:style w:type="paragraph" w:styleId="ListNumber3">
    <w:name w:val="List Number 3"/>
    <w:basedOn w:val="Normal"/>
    <w:uiPriority w:val="99"/>
    <w:pPr>
      <w:tabs>
        <w:tab w:val="num" w:pos="709"/>
        <w:tab w:val="num" w:pos="926"/>
      </w:tabs>
      <w:ind w:left="926" w:hanging="360"/>
      <w:contextualSpacing/>
    </w:pPr>
  </w:style>
  <w:style w:type="paragraph" w:styleId="ListNumber4">
    <w:name w:val="List Number 4"/>
    <w:basedOn w:val="Normal"/>
    <w:uiPriority w:val="99"/>
    <w:pPr>
      <w:tabs>
        <w:tab w:val="num" w:pos="709"/>
        <w:tab w:val="num" w:pos="1209"/>
      </w:tabs>
      <w:ind w:left="1209" w:hanging="360"/>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lang w:val="bg-B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b/>
      <w:lang w:val="bg-BG" w:eastAsia="en-US"/>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lang w:val="bg-BG" w:eastAsia="en-US"/>
    </w:rPr>
  </w:style>
  <w:style w:type="character" w:styleId="FollowedHyperlink">
    <w:name w:val="FollowedHyperlink"/>
    <w:rPr>
      <w:color w:val="800080"/>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Hyperlink">
    <w:name w:val="Hyperlink"/>
    <w:uiPriority w:val="99"/>
    <w:rPr>
      <w:color w:val="0000FF"/>
      <w:u w:val="single"/>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tyle>
  <w:style w:type="paragraph" w:styleId="ListBullet">
    <w:name w:val="List Bullet"/>
    <w:basedOn w:val="Normal"/>
    <w:uiPriority w:val="99"/>
    <w:pPr>
      <w:tabs>
        <w:tab w:val="num" w:pos="709"/>
      </w:tabs>
      <w:ind w:left="360" w:hanging="360"/>
      <w:contextualSpacing/>
    </w:pPr>
  </w:style>
  <w:style w:type="paragraph" w:styleId="ListBullet2">
    <w:name w:val="List Bullet 2"/>
    <w:basedOn w:val="Normal"/>
    <w:uiPriority w:val="99"/>
    <w:pPr>
      <w:tabs>
        <w:tab w:val="num" w:pos="643"/>
        <w:tab w:val="num" w:pos="709"/>
      </w:tabs>
      <w:ind w:left="643" w:hanging="360"/>
      <w:contextualSpacing/>
    </w:pPr>
  </w:style>
  <w:style w:type="paragraph" w:styleId="ListBullet3">
    <w:name w:val="List Bullet 3"/>
    <w:basedOn w:val="Normal"/>
    <w:uiPriority w:val="99"/>
    <w:pPr>
      <w:tabs>
        <w:tab w:val="num" w:pos="709"/>
        <w:tab w:val="num" w:pos="926"/>
      </w:tabs>
      <w:ind w:left="926" w:hanging="360"/>
      <w:contextualSpacing/>
    </w:pPr>
  </w:style>
  <w:style w:type="paragraph" w:styleId="ListBullet4">
    <w:name w:val="List Bullet 4"/>
    <w:basedOn w:val="Normal"/>
    <w:uiPriority w:val="99"/>
    <w:pPr>
      <w:tabs>
        <w:tab w:val="num" w:pos="709"/>
        <w:tab w:val="num" w:pos="1209"/>
      </w:tabs>
      <w:ind w:left="1209" w:hanging="360"/>
      <w:contextualSpacing/>
    </w:pPr>
  </w:style>
  <w:style w:type="paragraph" w:styleId="ListNumber">
    <w:name w:val="List Number"/>
    <w:basedOn w:val="Normal"/>
    <w:uiPriority w:val="99"/>
    <w:pPr>
      <w:tabs>
        <w:tab w:val="num" w:pos="709"/>
      </w:tabs>
      <w:ind w:left="360" w:hanging="360"/>
      <w:contextualSpacing/>
    </w:pPr>
  </w:style>
  <w:style w:type="paragraph" w:styleId="ListNumber2">
    <w:name w:val="List Number 2"/>
    <w:basedOn w:val="Normal"/>
    <w:uiPriority w:val="99"/>
    <w:pPr>
      <w:tabs>
        <w:tab w:val="num" w:pos="643"/>
        <w:tab w:val="num" w:pos="709"/>
      </w:tabs>
      <w:ind w:left="643" w:hanging="360"/>
      <w:contextualSpacing/>
    </w:pPr>
  </w:style>
  <w:style w:type="paragraph" w:styleId="ListNumber3">
    <w:name w:val="List Number 3"/>
    <w:basedOn w:val="Normal"/>
    <w:uiPriority w:val="99"/>
    <w:pPr>
      <w:tabs>
        <w:tab w:val="num" w:pos="709"/>
        <w:tab w:val="num" w:pos="926"/>
      </w:tabs>
      <w:ind w:left="926" w:hanging="360"/>
      <w:contextualSpacing/>
    </w:pPr>
  </w:style>
  <w:style w:type="paragraph" w:styleId="ListNumber4">
    <w:name w:val="List Number 4"/>
    <w:basedOn w:val="Normal"/>
    <w:uiPriority w:val="99"/>
    <w:pPr>
      <w:tabs>
        <w:tab w:val="num" w:pos="709"/>
        <w:tab w:val="num" w:pos="1209"/>
      </w:tabs>
      <w:ind w:left="1209" w:hanging="360"/>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lang w:val="bg-B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b/>
      <w:lang w:val="bg-BG" w:eastAsia="en-US"/>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lang w:val="bg-BG" w:eastAsia="en-US"/>
    </w:rPr>
  </w:style>
  <w:style w:type="character" w:styleId="FollowedHyperlink">
    <w:name w:val="FollowedHyperlink"/>
    <w:rPr>
      <w:color w:val="800080"/>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
      </w:numPr>
    </w:pPr>
  </w:style>
  <w:style w:type="paragraph" w:customStyle="1" w:styleId="NumPar2">
    <w:name w:val="NumPar 2"/>
    <w:basedOn w:val="Normal"/>
    <w:next w:val="Text1"/>
    <w:pPr>
      <w:numPr>
        <w:ilvl w:val="1"/>
        <w:numId w:val="6"/>
      </w:numPr>
    </w:pPr>
  </w:style>
  <w:style w:type="paragraph" w:customStyle="1" w:styleId="NumPar3">
    <w:name w:val="NumPar 3"/>
    <w:basedOn w:val="Normal"/>
    <w:next w:val="Text1"/>
    <w:pPr>
      <w:numPr>
        <w:ilvl w:val="2"/>
        <w:numId w:val="6"/>
      </w:numPr>
    </w:pPr>
  </w:style>
  <w:style w:type="paragraph" w:customStyle="1" w:styleId="NumPar4">
    <w:name w:val="NumPar 4"/>
    <w:basedOn w:val="Normal"/>
    <w:next w:val="Text1"/>
    <w:pPr>
      <w:numPr>
        <w:ilvl w:val="3"/>
        <w:numId w:val="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
      </w:numPr>
    </w:pPr>
  </w:style>
  <w:style w:type="paragraph" w:customStyle="1" w:styleId="Point1number">
    <w:name w:val="Point 1 (number)"/>
    <w:basedOn w:val="Normal"/>
    <w:pPr>
      <w:numPr>
        <w:ilvl w:val="2"/>
        <w:numId w:val="8"/>
      </w:numPr>
    </w:pPr>
  </w:style>
  <w:style w:type="paragraph" w:customStyle="1" w:styleId="Point2number">
    <w:name w:val="Point 2 (number)"/>
    <w:basedOn w:val="Normal"/>
    <w:pPr>
      <w:numPr>
        <w:ilvl w:val="4"/>
        <w:numId w:val="8"/>
      </w:numPr>
    </w:pPr>
  </w:style>
  <w:style w:type="paragraph" w:customStyle="1" w:styleId="Point3number">
    <w:name w:val="Point 3 (number)"/>
    <w:basedOn w:val="Normal"/>
    <w:pPr>
      <w:numPr>
        <w:ilvl w:val="6"/>
        <w:numId w:val="8"/>
      </w:numPr>
    </w:pPr>
  </w:style>
  <w:style w:type="paragraph" w:customStyle="1" w:styleId="Point0letter">
    <w:name w:val="Point 0 (letter)"/>
    <w:basedOn w:val="Normal"/>
    <w:pPr>
      <w:numPr>
        <w:ilvl w:val="1"/>
        <w:numId w:val="8"/>
      </w:numPr>
    </w:pPr>
  </w:style>
  <w:style w:type="paragraph" w:customStyle="1" w:styleId="Point1letter">
    <w:name w:val="Point 1 (letter)"/>
    <w:basedOn w:val="Normal"/>
    <w:pPr>
      <w:numPr>
        <w:ilvl w:val="3"/>
        <w:numId w:val="8"/>
      </w:numPr>
    </w:pPr>
  </w:style>
  <w:style w:type="paragraph" w:customStyle="1" w:styleId="Point2letter">
    <w:name w:val="Point 2 (letter)"/>
    <w:basedOn w:val="Normal"/>
    <w:pPr>
      <w:numPr>
        <w:ilvl w:val="5"/>
        <w:numId w:val="8"/>
      </w:numPr>
    </w:pPr>
  </w:style>
  <w:style w:type="paragraph" w:customStyle="1" w:styleId="Point3letter">
    <w:name w:val="Point 3 (letter)"/>
    <w:basedOn w:val="Normal"/>
    <w:pPr>
      <w:numPr>
        <w:ilvl w:val="7"/>
        <w:numId w:val="8"/>
      </w:numPr>
    </w:pPr>
  </w:style>
  <w:style w:type="paragraph" w:customStyle="1" w:styleId="Point4letter">
    <w:name w:val="Point 4 (letter)"/>
    <w:basedOn w:val="Normal"/>
    <w:pPr>
      <w:numPr>
        <w:ilvl w:val="8"/>
        <w:numId w:val="8"/>
      </w:numPr>
    </w:pPr>
  </w:style>
  <w:style w:type="paragraph" w:customStyle="1" w:styleId="Bullet0">
    <w:name w:val="Bullet 0"/>
    <w:basedOn w:val="Normal"/>
    <w:pPr>
      <w:numPr>
        <w:numId w:val="9"/>
      </w:numPr>
    </w:pPr>
  </w:style>
  <w:style w:type="paragraph" w:customStyle="1" w:styleId="Bullet1">
    <w:name w:val="Bullet 1"/>
    <w:basedOn w:val="Normal"/>
    <w:pPr>
      <w:numPr>
        <w:numId w:val="10"/>
      </w:numPr>
    </w:pPr>
  </w:style>
  <w:style w:type="paragraph" w:customStyle="1" w:styleId="Bullet2">
    <w:name w:val="Bullet 2"/>
    <w:basedOn w:val="Normal"/>
    <w:pPr>
      <w:numPr>
        <w:numId w:val="11"/>
      </w:numPr>
    </w:pPr>
  </w:style>
  <w:style w:type="paragraph" w:customStyle="1" w:styleId="Bullet3">
    <w:name w:val="Bullet 3"/>
    <w:basedOn w:val="Normal"/>
    <w:pPr>
      <w:numPr>
        <w:numId w:val="12"/>
      </w:numPr>
    </w:pPr>
  </w:style>
  <w:style w:type="paragraph" w:customStyle="1" w:styleId="Bullet4">
    <w:name w:val="Bullet 4"/>
    <w:basedOn w:val="Normal"/>
    <w:pPr>
      <w:numPr>
        <w:numId w:val="1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21356">
      <w:marLeft w:val="0"/>
      <w:marRight w:val="0"/>
      <w:marTop w:val="0"/>
      <w:marBottom w:val="0"/>
      <w:divBdr>
        <w:top w:val="none" w:sz="0" w:space="0" w:color="auto"/>
        <w:left w:val="none" w:sz="0" w:space="0" w:color="auto"/>
        <w:bottom w:val="none" w:sz="0" w:space="0" w:color="auto"/>
        <w:right w:val="none" w:sz="0" w:space="0" w:color="auto"/>
      </w:divBdr>
    </w:div>
    <w:div w:id="10546213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B1019-F18B-47D7-BB79-F60A2F4F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991</Words>
  <Characters>5243</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6204</CharactersWithSpaces>
  <SharedDoc>false</SharedDoc>
  <HLinks>
    <vt:vector size="6" baseType="variant">
      <vt:variant>
        <vt:i4>7798887</vt:i4>
      </vt:variant>
      <vt:variant>
        <vt:i4>0</vt:i4>
      </vt:variant>
      <vt:variant>
        <vt:i4>0</vt:i4>
      </vt:variant>
      <vt:variant>
        <vt:i4>5</vt:i4>
      </vt:variant>
      <vt:variant>
        <vt:lpwstr>https://ec.europa.eu/info/business-economy-euro/economic-and-fiscal-policy-coordination/eu-economic-governance-monitoring-prevention-correction/stability-and-growth-pact/corrective-arm-excessive-deficit-procedure/closed-excessive-deficit-procedures/italy_en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21</cp:revision>
  <dcterms:created xsi:type="dcterms:W3CDTF">2020-03-05T09:51:00Z</dcterms:created>
  <dcterms:modified xsi:type="dcterms:W3CDTF">2020-03-09T14:07:00Z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7.0, Build 20190717</vt:lpwstr>
  </property>
  <property fmtid="{D5CDD505-2E9C-101B-9397-08002B2CF9AE}" pid="5" name="Created using">
    <vt:lpwstr>LW 5.8.2, Build 20120919</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