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279C986-9043-49C2-941A-EF98AC4C89B9"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за преодоляване на прекомерния бюджетен дефицит в Румъния</w:t>
      </w:r>
    </w:p>
    <w:p>
      <w:pPr>
        <w:pStyle w:val="Institutionquiagit"/>
        <w:outlineLvl w:val="0"/>
        <w:rPr>
          <w:noProof/>
        </w:rPr>
      </w:pPr>
      <w:r>
        <w:rPr>
          <w:noProof/>
        </w:rPr>
        <w:t>СЪВЕТЪТ НА ЕВРОПЕЙСКИЯ СЪЮЗ,</w:t>
      </w:r>
    </w:p>
    <w:p>
      <w:pPr>
        <w:rPr>
          <w:noProof/>
          <w:color w:val="000000"/>
        </w:rPr>
      </w:pPr>
      <w:r>
        <w:rPr>
          <w:noProof/>
        </w:rPr>
        <w:t>като взе предвид Договора за функционирането на Европейския съюз, и по-специално член 126, параграф 7 от него,</w:t>
      </w:r>
    </w:p>
    <w:p>
      <w:pPr>
        <w:tabs>
          <w:tab w:val="num" w:pos="709"/>
        </w:tabs>
        <w:rPr>
          <w:noProof/>
          <w:color w:val="000000"/>
        </w:rPr>
      </w:pPr>
      <w:r>
        <w:rPr>
          <w:noProof/>
        </w:rPr>
        <w:t xml:space="preserve">като взе предвид препоръката на Комисията, </w:t>
      </w:r>
    </w:p>
    <w:p>
      <w:pPr>
        <w:tabs>
          <w:tab w:val="num" w:pos="709"/>
        </w:tabs>
        <w:rPr>
          <w:noProof/>
          <w:color w:val="000000"/>
        </w:rPr>
      </w:pPr>
      <w:r>
        <w:rPr>
          <w:noProof/>
        </w:rPr>
        <w:t>като има предвид, че:</w:t>
      </w:r>
    </w:p>
    <w:p>
      <w:pPr>
        <w:pStyle w:val="ManualConsidrant"/>
        <w:rPr>
          <w:noProof/>
        </w:rPr>
      </w:pPr>
      <w:r>
        <w:rPr>
          <w:noProof/>
        </w:rPr>
        <w:t>(1)</w:t>
      </w:r>
      <w:r>
        <w:rPr>
          <w:noProof/>
        </w:rPr>
        <w:tab/>
        <w:t>Съгласно член 126 от Договора за функционирането на Европейския съюз (ДФЕС) държавите членки трябва да избягват прекомерния бюджетен дефицит.</w:t>
      </w:r>
    </w:p>
    <w:p>
      <w:pPr>
        <w:pStyle w:val="ManualConsidrant"/>
        <w:rPr>
          <w:noProof/>
        </w:rPr>
      </w:pPr>
      <w:r>
        <w:rPr>
          <w:noProof/>
        </w:rPr>
        <w:t>(2)</w:t>
      </w:r>
      <w:r>
        <w:rPr>
          <w:noProof/>
        </w:rPr>
        <w:tab/>
        <w:t>Пактът за стабилност и растеж (ПСР) се основава на целта за осигуряване на стабилни публични финанси като средство за укрепване на предпоставките за ценова стабилност и силен и устойчив растеж, водещ до създаване на трудова заетост.</w:t>
      </w:r>
    </w:p>
    <w:p>
      <w:pPr>
        <w:pStyle w:val="ManualConsidrant"/>
        <w:rPr>
          <w:noProof/>
        </w:rPr>
      </w:pPr>
      <w:r>
        <w:rPr>
          <w:noProof/>
        </w:rPr>
        <w:t>(3)</w:t>
      </w:r>
      <w:r>
        <w:rPr>
          <w:noProof/>
        </w:rPr>
        <w:tab/>
        <w:t xml:space="preserve">На [17 март] 2020 г. Съветът реши съгласно член 126, параграф 6 от ДФЕС, че в Румъния е налице прекомерен бюджетен дефицит. </w:t>
      </w:r>
    </w:p>
    <w:p>
      <w:pPr>
        <w:pStyle w:val="ManualConsidrant"/>
        <w:rPr>
          <w:noProof/>
        </w:rPr>
      </w:pPr>
      <w:r>
        <w:rPr>
          <w:noProof/>
        </w:rPr>
        <w:t>(4)</w:t>
      </w:r>
      <w:r>
        <w:rPr>
          <w:noProof/>
        </w:rPr>
        <w:tab/>
        <w:t>В съответствие с член 126, параграф 7 от ДФЕС и член 3, параграф 4 от Регламент (ЕО) № 1467/97 на Съвета</w:t>
      </w:r>
      <w:r>
        <w:rPr>
          <w:rStyle w:val="FootnoteReference"/>
          <w:noProof/>
        </w:rPr>
        <w:footnoteReference w:id="1"/>
      </w:r>
      <w:r>
        <w:rPr>
          <w:noProof/>
        </w:rPr>
        <w:t xml:space="preserve"> Съветът е длъжен да отправи препоръка до съответната държава членка с оглед преодоляване на прекомерния дефицит в определен срок. В препоръката се определя максимален срок от шест месеца, през който съответната държава членка да предприеме ефективни действия в тази насока. Освен това в препоръката за коригиране на прекомерния дефицит Съветът следва да изиска да бъдат постигнати годишни бюджетни цели, които съгласно прогнозата, на която се базира препоръката, съответстват на минимално годишно подобрение на структурното салдо (т.е. коригираното спрямо фазата на икономическия цикъл салдо, без еднократните и другите временни мерки) от най-малко 0,5 % от БВП като целеви показател.</w:t>
      </w:r>
    </w:p>
    <w:p>
      <w:pPr>
        <w:pStyle w:val="ManualConsidrant"/>
        <w:rPr>
          <w:noProof/>
        </w:rPr>
      </w:pPr>
      <w:r>
        <w:rPr>
          <w:noProof/>
        </w:rPr>
        <w:t>(5)</w:t>
      </w:r>
      <w:r>
        <w:rPr>
          <w:noProof/>
        </w:rPr>
        <w:tab/>
        <w:t xml:space="preserve">Според зимната прогноза на Комисията от 2020 г., допълнена с фискални променливи до 2022 г., се очаква през 2019 г. реалният растеж на БВП да бъде 3,9 %. Въз основа на допускане, че няма да има промяна в провежданата политика, Комисията прогнозира, че растежът на реалния БВП ще се забави, но ще остане значителен — 3,8 % през 2020 г. и 3,5 % през 2021 и 2022 г. От една страна, значителният фискален стимул, заложен в настоящите политики, ще продължи да дава известен тласък на частното потребление. От друга страна, ако бюджетният дефицит продължи да нараства, това ще подкопае доверието на потребителите и инвеститорите в устойчивостта на траекторията на растежа. В резултат на това инвестициите се очаква да намалеят, тъй като частните </w:t>
      </w:r>
      <w:r>
        <w:rPr>
          <w:noProof/>
        </w:rPr>
        <w:lastRenderedPageBreak/>
        <w:t xml:space="preserve">инвеститори вземат предвид нарастващите макроикономически дисбаланси. Очаква се през прогнозния период нетният износ да остане отрицателен, тъй като износът продължава да бъде засегнат от слабото външно търсене, докато вносът се подпомага от частното потребление. Това на свой ред би влошило допълнително и без това големия дефицит по текущата сметка. </w:t>
      </w:r>
    </w:p>
    <w:p>
      <w:pPr>
        <w:pStyle w:val="ManualConsidrant"/>
        <w:rPr>
          <w:noProof/>
        </w:rPr>
      </w:pPr>
      <w:r>
        <w:rPr>
          <w:noProof/>
        </w:rPr>
        <w:t>(6)</w:t>
      </w:r>
      <w:r>
        <w:rPr>
          <w:noProof/>
        </w:rPr>
        <w:tab/>
        <w:t>На 10 декември 2019 г. правителството прие и изпрати до Парламента своята фискално-бюджетната стратегия за периода 2020—2022 г. (по-нататък наричана „фискалната стратегия“) с преразгледан бюджетен дефицит на сектор „Държавно управление“ от 3,8 % от БВП през 2019 г., т.е. надвишаващ референтната стойност от 3 % от БВП. Това преразглеждане в посока увеличение от първоначално планираните 2,8 % от БВП през 2019 г. се основаваше на данни за изпълнението на бюджета за тази година до този момент. Фискалната стратегия беше обнародвана на 18 декември 2019 г.</w:t>
      </w:r>
    </w:p>
    <w:p>
      <w:pPr>
        <w:pStyle w:val="ManualConsidrant"/>
        <w:rPr>
          <w:noProof/>
        </w:rPr>
      </w:pPr>
      <w:r>
        <w:rPr>
          <w:noProof/>
        </w:rPr>
        <w:t>(7)</w:t>
      </w:r>
      <w:r>
        <w:rPr>
          <w:noProof/>
        </w:rPr>
        <w:tab/>
        <w:t>Прогнозата на Комисията от зимата на 2020 г., допълнена с фискални променливи до 2022 г., предвижда бюджетният дефицит на сектор „Държавно управление“ да остане над референтната стойност от 3 % от БВП за целия прогнозен период. Комисията предвижда бюджетен дефицит на сектор „Държавно управление“ в размер на 4,0 % от БВП през 2019 г., 4,9 % през 2020 г., 6,9 % през 2021 г. и 7,7 % през 2022 г. при допускане, че няма да има промяна в провежданата политика. Предвижда се структурният дефицит да се влоши с 1,0 % от БВП през 2019 г., с допълнителни 1,9 % от БВП през 2021 г. и с още 0,8 % през 2022 г. Увеличението на прогнозирания от Комисията дефицит се дължи главно на значителните увеличения на пенсиите, приети през лятото на 2019 г. По-високите разходи за пенсии ще допринесат с 0,9 процентни пункта от БВП за увеличението на дефицита през 2020 г., с 1,7 процентни пункта от БВП през 2021 г. и с 1,1 процентни пункта от БВП през 2022 г. Очаква се удвояването на надбавката за деца, което трябва да влезе в сила от август 2020 г., да доведе до годишни бюджетни разходи в размер на 0,6 % от БВП. В своята фискална стратегия правителството прогнозира бюджетен дефицит на сектор „Държавно управление“ в размер на 3,6 % от БВП през 2020 г., 3,4 % през 2021 г. и 2,8 % през 2022 г. Според прогнозите на правителството това ще доведе до структурна корекция от 0,3 % през 2020 г., 0,2 % през 2021 г. и 0,6 % през 2022 г. Корекцията във фискалната стратегия се основава предимно на разходите. По-специално разходите за трудови възнаграждения на наетите лица, за стоки и услуги и за капиталови разходи, които не са съфинансирани от ЕС, се очаква да намалеят като дял от БВП. Прогнозата за по-малък дефицит във фискалната стратегия в сравнение с прогнозата на Комисията се дължи на по-оптимистичните макроикономически прогнози, залегнали във фискалната стратегия, и на факта, че фискалната стратегия не отчита фискалното въздействие на някои приети мерки, докато планираното ограничаване на текущите разходи не е напълно подкрепено от приетите или оповестени по правдоподобен начин мерки и следователно не може да бъде взето изцяло предвид в прогнозата на Комисията.</w:t>
      </w:r>
    </w:p>
    <w:p>
      <w:pPr>
        <w:pStyle w:val="ManualConsidrant"/>
        <w:rPr>
          <w:noProof/>
        </w:rPr>
      </w:pPr>
      <w:r>
        <w:rPr>
          <w:noProof/>
        </w:rPr>
        <w:t>(8)</w:t>
      </w:r>
      <w:r>
        <w:rPr>
          <w:noProof/>
        </w:rPr>
        <w:tab/>
        <w:t xml:space="preserve">Консолидираният държавен дълг в Румъния възлизаше на 34,7 % от БВП през 2018 г. Според прогнозата на Комисията консолидираният държавен дълг се очаква да нарасне до 46,6 % от БВП през 2022 г., следователно да остане под референтната стойност в Договора. </w:t>
      </w:r>
    </w:p>
    <w:p>
      <w:pPr>
        <w:pStyle w:val="ManualConsidrant"/>
        <w:rPr>
          <w:noProof/>
        </w:rPr>
      </w:pPr>
      <w:r>
        <w:rPr>
          <w:noProof/>
        </w:rPr>
        <w:t>(9)</w:t>
      </w:r>
      <w:r>
        <w:rPr>
          <w:noProof/>
        </w:rPr>
        <w:tab/>
        <w:t xml:space="preserve">Съгласно член 3, параграф 4 от Регламент (ЕО) № 1467/97 корекцията на прекомерния дефицит следва да бъде осъществена в годината, следваща </w:t>
      </w:r>
      <w:r>
        <w:rPr>
          <w:noProof/>
        </w:rPr>
        <w:lastRenderedPageBreak/>
        <w:t>годината на неговото установяване (в случая до 2021 г.), освен при наличието на особени обстоятелства. Планът за корекции следва да бъде определен в съответствие с Регламент (ЕО) № 1467/97, като се вземат предвид икономическата и фискалната позиция на държавата членка.</w:t>
      </w:r>
    </w:p>
    <w:p>
      <w:pPr>
        <w:pStyle w:val="ManualConsidrant"/>
        <w:rPr>
          <w:noProof/>
        </w:rPr>
      </w:pPr>
      <w:r>
        <w:rPr>
          <w:noProof/>
        </w:rPr>
        <w:t>(10)</w:t>
      </w:r>
      <w:r>
        <w:rPr>
          <w:noProof/>
        </w:rPr>
        <w:tab/>
        <w:t xml:space="preserve">В настоящата ситуация в Румъния са налице такива особени обстоятелства. Коригирането на прекомерния дефицит до 2021 г. ще изисква твърде рязка фискална корекция и ще доведе до значителна загуба на продукция. При план за корекции, който предвижда повече време за изпълнение, въпреки че все още се изискват значителни годишни корекции, въздействието върху растежа ще бъде по-плавно и ще бъде отчетен фактът, че бюджетната 2020 година вече е започнала. Структурните реформи, провеждани успоредно с фискалната консолидация, ще допринесат за гарантиране на трайна корекция на прекомерния дефицит. С оглед на това и като се вземе предвид икономическата и фискалната позиция на Румъния, е оправдано срокът за коригирането на прекомерния дефицит да бъде до 2022 г. </w:t>
      </w:r>
    </w:p>
    <w:p>
      <w:pPr>
        <w:pStyle w:val="ManualConsidrant"/>
        <w:rPr>
          <w:noProof/>
        </w:rPr>
      </w:pPr>
      <w:r>
        <w:rPr>
          <w:noProof/>
        </w:rPr>
        <w:t>(11)</w:t>
      </w:r>
      <w:r>
        <w:rPr>
          <w:noProof/>
        </w:rPr>
        <w:tab/>
        <w:t>За да се постигне надеждна и устойчива корекция в този срок, Румъния трябва да постигне цел за номиналния дефицит по консолидирания държавен бюджет от 3,6 % от БВП през 2020 г., 3,4 % от БВП през 2021 г. и 2,8 % от БВП през 2022 г., което, въз основа на прогнозата на Комисията, съответства на номинален темп на растеж на нетните първични държавни разходи</w:t>
      </w:r>
      <w:r>
        <w:rPr>
          <w:rStyle w:val="FootnoteReference"/>
          <w:noProof/>
        </w:rPr>
        <w:footnoteReference w:id="2"/>
      </w:r>
      <w:r>
        <w:rPr>
          <w:noProof/>
        </w:rPr>
        <w:t xml:space="preserve"> от 8,2 % през 2020 г., 5,5 % през 2021 г. и 5,5 % през 2022 г. Този темп на растеж на нетните разходи ще бъде основният показател, използван за оценка на фискалното усилие, ако е необходим внимателен анализ. Съответната годишна корекция на структурното салдо е в размер на 0,5 % от БВП през 2020 г., 0,8 % от БВП през 2021 г. и 0,8 % от БВП през 2022 г. Въз основа на настоящата прогноза тези цели все още позволят годишно нарастване на реалните нетни разходи. Постигането на целите вероятно ще изисква преосмисляне на значителните законови увеличения на пенсиите и на други неотдавнашни мерки, водещи до рязко влошаване на дефицита при базовия сценарий.</w:t>
      </w:r>
    </w:p>
    <w:p>
      <w:pPr>
        <w:pStyle w:val="ManualConsidrant"/>
        <w:rPr>
          <w:noProof/>
        </w:rPr>
      </w:pPr>
      <w:r>
        <w:rPr>
          <w:noProof/>
        </w:rPr>
        <w:t>(12)</w:t>
      </w:r>
      <w:r>
        <w:rPr>
          <w:noProof/>
        </w:rPr>
        <w:tab/>
        <w:t xml:space="preserve">Мерките за бюджетна консолидация следва да гарантират трайна корекция, като същевременно са насочени към подобряване на качеството на публичните финанси и увеличаване на потенциала за икономически растеж на икономиката. </w:t>
      </w:r>
    </w:p>
    <w:p>
      <w:pPr>
        <w:pStyle w:val="ManualConsidrant"/>
        <w:rPr>
          <w:noProof/>
        </w:rPr>
      </w:pPr>
      <w:r>
        <w:rPr>
          <w:noProof/>
        </w:rPr>
        <w:t>(13)</w:t>
      </w:r>
      <w:r>
        <w:rPr>
          <w:noProof/>
        </w:rPr>
        <w:tab/>
        <w:t>От 2016 г. насам Румъния системно и многократно се отклонява от фискалните правила, залегнали в националната фискална рамка, като по този начин ги прави до голяма степен неефективни. От решаващо значение е в бъдеще Румъния да гарантира пълното прилагане на националната фискална рамка.</w:t>
      </w:r>
    </w:p>
    <w:p>
      <w:pPr>
        <w:pStyle w:val="ManualConsidrant"/>
        <w:rPr>
          <w:noProof/>
        </w:rPr>
      </w:pPr>
      <w:r>
        <w:rPr>
          <w:noProof/>
        </w:rPr>
        <w:t>(14)</w:t>
      </w:r>
      <w:r>
        <w:rPr>
          <w:noProof/>
        </w:rPr>
        <w:tab/>
        <w:t xml:space="preserve">В средносрочен и дългосрочен план рисковете пред постигането на стабилни публични финанси изглеждат големи, като те са предизвикани от високи бюджетни дефицити и разходи, свързани със застаряването на населението. Увеличенията на пенсиите, въведени през лятото на 2019 г. и предвидени да влязат в сила през периода 2019—2021 г., играят голяма роля за тези рискове. </w:t>
      </w:r>
      <w:r>
        <w:rPr>
          <w:noProof/>
        </w:rPr>
        <w:lastRenderedPageBreak/>
        <w:t>Това потвърждава спешната необходимост от пълно възстановяване на дългосрочната устойчивост на публичните финанси,</w:t>
      </w:r>
    </w:p>
    <w:p>
      <w:pPr>
        <w:pStyle w:val="Formuledadoption"/>
        <w:rPr>
          <w:noProof/>
        </w:rPr>
      </w:pPr>
      <w:r>
        <w:rPr>
          <w:noProof/>
        </w:rPr>
        <w:t>ПРИЕ НАСТОЯЩАТА ПРЕПОРЪКА:</w:t>
      </w:r>
    </w:p>
    <w:p>
      <w:pPr>
        <w:pStyle w:val="Point0"/>
        <w:rPr>
          <w:noProof/>
        </w:rPr>
      </w:pPr>
      <w:r>
        <w:rPr>
          <w:noProof/>
        </w:rPr>
        <w:t>(1)</w:t>
      </w:r>
      <w:r>
        <w:rPr>
          <w:noProof/>
        </w:rPr>
        <w:tab/>
        <w:t>Румъния следва да преодолее прекомерния дефицит най-късно до 2022 г.</w:t>
      </w:r>
    </w:p>
    <w:p>
      <w:pPr>
        <w:pStyle w:val="Point0"/>
        <w:rPr>
          <w:noProof/>
        </w:rPr>
      </w:pPr>
      <w:r>
        <w:rPr>
          <w:noProof/>
        </w:rPr>
        <w:t>(2)</w:t>
      </w:r>
      <w:r>
        <w:rPr>
          <w:noProof/>
        </w:rPr>
        <w:tab/>
        <w:t>Румъния следва да постигне целеви номинален дефицит по консолидирания държавен бюджет от 3,6 % от БВП през 2020 г., 3,4 % от БВП през 2021 г. и 2,8 % от БВП през 2022 г., което съответства на номинален темп на растеж на нетните първични държавни разходи от 8,2 % през 2020 г., 5,5 % през 2021 г. и 5,5 % през 2022 г., което съответства на годишна корекция на структурното салдо от 0,5 % от БВП през 2020 г., 0,8 % от БВП през 2021 г. и 0,8 % от БВП през 2022 г.</w:t>
      </w:r>
    </w:p>
    <w:p>
      <w:pPr>
        <w:pStyle w:val="Point0"/>
        <w:rPr>
          <w:noProof/>
        </w:rPr>
      </w:pPr>
      <w:r>
        <w:rPr>
          <w:noProof/>
        </w:rPr>
        <w:t>(3)</w:t>
      </w:r>
      <w:r>
        <w:rPr>
          <w:noProof/>
        </w:rPr>
        <w:tab/>
        <w:t>Румъния следва да определи и стриктно да приложи мерките, необходими за постигане на корекцията на своя прекомерния дефицит до 2022 г. Мерките за бюджетна консолидация следва да гарантират трайна корекция, като същевременно подкрепят растежа. Румъния следва да използва всички извънредни приходи за намаляване на дефицита.</w:t>
      </w:r>
    </w:p>
    <w:p>
      <w:pPr>
        <w:pStyle w:val="Point0"/>
        <w:rPr>
          <w:noProof/>
        </w:rPr>
      </w:pPr>
      <w:r>
        <w:rPr>
          <w:noProof/>
        </w:rPr>
        <w:t>(4)</w:t>
      </w:r>
      <w:r>
        <w:rPr>
          <w:noProof/>
        </w:rPr>
        <w:tab/>
        <w:t>Съветът определи 15 септември 2020 г. като крайния срок, в който Румъния следва да предприеме ефективни действия и в съответствие с член 3, параграф 4а от Регламент (ЕО) № 1467/97 да докладва подробно за консолидационната стратегия, предвидена за постигане на поставените цели. След тази дата органите на Румъния следва да докладват за напредъка по прилагането на препоръките най-малко на всеки шест месеца до пълното преодоляване на прекомерния дефицит.</w:t>
      </w:r>
    </w:p>
    <w:p>
      <w:pPr>
        <w:rPr>
          <w:noProof/>
          <w:szCs w:val="24"/>
        </w:rPr>
      </w:pPr>
      <w:r>
        <w:rPr>
          <w:noProof/>
        </w:rPr>
        <w:t>В допълнение румънските органи следва да гарантират пълното прилагане на своята национална фискална рамка. За да се допринесе за успеха на стратегията за фискална консолидация, важно е също така фискалната консолидация да бъде съпроводена с цялостни структурни реформи в съответствие с препоръките, които Съветът отправи към Румъния в рамките на европейския семестър, и по-специално препоръките, свързани с процедурата при макроикономически дисбаланси.</w:t>
      </w:r>
    </w:p>
    <w:p>
      <w:pPr>
        <w:keepNext/>
        <w:keepLines/>
        <w:rPr>
          <w:noProof/>
        </w:rPr>
      </w:pPr>
      <w:r>
        <w:rPr>
          <w:noProof/>
        </w:rPr>
        <w:t>Адресат на настоящата препоръка е Румъния.</w:t>
      </w:r>
    </w:p>
    <w:p>
      <w:pPr>
        <w:pStyle w:val="Fait"/>
        <w:rPr>
          <w:noProof/>
        </w:rPr>
      </w:pPr>
      <w:r>
        <w:rPr>
          <w:noProof/>
        </w:rPr>
        <w:t>Съставено в Брюксел на  година.</w:t>
      </w:r>
    </w:p>
    <w:p>
      <w:pPr>
        <w:pStyle w:val="Institutionquisigne"/>
        <w:outlineLvl w:val="0"/>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209, 2.8.1997 г., стр. 6.</w:t>
      </w:r>
    </w:p>
  </w:footnote>
  <w:footnote w:id="2">
    <w:p>
      <w:pPr>
        <w:pStyle w:val="FootnoteText"/>
      </w:pPr>
      <w:r>
        <w:rPr>
          <w:rStyle w:val="FootnoteReference"/>
        </w:rPr>
        <w:footnoteRef/>
      </w:r>
      <w:r>
        <w:tab/>
        <w:t>Нетните първични разходи на държавното управление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D894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AA0F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0EA9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180E50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76BC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E40E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01219F4"/>
    <w:lvl w:ilvl="0">
      <w:start w:val="1"/>
      <w:numFmt w:val="decimal"/>
      <w:pStyle w:val="ListNumber"/>
      <w:lvlText w:val="%1."/>
      <w:lvlJc w:val="left"/>
      <w:pPr>
        <w:tabs>
          <w:tab w:val="num" w:pos="360"/>
        </w:tabs>
        <w:ind w:left="360" w:hanging="360"/>
      </w:pPr>
    </w:lvl>
  </w:abstractNum>
  <w:abstractNum w:abstractNumId="7">
    <w:nsid w:val="FFFFFF89"/>
    <w:multiLevelType w:val="singleLevel"/>
    <w:tmpl w:val="265871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name w:val="List Bullet 3"/>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num>
  <w:num w:numId="13">
    <w:abstractNumId w:val="19"/>
  </w:num>
  <w:num w:numId="14">
    <w:abstractNumId w:val="13"/>
  </w:num>
  <w:num w:numId="15">
    <w:abstractNumId w:val="21"/>
  </w:num>
  <w:num w:numId="16">
    <w:abstractNumId w:val="11"/>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3"/>
  </w:num>
  <w:num w:numId="29">
    <w:abstractNumId w:val="21"/>
  </w:num>
  <w:num w:numId="30">
    <w:abstractNumId w:val="11"/>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3-09 15:20: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279C986-9043-49C2-941A-EF98AC4C89B9"/>
    <w:docVar w:name="LW_COVERPAGE_TYPE" w:val="1"/>
    <w:docVar w:name="LW_CROSSREFERENCE" w:val="{SWD(2020) 53 final}"/>
    <w:docVar w:name="LW_DocType" w:val="COM"/>
    <w:docVar w:name="LW_EMISSION" w:val="4.3.2020"/>
    <w:docVar w:name="LW_EMISSION_ISODATE" w:val="2020-03-04"/>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 w:val="\u1055?\u1088?\u1077?\u1087?\u1086?\u1088?\u1098?\u1082?\u1072? \u1079?\u1072?"/>
    <w:docVar w:name="LW_STATUT.CP" w:val="\u1055?\u1088?\u1077?\u1087?\u1086?\u1088?\u1098?\u1082?\u1072? \u1079?\u1072?"/>
    <w:docVar w:name="LW_SUPERTITRE" w:val="&lt;UNUSED&gt;"/>
    <w:docVar w:name="LW_TITRE.OBJ" w:val="\u1079?\u1072? \u1087?\u1088?\u1077?\u1086?\u1076?\u1086?\u1083?\u1103?\u1074?\u1072?\u1085?\u1077? \u1085?\u1072? \u1087?\u1088?\u1077?\u1082?\u1086?\u1084?\u1077?\u1088?\u1085?\u1080?\u1103? \u1073?\u1102?\u1076?\u1078?\u1077?\u1090?\u1077?\u1085? \u1076?\u1077?\u1092?\u1080?\u1094?\u1080?\u1090? \u1074? \u1056?\u1091?\u1084?\u1098?\u1085?\u1080?\u1103?"/>
    <w:docVar w:name="LW_TITRE.OBJ.CP" w:val="\u1079?\u1072? \u1087?\u1088?\u1077?\u1086?\u1076?\u1086?\u1083?\u1103?\u1074?\u1072?\u1085?\u1077? \u1085?\u1072? \u1087?\u1088?\u1077?\u1082?\u1086?\u1084?\u1077?\u1088?\u1085?\u1080?\u1103? \u1073?\u1102?\u1076?\u1078?\u1077?\u1090?\u1077?\u1085? \u1076?\u1077?\u1092?\u1080?\u1094?\u1080?\u1090? \u1074? \u1056?\u1091?\u1084?\u1098?\u1085?\u1080?\u1103?"/>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3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ListDash">
    <w:name w:val="List Dash"/>
    <w:basedOn w:val="Normal"/>
    <w:pPr>
      <w:numPr>
        <w:numId w:val="9"/>
      </w:numPr>
    </w:pPr>
    <w:rPr>
      <w:lang w:eastAsia="de-DE"/>
    </w:rPr>
  </w:style>
  <w:style w:type="paragraph" w:customStyle="1" w:styleId="Rfrenceinstitutionelle">
    <w:name w:val="Référence institutionelle"/>
    <w:basedOn w:val="Normal"/>
    <w:next w:val="Statut"/>
    <w:pPr>
      <w:spacing w:before="0" w:after="240"/>
      <w:ind w:left="5103"/>
      <w:jc w:val="left"/>
    </w:pPr>
    <w:rPr>
      <w:lang w:eastAsia="de-DE"/>
    </w:rPr>
  </w:style>
  <w:style w:type="paragraph" w:styleId="Revision">
    <w:name w:val="Revision"/>
    <w:hidden/>
    <w:uiPriority w:val="99"/>
    <w:semiHidden/>
    <w:rPr>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ListDash">
    <w:name w:val="List Dash"/>
    <w:basedOn w:val="Normal"/>
    <w:pPr>
      <w:numPr>
        <w:numId w:val="9"/>
      </w:numPr>
    </w:pPr>
    <w:rPr>
      <w:lang w:eastAsia="de-DE"/>
    </w:rPr>
  </w:style>
  <w:style w:type="paragraph" w:customStyle="1" w:styleId="Rfrenceinstitutionelle">
    <w:name w:val="Référence institutionelle"/>
    <w:basedOn w:val="Normal"/>
    <w:next w:val="Statut"/>
    <w:pPr>
      <w:spacing w:before="0" w:after="240"/>
      <w:ind w:left="5103"/>
      <w:jc w:val="left"/>
    </w:pPr>
    <w:rPr>
      <w:lang w:eastAsia="de-DE"/>
    </w:rPr>
  </w:style>
  <w:style w:type="paragraph" w:styleId="Revision">
    <w:name w:val="Revision"/>
    <w:hidden/>
    <w:uiPriority w:val="99"/>
    <w:semiHidden/>
    <w:rPr>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94231">
      <w:bodyDiv w:val="1"/>
      <w:marLeft w:val="0"/>
      <w:marRight w:val="0"/>
      <w:marTop w:val="0"/>
      <w:marBottom w:val="0"/>
      <w:divBdr>
        <w:top w:val="none" w:sz="0" w:space="0" w:color="auto"/>
        <w:left w:val="none" w:sz="0" w:space="0" w:color="auto"/>
        <w:bottom w:val="none" w:sz="0" w:space="0" w:color="auto"/>
        <w:right w:val="none" w:sz="0" w:space="0" w:color="auto"/>
      </w:divBdr>
    </w:div>
    <w:div w:id="615914118">
      <w:bodyDiv w:val="1"/>
      <w:marLeft w:val="0"/>
      <w:marRight w:val="0"/>
      <w:marTop w:val="0"/>
      <w:marBottom w:val="0"/>
      <w:divBdr>
        <w:top w:val="none" w:sz="0" w:space="0" w:color="auto"/>
        <w:left w:val="none" w:sz="0" w:space="0" w:color="auto"/>
        <w:bottom w:val="none" w:sz="0" w:space="0" w:color="auto"/>
        <w:right w:val="none" w:sz="0" w:space="0" w:color="auto"/>
      </w:divBdr>
    </w:div>
    <w:div w:id="1068575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D08DA-2748-4973-9D09-28E993F7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1712</Words>
  <Characters>9077</Characters>
  <Application>Microsoft Office Word</Application>
  <DocSecurity>0</DocSecurity>
  <Lines>165</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20</cp:revision>
  <cp:lastPrinted>2020-02-24T10:22:00Z</cp:lastPrinted>
  <dcterms:created xsi:type="dcterms:W3CDTF">2020-03-05T09:09:00Z</dcterms:created>
  <dcterms:modified xsi:type="dcterms:W3CDTF">2020-03-09T14:20:00Z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5.8.64.0</vt:lpwstr>
  </property>
  <property fmtid="{D5CDD505-2E9C-101B-9397-08002B2CF9AE}" pid="4" name="Last edited using">
    <vt:lpwstr>LW 7.0, Build 20190717</vt:lpwstr>
  </property>
  <property fmtid="{D5CDD505-2E9C-101B-9397-08002B2CF9AE}" pid="5" name="Created using">
    <vt:lpwstr>LW 5.8.2, Build 20120919</vt:lpwstr>
  </property>
  <property fmtid="{D5CDD505-2E9C-101B-9397-08002B2CF9AE}" pid="6" name="LWTemplateID">
    <vt:lpwstr>SG-002</vt:lpwstr>
  </property>
  <property fmtid="{D5CDD505-2E9C-101B-9397-08002B2CF9AE}" pid="7" name="Part">
    <vt:lpwstr>1</vt:lpwstr>
  </property>
  <property fmtid="{D5CDD505-2E9C-101B-9397-08002B2CF9AE}" pid="8" name="Total parts">
    <vt:lpwstr>1</vt:lpwstr>
  </property>
  <property fmtid="{D5CDD505-2E9C-101B-9397-08002B2CF9AE}" pid="9" name="Level of sensitivity">
    <vt:lpwstr>Standard treatment</vt:lpwstr>
  </property>
  <property fmtid="{D5CDD505-2E9C-101B-9397-08002B2CF9AE}" pid="10" name="DQCStatus">
    <vt:lpwstr>Green (DQC version 03)</vt:lpwstr>
  </property>
</Properties>
</file>