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alt="C4AE3CF1-DB9E-4A9D-9232-8E60E24C5B5B" style="width:450.7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line="360" w:lineRule="auto"/>
        <w:rPr>
          <w:noProof/>
          <w:sz w:val="28"/>
          <w:szCs w:val="28"/>
        </w:rPr>
      </w:pPr>
      <w:bookmarkStart w:id="1" w:name="_Toc33622580"/>
      <w:bookmarkStart w:id="2" w:name="_GoBack"/>
      <w:bookmarkEnd w:id="2"/>
      <w:r>
        <w:rPr>
          <w:noProof/>
          <w:sz w:val="28"/>
          <w:szCs w:val="28"/>
        </w:rPr>
        <w:lastRenderedPageBreak/>
        <w:t>ВЪВЕДЕНИЕ</w:t>
      </w:r>
      <w:bookmarkEnd w:id="1"/>
    </w:p>
    <w:p>
      <w:pPr>
        <w:spacing w:line="360" w:lineRule="auto"/>
        <w:rPr>
          <w:noProof/>
        </w:rPr>
      </w:pPr>
    </w:p>
    <w:p>
      <w:pPr>
        <w:spacing w:line="360" w:lineRule="auto"/>
        <w:jc w:val="both"/>
        <w:rPr>
          <w:noProof/>
        </w:rPr>
      </w:pPr>
      <w:r>
        <w:rPr>
          <w:noProof/>
        </w:rPr>
        <w:t>В настоящия доклад е представено изпълнението на годишната работна програма за 2017 г. (ГРП за 2017 г.) в рамките на третата здравна програма (2014—2020 г.), създадена с Регламент (ЕС) № 282/2014 на Европейския парламент и на Съвета</w:t>
      </w:r>
      <w:r>
        <w:rPr>
          <w:rStyle w:val="FootnoteReference"/>
          <w:rFonts w:cs="Times New Roman"/>
          <w:noProof/>
        </w:rPr>
        <w:footnoteReference w:id="2"/>
      </w:r>
      <w:r>
        <w:rPr>
          <w:noProof/>
        </w:rPr>
        <w:t>. Съгласно член 13 от регламента Комисията трябва да представя на комитета по здравната програма</w:t>
      </w:r>
      <w:r>
        <w:rPr>
          <w:rStyle w:val="FootnoteReference"/>
          <w:rFonts w:cs="Times New Roman"/>
          <w:noProof/>
        </w:rPr>
        <w:footnoteReference w:id="3"/>
      </w:r>
      <w:r>
        <w:rPr>
          <w:noProof/>
        </w:rPr>
        <w:t xml:space="preserve"> доклади за изпълнението на всички действия, финансирани чрез програмата, и да информира Европейския парламент и Съвета. В настоящия доклад се изпълнява посоченото изискване и се предоставя информация за бюджета за 2017 г. и за неговото използване.</w:t>
      </w:r>
    </w:p>
    <w:p>
      <w:pPr>
        <w:spacing w:line="360" w:lineRule="auto"/>
        <w:jc w:val="both"/>
        <w:rPr>
          <w:noProof/>
        </w:rPr>
      </w:pPr>
      <w:r>
        <w:rPr>
          <w:noProof/>
        </w:rPr>
        <w:t>В работния документ на службите на Комисията, приложен към настоящия доклад, са описани основните дейности, съфинансирани по линия на третата здравна програма, окончателните резултати от които станаха известни през 2017 г. Освен това той включва информация за дейностите, извършени по основните тематични приоритети, които са включени в последователни решения за финансиране (промоция на здравето и профилактика на незаразни болести, включително употребата на тютюн, храненето и психичното здраве; защита срещу трансгранични заплахи за здравето; безопасност на пациентите; оценка на здравните технологии; резултати от използването на оперативни безвъзмездни средства). В документа се съдържат и таблици с преглед на всички съфинансирани дейности и договори.</w:t>
      </w:r>
    </w:p>
    <w:p>
      <w:pPr>
        <w:spacing w:line="360" w:lineRule="auto"/>
        <w:jc w:val="both"/>
        <w:rPr>
          <w:noProof/>
        </w:rPr>
      </w:pPr>
      <w:r>
        <w:rPr>
          <w:noProof/>
        </w:rPr>
        <w:t>В рамките на годишната работна програма (ГРП) за 2017 г. стартираха шест съвместни действия на обща стойност 20 229 410,14 EUR от съфинансирането от ЕС:</w:t>
      </w:r>
    </w:p>
    <w:p>
      <w:pPr>
        <w:pStyle w:val="ListParagraph"/>
        <w:numPr>
          <w:ilvl w:val="0"/>
          <w:numId w:val="69"/>
        </w:numPr>
        <w:spacing w:line="360" w:lineRule="auto"/>
        <w:jc w:val="both"/>
        <w:rPr>
          <w:rFonts w:eastAsiaTheme="minorHAnsi"/>
          <w:noProof/>
        </w:rPr>
      </w:pPr>
      <w:r>
        <w:rPr>
          <w:rFonts w:ascii="Times New Roman" w:hAnsi="Times New Roman"/>
          <w:noProof/>
        </w:rPr>
        <w:t>съвместно действие „Равнопоставеност в здравеопазването в Европа“ (Health Equity Europe (JAHEE),</w:t>
      </w:r>
    </w:p>
    <w:p>
      <w:pPr>
        <w:pStyle w:val="ListParagraph"/>
        <w:numPr>
          <w:ilvl w:val="0"/>
          <w:numId w:val="69"/>
        </w:numPr>
        <w:spacing w:line="360" w:lineRule="auto"/>
        <w:jc w:val="both"/>
        <w:rPr>
          <w:rFonts w:eastAsiaTheme="minorHAnsi"/>
          <w:noProof/>
        </w:rPr>
      </w:pPr>
      <w:r>
        <w:rPr>
          <w:rFonts w:ascii="Times New Roman" w:hAnsi="Times New Roman"/>
          <w:noProof/>
        </w:rPr>
        <w:t>европейско съвместно действие относно ваксинацията (JAV),</w:t>
      </w:r>
    </w:p>
    <w:p>
      <w:pPr>
        <w:pStyle w:val="ListParagraph"/>
        <w:numPr>
          <w:ilvl w:val="0"/>
          <w:numId w:val="69"/>
        </w:numPr>
        <w:spacing w:line="360" w:lineRule="auto"/>
        <w:jc w:val="both"/>
        <w:rPr>
          <w:rFonts w:eastAsiaTheme="minorHAnsi"/>
          <w:noProof/>
        </w:rPr>
      </w:pPr>
      <w:r>
        <w:rPr>
          <w:rFonts w:ascii="Times New Roman" w:hAnsi="Times New Roman"/>
          <w:noProof/>
        </w:rPr>
        <w:t>съвместно действие в подкрепа на мрежата eHealth (e-Health),</w:t>
      </w:r>
    </w:p>
    <w:p>
      <w:pPr>
        <w:pStyle w:val="ListParagraph"/>
        <w:numPr>
          <w:ilvl w:val="0"/>
          <w:numId w:val="69"/>
        </w:numPr>
        <w:spacing w:line="360" w:lineRule="auto"/>
        <w:jc w:val="both"/>
        <w:rPr>
          <w:rFonts w:eastAsiaTheme="minorHAnsi"/>
          <w:noProof/>
        </w:rPr>
      </w:pPr>
      <w:r>
        <w:rPr>
          <w:rFonts w:ascii="Times New Roman" w:hAnsi="Times New Roman"/>
          <w:noProof/>
        </w:rPr>
        <w:t>съвместно действие „Информация за действие“ (InfAct),</w:t>
      </w:r>
    </w:p>
    <w:p>
      <w:pPr>
        <w:pStyle w:val="ListParagraph"/>
        <w:numPr>
          <w:ilvl w:val="0"/>
          <w:numId w:val="69"/>
        </w:numPr>
        <w:spacing w:line="360" w:lineRule="auto"/>
        <w:jc w:val="both"/>
        <w:rPr>
          <w:rFonts w:ascii="Times New Roman" w:eastAsiaTheme="minorHAnsi" w:hAnsi="Times New Roman"/>
          <w:noProof/>
        </w:rPr>
      </w:pPr>
      <w:r>
        <w:rPr>
          <w:rFonts w:ascii="Times New Roman" w:hAnsi="Times New Roman"/>
          <w:noProof/>
        </w:rPr>
        <w:t>съвместно действие „Иновативно партньорство за борба с рака“ (iPAAC), както и</w:t>
      </w:r>
    </w:p>
    <w:p>
      <w:pPr>
        <w:pStyle w:val="ListParagraph"/>
        <w:numPr>
          <w:ilvl w:val="0"/>
          <w:numId w:val="69"/>
        </w:numPr>
        <w:spacing w:line="360" w:lineRule="auto"/>
        <w:jc w:val="both"/>
        <w:rPr>
          <w:rFonts w:eastAsiaTheme="minorHAnsi"/>
          <w:noProof/>
        </w:rPr>
      </w:pPr>
      <w:r>
        <w:rPr>
          <w:rFonts w:ascii="Times New Roman" w:hAnsi="Times New Roman"/>
          <w:noProof/>
        </w:rPr>
        <w:t>съвместно действие „Подготвеност и действие на входните пунктове“ (опазване на здравето при входните пунктове).</w:t>
      </w:r>
    </w:p>
    <w:p>
      <w:pPr>
        <w:spacing w:line="360" w:lineRule="auto"/>
        <w:jc w:val="both"/>
        <w:rPr>
          <w:rFonts w:eastAsia="Times New Roman" w:cs="Times New Roman"/>
          <w:noProof/>
        </w:rPr>
      </w:pPr>
      <w:r>
        <w:rPr>
          <w:noProof/>
        </w:rPr>
        <w:t>Тези съвместни действия, заедно с други дейности, финансирани през 2017 г., бяха насочени към няколко от целите на здравните програми.</w:t>
      </w:r>
    </w:p>
    <w:p>
      <w:pPr>
        <w:spacing w:line="360" w:lineRule="auto"/>
        <w:jc w:val="both"/>
        <w:rPr>
          <w:rFonts w:eastAsia="Times New Roman" w:cs="Times New Roman"/>
          <w:noProof/>
        </w:rPr>
      </w:pPr>
      <w:r>
        <w:rPr>
          <w:noProof/>
        </w:rPr>
        <w:t>Чрез новите съвместни действия iPAAC и JAHEE, които са насочени към превенцията на рака и неравенството в здравеопазването, се обръща внимание на важни фактори на здравето, като употребата на тютюн, храненето и алкохола, както и на достъпа до скринингови програми и грижа и подкрепа при рак, които са в подкрепа на цел 1 (</w:t>
      </w:r>
      <w:r>
        <w:rPr>
          <w:i/>
          <w:noProof/>
        </w:rPr>
        <w:t>Промоция на здравето и профилактика на болестите</w:t>
      </w:r>
      <w:r>
        <w:rPr>
          <w:noProof/>
        </w:rPr>
        <w:t>).</w:t>
      </w:r>
    </w:p>
    <w:p>
      <w:pPr>
        <w:spacing w:line="360" w:lineRule="auto"/>
        <w:jc w:val="both"/>
        <w:rPr>
          <w:rFonts w:eastAsia="Times New Roman" w:cs="Times New Roman"/>
          <w:noProof/>
        </w:rPr>
      </w:pPr>
      <w:r>
        <w:rPr>
          <w:noProof/>
        </w:rPr>
        <w:t>В рамките на цел 2 (</w:t>
      </w:r>
      <w:r>
        <w:rPr>
          <w:i/>
          <w:noProof/>
        </w:rPr>
        <w:t>Защита на гражданите на Съюза от сериозни трансгранични заплахи за здравето</w:t>
      </w:r>
      <w:r>
        <w:rPr>
          <w:noProof/>
        </w:rPr>
        <w:t>) през 2017 г. акцентът беше насочен към справяне с колебанията за ваксинация и подобряване на готовността и капацитета за реакция за борба със заплахите за здравето на входните и изходните пунктове на ЕС (пристанища, летища и наземни контролно-пропускателни пунктове).</w:t>
      </w:r>
    </w:p>
    <w:p>
      <w:pPr>
        <w:spacing w:line="360" w:lineRule="auto"/>
        <w:jc w:val="both"/>
        <w:rPr>
          <w:rFonts w:eastAsia="Times New Roman" w:cs="Times New Roman"/>
          <w:noProof/>
        </w:rPr>
      </w:pPr>
      <w:r>
        <w:rPr>
          <w:noProof/>
        </w:rPr>
        <w:t>В рамките на цел 3 (</w:t>
      </w:r>
      <w:r>
        <w:rPr>
          <w:i/>
          <w:noProof/>
        </w:rPr>
        <w:t>Принос за новаторски, ефикасни и устойчиви системи за здравеопазване</w:t>
      </w:r>
      <w:r>
        <w:rPr>
          <w:noProof/>
        </w:rPr>
        <w:t>) бяха предприети две важни съвместни действия — за електронното здравеопазване и за здравната информация за действие, и бе използвана пряка безвъзмездна помощ за засилване на сътрудничеството със Съвета на Европа в областта на фармацевтичните продукти.</w:t>
      </w:r>
    </w:p>
    <w:p>
      <w:pPr>
        <w:spacing w:line="360" w:lineRule="auto"/>
        <w:jc w:val="both"/>
        <w:rPr>
          <w:rFonts w:eastAsia="Times New Roman" w:cs="Times New Roman"/>
          <w:noProof/>
        </w:rPr>
      </w:pPr>
      <w:r>
        <w:rPr>
          <w:noProof/>
        </w:rPr>
        <w:t>Първата комуникационна и информационна кампания относно новия регламент за медицинските изделия — Регламент (ЕС) 2017/745</w:t>
      </w:r>
      <w:r>
        <w:rPr>
          <w:rStyle w:val="FootnoteReference"/>
          <w:noProof/>
        </w:rPr>
        <w:footnoteReference w:id="4"/>
      </w:r>
      <w:r>
        <w:rPr>
          <w:noProof/>
        </w:rPr>
        <w:t xml:space="preserve"> — стартира в сътрудничество с Генерална Дирекция „Вътрешен пазар, промишленост, предприемачество и МСП“ в подкрепа на цел 4 на здравната програма (</w:t>
      </w:r>
      <w:r>
        <w:rPr>
          <w:i/>
          <w:noProof/>
        </w:rPr>
        <w:t>Улесняване на достъпа на гражданите на ЕС до по-добро и по-безопасно здравно обслужване</w:t>
      </w:r>
      <w:r>
        <w:rPr>
          <w:noProof/>
        </w:rPr>
        <w:t>).</w:t>
      </w:r>
    </w:p>
    <w:p>
      <w:pPr>
        <w:spacing w:line="360" w:lineRule="auto"/>
        <w:jc w:val="both"/>
        <w:rPr>
          <w:rFonts w:eastAsia="Times New Roman" w:cs="Times New Roman"/>
          <w:noProof/>
        </w:rPr>
      </w:pPr>
      <w:r>
        <w:rPr>
          <w:noProof/>
        </w:rPr>
        <w:t>През 2017 г. Изпълнителната агенция за потребителите, здравеопазването, селското стопанство и храните (Chafea) публикува втората покана за представяне на предложения за рамково споразумение за партньорство за безвъзмездни средства за оперативни разходи, насочена към неправителствени организации, която обхваща периода 2018—2021 г.</w:t>
      </w:r>
    </w:p>
    <w:p>
      <w:pPr>
        <w:spacing w:line="360" w:lineRule="auto"/>
        <w:jc w:val="both"/>
        <w:rPr>
          <w:rFonts w:cs="Times New Roman"/>
          <w:noProof/>
        </w:rPr>
      </w:pPr>
      <w:r>
        <w:rPr>
          <w:noProof/>
        </w:rPr>
        <w:t>Комисията и Chafea гарантират, че резултатите от програмите се огласяват широко чрез подходящи дейности за комуникация и разпространение. Държавите членки и трети държави, участващи в програмата, също се насърчават да се включват в разпространението на резултатите от съфинансираните действия и да търсят начини за взаимодействие с други програми за финансиране от ЕС. Това включва организиране на национални информационни дни в сътрудничество с мрежата на националните фокусни точки</w:t>
      </w:r>
      <w:r>
        <w:rPr>
          <w:rStyle w:val="FootnoteReference"/>
          <w:rFonts w:cs="Times New Roman"/>
          <w:noProof/>
        </w:rPr>
        <w:footnoteReference w:id="5"/>
      </w:r>
      <w:r>
        <w:rPr>
          <w:noProof/>
        </w:rPr>
        <w:t>.</w:t>
      </w:r>
    </w:p>
    <w:p>
      <w:pPr>
        <w:spacing w:line="360" w:lineRule="auto"/>
        <w:jc w:val="both"/>
        <w:rPr>
          <w:noProof/>
        </w:rPr>
      </w:pPr>
      <w:r>
        <w:rPr>
          <w:noProof/>
        </w:rPr>
        <w:t>Успоредно с тези инициативи Комисията гарантира, че изпълнението на третата здравна програма е обект на наблюдение. През 2017 г. стартираха две задачи за извършване на оценка: „проучване за събиране на данни“ с цел събиране на информация за вариантите на здравната политика в многогодишната рамка за финансиране за периода 2021—2027 г. и за втората външна оценка на Chafea.</w:t>
      </w:r>
    </w:p>
    <w:p>
      <w:pPr>
        <w:spacing w:line="360" w:lineRule="auto"/>
        <w:jc w:val="both"/>
        <w:rPr>
          <w:rFonts w:eastAsia="Times New Roman" w:cs="Times New Roman"/>
          <w:noProof/>
        </w:rPr>
      </w:pPr>
      <w:r>
        <w:rPr>
          <w:noProof/>
        </w:rPr>
        <w:br w:type="page"/>
      </w:r>
    </w:p>
    <w:sdt>
      <w:sdtPr>
        <w:rPr>
          <w:rFonts w:eastAsiaTheme="minorHAnsi" w:cstheme="minorBidi"/>
          <w:b w:val="0"/>
          <w:noProof/>
          <w:sz w:val="22"/>
          <w:szCs w:val="22"/>
        </w:rPr>
        <w:id w:val="-1708712095"/>
        <w:docPartObj>
          <w:docPartGallery w:val="Table of Contents"/>
          <w:docPartUnique/>
        </w:docPartObj>
      </w:sdtPr>
      <w:sdtEndPr>
        <w:rPr>
          <w:bCs/>
        </w:rPr>
      </w:sdtEndPr>
      <w:sdtContent>
        <w:p>
          <w:pPr>
            <w:pStyle w:val="TOCHeading"/>
            <w:spacing w:line="360" w:lineRule="auto"/>
            <w:rPr>
              <w:noProof/>
            </w:rPr>
          </w:pPr>
          <w:r>
            <w:rPr>
              <w:noProof/>
            </w:rPr>
            <w:t>Съдържание</w:t>
          </w:r>
        </w:p>
        <w:p>
          <w:pPr>
            <w:pStyle w:val="TOC1"/>
            <w:rPr>
              <w:rFonts w:asciiTheme="minorHAnsi" w:eastAsiaTheme="minorEastAsia" w:hAnsiTheme="minorHAnsi" w:cstheme="minorBidi"/>
              <w:sz w:val="22"/>
              <w:szCs w:val="22"/>
              <w:lang w:val="en-US"/>
            </w:rPr>
          </w:pPr>
          <w:r>
            <w:fldChar w:fldCharType="begin"/>
          </w:r>
          <w:r>
            <w:instrText xml:space="preserve"> TOC \o "1-3" \h \z \u </w:instrText>
          </w:r>
          <w:r>
            <w:fldChar w:fldCharType="separate"/>
          </w:r>
          <w:hyperlink w:anchor="_Toc33622580" w:history="1">
            <w:r>
              <w:rPr>
                <w:rStyle w:val="Hyperlink"/>
              </w:rPr>
              <w:t>ВЪВЕДЕНИЕ</w:t>
            </w:r>
            <w:r>
              <w:rPr>
                <w:webHidden/>
              </w:rPr>
              <w:tab/>
            </w:r>
            <w:r>
              <w:rPr>
                <w:webHidden/>
              </w:rPr>
              <w:fldChar w:fldCharType="begin"/>
            </w:r>
            <w:r>
              <w:rPr>
                <w:webHidden/>
              </w:rPr>
              <w:instrText xml:space="preserve"> PAGEREF _Toc33622580 \h </w:instrText>
            </w:r>
            <w:r>
              <w:rPr>
                <w:webHidden/>
              </w:rPr>
            </w:r>
            <w:r>
              <w:rPr>
                <w:webHidden/>
              </w:rPr>
              <w:fldChar w:fldCharType="separate"/>
            </w:r>
            <w:r>
              <w:rPr>
                <w:webHidden/>
              </w:rPr>
              <w:t>1</w:t>
            </w:r>
            <w:r>
              <w:rPr>
                <w:webHidden/>
              </w:rPr>
              <w:fldChar w:fldCharType="end"/>
            </w:r>
          </w:hyperlink>
        </w:p>
        <w:p>
          <w:pPr>
            <w:pStyle w:val="TOC1"/>
            <w:rPr>
              <w:rFonts w:asciiTheme="minorHAnsi" w:eastAsiaTheme="minorEastAsia" w:hAnsiTheme="minorHAnsi" w:cstheme="minorBidi"/>
              <w:sz w:val="22"/>
              <w:szCs w:val="22"/>
              <w:lang w:val="en-US"/>
            </w:rPr>
          </w:pPr>
          <w:hyperlink w:anchor="_Toc33622581" w:history="1">
            <w:r>
              <w:rPr>
                <w:rStyle w:val="Hyperlink"/>
              </w:rPr>
              <w:t>ОСНОВНИ МОМЕНТИ ПРЕЗ ГОДИНАТА</w:t>
            </w:r>
            <w:r>
              <w:rPr>
                <w:webHidden/>
              </w:rPr>
              <w:tab/>
            </w:r>
            <w:r>
              <w:rPr>
                <w:webHidden/>
              </w:rPr>
              <w:fldChar w:fldCharType="begin"/>
            </w:r>
            <w:r>
              <w:rPr>
                <w:webHidden/>
              </w:rPr>
              <w:instrText xml:space="preserve"> PAGEREF _Toc33622581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sz w:val="22"/>
              <w:szCs w:val="22"/>
              <w:lang w:val="en-US"/>
            </w:rPr>
          </w:pPr>
          <w:hyperlink w:anchor="_Toc33622582" w:history="1">
            <w:r>
              <w:rPr>
                <w:rStyle w:val="Hyperlink"/>
              </w:rPr>
              <w:t>ИЗПЪЛНЕНИЕ НА БЮДЖЕТА</w:t>
            </w:r>
            <w:r>
              <w:rPr>
                <w:webHidden/>
              </w:rPr>
              <w:tab/>
            </w:r>
            <w:r>
              <w:rPr>
                <w:webHidden/>
              </w:rPr>
              <w:fldChar w:fldCharType="begin"/>
            </w:r>
            <w:r>
              <w:rPr>
                <w:webHidden/>
              </w:rPr>
              <w:instrText xml:space="preserve"> PAGEREF _Toc33622582 \h </w:instrText>
            </w:r>
            <w:r>
              <w:rPr>
                <w:webHidden/>
              </w:rPr>
            </w:r>
            <w:r>
              <w:rPr>
                <w:webHidden/>
              </w:rPr>
              <w:fldChar w:fldCharType="separate"/>
            </w:r>
            <w:r>
              <w:rPr>
                <w:webHidden/>
              </w:rPr>
              <w:t>12</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33622583" w:history="1">
            <w:r>
              <w:rPr>
                <w:rStyle w:val="Hyperlink"/>
              </w:rPr>
              <w:t>1.</w:t>
            </w:r>
            <w:r>
              <w:rPr>
                <w:rFonts w:asciiTheme="minorHAnsi" w:eastAsiaTheme="minorEastAsia" w:hAnsiTheme="minorHAnsi" w:cstheme="minorBidi"/>
                <w:sz w:val="22"/>
                <w:szCs w:val="22"/>
                <w:lang w:val="en-US" w:eastAsia="en-US"/>
              </w:rPr>
              <w:tab/>
            </w:r>
            <w:r>
              <w:rPr>
                <w:rStyle w:val="Hyperlink"/>
              </w:rPr>
              <w:t>Приоритети</w:t>
            </w:r>
            <w:r>
              <w:rPr>
                <w:webHidden/>
              </w:rPr>
              <w:tab/>
            </w:r>
            <w:r>
              <w:rPr>
                <w:webHidden/>
              </w:rPr>
              <w:fldChar w:fldCharType="begin"/>
            </w:r>
            <w:r>
              <w:rPr>
                <w:webHidden/>
              </w:rPr>
              <w:instrText xml:space="preserve"> PAGEREF _Toc33622583 \h </w:instrText>
            </w:r>
            <w:r>
              <w:rPr>
                <w:webHidden/>
              </w:rPr>
            </w:r>
            <w:r>
              <w:rPr>
                <w:webHidden/>
              </w:rPr>
              <w:fldChar w:fldCharType="separate"/>
            </w:r>
            <w:r>
              <w:rPr>
                <w:webHidden/>
              </w:rPr>
              <w:t>13</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33622584" w:history="1">
            <w:r>
              <w:rPr>
                <w:rStyle w:val="Hyperlink"/>
              </w:rPr>
              <w:t>2.</w:t>
            </w:r>
            <w:r>
              <w:rPr>
                <w:rFonts w:asciiTheme="minorHAnsi" w:eastAsiaTheme="minorEastAsia" w:hAnsiTheme="minorHAnsi" w:cstheme="minorBidi"/>
                <w:sz w:val="22"/>
                <w:szCs w:val="22"/>
                <w:lang w:val="en-US" w:eastAsia="en-US"/>
              </w:rPr>
              <w:tab/>
            </w:r>
            <w:r>
              <w:rPr>
                <w:rStyle w:val="Hyperlink"/>
              </w:rPr>
              <w:t>Изпълнение на оперативния бюджет по механизъм за финансиране</w:t>
            </w:r>
            <w:r>
              <w:rPr>
                <w:webHidden/>
              </w:rPr>
              <w:tab/>
            </w:r>
            <w:r>
              <w:rPr>
                <w:webHidden/>
              </w:rPr>
              <w:fldChar w:fldCharType="begin"/>
            </w:r>
            <w:r>
              <w:rPr>
                <w:webHidden/>
              </w:rPr>
              <w:instrText xml:space="preserve"> PAGEREF _Toc33622584 \h </w:instrText>
            </w:r>
            <w:r>
              <w:rPr>
                <w:webHidden/>
              </w:rPr>
            </w:r>
            <w:r>
              <w:rPr>
                <w:webHidden/>
              </w:rPr>
              <w:fldChar w:fldCharType="separate"/>
            </w:r>
            <w:r>
              <w:rPr>
                <w:webHidden/>
              </w:rPr>
              <w:t>16</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33622585" w:history="1">
            <w:r>
              <w:rPr>
                <w:rStyle w:val="Hyperlink"/>
              </w:rPr>
              <w:t>3.</w:t>
            </w:r>
            <w:r>
              <w:rPr>
                <w:rFonts w:asciiTheme="minorHAnsi" w:eastAsiaTheme="minorEastAsia" w:hAnsiTheme="minorHAnsi" w:cstheme="minorBidi"/>
                <w:sz w:val="22"/>
                <w:szCs w:val="22"/>
                <w:lang w:val="en-US" w:eastAsia="en-US"/>
              </w:rPr>
              <w:tab/>
            </w:r>
            <w:r>
              <w:rPr>
                <w:rStyle w:val="Hyperlink"/>
              </w:rPr>
              <w:t>Бенефициери</w:t>
            </w:r>
            <w:r>
              <w:rPr>
                <w:webHidden/>
              </w:rPr>
              <w:tab/>
            </w:r>
            <w:r>
              <w:rPr>
                <w:webHidden/>
              </w:rPr>
              <w:fldChar w:fldCharType="begin"/>
            </w:r>
            <w:r>
              <w:rPr>
                <w:webHidden/>
              </w:rPr>
              <w:instrText xml:space="preserve"> PAGEREF _Toc33622585 \h </w:instrText>
            </w:r>
            <w:r>
              <w:rPr>
                <w:webHidden/>
              </w:rPr>
            </w:r>
            <w:r>
              <w:rPr>
                <w:webHidden/>
              </w:rPr>
              <w:fldChar w:fldCharType="separate"/>
            </w:r>
            <w:r>
              <w:rPr>
                <w:webHidden/>
              </w:rPr>
              <w:t>18</w:t>
            </w:r>
            <w:r>
              <w:rPr>
                <w:webHidden/>
              </w:rPr>
              <w:fldChar w:fldCharType="end"/>
            </w:r>
          </w:hyperlink>
        </w:p>
        <w:p>
          <w:pPr>
            <w:pStyle w:val="TOC1"/>
            <w:rPr>
              <w:rFonts w:asciiTheme="minorHAnsi" w:eastAsiaTheme="minorEastAsia" w:hAnsiTheme="minorHAnsi" w:cstheme="minorBidi"/>
              <w:sz w:val="22"/>
              <w:szCs w:val="22"/>
              <w:lang w:val="en-US"/>
            </w:rPr>
          </w:pPr>
          <w:hyperlink w:anchor="_Toc33622586" w:history="1">
            <w:r>
              <w:rPr>
                <w:rStyle w:val="Hyperlink"/>
              </w:rPr>
              <w:t>ДРУГИ ОСНОВНИ ХАРАКТЕРИСТИКИ</w:t>
            </w:r>
            <w:r>
              <w:rPr>
                <w:webHidden/>
              </w:rPr>
              <w:tab/>
            </w:r>
            <w:r>
              <w:rPr>
                <w:webHidden/>
              </w:rPr>
              <w:fldChar w:fldCharType="begin"/>
            </w:r>
            <w:r>
              <w:rPr>
                <w:webHidden/>
              </w:rPr>
              <w:instrText xml:space="preserve"> PAGEREF _Toc33622586 \h </w:instrText>
            </w:r>
            <w:r>
              <w:rPr>
                <w:webHidden/>
              </w:rPr>
            </w:r>
            <w:r>
              <w:rPr>
                <w:webHidden/>
              </w:rPr>
              <w:fldChar w:fldCharType="separate"/>
            </w:r>
            <w:r>
              <w:rPr>
                <w:webHidden/>
              </w:rPr>
              <w:t>19</w:t>
            </w:r>
            <w:r>
              <w:rPr>
                <w:webHidden/>
              </w:rPr>
              <w:fldChar w:fldCharType="end"/>
            </w:r>
          </w:hyperlink>
        </w:p>
        <w:p>
          <w:pPr>
            <w:rPr>
              <w:noProof/>
            </w:rPr>
          </w:pPr>
          <w:r>
            <w:rPr>
              <w:b/>
              <w:bCs/>
              <w:noProof/>
            </w:rPr>
            <w:fldChar w:fldCharType="end"/>
          </w:r>
        </w:p>
      </w:sdtContent>
    </w:sdt>
    <w:p>
      <w:pPr>
        <w:spacing w:line="360" w:lineRule="auto"/>
        <w:rPr>
          <w:rFonts w:eastAsia="Times New Roman" w:cs="Times New Roman"/>
          <w:b/>
          <w:bCs/>
          <w:smallCaps/>
          <w:noProof/>
          <w:sz w:val="32"/>
          <w:szCs w:val="24"/>
        </w:rPr>
      </w:pPr>
      <w:r>
        <w:rPr>
          <w:noProof/>
        </w:rPr>
        <w:br w:type="page"/>
      </w:r>
    </w:p>
    <w:p>
      <w:pPr>
        <w:pStyle w:val="Heading1"/>
        <w:spacing w:line="360" w:lineRule="auto"/>
        <w:rPr>
          <w:noProof/>
          <w:sz w:val="28"/>
        </w:rPr>
      </w:pPr>
      <w:bookmarkStart w:id="3" w:name="_Toc33622581"/>
      <w:r>
        <w:rPr>
          <w:noProof/>
          <w:sz w:val="28"/>
        </w:rPr>
        <w:t>ОСНОВНИ МОМЕНТИ ПРЕЗ ГОДИНАТА</w:t>
      </w:r>
      <w:bookmarkEnd w:id="3"/>
    </w:p>
    <w:p>
      <w:pPr>
        <w:autoSpaceDE w:val="0"/>
        <w:autoSpaceDN w:val="0"/>
        <w:adjustRightInd w:val="0"/>
        <w:spacing w:after="0" w:line="360" w:lineRule="auto"/>
        <w:jc w:val="both"/>
        <w:rPr>
          <w:rFonts w:cs="Times New Roman"/>
          <w:noProof/>
          <w:color w:val="000000"/>
        </w:rPr>
      </w:pPr>
    </w:p>
    <w:p>
      <w:pPr>
        <w:autoSpaceDE w:val="0"/>
        <w:autoSpaceDN w:val="0"/>
        <w:adjustRightInd w:val="0"/>
        <w:spacing w:after="0" w:line="360" w:lineRule="auto"/>
        <w:jc w:val="both"/>
        <w:rPr>
          <w:rFonts w:cs="Times New Roman"/>
          <w:noProof/>
          <w:color w:val="000000"/>
        </w:rPr>
      </w:pPr>
      <w:r>
        <w:rPr>
          <w:noProof/>
        </w:rPr>
        <w:t>ГРП за 2017 г. обхваща в широки рамки четирите специфични цели на здравната програма. Включването на шест съвместни действия, по които е мобилизиран принос на ЕС от над 20 милиона евро, подкрепя желанието на компетентните органи на държавите членки и други държави, участващи в програмата, да работят заедно в ключови области на политиката.</w:t>
      </w:r>
    </w:p>
    <w:p>
      <w:pPr>
        <w:autoSpaceDE w:val="0"/>
        <w:autoSpaceDN w:val="0"/>
        <w:adjustRightInd w:val="0"/>
        <w:spacing w:before="240" w:after="0" w:line="360" w:lineRule="auto"/>
        <w:jc w:val="both"/>
        <w:rPr>
          <w:noProof/>
          <w:color w:val="000000"/>
        </w:rPr>
      </w:pPr>
      <w:r>
        <w:rPr>
          <w:noProof/>
        </w:rPr>
        <w:t xml:space="preserve">Стартирането на </w:t>
      </w:r>
      <w:r>
        <w:rPr>
          <w:b/>
          <w:noProof/>
        </w:rPr>
        <w:t>съвместно действие относно ваксинацията</w:t>
      </w:r>
      <w:r>
        <w:rPr>
          <w:noProof/>
        </w:rPr>
        <w:t xml:space="preserve"> (ЕС-JAV)</w:t>
      </w:r>
      <w:r>
        <w:rPr>
          <w:rStyle w:val="FootnoteReference"/>
          <w:noProof/>
        </w:rPr>
        <w:footnoteReference w:id="6"/>
      </w:r>
      <w:r>
        <w:rPr>
          <w:noProof/>
        </w:rPr>
        <w:t xml:space="preserve"> допълва и подкрепя съобщението на Комисията относно болести, предотвратими чрез ваксинация</w:t>
      </w:r>
      <w:r>
        <w:rPr>
          <w:noProof/>
          <w:vertAlign w:val="superscript"/>
        </w:rPr>
        <w:footnoteReference w:id="7"/>
      </w:r>
      <w:r>
        <w:rPr>
          <w:noProof/>
        </w:rPr>
        <w:t>, и препоръката на Съвета за засилване на сътрудничеството в борбата срещу болести, предотвратими чрез ваксинация</w:t>
      </w:r>
      <w:r>
        <w:rPr>
          <w:noProof/>
          <w:vertAlign w:val="superscript"/>
        </w:rPr>
        <w:footnoteReference w:id="8"/>
      </w:r>
      <w:r>
        <w:rPr>
          <w:noProof/>
        </w:rPr>
        <w:t>, както и инициативата за съвместно предприемане на медицински мерки за противодействие</w:t>
      </w:r>
      <w:r>
        <w:rPr>
          <w:noProof/>
          <w:vertAlign w:val="superscript"/>
        </w:rPr>
        <w:footnoteReference w:id="9"/>
      </w:r>
      <w:r>
        <w:rPr>
          <w:noProof/>
        </w:rPr>
        <w:t>.</w:t>
      </w:r>
    </w:p>
    <w:p>
      <w:pPr>
        <w:widowControl w:val="0"/>
        <w:spacing w:before="120" w:after="120" w:line="360" w:lineRule="auto"/>
        <w:jc w:val="both"/>
        <w:rPr>
          <w:rFonts w:eastAsia="Times New Roman" w:cs="Times New Roman"/>
          <w:noProof/>
          <w:u w:val="single"/>
        </w:rPr>
      </w:pPr>
      <w:r>
        <w:rPr>
          <w:noProof/>
          <w:u w:val="single"/>
        </w:rPr>
        <w:t>Контекст</w:t>
      </w:r>
    </w:p>
    <w:p>
      <w:pPr>
        <w:widowControl w:val="0"/>
        <w:spacing w:before="120" w:after="120" w:line="360" w:lineRule="auto"/>
        <w:jc w:val="both"/>
        <w:rPr>
          <w:rFonts w:eastAsia="Arial" w:cs="Times New Roman"/>
          <w:noProof/>
        </w:rPr>
      </w:pPr>
      <w:r>
        <w:rPr>
          <w:noProof/>
        </w:rPr>
        <w:t>Ваксинацията е основно средство за първична профилактика на заразни болести и най-ефективната от гледна точка на разходите мярка за общественото здраве. Благодарение на широко разпространената ваксинация е ликвидирана едрата шарка, в Европа няма полиомиелит и много други заразни, а за някои и смъртоносни, болести са почти ликвидирани.</w:t>
      </w:r>
    </w:p>
    <w:p>
      <w:pPr>
        <w:widowControl w:val="0"/>
        <w:spacing w:before="120" w:after="120" w:line="360" w:lineRule="auto"/>
        <w:jc w:val="both"/>
        <w:rPr>
          <w:rFonts w:eastAsia="Arial" w:cs="Times New Roman"/>
          <w:noProof/>
        </w:rPr>
      </w:pPr>
      <w:r>
        <w:rPr>
          <w:noProof/>
        </w:rPr>
        <w:t>Въпреки отбелязаните успехи поради ниското равнище на ваксинационно покритие няколко държави от ЕС, както и съседни държави в момента са изправени пред безпрецедентни огнища на болести, предотвратими чрез ваксинация. Неравнопоставеният достъп до ваксини и намаляването на общественото доверие в безопасността на ваксините са причина за безпокойство и основно предизвикателство за органите в областта на общественото здравеопазване.</w:t>
      </w:r>
    </w:p>
    <w:p>
      <w:pPr>
        <w:widowControl w:val="0"/>
        <w:spacing w:before="120" w:after="120" w:line="360" w:lineRule="auto"/>
        <w:jc w:val="both"/>
        <w:rPr>
          <w:rFonts w:eastAsia="Arial" w:cs="Times New Roman"/>
          <w:noProof/>
          <w:u w:val="single"/>
        </w:rPr>
      </w:pPr>
      <w:r>
        <w:rPr>
          <w:noProof/>
          <w:u w:val="single"/>
        </w:rPr>
        <w:t>Цел</w:t>
      </w:r>
    </w:p>
    <w:p>
      <w:pPr>
        <w:widowControl w:val="0"/>
        <w:spacing w:before="120" w:after="120" w:line="360" w:lineRule="auto"/>
        <w:jc w:val="both"/>
        <w:rPr>
          <w:rFonts w:eastAsia="Arial" w:cs="Times New Roman"/>
          <w:noProof/>
        </w:rPr>
      </w:pPr>
      <w:r>
        <w:rPr>
          <w:noProof/>
        </w:rPr>
        <w:t>Координирано от INSERM (Франция) и включващо 23 държави (сред тях 20 държави — членки на ЕС), съвместното действие относно ваксинацията има за цел да бъдат разработени конкретни инструменти, чрез които на национално ниво да бъде засилена реакцията срещу предизвикателствата, свързани с ваксинацията в Европа, и по такъв начин да бъде подобрено здравето на населението.</w:t>
      </w:r>
    </w:p>
    <w:p>
      <w:pPr>
        <w:widowControl w:val="0"/>
        <w:spacing w:before="120" w:after="120" w:line="360" w:lineRule="auto"/>
        <w:jc w:val="both"/>
        <w:rPr>
          <w:rFonts w:eastAsia="Arial" w:cs="Times New Roman"/>
          <w:noProof/>
          <w:u w:val="single"/>
        </w:rPr>
      </w:pPr>
      <w:r>
        <w:rPr>
          <w:noProof/>
          <w:u w:val="single"/>
        </w:rPr>
        <w:t>Средства</w:t>
      </w:r>
    </w:p>
    <w:p>
      <w:pPr>
        <w:widowControl w:val="0"/>
        <w:spacing w:before="120" w:after="120" w:line="360" w:lineRule="auto"/>
        <w:jc w:val="both"/>
        <w:rPr>
          <w:rFonts w:eastAsia="Arial" w:cs="Times New Roman"/>
          <w:noProof/>
        </w:rPr>
      </w:pPr>
      <w:r>
        <w:rPr>
          <w:noProof/>
        </w:rPr>
        <w:t>В момента съвместното действие се реализира в следните области:</w:t>
      </w:r>
    </w:p>
    <w:p>
      <w:pPr>
        <w:pStyle w:val="ListParagraph"/>
        <w:widowControl w:val="0"/>
        <w:numPr>
          <w:ilvl w:val="0"/>
          <w:numId w:val="70"/>
        </w:numPr>
        <w:spacing w:before="120" w:after="120" w:line="360" w:lineRule="auto"/>
        <w:jc w:val="both"/>
        <w:rPr>
          <w:rFonts w:eastAsia="Arial"/>
          <w:noProof/>
        </w:rPr>
      </w:pPr>
      <w:r>
        <w:rPr>
          <w:rFonts w:ascii="Times New Roman" w:hAnsi="Times New Roman"/>
          <w:noProof/>
        </w:rPr>
        <w:t>Установяване на устойчиво сътрудничество на съответните органи на държавите членки;</w:t>
      </w:r>
    </w:p>
    <w:p>
      <w:pPr>
        <w:pStyle w:val="ListParagraph"/>
        <w:widowControl w:val="0"/>
        <w:numPr>
          <w:ilvl w:val="0"/>
          <w:numId w:val="70"/>
        </w:numPr>
        <w:spacing w:before="120" w:after="120" w:line="360" w:lineRule="auto"/>
        <w:jc w:val="both"/>
        <w:rPr>
          <w:rFonts w:eastAsia="Arial"/>
          <w:noProof/>
        </w:rPr>
      </w:pPr>
      <w:r>
        <w:rPr>
          <w:rFonts w:ascii="Times New Roman" w:hAnsi="Times New Roman"/>
          <w:noProof/>
        </w:rPr>
        <w:t>Определяне на основни принципи за прогнозиране на търсенето на ваксини;</w:t>
      </w:r>
    </w:p>
    <w:p>
      <w:pPr>
        <w:pStyle w:val="ListParagraph"/>
        <w:widowControl w:val="0"/>
        <w:numPr>
          <w:ilvl w:val="0"/>
          <w:numId w:val="70"/>
        </w:numPr>
        <w:spacing w:before="120" w:after="120" w:line="360" w:lineRule="auto"/>
        <w:jc w:val="both"/>
        <w:rPr>
          <w:noProof/>
        </w:rPr>
      </w:pPr>
      <w:r>
        <w:rPr>
          <w:rFonts w:ascii="Times New Roman" w:hAnsi="Times New Roman"/>
          <w:noProof/>
        </w:rPr>
        <w:t>Разработване на концепция и прототип на база данни, чрез която да се споделят данни/информация за търсенето и предлагането на ваксини в целия ЕС между специализираните заинтересовани страни;</w:t>
      </w:r>
    </w:p>
    <w:p>
      <w:pPr>
        <w:pStyle w:val="ListParagraph"/>
        <w:widowControl w:val="0"/>
        <w:numPr>
          <w:ilvl w:val="0"/>
          <w:numId w:val="70"/>
        </w:numPr>
        <w:spacing w:before="120" w:after="120" w:line="360" w:lineRule="auto"/>
        <w:jc w:val="both"/>
        <w:rPr>
          <w:rFonts w:eastAsia="Arial"/>
          <w:noProof/>
        </w:rPr>
      </w:pPr>
      <w:r>
        <w:rPr>
          <w:rFonts w:ascii="Times New Roman" w:hAnsi="Times New Roman"/>
          <w:noProof/>
        </w:rPr>
        <w:t>Очертаване на общи етапи и критерии за определяне на приоритетите в изследванията и разработването на ваксините;</w:t>
      </w:r>
    </w:p>
    <w:p>
      <w:pPr>
        <w:pStyle w:val="ListParagraph"/>
        <w:widowControl w:val="0"/>
        <w:numPr>
          <w:ilvl w:val="0"/>
          <w:numId w:val="70"/>
        </w:numPr>
        <w:spacing w:before="120" w:after="120" w:line="360" w:lineRule="auto"/>
        <w:jc w:val="both"/>
        <w:rPr>
          <w:rFonts w:eastAsia="Arial"/>
          <w:noProof/>
        </w:rPr>
      </w:pPr>
      <w:r>
        <w:rPr>
          <w:rFonts w:ascii="Times New Roman" w:hAnsi="Times New Roman"/>
          <w:noProof/>
        </w:rPr>
        <w:t>Разработване на концепция и прототип на рамка за определяне на приоритетите на научноизследователската и развойната дейност (НИРД) в областта на ваксините;</w:t>
      </w:r>
    </w:p>
    <w:p>
      <w:pPr>
        <w:pStyle w:val="ListParagraph"/>
        <w:widowControl w:val="0"/>
        <w:numPr>
          <w:ilvl w:val="0"/>
          <w:numId w:val="70"/>
        </w:numPr>
        <w:spacing w:before="120" w:after="120" w:line="360" w:lineRule="auto"/>
        <w:jc w:val="both"/>
        <w:rPr>
          <w:rFonts w:eastAsia="Arial"/>
          <w:noProof/>
        </w:rPr>
      </w:pPr>
      <w:r>
        <w:rPr>
          <w:rFonts w:ascii="Times New Roman" w:hAnsi="Times New Roman"/>
          <w:noProof/>
        </w:rPr>
        <w:t>Определяне на структурни, технически и правни спецификации по отношение на изискванията за данните за електронни регистри/бази данни/имунизационни информационни системи за ваксините;</w:t>
      </w:r>
    </w:p>
    <w:p>
      <w:pPr>
        <w:pStyle w:val="ListParagraph"/>
        <w:widowControl w:val="0"/>
        <w:numPr>
          <w:ilvl w:val="0"/>
          <w:numId w:val="70"/>
        </w:numPr>
        <w:spacing w:before="120" w:after="120" w:line="360" w:lineRule="auto"/>
        <w:jc w:val="both"/>
        <w:rPr>
          <w:noProof/>
        </w:rPr>
      </w:pPr>
      <w:r>
        <w:rPr>
          <w:rFonts w:ascii="Times New Roman" w:hAnsi="Times New Roman"/>
          <w:noProof/>
        </w:rPr>
        <w:t>Осигуряване на рамка за основано на доверие сътрудничество от научните изследвания до най-добрите практики и изпълнението.</w:t>
      </w:r>
    </w:p>
    <w:p>
      <w:pPr>
        <w:pStyle w:val="NormalWeb"/>
        <w:shd w:val="clear" w:color="auto" w:fill="FFFFFF"/>
        <w:spacing w:after="0" w:line="360" w:lineRule="auto"/>
        <w:ind w:left="720"/>
        <w:jc w:val="both"/>
        <w:rPr>
          <w:rFonts w:eastAsia="Times New Roman"/>
          <w:noProof/>
          <w:sz w:val="22"/>
          <w:szCs w:val="22"/>
        </w:rPr>
      </w:pPr>
    </w:p>
    <w:p>
      <w:pPr>
        <w:autoSpaceDE w:val="0"/>
        <w:autoSpaceDN w:val="0"/>
        <w:adjustRightInd w:val="0"/>
        <w:spacing w:after="0" w:line="360" w:lineRule="auto"/>
        <w:jc w:val="both"/>
        <w:rPr>
          <w:rFonts w:eastAsia="Times New Roman"/>
          <w:noProof/>
        </w:rPr>
      </w:pPr>
      <w:r>
        <w:rPr>
          <w:b/>
          <w:noProof/>
        </w:rPr>
        <w:t>Съвместното действие „Равнопоставеност в здравеопазването в Европа“</w:t>
      </w:r>
      <w:r>
        <w:rPr>
          <w:noProof/>
        </w:rPr>
        <w:t xml:space="preserve"> (JAHEE)</w:t>
      </w:r>
      <w:r>
        <w:rPr>
          <w:rStyle w:val="FootnoteReference"/>
          <w:noProof/>
        </w:rPr>
        <w:footnoteReference w:id="10"/>
      </w:r>
      <w:r>
        <w:rPr>
          <w:noProof/>
        </w:rPr>
        <w:t xml:space="preserve"> обедини 25 държави — членки на ЕС, за да подобри здравето и благосъстоянието на европейските граждани и да постигне по-голяма равнопоставеност в резултатите от здравеопазването при всички групи в обществото.</w:t>
      </w:r>
    </w:p>
    <w:p>
      <w:pPr>
        <w:widowControl w:val="0"/>
        <w:spacing w:before="120" w:after="120" w:line="360" w:lineRule="auto"/>
        <w:jc w:val="both"/>
        <w:rPr>
          <w:rFonts w:eastAsia="Times New Roman" w:cs="Times New Roman"/>
          <w:noProof/>
          <w:u w:val="single"/>
        </w:rPr>
      </w:pPr>
      <w:r>
        <w:rPr>
          <w:noProof/>
          <w:u w:val="single"/>
        </w:rPr>
        <w:t>Контекст</w:t>
      </w:r>
    </w:p>
    <w:p>
      <w:pPr>
        <w:autoSpaceDE w:val="0"/>
        <w:autoSpaceDN w:val="0"/>
        <w:adjustRightInd w:val="0"/>
        <w:spacing w:after="0" w:line="360" w:lineRule="auto"/>
        <w:jc w:val="both"/>
        <w:rPr>
          <w:rFonts w:eastAsia="Times New Roman"/>
          <w:noProof/>
        </w:rPr>
      </w:pPr>
      <w:r>
        <w:rPr>
          <w:noProof/>
        </w:rPr>
        <w:t>Въздействието на неравенството по отношение на здравето в рамките на европейските държави и между тях е всеобщо признато</w:t>
      </w:r>
      <w:r>
        <w:rPr>
          <w:rStyle w:val="FootnoteReference"/>
          <w:noProof/>
        </w:rPr>
        <w:footnoteReference w:id="11"/>
      </w:r>
      <w:r>
        <w:rPr>
          <w:noProof/>
        </w:rPr>
        <w:t>, като неговото намаляване е хоризонтален приоритет в дневния ред на ЕС</w:t>
      </w:r>
      <w:r>
        <w:rPr>
          <w:rStyle w:val="FootnoteReference"/>
          <w:noProof/>
        </w:rPr>
        <w:footnoteReference w:id="12"/>
      </w:r>
      <w:r>
        <w:rPr>
          <w:noProof/>
        </w:rPr>
        <w:t xml:space="preserve"> и на много други държави. Въпреки че осведомеността и загрижеността относно въздействието на неравенството по отношение на здравето нарастват, политическите реакции в Европа варират в значителни граници.</w:t>
      </w:r>
    </w:p>
    <w:p>
      <w:pPr>
        <w:widowControl w:val="0"/>
        <w:spacing w:before="120" w:after="120" w:line="360" w:lineRule="auto"/>
        <w:jc w:val="both"/>
        <w:rPr>
          <w:rFonts w:eastAsia="Arial" w:cs="Times New Roman"/>
          <w:noProof/>
          <w:u w:val="single"/>
        </w:rPr>
      </w:pPr>
      <w:r>
        <w:rPr>
          <w:noProof/>
          <w:u w:val="single"/>
        </w:rPr>
        <w:t>Цел</w:t>
      </w:r>
    </w:p>
    <w:p>
      <w:pPr>
        <w:autoSpaceDE w:val="0"/>
        <w:autoSpaceDN w:val="0"/>
        <w:adjustRightInd w:val="0"/>
        <w:spacing w:after="0" w:line="360" w:lineRule="auto"/>
        <w:jc w:val="both"/>
        <w:rPr>
          <w:rFonts w:eastAsia="Times New Roman"/>
          <w:noProof/>
        </w:rPr>
      </w:pPr>
      <w:r>
        <w:rPr>
          <w:noProof/>
        </w:rPr>
        <w:t>В момента съвместното действие се реализира в следните области:</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Подобряване на планирането и разработването на политиките за справяне с неравенството по отношение на здравето на европейско, национално, регионално и местно ниво;</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Прилагане на действия, които предоставят най-добрата възможност за преодоляване на неравенството по отношение на здравето във всяка участваща държава;</w:t>
      </w:r>
    </w:p>
    <w:p>
      <w:pPr>
        <w:pStyle w:val="ListParagraph"/>
        <w:numPr>
          <w:ilvl w:val="0"/>
          <w:numId w:val="60"/>
        </w:numPr>
        <w:autoSpaceDE w:val="0"/>
        <w:autoSpaceDN w:val="0"/>
        <w:adjustRightInd w:val="0"/>
        <w:spacing w:after="0" w:line="360" w:lineRule="auto"/>
        <w:jc w:val="both"/>
        <w:rPr>
          <w:rFonts w:ascii="Times New Roman" w:hAnsi="Times New Roman"/>
          <w:noProof/>
          <w:sz w:val="24"/>
          <w:szCs w:val="24"/>
        </w:rPr>
      </w:pPr>
      <w:r>
        <w:rPr>
          <w:rFonts w:ascii="Times New Roman" w:hAnsi="Times New Roman"/>
          <w:noProof/>
        </w:rPr>
        <w:t>Укрепване на подхода на сътрудничество в борбата с неравенството по отношение на здравето и улесняване на обмена и обучаването между участващите държави (подход на споделяне и обучаване);</w:t>
      </w:r>
    </w:p>
    <w:p>
      <w:pPr>
        <w:pStyle w:val="ListParagraph"/>
        <w:numPr>
          <w:ilvl w:val="0"/>
          <w:numId w:val="60"/>
        </w:numPr>
        <w:autoSpaceDE w:val="0"/>
        <w:autoSpaceDN w:val="0"/>
        <w:adjustRightInd w:val="0"/>
        <w:spacing w:after="0" w:line="360" w:lineRule="auto"/>
        <w:jc w:val="both"/>
        <w:rPr>
          <w:rFonts w:ascii="Times New Roman" w:hAnsi="Times New Roman"/>
          <w:noProof/>
          <w:szCs w:val="24"/>
        </w:rPr>
      </w:pPr>
      <w:r>
        <w:rPr>
          <w:rFonts w:ascii="Times New Roman" w:hAnsi="Times New Roman"/>
          <w:noProof/>
        </w:rPr>
        <w:t>Улесняване на преносимостта на най-добри практики между участващите държави.</w:t>
      </w:r>
    </w:p>
    <w:p>
      <w:pPr>
        <w:keepNext/>
        <w:widowControl w:val="0"/>
        <w:spacing w:before="120" w:after="120" w:line="360" w:lineRule="auto"/>
        <w:jc w:val="both"/>
        <w:rPr>
          <w:rFonts w:eastAsia="Arial" w:cs="Times New Roman"/>
          <w:noProof/>
          <w:u w:val="single"/>
        </w:rPr>
      </w:pPr>
      <w:r>
        <w:rPr>
          <w:noProof/>
          <w:u w:val="single"/>
        </w:rPr>
        <w:t>Средства</w:t>
      </w:r>
    </w:p>
    <w:p>
      <w:pPr>
        <w:pStyle w:val="NormalWeb"/>
        <w:keepNext/>
        <w:shd w:val="clear" w:color="auto" w:fill="FFFFFF"/>
        <w:spacing w:after="0" w:line="360" w:lineRule="auto"/>
        <w:jc w:val="both"/>
        <w:rPr>
          <w:rFonts w:eastAsia="Times New Roman"/>
          <w:noProof/>
        </w:rPr>
      </w:pPr>
      <w:r>
        <w:rPr>
          <w:noProof/>
        </w:rPr>
        <w:t>За да постигне целите си, съвместното действие подпомага участващите държави във:</w:t>
      </w:r>
    </w:p>
    <w:p>
      <w:pPr>
        <w:pStyle w:val="NormalWeb"/>
        <w:numPr>
          <w:ilvl w:val="0"/>
          <w:numId w:val="60"/>
        </w:numPr>
        <w:shd w:val="clear" w:color="auto" w:fill="FFFFFF"/>
        <w:spacing w:after="0" w:line="360" w:lineRule="auto"/>
        <w:jc w:val="both"/>
        <w:rPr>
          <w:rFonts w:eastAsia="Times New Roman"/>
          <w:noProof/>
        </w:rPr>
      </w:pPr>
      <w:r>
        <w:rPr>
          <w:noProof/>
          <w:sz w:val="22"/>
          <w:szCs w:val="22"/>
        </w:rPr>
        <w:t>Проследяването на неравенството по отношение на здравето чрез разработване и приемане на здравни показатели за оценка и приоритизиране на здравни политики, адаптирани към националния контекст и устойчиви във времето;</w:t>
      </w:r>
    </w:p>
    <w:p>
      <w:pPr>
        <w:pStyle w:val="NormalWeb"/>
        <w:numPr>
          <w:ilvl w:val="0"/>
          <w:numId w:val="60"/>
        </w:numPr>
        <w:shd w:val="clear" w:color="auto" w:fill="FFFFFF"/>
        <w:spacing w:after="0" w:line="360" w:lineRule="auto"/>
        <w:jc w:val="both"/>
        <w:rPr>
          <w:rFonts w:eastAsia="Times New Roman"/>
          <w:noProof/>
        </w:rPr>
      </w:pPr>
      <w:r>
        <w:rPr>
          <w:noProof/>
          <w:sz w:val="22"/>
          <w:szCs w:val="22"/>
        </w:rPr>
        <w:t>Определянето на национални стратегии, политики и модели на добри практики за създаване на здравословна среда на живот, включително насоки за застъпничество за лицата, вземащи решения, и заинтересованите страни;</w:t>
      </w:r>
    </w:p>
    <w:p>
      <w:pPr>
        <w:pStyle w:val="NormalWeb"/>
        <w:numPr>
          <w:ilvl w:val="0"/>
          <w:numId w:val="60"/>
        </w:numPr>
        <w:shd w:val="clear" w:color="auto" w:fill="FFFFFF"/>
        <w:spacing w:after="0" w:line="360" w:lineRule="auto"/>
        <w:jc w:val="both"/>
        <w:rPr>
          <w:rFonts w:eastAsia="Times New Roman"/>
          <w:noProof/>
        </w:rPr>
      </w:pPr>
      <w:r>
        <w:rPr>
          <w:noProof/>
          <w:sz w:val="22"/>
          <w:szCs w:val="22"/>
        </w:rPr>
        <w:t>Намаляването на неравенството по отношение на здравето в достъпа до здравни и социални услуги чрез разработване на адаптирани регионални, национални и местни стратегии, политики и програми;</w:t>
      </w:r>
    </w:p>
    <w:p>
      <w:pPr>
        <w:pStyle w:val="NormalWeb"/>
        <w:numPr>
          <w:ilvl w:val="0"/>
          <w:numId w:val="60"/>
        </w:numPr>
        <w:shd w:val="clear" w:color="auto" w:fill="FFFFFF"/>
        <w:spacing w:after="0" w:line="360" w:lineRule="auto"/>
        <w:jc w:val="both"/>
        <w:rPr>
          <w:rFonts w:eastAsia="Times New Roman"/>
          <w:noProof/>
        </w:rPr>
      </w:pPr>
      <w:r>
        <w:rPr>
          <w:noProof/>
          <w:sz w:val="22"/>
          <w:szCs w:val="22"/>
        </w:rPr>
        <w:t>Укрепването на капацитета на участващите държави за разработване и прилагане на подход „Здраве и равнопоставеност във всички политики“.</w:t>
      </w:r>
    </w:p>
    <w:p>
      <w:pPr>
        <w:autoSpaceDE w:val="0"/>
        <w:autoSpaceDN w:val="0"/>
        <w:adjustRightInd w:val="0"/>
        <w:spacing w:after="0" w:line="360" w:lineRule="auto"/>
        <w:jc w:val="both"/>
        <w:rPr>
          <w:rFonts w:eastAsia="Times New Roman"/>
          <w:noProof/>
        </w:rPr>
      </w:pPr>
    </w:p>
    <w:p>
      <w:pPr>
        <w:autoSpaceDE w:val="0"/>
        <w:autoSpaceDN w:val="0"/>
        <w:adjustRightInd w:val="0"/>
        <w:spacing w:after="0" w:line="360" w:lineRule="auto"/>
        <w:jc w:val="both"/>
        <w:rPr>
          <w:rFonts w:eastAsia="Times New Roman"/>
          <w:noProof/>
        </w:rPr>
      </w:pPr>
      <w:r>
        <w:rPr>
          <w:noProof/>
        </w:rPr>
        <w:t xml:space="preserve">В рамките на цел 3 на здравната програма (Принос за новаторски, ефикасни и устойчиви системи за здравеопазване) </w:t>
      </w:r>
      <w:r>
        <w:rPr>
          <w:b/>
          <w:noProof/>
        </w:rPr>
        <w:t>сътрудничеството със Съвета на Европа по отношение на фармацевтичните продукти</w:t>
      </w:r>
      <w:r>
        <w:rPr>
          <w:noProof/>
        </w:rPr>
        <w:t xml:space="preserve"> беше подкрепено чрез подписване на тригодишно споразумение за пряка безвъзмездна помощ с принос на ЕС в размер на 3 300 000 EUR.</w:t>
      </w:r>
    </w:p>
    <w:p>
      <w:pPr>
        <w:widowControl w:val="0"/>
        <w:spacing w:before="120" w:after="120" w:line="360" w:lineRule="auto"/>
        <w:jc w:val="both"/>
        <w:rPr>
          <w:rFonts w:eastAsia="Times New Roman" w:cs="Times New Roman"/>
          <w:noProof/>
          <w:u w:val="single"/>
        </w:rPr>
      </w:pPr>
      <w:r>
        <w:rPr>
          <w:noProof/>
          <w:u w:val="single"/>
        </w:rPr>
        <w:t>Контекст</w:t>
      </w:r>
    </w:p>
    <w:p>
      <w:pPr>
        <w:autoSpaceDE w:val="0"/>
        <w:autoSpaceDN w:val="0"/>
        <w:adjustRightInd w:val="0"/>
        <w:spacing w:after="0" w:line="360" w:lineRule="auto"/>
        <w:jc w:val="both"/>
        <w:rPr>
          <w:rFonts w:eastAsia="Times New Roman" w:cs="Times New Roman"/>
          <w:noProof/>
        </w:rPr>
      </w:pPr>
      <w:r>
        <w:rPr>
          <w:noProof/>
        </w:rPr>
        <w:t>В Директива 2001/83/ЕО относно лекарствените продукти за хуманна употреба</w:t>
      </w:r>
      <w:r>
        <w:rPr>
          <w:rStyle w:val="FootnoteReference"/>
          <w:noProof/>
        </w:rPr>
        <w:footnoteReference w:id="13"/>
      </w:r>
      <w:r>
        <w:rPr>
          <w:noProof/>
        </w:rPr>
        <w:t xml:space="preserve"> и Директива 2001/82/EC за ветеринарните лекарствени продукти</w:t>
      </w:r>
      <w:r>
        <w:rPr>
          <w:noProof/>
          <w:sz w:val="16"/>
          <w:szCs w:val="16"/>
        </w:rPr>
        <w:t xml:space="preserve"> </w:t>
      </w:r>
      <w:r>
        <w:rPr>
          <w:rStyle w:val="FootnoteReference"/>
          <w:noProof/>
        </w:rPr>
        <w:footnoteReference w:id="14"/>
      </w:r>
      <w:r>
        <w:rPr>
          <w:noProof/>
        </w:rPr>
        <w:t xml:space="preserve">  централна роля</w:t>
      </w:r>
      <w:r>
        <w:rPr>
          <w:rStyle w:val="FootnoteReference"/>
          <w:noProof/>
        </w:rPr>
        <w:footnoteReference w:id="15"/>
      </w:r>
      <w:r>
        <w:rPr>
          <w:noProof/>
        </w:rPr>
        <w:t xml:space="preserve"> за осигуряване на качеството на лекарствата в Европейското икономическо пространство (ЕИП) се отрежда на Европейската фармакопея. Европейският съюз е страна по „Конвенция за разработването на Европейска фармакопея“ на Съвета на Европа в съответствие с Решение 94/358/ЕО на Съвета</w:t>
      </w:r>
      <w:r>
        <w:rPr>
          <w:rStyle w:val="FootnoteReference"/>
          <w:noProof/>
        </w:rPr>
        <w:footnoteReference w:id="16"/>
      </w:r>
      <w:r>
        <w:rPr>
          <w:noProof/>
        </w:rPr>
        <w:t>. Секретариатът на Европейската фармакопея се осигурява от Съвета на Европа/Европейския директорат по качеството на лекарствата и здравеопазването</w:t>
      </w:r>
      <w:r>
        <w:rPr>
          <w:rStyle w:val="FootnoteReference"/>
          <w:noProof/>
        </w:rPr>
        <w:footnoteReference w:id="17"/>
      </w:r>
      <w:r>
        <w:rPr>
          <w:noProof/>
        </w:rPr>
        <w:t>.</w:t>
      </w:r>
    </w:p>
    <w:p>
      <w:pPr>
        <w:widowControl w:val="0"/>
        <w:spacing w:before="120" w:after="120" w:line="360" w:lineRule="auto"/>
        <w:jc w:val="both"/>
        <w:rPr>
          <w:rFonts w:eastAsia="Arial" w:cs="Times New Roman"/>
          <w:noProof/>
          <w:u w:val="single"/>
        </w:rPr>
      </w:pPr>
      <w:r>
        <w:rPr>
          <w:noProof/>
          <w:u w:val="single"/>
        </w:rPr>
        <w:t>Цел</w:t>
      </w:r>
    </w:p>
    <w:p>
      <w:pPr>
        <w:autoSpaceDE w:val="0"/>
        <w:autoSpaceDN w:val="0"/>
        <w:adjustRightInd w:val="0"/>
        <w:spacing w:after="0" w:line="360" w:lineRule="auto"/>
        <w:jc w:val="both"/>
        <w:rPr>
          <w:rFonts w:eastAsia="Times New Roman"/>
          <w:noProof/>
        </w:rPr>
      </w:pPr>
      <w:r>
        <w:rPr>
          <w:noProof/>
        </w:rPr>
        <w:t>Действието има следните цели:</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Гарантиране на използването на хармонизирани стандарти за качество и референтни материали за биологични вещества в съответствие с усилията на ЕС за защита на животните;</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 xml:space="preserve">Гарантиране на адекватен и ефективен надзор на качеството на предлаганите на пазара лекарства в Европа; както и </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Поддържане и допълнително подобряване на хармонизираната идентификация на лекарствените продукти в Европа и в световен мащаб.</w:t>
      </w:r>
    </w:p>
    <w:p>
      <w:pPr>
        <w:keepNext/>
        <w:widowControl w:val="0"/>
        <w:spacing w:before="120" w:after="120" w:line="360" w:lineRule="auto"/>
        <w:jc w:val="both"/>
        <w:rPr>
          <w:rFonts w:eastAsia="Arial" w:cs="Times New Roman"/>
          <w:noProof/>
          <w:u w:val="single"/>
        </w:rPr>
      </w:pPr>
      <w:r>
        <w:rPr>
          <w:noProof/>
          <w:u w:val="single"/>
        </w:rPr>
        <w:t>Средства</w:t>
      </w:r>
    </w:p>
    <w:p>
      <w:pPr>
        <w:keepNext/>
        <w:spacing w:line="360" w:lineRule="auto"/>
        <w:jc w:val="both"/>
        <w:rPr>
          <w:rFonts w:eastAsia="Times New Roman" w:cs="Times New Roman"/>
          <w:noProof/>
        </w:rPr>
      </w:pPr>
      <w:r>
        <w:rPr>
          <w:noProof/>
        </w:rPr>
        <w:t>Чрез това действие се подкрепят:</w:t>
      </w:r>
    </w:p>
    <w:p>
      <w:pPr>
        <w:pStyle w:val="NormalWeb"/>
        <w:numPr>
          <w:ilvl w:val="0"/>
          <w:numId w:val="60"/>
        </w:numPr>
        <w:shd w:val="clear" w:color="auto" w:fill="FFFFFF"/>
        <w:spacing w:after="0" w:line="360" w:lineRule="auto"/>
        <w:jc w:val="both"/>
        <w:rPr>
          <w:rFonts w:eastAsia="Times New Roman"/>
          <w:noProof/>
        </w:rPr>
      </w:pPr>
      <w:r>
        <w:rPr>
          <w:noProof/>
          <w:sz w:val="22"/>
          <w:szCs w:val="22"/>
        </w:rPr>
        <w:t>Програмата за биологична стандартизация чрез предоставяне на нови методи за контрол на качеството на биологични вещества, както и референтни стандарти, необходими за изпълнение на методите за оценка на качеството в Европейската фармакопея.</w:t>
      </w:r>
    </w:p>
    <w:p>
      <w:pPr>
        <w:pStyle w:val="NormalWeb"/>
        <w:shd w:val="clear" w:color="auto" w:fill="FFFFFF"/>
        <w:spacing w:after="0" w:line="360" w:lineRule="auto"/>
        <w:ind w:left="720"/>
        <w:jc w:val="both"/>
        <w:rPr>
          <w:rFonts w:eastAsia="Times New Roman"/>
          <w:noProof/>
        </w:rPr>
      </w:pPr>
      <w:r>
        <w:rPr>
          <w:noProof/>
          <w:sz w:val="22"/>
          <w:szCs w:val="22"/>
        </w:rPr>
        <w:t xml:space="preserve">По тази програма за периода 2018—2020 г. се работи за установяването на такива референтни стандарти. </w:t>
      </w:r>
      <w:r>
        <w:rPr>
          <w:noProof/>
        </w:rPr>
        <w:t>Те са необходими, тъй като наборът от предварително установени стандарти е изчерпан или са създадени нови/преработени монографии на Европейската фармакопея, които налагат създаването на такива стандарти</w:t>
      </w:r>
      <w:r>
        <w:rPr>
          <w:rStyle w:val="FootnoteReference"/>
          <w:noProof/>
          <w:sz w:val="22"/>
          <w:szCs w:val="22"/>
        </w:rPr>
        <w:footnoteReference w:id="18"/>
      </w:r>
      <w:r>
        <w:rPr>
          <w:noProof/>
        </w:rPr>
        <w:t>.</w:t>
      </w:r>
    </w:p>
    <w:p>
      <w:pPr>
        <w:pStyle w:val="NormalWeb"/>
        <w:numPr>
          <w:ilvl w:val="0"/>
          <w:numId w:val="60"/>
        </w:numPr>
        <w:shd w:val="clear" w:color="auto" w:fill="FFFFFF"/>
        <w:spacing w:after="0" w:line="360" w:lineRule="auto"/>
        <w:jc w:val="both"/>
        <w:rPr>
          <w:noProof/>
        </w:rPr>
      </w:pPr>
      <w:r>
        <w:rPr>
          <w:noProof/>
          <w:sz w:val="22"/>
          <w:szCs w:val="22"/>
        </w:rPr>
        <w:t>Ролята на официалните лаборатории за контрол на лекарствените продукти (ОЛКЛП) за мониторинг на качеството на лекарствените продукти на европейския пазар чрез специализираната мрежа на ОЛКЛП.</w:t>
      </w:r>
    </w:p>
    <w:p>
      <w:pPr>
        <w:pStyle w:val="NormalWeb"/>
        <w:shd w:val="clear" w:color="auto" w:fill="FFFFFF"/>
        <w:spacing w:after="0" w:line="360" w:lineRule="auto"/>
        <w:ind w:left="720"/>
        <w:jc w:val="both"/>
        <w:rPr>
          <w:rFonts w:eastAsia="Times New Roman"/>
          <w:noProof/>
          <w:sz w:val="22"/>
          <w:szCs w:val="22"/>
        </w:rPr>
      </w:pPr>
      <w:r>
        <w:rPr>
          <w:noProof/>
          <w:sz w:val="22"/>
          <w:szCs w:val="22"/>
        </w:rPr>
        <w:t>През 2018—2020 г. мрежата ОЛКЛП ще вземе под внимание новите лекарствени продукти, за които е издадено разрешение, лекарствените продукти със сложна формулировка или сложен производствен процес, продуктите, произведени по нова технология на производство или контрол, или продукти, в методологията на чието изпитване са срещани трудности и в миналото.</w:t>
      </w:r>
    </w:p>
    <w:p>
      <w:pPr>
        <w:pStyle w:val="NormalWeb"/>
        <w:numPr>
          <w:ilvl w:val="0"/>
          <w:numId w:val="60"/>
        </w:numPr>
        <w:shd w:val="clear" w:color="auto" w:fill="FFFFFF"/>
        <w:spacing w:after="0" w:line="360" w:lineRule="auto"/>
        <w:jc w:val="both"/>
        <w:rPr>
          <w:noProof/>
        </w:rPr>
      </w:pPr>
      <w:r>
        <w:rPr>
          <w:noProof/>
          <w:sz w:val="22"/>
          <w:szCs w:val="22"/>
        </w:rPr>
        <w:t>Внедряването на система за управление на качеството във всички ОЛКЛП, която насърчава споделянето на работа, опит, оборудване и разходи за наблюдение на лекарствата.</w:t>
      </w:r>
    </w:p>
    <w:p>
      <w:pPr>
        <w:pStyle w:val="NormalWeb"/>
        <w:numPr>
          <w:ilvl w:val="0"/>
          <w:numId w:val="60"/>
        </w:numPr>
        <w:shd w:val="clear" w:color="auto" w:fill="FFFFFF"/>
        <w:spacing w:after="0" w:line="360" w:lineRule="auto"/>
        <w:jc w:val="both"/>
        <w:rPr>
          <w:noProof/>
        </w:rPr>
      </w:pPr>
      <w:r>
        <w:rPr>
          <w:noProof/>
          <w:sz w:val="22"/>
          <w:szCs w:val="22"/>
        </w:rPr>
        <w:t>Ролята на ОЛКЛП в откриването на фалшифицирани лекарства, както се изисква от законодателството на ЕС (директиви 2001/83/ЕО и 2001/82/ЕО).</w:t>
      </w:r>
    </w:p>
    <w:p>
      <w:pPr>
        <w:pStyle w:val="ListParagraph"/>
        <w:numPr>
          <w:ilvl w:val="0"/>
          <w:numId w:val="60"/>
        </w:numPr>
        <w:autoSpaceDE w:val="0"/>
        <w:autoSpaceDN w:val="0"/>
        <w:adjustRightInd w:val="0"/>
        <w:spacing w:after="0" w:line="360" w:lineRule="auto"/>
        <w:jc w:val="both"/>
        <w:rPr>
          <w:rFonts w:ascii="Times New Roman" w:hAnsi="Times New Roman"/>
          <w:noProof/>
        </w:rPr>
      </w:pPr>
      <w:r>
        <w:rPr>
          <w:rFonts w:ascii="Times New Roman" w:hAnsi="Times New Roman"/>
          <w:noProof/>
        </w:rPr>
        <w:t>Проектът „Терминология“, който е в основата на идентифицирането на лекарствени продукти по хармонизиран начин в целия свят, главно за целите на фармацевтичната бдителност. Чрез поддържане на базата данни със стандартни условия на хармонизирани термини и определения (за дозирани форми на фармацевтични продукти, начини и методи на приложение, опаковки и единици за представяне) действието засилва активността след пускане на пазара, както и мониторинга на глобално ниво на предполагаеми нежелани събития, причинявани от лекарствени продукти.</w:t>
      </w:r>
    </w:p>
    <w:p>
      <w:pPr>
        <w:spacing w:line="360" w:lineRule="auto"/>
        <w:jc w:val="both"/>
        <w:rPr>
          <w:rFonts w:eastAsia="Times New Roman" w:cs="Times New Roman"/>
          <w:noProof/>
        </w:rPr>
      </w:pPr>
    </w:p>
    <w:p>
      <w:pPr>
        <w:spacing w:line="360" w:lineRule="auto"/>
        <w:jc w:val="both"/>
        <w:rPr>
          <w:noProof/>
        </w:rPr>
      </w:pPr>
      <w:r>
        <w:rPr>
          <w:noProof/>
        </w:rPr>
        <w:t xml:space="preserve">В рамките на цел 4 на здравната програма (Улесняване на достъпа на гражданите на ЕС до по-добро и по-безопасно здравно обслужване) беше даден старт на </w:t>
      </w:r>
      <w:r>
        <w:rPr>
          <w:b/>
          <w:noProof/>
        </w:rPr>
        <w:t xml:space="preserve">комуникационната кампания относно новия Регламент (ЕС) 2017/745 за медицинските изделия </w:t>
      </w:r>
      <w:r>
        <w:rPr>
          <w:noProof/>
        </w:rPr>
        <w:t>в сътрудничество с ГД „Вътрешен пазар, промишленост, предприемачество и МСП“. Тригодишната кампания обхваща етапа на адаптиране за прилагане на посочения регламент за медицинските изделия, като за периода 2017—2019 г. се инвестират около 1 600 000 EUR.</w:t>
      </w:r>
    </w:p>
    <w:p>
      <w:pPr>
        <w:keepNext/>
        <w:spacing w:line="360" w:lineRule="auto"/>
        <w:jc w:val="both"/>
        <w:rPr>
          <w:rFonts w:eastAsia="Times New Roman" w:cs="Times New Roman"/>
          <w:noProof/>
          <w:u w:val="single"/>
        </w:rPr>
      </w:pPr>
      <w:r>
        <w:rPr>
          <w:noProof/>
          <w:u w:val="single"/>
        </w:rPr>
        <w:t>Контекст</w:t>
      </w:r>
    </w:p>
    <w:p>
      <w:pPr>
        <w:spacing w:line="360" w:lineRule="auto"/>
        <w:jc w:val="both"/>
        <w:rPr>
          <w:rFonts w:eastAsia="Times New Roman" w:cs="Times New Roman"/>
          <w:noProof/>
        </w:rPr>
      </w:pPr>
      <w:r>
        <w:rPr>
          <w:noProof/>
        </w:rPr>
        <w:t>Тази кампания се реализира в резултат на приемането през април 2017 г. на двата нови регламента за медицинските изделия — Регламент (ЕС) 2017/745 — и регламента за медицинските изделия за инвитро диагностика — Регламент (ЕС) 2017/746</w:t>
      </w:r>
      <w:r>
        <w:rPr>
          <w:rStyle w:val="FootnoteReference"/>
          <w:noProof/>
        </w:rPr>
        <w:footnoteReference w:id="19"/>
      </w:r>
      <w:r>
        <w:rPr>
          <w:noProof/>
        </w:rPr>
        <w:t>. Целта на кампанията е да се гарантира, че всички участници, а на първо място — производителите, са добре запознати с промените, новите изисквания и сроковете в новите регламенти. Датата за кандидатстване е май 2020 г. за медицински изделия и май 2022 г. за ин витро диагностика, но има няколко преходни разпоредби за по-ранно прилагане, с които всички заинтересовани страни трябва да бъдат напълно запознати.</w:t>
      </w:r>
    </w:p>
    <w:p>
      <w:pPr>
        <w:spacing w:line="360" w:lineRule="auto"/>
        <w:jc w:val="both"/>
        <w:rPr>
          <w:rFonts w:eastAsia="Times New Roman" w:cs="Times New Roman"/>
          <w:noProof/>
        </w:rPr>
      </w:pPr>
      <w:r>
        <w:rPr>
          <w:noProof/>
        </w:rPr>
        <w:t>Приемането на тези регламенти показва, че ЕС предприема стъпки, за да гарантира, че медицинските изделия на пазара ще бъдат по-безопасни за пациентите и здравните специалисти. Информационно-комуникационната кампания беше включена в приоритетите на председателя на Европейската комисия Жан-Клод Юнкер за „Заетост, растеж и инвестиции“ и „Вътрешен пазар“.</w:t>
      </w:r>
    </w:p>
    <w:p>
      <w:pPr>
        <w:widowControl w:val="0"/>
        <w:spacing w:before="120" w:after="120" w:line="360" w:lineRule="auto"/>
        <w:jc w:val="both"/>
        <w:rPr>
          <w:rFonts w:eastAsia="Arial" w:cs="Times New Roman"/>
          <w:noProof/>
          <w:u w:val="single"/>
        </w:rPr>
      </w:pPr>
      <w:r>
        <w:rPr>
          <w:noProof/>
          <w:u w:val="single"/>
        </w:rPr>
        <w:t>Цел</w:t>
      </w:r>
    </w:p>
    <w:p>
      <w:pPr>
        <w:spacing w:line="360" w:lineRule="auto"/>
        <w:jc w:val="both"/>
        <w:rPr>
          <w:rFonts w:eastAsia="Times New Roman" w:cs="Times New Roman"/>
          <w:noProof/>
        </w:rPr>
      </w:pPr>
      <w:r>
        <w:rPr>
          <w:noProof/>
        </w:rPr>
        <w:t>Инициативата за комуникация има за цел да бъдат избегнати смущения на пазара на медицински изделия след най-новите законодателни промени. Необходимо е да бъде предоставена информация на всички участници, засегнати от внесените с тези нови регламенти изменения. Това е от значение за европейските и световните производители, но също така и за вносителите, дистрибуторите, упълномощените представители, нотифицираните органи, преработвателите на изделия за еднократна употреба, здравните институции, здравните специалисти и компетентните органи.</w:t>
      </w:r>
    </w:p>
    <w:p>
      <w:pPr>
        <w:spacing w:line="360" w:lineRule="auto"/>
        <w:jc w:val="both"/>
        <w:rPr>
          <w:rFonts w:eastAsia="Times New Roman" w:cs="Times New Roman"/>
          <w:noProof/>
          <w:u w:val="single"/>
        </w:rPr>
      </w:pPr>
      <w:r>
        <w:rPr>
          <w:noProof/>
          <w:u w:val="single"/>
        </w:rPr>
        <w:t>Средства</w:t>
      </w:r>
    </w:p>
    <w:p>
      <w:pPr>
        <w:spacing w:line="360" w:lineRule="auto"/>
        <w:jc w:val="both"/>
        <w:rPr>
          <w:rFonts w:eastAsia="Times New Roman" w:cs="Times New Roman"/>
          <w:noProof/>
        </w:rPr>
      </w:pPr>
      <w:r>
        <w:rPr>
          <w:noProof/>
        </w:rPr>
        <w:t>За постигането на целите си, наред с другото, кампанията включва:</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Подготовка на комуникационна стратегия за кампанията.</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Създаване на база данни на участници, които ще обслужват кампанията, включително компетентните органи, професионалните и търговските организации, както и организациите на пациенти.</w:t>
      </w:r>
    </w:p>
    <w:p>
      <w:pPr>
        <w:pStyle w:val="NormalWeb"/>
        <w:numPr>
          <w:ilvl w:val="0"/>
          <w:numId w:val="60"/>
        </w:numPr>
        <w:shd w:val="clear" w:color="auto" w:fill="FFFFFF"/>
        <w:spacing w:after="0" w:line="360" w:lineRule="auto"/>
        <w:jc w:val="both"/>
        <w:rPr>
          <w:rFonts w:eastAsia="Times New Roman"/>
          <w:noProof/>
          <w:sz w:val="22"/>
          <w:szCs w:val="22"/>
        </w:rPr>
      </w:pPr>
      <w:r>
        <w:rPr>
          <w:noProof/>
        </w:rPr>
        <w:t>Подпомагане на избрани ключови заинтересовани страни при подготовката на конференции относно новите регламенти за медицинските изделия (Регламент (ЕС) 2017/745 и Регламент (ЕС) 2017/746).</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Изготвяне на персонализиран набор от информационен материал за всеки тип участник, към който са насочени.</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Изготвяне на двугодишен бюлетин за информационната кампания.</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Изготвяне на медиен пакет, допълнен с „картографиране“ на медиите и специално изготвени медийни пакети.</w:t>
      </w:r>
    </w:p>
    <w:p>
      <w:pPr>
        <w:pStyle w:val="NormalWeb"/>
        <w:numPr>
          <w:ilvl w:val="0"/>
          <w:numId w:val="60"/>
        </w:numPr>
        <w:shd w:val="clear" w:color="auto" w:fill="FFFFFF"/>
        <w:spacing w:after="0" w:line="360" w:lineRule="auto"/>
        <w:jc w:val="both"/>
        <w:rPr>
          <w:rFonts w:eastAsia="Times New Roman"/>
          <w:noProof/>
        </w:rPr>
      </w:pPr>
      <w:r>
        <w:rPr>
          <w:noProof/>
          <w:sz w:val="22"/>
          <w:szCs w:val="22"/>
        </w:rPr>
        <w:t>Организиране на онлайн уебинари и/или онлайн обучения.</w:t>
      </w:r>
      <w:r>
        <w:rPr>
          <w:noProof/>
          <w:sz w:val="22"/>
          <w:szCs w:val="22"/>
        </w:rPr>
        <w:br w:type="page"/>
      </w:r>
    </w:p>
    <w:p>
      <w:pPr>
        <w:pStyle w:val="Heading1"/>
        <w:spacing w:line="360" w:lineRule="auto"/>
        <w:rPr>
          <w:noProof/>
          <w:sz w:val="28"/>
          <w:szCs w:val="28"/>
        </w:rPr>
      </w:pPr>
      <w:bookmarkStart w:id="4" w:name="_Toc33622582"/>
      <w:r>
        <w:rPr>
          <w:noProof/>
          <w:sz w:val="28"/>
          <w:szCs w:val="28"/>
        </w:rPr>
        <w:t>ИЗПЪЛНЕНИЕ НА БЮДЖЕТА</w:t>
      </w:r>
      <w:bookmarkEnd w:id="4"/>
    </w:p>
    <w:p>
      <w:pPr>
        <w:spacing w:line="360" w:lineRule="auto"/>
        <w:jc w:val="both"/>
        <w:rPr>
          <w:noProof/>
        </w:rPr>
      </w:pPr>
    </w:p>
    <w:p>
      <w:pPr>
        <w:spacing w:line="360" w:lineRule="auto"/>
        <w:jc w:val="both"/>
        <w:rPr>
          <w:rFonts w:cs="Times New Roman"/>
          <w:noProof/>
        </w:rPr>
      </w:pPr>
      <w:r>
        <w:rPr>
          <w:noProof/>
        </w:rPr>
        <w:t>Общият бюджет на третата здравна програма (2014—2020 г.) възлиза на 449,4 млн. евро. В тази сума са включени 30 милиона евро за функционирането на Изпълнителната агенция за потребителите, здравеопазването, селското стопанство и храните (Сhafea), упълномощена от Комисията да управлява здравната програма за периода 2014—2020 г. От 2005 г.</w:t>
      </w:r>
      <w:r>
        <w:rPr>
          <w:rStyle w:val="FootnoteReference"/>
          <w:rFonts w:cs="Times New Roman"/>
          <w:noProof/>
        </w:rPr>
        <w:footnoteReference w:id="20"/>
      </w:r>
      <w:r>
        <w:rPr>
          <w:noProof/>
        </w:rPr>
        <w:t xml:space="preserve"> насам Сhafea предоставя на Комисията техническа, научна и административна помощ при изпълнението на здравната програма. Тя организира ежегодни покани за представяне на предложения, координира оценяването на кандидатурите и договаря, подписва и управлява споразумения за отпускане на безвъзмездни средства, както и разпространява резултатите от дейностите. Тя отговаря и за много процедури за възлагане на обществени поръчки.</w:t>
      </w:r>
    </w:p>
    <w:p>
      <w:pPr>
        <w:spacing w:line="360" w:lineRule="auto"/>
        <w:jc w:val="both"/>
        <w:rPr>
          <w:rFonts w:cs="Times New Roman"/>
          <w:noProof/>
        </w:rPr>
      </w:pPr>
      <w:r>
        <w:rPr>
          <w:noProof/>
        </w:rPr>
        <w:t>Бюджетът, заложен в работния план за 2017 г.</w:t>
      </w:r>
      <w:r>
        <w:rPr>
          <w:rStyle w:val="FootnoteReference"/>
          <w:rFonts w:cs="Times New Roman"/>
          <w:noProof/>
        </w:rPr>
        <w:footnoteReference w:id="21"/>
      </w:r>
      <w:r>
        <w:rPr>
          <w:noProof/>
        </w:rPr>
        <w:t>, беше 61 904 085,00 EUR, разпределени, както следва:</w:t>
      </w:r>
    </w:p>
    <w:p>
      <w:pPr>
        <w:pStyle w:val="ListParagraph"/>
        <w:numPr>
          <w:ilvl w:val="0"/>
          <w:numId w:val="57"/>
        </w:numPr>
        <w:spacing w:line="360" w:lineRule="auto"/>
        <w:jc w:val="both"/>
        <w:rPr>
          <w:rFonts w:ascii="Times New Roman" w:hAnsi="Times New Roman"/>
          <w:noProof/>
        </w:rPr>
      </w:pPr>
      <w:r>
        <w:rPr>
          <w:rFonts w:ascii="Times New Roman" w:hAnsi="Times New Roman"/>
          <w:noProof/>
        </w:rPr>
        <w:t>Оперативни разходи: 60 404 085,00 ЕUR, съответстващи на третата програма за действие на Съюза в областта на здравето (2014—2020 г.), бюджетен ред 17 03 01 (</w:t>
      </w:r>
      <w:r>
        <w:rPr>
          <w:rFonts w:ascii="Times New Roman" w:hAnsi="Times New Roman"/>
          <w:i/>
          <w:iCs/>
          <w:noProof/>
        </w:rPr>
        <w:t>„Насърчаване на иновациите в здравния сектор, повишаване на устойчивостта на системите за здравеопазване и защита на гражданите на Съюза от сериозни трансгранични заплахи за здравето“</w:t>
      </w:r>
      <w:r>
        <w:rPr>
          <w:rFonts w:ascii="Times New Roman" w:hAnsi="Times New Roman"/>
          <w:noProof/>
        </w:rPr>
        <w:t>);</w:t>
      </w:r>
    </w:p>
    <w:p>
      <w:pPr>
        <w:pStyle w:val="ListParagraph"/>
        <w:numPr>
          <w:ilvl w:val="0"/>
          <w:numId w:val="57"/>
        </w:numPr>
        <w:spacing w:line="360" w:lineRule="auto"/>
        <w:jc w:val="both"/>
        <w:rPr>
          <w:noProof/>
        </w:rPr>
      </w:pPr>
      <w:r>
        <w:rPr>
          <w:rFonts w:ascii="Times New Roman" w:hAnsi="Times New Roman"/>
          <w:noProof/>
        </w:rPr>
        <w:t>Aдминистративни разходи: 1 500 000,00 EUR, съответстващи на разходите за подкрепа по третата програма за действие на Съюза в областта на здравето (2014—2020 г.), бюджетен ред 17 01 04 02.</w:t>
      </w:r>
    </w:p>
    <w:p>
      <w:pPr>
        <w:spacing w:line="360" w:lineRule="auto"/>
        <w:jc w:val="both"/>
        <w:rPr>
          <w:rFonts w:cs="Times New Roman"/>
          <w:noProof/>
        </w:rPr>
      </w:pPr>
      <w:r>
        <w:rPr>
          <w:noProof/>
        </w:rPr>
        <w:t xml:space="preserve">Оперативният бюджет възлезе на </w:t>
      </w:r>
      <w:r>
        <w:rPr>
          <w:b/>
          <w:bCs/>
          <w:noProof/>
        </w:rPr>
        <w:t>60 404 085,00</w:t>
      </w:r>
      <w:r>
        <w:rPr>
          <w:noProof/>
        </w:rPr>
        <w:t> EUR, като включи и кредити от Европейската асоциация за свободна търговия (ЕАСТ)/ЕИП в размер на 1 574 508,00 EUR.</w:t>
      </w:r>
    </w:p>
    <w:p>
      <w:pPr>
        <w:spacing w:line="360" w:lineRule="auto"/>
        <w:jc w:val="both"/>
        <w:rPr>
          <w:rFonts w:cs="Times New Roman"/>
          <w:noProof/>
        </w:rPr>
      </w:pPr>
      <w:r>
        <w:rPr>
          <w:noProof/>
        </w:rPr>
        <w:t>От тази сума бяха заделени 60 386 800,00 EUR за годишната работна програма за 2017 г. Chafea осигурява 46 764 719,17 EUR от този бюджет, докато ГД „Здравеопазване и безопасност на храните“ пое задължения в размер на 13 622 080,83 EUR, обхващащи част от поръчките и други дейности. Изпълненият от общия ангажимент бюджет е 60 063 178,12 EUR, като 323 621 88 EUR е сумата на неизползваните кредити (0,54 %).</w:t>
      </w:r>
    </w:p>
    <w:p>
      <w:pPr>
        <w:pStyle w:val="ManualHeading2"/>
        <w:rPr>
          <w:noProof/>
        </w:rPr>
      </w:pPr>
      <w:bookmarkStart w:id="5" w:name="_Toc33622583"/>
      <w:r>
        <w:t>1.</w:t>
      </w:r>
      <w:r>
        <w:tab/>
      </w:r>
      <w:r>
        <w:rPr>
          <w:noProof/>
        </w:rPr>
        <w:t>Приоритети</w:t>
      </w:r>
      <w:bookmarkEnd w:id="5"/>
    </w:p>
    <w:p>
      <w:pPr>
        <w:spacing w:before="100" w:beforeAutospacing="1" w:after="100" w:afterAutospacing="1" w:line="360" w:lineRule="auto"/>
        <w:jc w:val="both"/>
        <w:rPr>
          <w:rFonts w:eastAsia="Times New Roman" w:cs="Times New Roman"/>
          <w:noProof/>
        </w:rPr>
      </w:pPr>
      <w:r>
        <w:rPr>
          <w:noProof/>
        </w:rPr>
        <w:t>През 2017 г. реализираният общ оперативен бюджет (60 063 178,12 EUR) беше разпределен между четирите специфични цели на програмата, както следва:</w:t>
      </w:r>
    </w:p>
    <w:p>
      <w:pPr>
        <w:numPr>
          <w:ilvl w:val="0"/>
          <w:numId w:val="25"/>
        </w:numPr>
        <w:spacing w:before="100" w:beforeAutospacing="1" w:after="100" w:afterAutospacing="1" w:line="360" w:lineRule="auto"/>
        <w:jc w:val="both"/>
        <w:rPr>
          <w:rFonts w:eastAsia="Times New Roman" w:cs="Times New Roman"/>
          <w:b/>
          <w:i/>
          <w:noProof/>
        </w:rPr>
      </w:pPr>
      <w:r>
        <w:rPr>
          <w:b/>
          <w:noProof/>
        </w:rPr>
        <w:t xml:space="preserve">Промоция на здравето </w:t>
      </w:r>
      <w:r>
        <w:rPr>
          <w:noProof/>
        </w:rPr>
        <w:t>— 22 282 477,74 EUR</w:t>
      </w:r>
      <w:r>
        <w:rPr>
          <w:b/>
          <w:i/>
          <w:noProof/>
        </w:rPr>
        <w:t xml:space="preserve"> (37 % от оперативния бюджет) </w:t>
      </w:r>
      <w:r>
        <w:rPr>
          <w:noProof/>
        </w:rPr>
        <w:t>за промоция на здравето, профилактика на болестите и създаване на среда, благоприятстваща здравословен начин на живот при отчитане на принципа „здраве във всички политики“;</w:t>
      </w:r>
    </w:p>
    <w:p>
      <w:pPr>
        <w:numPr>
          <w:ilvl w:val="0"/>
          <w:numId w:val="25"/>
        </w:numPr>
        <w:spacing w:before="100" w:beforeAutospacing="1" w:after="100" w:afterAutospacing="1" w:line="360" w:lineRule="auto"/>
        <w:jc w:val="both"/>
        <w:rPr>
          <w:rFonts w:eastAsia="Times New Roman" w:cs="Times New Roman"/>
          <w:b/>
          <w:i/>
          <w:noProof/>
        </w:rPr>
      </w:pPr>
      <w:r>
        <w:rPr>
          <w:b/>
          <w:noProof/>
        </w:rPr>
        <w:t>Заплахи за здравето</w:t>
      </w:r>
      <w:r>
        <w:rPr>
          <w:noProof/>
        </w:rPr>
        <w:t xml:space="preserve"> — 7 198 549,97 ЕUR </w:t>
      </w:r>
      <w:r>
        <w:rPr>
          <w:b/>
          <w:i/>
          <w:noProof/>
        </w:rPr>
        <w:t>(12 % от оперативния бюджет)</w:t>
      </w:r>
      <w:r>
        <w:rPr>
          <w:noProof/>
        </w:rPr>
        <w:t xml:space="preserve"> за защита на гражданите на Съюза от сериозни трансгранични заплахи за здравето;</w:t>
      </w:r>
    </w:p>
    <w:p>
      <w:pPr>
        <w:numPr>
          <w:ilvl w:val="0"/>
          <w:numId w:val="25"/>
        </w:numPr>
        <w:spacing w:before="100" w:beforeAutospacing="1" w:after="100" w:afterAutospacing="1" w:line="360" w:lineRule="auto"/>
        <w:jc w:val="both"/>
        <w:rPr>
          <w:rFonts w:eastAsia="Times New Roman" w:cs="Times New Roman"/>
          <w:b/>
          <w:i/>
          <w:noProof/>
        </w:rPr>
      </w:pPr>
      <w:r>
        <w:rPr>
          <w:b/>
          <w:noProof/>
        </w:rPr>
        <w:t>Системи за здравеопазване</w:t>
      </w:r>
      <w:r>
        <w:rPr>
          <w:noProof/>
        </w:rPr>
        <w:t xml:space="preserve"> — 18 059 351,37 ЕUR </w:t>
      </w:r>
      <w:r>
        <w:rPr>
          <w:b/>
          <w:i/>
          <w:noProof/>
        </w:rPr>
        <w:t>(30 % от оперативния бюджет)</w:t>
      </w:r>
      <w:r>
        <w:rPr>
          <w:noProof/>
        </w:rPr>
        <w:t xml:space="preserve"> за принос за новаторски, ефикасни и устойчиви системи за здравеопазване;</w:t>
      </w:r>
    </w:p>
    <w:p>
      <w:pPr>
        <w:numPr>
          <w:ilvl w:val="0"/>
          <w:numId w:val="25"/>
        </w:numPr>
        <w:spacing w:before="100" w:beforeAutospacing="1" w:after="100" w:afterAutospacing="1" w:line="360" w:lineRule="auto"/>
        <w:jc w:val="both"/>
        <w:rPr>
          <w:rFonts w:eastAsia="Times New Roman" w:cs="Times New Roman"/>
          <w:b/>
          <w:i/>
          <w:noProof/>
        </w:rPr>
      </w:pPr>
      <w:r>
        <w:rPr>
          <w:b/>
          <w:noProof/>
        </w:rPr>
        <w:t>По-добро и по-безопасно здравно обслужване</w:t>
      </w:r>
      <w:r>
        <w:rPr>
          <w:noProof/>
        </w:rPr>
        <w:t xml:space="preserve"> — 8 560 567,66 ЕUR </w:t>
      </w:r>
      <w:r>
        <w:rPr>
          <w:b/>
          <w:i/>
          <w:noProof/>
        </w:rPr>
        <w:t>(14 % от оперативния бюджет)</w:t>
      </w:r>
      <w:r>
        <w:rPr>
          <w:noProof/>
        </w:rPr>
        <w:t xml:space="preserve"> за улесняване на достъпа на гражданите на ЕС до по-добро и по-безопасно здравно обслужване.</w:t>
      </w:r>
    </w:p>
    <w:p>
      <w:pPr>
        <w:spacing w:before="100" w:beforeAutospacing="1" w:after="100" w:afterAutospacing="1" w:line="360" w:lineRule="auto"/>
        <w:jc w:val="both"/>
        <w:rPr>
          <w:rFonts w:eastAsia="Times New Roman" w:cs="Times New Roman"/>
          <w:b/>
          <w:i/>
          <w:noProof/>
        </w:rPr>
      </w:pPr>
      <w:r>
        <w:rPr>
          <w:noProof/>
        </w:rPr>
        <w:t xml:space="preserve">В допълнение към това средствата за </w:t>
      </w:r>
      <w:r>
        <w:rPr>
          <w:b/>
          <w:noProof/>
        </w:rPr>
        <w:t>хоризонталните дейности</w:t>
      </w:r>
      <w:r>
        <w:rPr>
          <w:noProof/>
        </w:rPr>
        <w:t xml:space="preserve"> (ИТ, комуникации) и междусекторните действия достигнаха до 3 962 231,38 </w:t>
      </w:r>
      <w:r>
        <w:rPr>
          <w:b/>
          <w:i/>
          <w:noProof/>
        </w:rPr>
        <w:t xml:space="preserve"> </w:t>
      </w:r>
      <w:r>
        <w:rPr>
          <w:noProof/>
        </w:rPr>
        <w:t xml:space="preserve">EUR </w:t>
      </w:r>
      <w:r>
        <w:rPr>
          <w:b/>
          <w:i/>
          <w:noProof/>
        </w:rPr>
        <w:t>(7 % от оперативния бюджет)</w:t>
      </w:r>
      <w:r>
        <w:rPr>
          <w:noProof/>
        </w:rPr>
        <w:t>.</w:t>
      </w:r>
    </w:p>
    <w:p>
      <w:pPr>
        <w:keepNext/>
        <w:spacing w:before="120" w:after="120" w:line="360" w:lineRule="auto"/>
        <w:jc w:val="center"/>
        <w:rPr>
          <w:rFonts w:cs="Times New Roman"/>
          <w:b/>
          <w:noProof/>
        </w:rPr>
      </w:pPr>
      <w:r>
        <w:rPr>
          <w:b/>
          <w:noProof/>
        </w:rPr>
        <w:t>Фигура 1: Оперативен бюджет по цели на Третата здравна програма през 2017 г.</w:t>
      </w:r>
    </w:p>
    <w:p>
      <w:pPr>
        <w:keepNext/>
        <w:spacing w:before="120" w:after="120" w:line="360" w:lineRule="auto"/>
        <w:jc w:val="center"/>
        <w:rPr>
          <w:rFonts w:cs="Times New Roman"/>
          <w:b/>
          <w:noProof/>
        </w:rPr>
      </w:pPr>
      <w:r>
        <w:rPr>
          <w:noProof/>
          <w:lang w:val="en-GB" w:eastAsia="en-GB"/>
        </w:rPr>
        <w:drawing>
          <wp:inline distT="0" distB="0" distL="0" distR="0">
            <wp:extent cx="4889500" cy="3517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9500" cy="3517900"/>
                    </a:xfrm>
                    <a:prstGeom prst="rect">
                      <a:avLst/>
                    </a:prstGeom>
                    <a:noFill/>
                  </pic:spPr>
                </pic:pic>
              </a:graphicData>
            </a:graphic>
          </wp:inline>
        </w:drawing>
      </w:r>
      <w:r>
        <w:rPr>
          <w:noProof/>
        </w:rPr>
        <w:t xml:space="preserve"> </w:t>
      </w:r>
    </w:p>
    <w:p>
      <w:pPr>
        <w:spacing w:before="100" w:beforeAutospacing="1" w:after="100" w:afterAutospacing="1" w:line="360" w:lineRule="auto"/>
        <w:rPr>
          <w:rFonts w:eastAsia="Times New Roman" w:cs="Times New Roman"/>
          <w:noProof/>
        </w:rPr>
      </w:pPr>
      <w:r>
        <w:rPr>
          <w:noProof/>
        </w:rPr>
        <w:t>На следващата фигура е дадена информация относно кредитите за здравната програма, инвестирани като участие на ЕС чрез различните тематични приоритети през 2017 г.</w:t>
      </w:r>
    </w:p>
    <w:p>
      <w:pPr>
        <w:keepNext/>
        <w:spacing w:before="120" w:after="120" w:line="360" w:lineRule="auto"/>
        <w:jc w:val="center"/>
        <w:rPr>
          <w:rFonts w:cs="Times New Roman"/>
          <w:b/>
          <w:noProof/>
        </w:rPr>
      </w:pPr>
      <w:r>
        <w:rPr>
          <w:b/>
          <w:noProof/>
        </w:rPr>
        <w:t>Фигура 2: Оперативен бюджет по тематични приоритети през 2017 г.</w:t>
      </w:r>
      <w:r>
        <w:rPr>
          <w:b/>
          <w:noProof/>
          <w:lang w:val="en-GB" w:eastAsia="en-GB"/>
        </w:rPr>
        <w:drawing>
          <wp:inline distT="0" distB="0" distL="0" distR="0">
            <wp:extent cx="5705055"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8251" cy="3055050"/>
                    </a:xfrm>
                    <a:prstGeom prst="rect">
                      <a:avLst/>
                    </a:prstGeom>
                    <a:noFill/>
                  </pic:spPr>
                </pic:pic>
              </a:graphicData>
            </a:graphic>
          </wp:inline>
        </w:drawing>
      </w:r>
    </w:p>
    <w:p>
      <w:pPr>
        <w:spacing w:line="360" w:lineRule="auto"/>
        <w:jc w:val="both"/>
        <w:rPr>
          <w:rFonts w:eastAsia="Times New Roman" w:cs="Times New Roman"/>
          <w:noProof/>
        </w:rPr>
      </w:pPr>
    </w:p>
    <w:p>
      <w:pPr>
        <w:spacing w:line="360" w:lineRule="auto"/>
        <w:jc w:val="both"/>
        <w:rPr>
          <w:rFonts w:eastAsia="Times New Roman" w:cs="Times New Roman"/>
          <w:noProof/>
        </w:rPr>
      </w:pPr>
      <w:r>
        <w:rPr>
          <w:noProof/>
        </w:rPr>
        <w:t>За да бъдат постигнати описаните цели, програмата се изпълнява чрез широк набор от финансови инструменти. Те са:</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безвъзмездни средства за изпълнение на проект, включително специални споразумения за безвъзмездни средства с един бенефициер за Европейските референтни мрежи;</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безвъзмездни средства за оперативни разходи в подкрепа на неправителствените организации;</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действия, съфинансирани с органите на държавите членки (съвместни действия);</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преки споразумения с международни организации;</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обществени поръчки, както и</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други действия, например подкрепа за работата на научни комитети, административни споразумения със Съвместния изследователски център, вторично делегиран бюджет на Евростат и хоризонтални действия като предоставяне на безвъзмездни средства за конференции на председателствата.</w:t>
      </w:r>
    </w:p>
    <w:p>
      <w:pPr>
        <w:spacing w:line="360" w:lineRule="auto"/>
        <w:jc w:val="both"/>
        <w:rPr>
          <w:rFonts w:cs="Times New Roman"/>
          <w:noProof/>
        </w:rPr>
      </w:pPr>
      <w:r>
        <w:rPr>
          <w:noProof/>
        </w:rPr>
        <w:t>При подбора на действия за финансиране бяха използвани конкурентни критерии за подбор и възлагане. Изключение от това правило са съвместните действия, споразуменията за отпускане на преки безвъзмездни средства и конференциите, организирани от председателствата на Съвета, което се дължи на специфични правила или например на монополни ситуации. В случай на съвместни действия качеството на съфинансираните действия се осигурява чрез организирането на процес на партньорски преглед, при който проектите на предложения се оценяват, като се използват критериите за възлагане на ГРП от външни оценители, служители на ГД „Здравеопазване и безопасност на храните“ по политиките и Chafea.</w:t>
      </w:r>
    </w:p>
    <w:p>
      <w:pPr>
        <w:spacing w:line="360" w:lineRule="auto"/>
        <w:jc w:val="both"/>
        <w:rPr>
          <w:rFonts w:cs="Times New Roman"/>
          <w:noProof/>
        </w:rPr>
      </w:pPr>
      <w:r>
        <w:rPr>
          <w:noProof/>
        </w:rPr>
        <w:t>Административните кредити обхванаха разходи като проучвания (включително външна оценка на Chafea и оценка на въздействието на здравната програма), срещи на експерти, разходи за информация и публикации и преводи, както и техническа и административна помощ за ИТ системи.</w:t>
      </w:r>
      <w:r>
        <w:rPr>
          <w:noProof/>
        </w:rPr>
        <w:br w:type="page"/>
      </w:r>
    </w:p>
    <w:p>
      <w:pPr>
        <w:pStyle w:val="ManualHeading2"/>
        <w:rPr>
          <w:noProof/>
        </w:rPr>
      </w:pPr>
      <w:bookmarkStart w:id="6" w:name="_Toc33622584"/>
      <w:r>
        <w:t>2.</w:t>
      </w:r>
      <w:r>
        <w:tab/>
      </w:r>
      <w:r>
        <w:rPr>
          <w:noProof/>
        </w:rPr>
        <w:t>Изпълнение на оперативния бюджет по механизъм за финансиране</w:t>
      </w:r>
      <w:bookmarkEnd w:id="6"/>
    </w:p>
    <w:tbl>
      <w:tblPr>
        <w:tblStyle w:val="TableGrid"/>
        <w:tblW w:w="9464" w:type="dxa"/>
        <w:tblLook w:val="0000" w:firstRow="0" w:lastRow="0" w:firstColumn="0" w:lastColumn="0" w:noHBand="0" w:noVBand="0"/>
      </w:tblPr>
      <w:tblGrid>
        <w:gridCol w:w="4361"/>
        <w:gridCol w:w="2551"/>
        <w:gridCol w:w="2552"/>
      </w:tblGrid>
      <w:tr>
        <w:trPr>
          <w:trHeight w:val="715"/>
        </w:trPr>
        <w:tc>
          <w:tcPr>
            <w:tcW w:w="4361" w:type="dxa"/>
            <w:noWrap/>
          </w:tcPr>
          <w:p>
            <w:pPr>
              <w:spacing w:line="360" w:lineRule="auto"/>
              <w:jc w:val="both"/>
              <w:rPr>
                <w:b/>
                <w:noProof/>
              </w:rPr>
            </w:pPr>
            <w:r>
              <w:rPr>
                <w:b/>
                <w:noProof/>
              </w:rPr>
              <w:t>Вид механизъм за финансиране</w:t>
            </w:r>
          </w:p>
        </w:tc>
        <w:tc>
          <w:tcPr>
            <w:tcW w:w="2551" w:type="dxa"/>
            <w:noWrap/>
          </w:tcPr>
          <w:p>
            <w:pPr>
              <w:spacing w:line="360" w:lineRule="auto"/>
              <w:jc w:val="both"/>
              <w:rPr>
                <w:b/>
                <w:noProof/>
              </w:rPr>
            </w:pPr>
            <w:r>
              <w:rPr>
                <w:b/>
                <w:noProof/>
              </w:rPr>
              <w:t>Изпълнение (EUR)</w:t>
            </w:r>
          </w:p>
        </w:tc>
        <w:tc>
          <w:tcPr>
            <w:tcW w:w="2552" w:type="dxa"/>
            <w:noWrap/>
          </w:tcPr>
          <w:p>
            <w:pPr>
              <w:spacing w:line="360" w:lineRule="auto"/>
              <w:rPr>
                <w:b/>
                <w:noProof/>
              </w:rPr>
            </w:pPr>
            <w:r>
              <w:rPr>
                <w:b/>
                <w:noProof/>
              </w:rPr>
              <w:t xml:space="preserve">Дял на механизма в общия изпълнен бюджет </w:t>
            </w:r>
          </w:p>
        </w:tc>
      </w:tr>
      <w:tr>
        <w:trPr>
          <w:trHeight w:val="272"/>
        </w:trPr>
        <w:tc>
          <w:tcPr>
            <w:tcW w:w="4361" w:type="dxa"/>
            <w:noWrap/>
          </w:tcPr>
          <w:p>
            <w:pPr>
              <w:spacing w:line="360" w:lineRule="auto"/>
              <w:jc w:val="both"/>
              <w:rPr>
                <w:b/>
                <w:noProof/>
              </w:rPr>
            </w:pPr>
            <w:r>
              <w:rPr>
                <w:b/>
                <w:noProof/>
              </w:rPr>
              <w:t>Покани за представяне на предложения:</w:t>
            </w:r>
          </w:p>
        </w:tc>
        <w:tc>
          <w:tcPr>
            <w:tcW w:w="2551" w:type="dxa"/>
            <w:noWrap/>
          </w:tcPr>
          <w:p>
            <w:pPr>
              <w:spacing w:line="360" w:lineRule="auto"/>
              <w:jc w:val="right"/>
              <w:rPr>
                <w:bCs/>
                <w:noProof/>
              </w:rPr>
            </w:pPr>
            <w:r>
              <w:rPr>
                <w:noProof/>
              </w:rPr>
              <w:t>10 316 224,31</w:t>
            </w:r>
          </w:p>
        </w:tc>
        <w:tc>
          <w:tcPr>
            <w:tcW w:w="2552" w:type="dxa"/>
            <w:shd w:val="clear" w:color="auto" w:fill="auto"/>
            <w:noWrap/>
          </w:tcPr>
          <w:p>
            <w:pPr>
              <w:tabs>
                <w:tab w:val="decimal" w:pos="792"/>
              </w:tabs>
              <w:spacing w:line="360" w:lineRule="auto"/>
              <w:jc w:val="right"/>
              <w:rPr>
                <w:b/>
                <w:noProof/>
              </w:rPr>
            </w:pPr>
            <w:r>
              <w:rPr>
                <w:b/>
                <w:noProof/>
              </w:rPr>
              <w:t>17,18 %</w:t>
            </w:r>
          </w:p>
        </w:tc>
      </w:tr>
      <w:tr>
        <w:trPr>
          <w:trHeight w:val="340"/>
        </w:trPr>
        <w:tc>
          <w:tcPr>
            <w:tcW w:w="4361" w:type="dxa"/>
            <w:noWrap/>
          </w:tcPr>
          <w:p>
            <w:pPr>
              <w:spacing w:line="360" w:lineRule="auto"/>
              <w:jc w:val="both"/>
              <w:rPr>
                <w:bCs/>
                <w:noProof/>
              </w:rPr>
            </w:pPr>
            <w:r>
              <w:rPr>
                <w:noProof/>
              </w:rPr>
              <w:t>Безвъзмездни средства за изпълнение на проекти</w:t>
            </w:r>
          </w:p>
        </w:tc>
        <w:tc>
          <w:tcPr>
            <w:tcW w:w="2551" w:type="dxa"/>
            <w:noWrap/>
          </w:tcPr>
          <w:p>
            <w:pPr>
              <w:spacing w:line="360" w:lineRule="auto"/>
              <w:jc w:val="right"/>
              <w:rPr>
                <w:bCs/>
                <w:noProof/>
              </w:rPr>
            </w:pPr>
            <w:r>
              <w:rPr>
                <w:noProof/>
              </w:rPr>
              <w:t>0,00</w:t>
            </w:r>
          </w:p>
        </w:tc>
        <w:tc>
          <w:tcPr>
            <w:tcW w:w="2552" w:type="dxa"/>
            <w:shd w:val="clear" w:color="auto" w:fill="auto"/>
            <w:noWrap/>
          </w:tcPr>
          <w:p>
            <w:pPr>
              <w:tabs>
                <w:tab w:val="decimal" w:pos="792"/>
              </w:tabs>
              <w:spacing w:line="360" w:lineRule="auto"/>
              <w:jc w:val="right"/>
              <w:rPr>
                <w:noProof/>
              </w:rPr>
            </w:pPr>
            <w:r>
              <w:rPr>
                <w:noProof/>
              </w:rPr>
              <w:t xml:space="preserve">0,00 % </w:t>
            </w:r>
          </w:p>
        </w:tc>
      </w:tr>
      <w:tr>
        <w:trPr>
          <w:trHeight w:val="340"/>
        </w:trPr>
        <w:tc>
          <w:tcPr>
            <w:tcW w:w="4361" w:type="dxa"/>
            <w:noWrap/>
          </w:tcPr>
          <w:p>
            <w:pPr>
              <w:spacing w:line="360" w:lineRule="auto"/>
              <w:jc w:val="both"/>
              <w:rPr>
                <w:bCs/>
                <w:noProof/>
              </w:rPr>
            </w:pPr>
            <w:r>
              <w:rPr>
                <w:noProof/>
              </w:rPr>
              <w:t>Специфични споразумения за безвъзмездни средства за действия на Европейската референтна мрежа (ЕРМ) по РСП според целта</w:t>
            </w:r>
          </w:p>
        </w:tc>
        <w:tc>
          <w:tcPr>
            <w:tcW w:w="2551" w:type="dxa"/>
            <w:noWrap/>
          </w:tcPr>
          <w:p>
            <w:pPr>
              <w:spacing w:line="360" w:lineRule="auto"/>
              <w:jc w:val="right"/>
              <w:rPr>
                <w:bCs/>
                <w:noProof/>
              </w:rPr>
            </w:pPr>
            <w:r>
              <w:rPr>
                <w:noProof/>
              </w:rPr>
              <w:t>4 504 311,91</w:t>
            </w:r>
          </w:p>
        </w:tc>
        <w:tc>
          <w:tcPr>
            <w:tcW w:w="2552" w:type="dxa"/>
            <w:shd w:val="clear" w:color="auto" w:fill="auto"/>
            <w:noWrap/>
          </w:tcPr>
          <w:p>
            <w:pPr>
              <w:tabs>
                <w:tab w:val="decimal" w:pos="792"/>
              </w:tabs>
              <w:spacing w:line="360" w:lineRule="auto"/>
              <w:jc w:val="right"/>
              <w:rPr>
                <w:noProof/>
              </w:rPr>
            </w:pPr>
            <w:r>
              <w:rPr>
                <w:noProof/>
              </w:rPr>
              <w:t>7,50 %</w:t>
            </w:r>
          </w:p>
        </w:tc>
      </w:tr>
      <w:tr>
        <w:trPr>
          <w:trHeight w:val="340"/>
        </w:trPr>
        <w:tc>
          <w:tcPr>
            <w:tcW w:w="4361" w:type="dxa"/>
            <w:noWrap/>
          </w:tcPr>
          <w:p>
            <w:pPr>
              <w:spacing w:line="360" w:lineRule="auto"/>
              <w:jc w:val="both"/>
              <w:rPr>
                <w:bCs/>
                <w:noProof/>
              </w:rPr>
            </w:pPr>
            <w:r>
              <w:rPr>
                <w:noProof/>
              </w:rPr>
              <w:t>Безвъзмездни средства за оперативни разходи</w:t>
            </w:r>
          </w:p>
        </w:tc>
        <w:tc>
          <w:tcPr>
            <w:tcW w:w="2551" w:type="dxa"/>
            <w:noWrap/>
          </w:tcPr>
          <w:p>
            <w:pPr>
              <w:spacing w:line="360" w:lineRule="auto"/>
              <w:jc w:val="right"/>
              <w:rPr>
                <w:bCs/>
                <w:noProof/>
              </w:rPr>
            </w:pPr>
            <w:r>
              <w:rPr>
                <w:noProof/>
              </w:rPr>
              <w:t>5 811 912,40</w:t>
            </w:r>
          </w:p>
        </w:tc>
        <w:tc>
          <w:tcPr>
            <w:tcW w:w="2552" w:type="dxa"/>
            <w:shd w:val="clear" w:color="auto" w:fill="auto"/>
            <w:noWrap/>
          </w:tcPr>
          <w:p>
            <w:pPr>
              <w:tabs>
                <w:tab w:val="decimal" w:pos="792"/>
              </w:tabs>
              <w:spacing w:line="360" w:lineRule="auto"/>
              <w:jc w:val="right"/>
              <w:rPr>
                <w:noProof/>
              </w:rPr>
            </w:pPr>
            <w:r>
              <w:rPr>
                <w:noProof/>
              </w:rPr>
              <w:t>9,68 %</w:t>
            </w:r>
          </w:p>
        </w:tc>
      </w:tr>
      <w:tr>
        <w:trPr>
          <w:trHeight w:val="376"/>
        </w:trPr>
        <w:tc>
          <w:tcPr>
            <w:tcW w:w="4361" w:type="dxa"/>
            <w:noWrap/>
          </w:tcPr>
          <w:p>
            <w:pPr>
              <w:spacing w:line="360" w:lineRule="auto"/>
              <w:jc w:val="both"/>
              <w:rPr>
                <w:b/>
                <w:bCs/>
                <w:noProof/>
              </w:rPr>
            </w:pPr>
            <w:r>
              <w:rPr>
                <w:b/>
                <w:bCs/>
                <w:noProof/>
              </w:rPr>
              <w:t>Безвъзмездни средства за съвместни действия</w:t>
            </w:r>
          </w:p>
        </w:tc>
        <w:tc>
          <w:tcPr>
            <w:tcW w:w="2551" w:type="dxa"/>
            <w:noWrap/>
          </w:tcPr>
          <w:p>
            <w:pPr>
              <w:spacing w:line="360" w:lineRule="auto"/>
              <w:jc w:val="right"/>
              <w:rPr>
                <w:b/>
                <w:bCs/>
                <w:noProof/>
              </w:rPr>
            </w:pPr>
            <w:r>
              <w:rPr>
                <w:b/>
                <w:bCs/>
                <w:noProof/>
              </w:rPr>
              <w:t>20 229 410,14</w:t>
            </w:r>
          </w:p>
        </w:tc>
        <w:tc>
          <w:tcPr>
            <w:tcW w:w="2552" w:type="dxa"/>
            <w:shd w:val="clear" w:color="auto" w:fill="auto"/>
            <w:noWrap/>
          </w:tcPr>
          <w:p>
            <w:pPr>
              <w:tabs>
                <w:tab w:val="decimal" w:pos="792"/>
              </w:tabs>
              <w:spacing w:line="360" w:lineRule="auto"/>
              <w:jc w:val="right"/>
              <w:rPr>
                <w:b/>
                <w:noProof/>
              </w:rPr>
            </w:pPr>
            <w:r>
              <w:rPr>
                <w:b/>
                <w:noProof/>
              </w:rPr>
              <w:t>33,68 %</w:t>
            </w:r>
          </w:p>
        </w:tc>
      </w:tr>
      <w:tr>
        <w:trPr>
          <w:trHeight w:val="517"/>
        </w:trPr>
        <w:tc>
          <w:tcPr>
            <w:tcW w:w="4361" w:type="dxa"/>
            <w:noWrap/>
          </w:tcPr>
          <w:p>
            <w:pPr>
              <w:spacing w:line="360" w:lineRule="auto"/>
              <w:rPr>
                <w:b/>
                <w:bCs/>
                <w:noProof/>
              </w:rPr>
            </w:pPr>
            <w:r>
              <w:rPr>
                <w:b/>
                <w:bCs/>
                <w:noProof/>
              </w:rPr>
              <w:t>Безвъзмездни средства за организиране на конференции, предоставяни на държавите членки, осигуряващи председателството на ЕС</w:t>
            </w:r>
          </w:p>
        </w:tc>
        <w:tc>
          <w:tcPr>
            <w:tcW w:w="2551" w:type="dxa"/>
            <w:noWrap/>
          </w:tcPr>
          <w:p>
            <w:pPr>
              <w:spacing w:line="360" w:lineRule="auto"/>
              <w:jc w:val="right"/>
              <w:rPr>
                <w:b/>
                <w:noProof/>
              </w:rPr>
            </w:pPr>
            <w:r>
              <w:rPr>
                <w:b/>
                <w:noProof/>
              </w:rPr>
              <w:t>210 059,00</w:t>
            </w:r>
          </w:p>
        </w:tc>
        <w:tc>
          <w:tcPr>
            <w:tcW w:w="2552" w:type="dxa"/>
            <w:shd w:val="clear" w:color="auto" w:fill="auto"/>
            <w:noWrap/>
          </w:tcPr>
          <w:p>
            <w:pPr>
              <w:tabs>
                <w:tab w:val="decimal" w:pos="792"/>
              </w:tabs>
              <w:spacing w:line="360" w:lineRule="auto"/>
              <w:jc w:val="right"/>
              <w:rPr>
                <w:b/>
                <w:noProof/>
              </w:rPr>
            </w:pPr>
            <w:r>
              <w:rPr>
                <w:b/>
                <w:noProof/>
              </w:rPr>
              <w:t>0,35 %</w:t>
            </w:r>
          </w:p>
        </w:tc>
      </w:tr>
      <w:tr>
        <w:trPr>
          <w:trHeight w:val="340"/>
        </w:trPr>
        <w:tc>
          <w:tcPr>
            <w:tcW w:w="4361" w:type="dxa"/>
            <w:noWrap/>
          </w:tcPr>
          <w:p>
            <w:pPr>
              <w:spacing w:line="360" w:lineRule="auto"/>
              <w:jc w:val="both"/>
              <w:rPr>
                <w:b/>
                <w:bCs/>
                <w:noProof/>
              </w:rPr>
            </w:pPr>
            <w:r>
              <w:rPr>
                <w:b/>
                <w:bCs/>
                <w:noProof/>
              </w:rPr>
              <w:t>Споразумения за отпускане на преки безвъзмездни средства</w:t>
            </w:r>
          </w:p>
        </w:tc>
        <w:tc>
          <w:tcPr>
            <w:tcW w:w="2551" w:type="dxa"/>
            <w:noWrap/>
          </w:tcPr>
          <w:p>
            <w:pPr>
              <w:spacing w:line="360" w:lineRule="auto"/>
              <w:jc w:val="right"/>
              <w:rPr>
                <w:b/>
                <w:noProof/>
                <w:color w:val="000000"/>
              </w:rPr>
            </w:pPr>
            <w:r>
              <w:rPr>
                <w:b/>
                <w:noProof/>
              </w:rPr>
              <w:t>9 300 000,00</w:t>
            </w:r>
          </w:p>
        </w:tc>
        <w:tc>
          <w:tcPr>
            <w:tcW w:w="2552" w:type="dxa"/>
            <w:shd w:val="clear" w:color="auto" w:fill="auto"/>
            <w:noWrap/>
          </w:tcPr>
          <w:p>
            <w:pPr>
              <w:tabs>
                <w:tab w:val="decimal" w:pos="792"/>
              </w:tabs>
              <w:spacing w:line="360" w:lineRule="auto"/>
              <w:jc w:val="right"/>
              <w:rPr>
                <w:b/>
                <w:noProof/>
              </w:rPr>
            </w:pPr>
            <w:r>
              <w:rPr>
                <w:b/>
                <w:noProof/>
              </w:rPr>
              <w:t>15,48 %</w:t>
            </w:r>
          </w:p>
        </w:tc>
      </w:tr>
      <w:tr>
        <w:trPr>
          <w:trHeight w:val="631"/>
        </w:trPr>
        <w:tc>
          <w:tcPr>
            <w:tcW w:w="4361" w:type="dxa"/>
            <w:noWrap/>
          </w:tcPr>
          <w:p>
            <w:pPr>
              <w:spacing w:line="360" w:lineRule="auto"/>
              <w:jc w:val="both"/>
              <w:rPr>
                <w:b/>
                <w:bCs/>
                <w:noProof/>
              </w:rPr>
            </w:pPr>
            <w:r>
              <w:rPr>
                <w:b/>
                <w:bCs/>
                <w:noProof/>
              </w:rPr>
              <w:t>Обществени поръчки (договори за услуги), награди и хоризонтални действия</w:t>
            </w:r>
          </w:p>
        </w:tc>
        <w:tc>
          <w:tcPr>
            <w:tcW w:w="2551" w:type="dxa"/>
            <w:noWrap/>
          </w:tcPr>
          <w:p>
            <w:pPr>
              <w:spacing w:line="360" w:lineRule="auto"/>
              <w:jc w:val="right"/>
              <w:rPr>
                <w:b/>
                <w:bCs/>
                <w:noProof/>
              </w:rPr>
            </w:pPr>
            <w:r>
              <w:rPr>
                <w:b/>
                <w:bCs/>
                <w:noProof/>
              </w:rPr>
              <w:t>14 580 482,75</w:t>
            </w:r>
          </w:p>
        </w:tc>
        <w:tc>
          <w:tcPr>
            <w:tcW w:w="2552" w:type="dxa"/>
            <w:shd w:val="clear" w:color="auto" w:fill="auto"/>
            <w:noWrap/>
          </w:tcPr>
          <w:p>
            <w:pPr>
              <w:tabs>
                <w:tab w:val="decimal" w:pos="792"/>
              </w:tabs>
              <w:spacing w:line="360" w:lineRule="auto"/>
              <w:jc w:val="right"/>
              <w:rPr>
                <w:b/>
                <w:noProof/>
              </w:rPr>
            </w:pPr>
            <w:r>
              <w:rPr>
                <w:b/>
                <w:noProof/>
              </w:rPr>
              <w:t>24,28 %</w:t>
            </w:r>
          </w:p>
        </w:tc>
      </w:tr>
      <w:tr>
        <w:trPr>
          <w:trHeight w:val="340"/>
        </w:trPr>
        <w:tc>
          <w:tcPr>
            <w:tcW w:w="4361" w:type="dxa"/>
            <w:noWrap/>
          </w:tcPr>
          <w:p>
            <w:pPr>
              <w:spacing w:line="360" w:lineRule="auto"/>
              <w:jc w:val="right"/>
              <w:rPr>
                <w:b/>
                <w:bCs/>
                <w:i/>
                <w:noProof/>
              </w:rPr>
            </w:pPr>
            <w:r>
              <w:rPr>
                <w:b/>
                <w:bCs/>
                <w:i/>
                <w:noProof/>
              </w:rPr>
              <w:t>Управлявани от CHAFEA</w:t>
            </w:r>
          </w:p>
        </w:tc>
        <w:tc>
          <w:tcPr>
            <w:tcW w:w="2551" w:type="dxa"/>
            <w:noWrap/>
          </w:tcPr>
          <w:p>
            <w:pPr>
              <w:spacing w:line="360" w:lineRule="auto"/>
              <w:jc w:val="right"/>
              <w:rPr>
                <w:noProof/>
              </w:rPr>
            </w:pPr>
            <w:r>
              <w:rPr>
                <w:noProof/>
              </w:rPr>
              <w:t>5 863 073,68</w:t>
            </w:r>
          </w:p>
        </w:tc>
        <w:tc>
          <w:tcPr>
            <w:tcW w:w="2552" w:type="dxa"/>
            <w:shd w:val="clear" w:color="auto" w:fill="auto"/>
            <w:noWrap/>
          </w:tcPr>
          <w:p>
            <w:pPr>
              <w:tabs>
                <w:tab w:val="decimal" w:pos="792"/>
              </w:tabs>
              <w:spacing w:line="360" w:lineRule="auto"/>
              <w:jc w:val="right"/>
              <w:rPr>
                <w:noProof/>
              </w:rPr>
            </w:pPr>
            <w:r>
              <w:rPr>
                <w:noProof/>
              </w:rPr>
              <w:t>9,76 %</w:t>
            </w:r>
          </w:p>
        </w:tc>
      </w:tr>
      <w:tr>
        <w:trPr>
          <w:trHeight w:val="340"/>
        </w:trPr>
        <w:tc>
          <w:tcPr>
            <w:tcW w:w="4361" w:type="dxa"/>
            <w:noWrap/>
          </w:tcPr>
          <w:p>
            <w:pPr>
              <w:spacing w:line="360" w:lineRule="auto"/>
              <w:jc w:val="right"/>
              <w:rPr>
                <w:b/>
                <w:bCs/>
                <w:i/>
                <w:noProof/>
              </w:rPr>
            </w:pPr>
            <w:r>
              <w:rPr>
                <w:b/>
                <w:bCs/>
                <w:i/>
                <w:noProof/>
              </w:rPr>
              <w:t>Управлявани от ГД „Здравеопазване и безопасност на храните“</w:t>
            </w:r>
          </w:p>
        </w:tc>
        <w:tc>
          <w:tcPr>
            <w:tcW w:w="2551" w:type="dxa"/>
            <w:noWrap/>
          </w:tcPr>
          <w:p>
            <w:pPr>
              <w:spacing w:line="360" w:lineRule="auto"/>
              <w:jc w:val="right"/>
              <w:rPr>
                <w:noProof/>
              </w:rPr>
            </w:pPr>
            <w:r>
              <w:rPr>
                <w:noProof/>
              </w:rPr>
              <w:t>8 717 409,07</w:t>
            </w:r>
          </w:p>
        </w:tc>
        <w:tc>
          <w:tcPr>
            <w:tcW w:w="2552" w:type="dxa"/>
            <w:shd w:val="clear" w:color="auto" w:fill="auto"/>
            <w:noWrap/>
          </w:tcPr>
          <w:p>
            <w:pPr>
              <w:tabs>
                <w:tab w:val="decimal" w:pos="792"/>
              </w:tabs>
              <w:spacing w:line="360" w:lineRule="auto"/>
              <w:jc w:val="right"/>
              <w:rPr>
                <w:noProof/>
              </w:rPr>
            </w:pPr>
            <w:r>
              <w:rPr>
                <w:noProof/>
              </w:rPr>
              <w:t>14,51 %</w:t>
            </w:r>
          </w:p>
        </w:tc>
      </w:tr>
      <w:tr>
        <w:trPr>
          <w:trHeight w:val="425"/>
        </w:trPr>
        <w:tc>
          <w:tcPr>
            <w:tcW w:w="4361" w:type="dxa"/>
            <w:noWrap/>
          </w:tcPr>
          <w:p>
            <w:pPr>
              <w:spacing w:line="360" w:lineRule="auto"/>
              <w:rPr>
                <w:b/>
                <w:bCs/>
                <w:noProof/>
              </w:rPr>
            </w:pPr>
            <w:r>
              <w:rPr>
                <w:b/>
                <w:bCs/>
                <w:noProof/>
              </w:rPr>
              <w:t>Други действия и хоризонтални действия, с изключение на конференции на председателствата</w:t>
            </w:r>
          </w:p>
        </w:tc>
        <w:tc>
          <w:tcPr>
            <w:tcW w:w="2551" w:type="dxa"/>
            <w:noWrap/>
          </w:tcPr>
          <w:p>
            <w:pPr>
              <w:tabs>
                <w:tab w:val="center" w:pos="1167"/>
                <w:tab w:val="right" w:pos="2335"/>
              </w:tabs>
              <w:spacing w:line="360" w:lineRule="auto"/>
              <w:rPr>
                <w:b/>
                <w:noProof/>
              </w:rPr>
            </w:pPr>
            <w:r>
              <w:rPr>
                <w:b/>
                <w:noProof/>
              </w:rPr>
              <w:tab/>
            </w:r>
            <w:r>
              <w:rPr>
                <w:b/>
                <w:noProof/>
              </w:rPr>
              <w:tab/>
              <w:t>5 427 001,92</w:t>
            </w:r>
          </w:p>
        </w:tc>
        <w:tc>
          <w:tcPr>
            <w:tcW w:w="2552" w:type="dxa"/>
            <w:shd w:val="clear" w:color="auto" w:fill="auto"/>
            <w:noWrap/>
          </w:tcPr>
          <w:p>
            <w:pPr>
              <w:spacing w:line="360" w:lineRule="auto"/>
              <w:jc w:val="right"/>
              <w:rPr>
                <w:b/>
                <w:noProof/>
              </w:rPr>
            </w:pPr>
            <w:r>
              <w:rPr>
                <w:noProof/>
              </w:rPr>
              <w:t>9,04 </w:t>
            </w:r>
            <w:r>
              <w:rPr>
                <w:b/>
                <w:noProof/>
              </w:rPr>
              <w:t>%</w:t>
            </w:r>
          </w:p>
        </w:tc>
      </w:tr>
      <w:tr>
        <w:trPr>
          <w:trHeight w:val="275"/>
        </w:trPr>
        <w:tc>
          <w:tcPr>
            <w:tcW w:w="4361" w:type="dxa"/>
            <w:noWrap/>
          </w:tcPr>
          <w:p>
            <w:pPr>
              <w:spacing w:line="360" w:lineRule="auto"/>
              <w:jc w:val="right"/>
              <w:rPr>
                <w:b/>
                <w:bCs/>
                <w:noProof/>
              </w:rPr>
            </w:pPr>
            <w:r>
              <w:rPr>
                <w:b/>
                <w:bCs/>
                <w:i/>
                <w:noProof/>
              </w:rPr>
              <w:t>Управлявани от CHAFEA</w:t>
            </w:r>
          </w:p>
        </w:tc>
        <w:tc>
          <w:tcPr>
            <w:tcW w:w="2551" w:type="dxa"/>
            <w:noWrap/>
          </w:tcPr>
          <w:p>
            <w:pPr>
              <w:spacing w:line="360" w:lineRule="auto"/>
              <w:jc w:val="right"/>
              <w:rPr>
                <w:bCs/>
                <w:noProof/>
              </w:rPr>
            </w:pPr>
            <w:r>
              <w:rPr>
                <w:noProof/>
              </w:rPr>
              <w:t>663 836,33</w:t>
            </w:r>
          </w:p>
        </w:tc>
        <w:tc>
          <w:tcPr>
            <w:tcW w:w="2552" w:type="dxa"/>
            <w:shd w:val="clear" w:color="auto" w:fill="auto"/>
            <w:noWrap/>
          </w:tcPr>
          <w:p>
            <w:pPr>
              <w:tabs>
                <w:tab w:val="decimal" w:pos="792"/>
              </w:tabs>
              <w:spacing w:line="360" w:lineRule="auto"/>
              <w:jc w:val="right"/>
              <w:rPr>
                <w:bCs/>
                <w:noProof/>
              </w:rPr>
            </w:pPr>
            <w:r>
              <w:rPr>
                <w:noProof/>
              </w:rPr>
              <w:t>1,11 %</w:t>
            </w:r>
          </w:p>
        </w:tc>
      </w:tr>
      <w:tr>
        <w:trPr>
          <w:trHeight w:val="337"/>
        </w:trPr>
        <w:tc>
          <w:tcPr>
            <w:tcW w:w="4361" w:type="dxa"/>
            <w:noWrap/>
          </w:tcPr>
          <w:p>
            <w:pPr>
              <w:spacing w:line="360" w:lineRule="auto"/>
              <w:jc w:val="right"/>
              <w:rPr>
                <w:b/>
                <w:bCs/>
                <w:noProof/>
              </w:rPr>
            </w:pPr>
            <w:r>
              <w:rPr>
                <w:b/>
                <w:bCs/>
                <w:i/>
                <w:noProof/>
              </w:rPr>
              <w:t>Управлявани от ГД „Здравеопазване и безопасност на храните“</w:t>
            </w:r>
          </w:p>
        </w:tc>
        <w:tc>
          <w:tcPr>
            <w:tcW w:w="2551" w:type="dxa"/>
            <w:noWrap/>
          </w:tcPr>
          <w:p>
            <w:pPr>
              <w:spacing w:line="360" w:lineRule="auto"/>
              <w:jc w:val="right"/>
              <w:rPr>
                <w:noProof/>
                <w:color w:val="000000"/>
              </w:rPr>
            </w:pPr>
            <w:r>
              <w:rPr>
                <w:noProof/>
              </w:rPr>
              <w:t>4 763 165,59</w:t>
            </w:r>
          </w:p>
          <w:p>
            <w:pPr>
              <w:spacing w:line="360" w:lineRule="auto"/>
              <w:jc w:val="right"/>
              <w:rPr>
                <w:bCs/>
                <w:noProof/>
              </w:rPr>
            </w:pPr>
          </w:p>
        </w:tc>
        <w:tc>
          <w:tcPr>
            <w:tcW w:w="2552" w:type="dxa"/>
            <w:shd w:val="clear" w:color="auto" w:fill="auto"/>
            <w:noWrap/>
          </w:tcPr>
          <w:p>
            <w:pPr>
              <w:spacing w:line="360" w:lineRule="auto"/>
              <w:jc w:val="right"/>
              <w:rPr>
                <w:noProof/>
                <w:color w:val="000000"/>
              </w:rPr>
            </w:pPr>
            <w:r>
              <w:rPr>
                <w:noProof/>
              </w:rPr>
              <w:t>7,93 %</w:t>
            </w:r>
          </w:p>
        </w:tc>
      </w:tr>
      <w:tr>
        <w:trPr>
          <w:trHeight w:val="340"/>
        </w:trPr>
        <w:tc>
          <w:tcPr>
            <w:tcW w:w="4361" w:type="dxa"/>
            <w:noWrap/>
          </w:tcPr>
          <w:p>
            <w:pPr>
              <w:spacing w:line="360" w:lineRule="auto"/>
              <w:jc w:val="both"/>
              <w:rPr>
                <w:b/>
                <w:bCs/>
                <w:noProof/>
              </w:rPr>
            </w:pPr>
            <w:r>
              <w:rPr>
                <w:b/>
                <w:bCs/>
                <w:noProof/>
              </w:rPr>
              <w:t>Усвояване на бюджета на ГРП за 2017 г.</w:t>
            </w:r>
          </w:p>
        </w:tc>
        <w:tc>
          <w:tcPr>
            <w:tcW w:w="2551" w:type="dxa"/>
            <w:noWrap/>
          </w:tcPr>
          <w:p>
            <w:pPr>
              <w:spacing w:line="360" w:lineRule="auto"/>
              <w:jc w:val="right"/>
              <w:rPr>
                <w:b/>
                <w:noProof/>
              </w:rPr>
            </w:pPr>
            <w:r>
              <w:rPr>
                <w:b/>
                <w:noProof/>
              </w:rPr>
              <w:t>60 063 178,12</w:t>
            </w:r>
          </w:p>
        </w:tc>
        <w:tc>
          <w:tcPr>
            <w:tcW w:w="2552" w:type="dxa"/>
            <w:shd w:val="clear" w:color="auto" w:fill="auto"/>
            <w:noWrap/>
          </w:tcPr>
          <w:p>
            <w:pPr>
              <w:tabs>
                <w:tab w:val="decimal" w:pos="792"/>
              </w:tabs>
              <w:spacing w:line="360" w:lineRule="auto"/>
              <w:jc w:val="right"/>
              <w:rPr>
                <w:noProof/>
              </w:rPr>
            </w:pPr>
            <w:r>
              <w:rPr>
                <w:noProof/>
              </w:rPr>
              <w:t>99,46 %</w:t>
            </w:r>
          </w:p>
        </w:tc>
      </w:tr>
      <w:tr>
        <w:trPr>
          <w:trHeight w:val="410"/>
        </w:trPr>
        <w:tc>
          <w:tcPr>
            <w:tcW w:w="4361" w:type="dxa"/>
            <w:noWrap/>
          </w:tcPr>
          <w:p>
            <w:pPr>
              <w:spacing w:line="360" w:lineRule="auto"/>
              <w:jc w:val="both"/>
              <w:rPr>
                <w:b/>
                <w:bCs/>
                <w:noProof/>
              </w:rPr>
            </w:pPr>
            <w:r>
              <w:rPr>
                <w:b/>
                <w:bCs/>
                <w:noProof/>
              </w:rPr>
              <w:t>Общ наличен бюджет на ГРП за 2017 г.</w:t>
            </w:r>
          </w:p>
        </w:tc>
        <w:tc>
          <w:tcPr>
            <w:tcW w:w="2551" w:type="dxa"/>
            <w:noWrap/>
          </w:tcPr>
          <w:p>
            <w:pPr>
              <w:spacing w:line="360" w:lineRule="auto"/>
              <w:ind w:left="-108"/>
              <w:jc w:val="right"/>
              <w:rPr>
                <w:b/>
                <w:noProof/>
              </w:rPr>
            </w:pPr>
            <w:r>
              <w:rPr>
                <w:b/>
                <w:noProof/>
              </w:rPr>
              <w:t>60 386 800,00</w:t>
            </w:r>
          </w:p>
        </w:tc>
        <w:tc>
          <w:tcPr>
            <w:tcW w:w="2552" w:type="dxa"/>
            <w:noWrap/>
          </w:tcPr>
          <w:p>
            <w:pPr>
              <w:spacing w:line="360" w:lineRule="auto"/>
              <w:jc w:val="right"/>
              <w:rPr>
                <w:noProof/>
              </w:rPr>
            </w:pPr>
          </w:p>
        </w:tc>
      </w:tr>
      <w:tr>
        <w:trPr>
          <w:trHeight w:val="255"/>
        </w:trPr>
        <w:tc>
          <w:tcPr>
            <w:tcW w:w="4361" w:type="dxa"/>
            <w:noWrap/>
          </w:tcPr>
          <w:p>
            <w:pPr>
              <w:spacing w:line="360" w:lineRule="auto"/>
              <w:jc w:val="both"/>
              <w:rPr>
                <w:bCs/>
                <w:noProof/>
              </w:rPr>
            </w:pPr>
            <w:r>
              <w:rPr>
                <w:b/>
                <w:bCs/>
                <w:noProof/>
              </w:rPr>
              <w:t>Неусвоени кредити</w:t>
            </w:r>
          </w:p>
        </w:tc>
        <w:tc>
          <w:tcPr>
            <w:tcW w:w="2551" w:type="dxa"/>
            <w:noWrap/>
          </w:tcPr>
          <w:p>
            <w:pPr>
              <w:spacing w:line="360" w:lineRule="auto"/>
              <w:jc w:val="right"/>
              <w:rPr>
                <w:b/>
                <w:noProof/>
              </w:rPr>
            </w:pPr>
            <w:r>
              <w:rPr>
                <w:b/>
                <w:noProof/>
              </w:rPr>
              <w:t>323 621,88</w:t>
            </w:r>
          </w:p>
        </w:tc>
        <w:tc>
          <w:tcPr>
            <w:tcW w:w="2552" w:type="dxa"/>
            <w:noWrap/>
          </w:tcPr>
          <w:p>
            <w:pPr>
              <w:spacing w:line="360" w:lineRule="auto"/>
              <w:jc w:val="right"/>
              <w:rPr>
                <w:noProof/>
              </w:rPr>
            </w:pPr>
            <w:r>
              <w:rPr>
                <w:noProof/>
              </w:rPr>
              <w:t>0,54 %</w:t>
            </w:r>
          </w:p>
        </w:tc>
      </w:tr>
      <w:tr>
        <w:trPr>
          <w:trHeight w:val="517"/>
        </w:trPr>
        <w:tc>
          <w:tcPr>
            <w:tcW w:w="4361" w:type="dxa"/>
            <w:noWrap/>
          </w:tcPr>
          <w:p>
            <w:pPr>
              <w:spacing w:line="360" w:lineRule="auto"/>
              <w:jc w:val="right"/>
              <w:rPr>
                <w:b/>
                <w:bCs/>
                <w:noProof/>
              </w:rPr>
            </w:pPr>
            <w:r>
              <w:rPr>
                <w:b/>
                <w:bCs/>
                <w:i/>
                <w:noProof/>
              </w:rPr>
              <w:t>от CHAFEA</w:t>
            </w:r>
          </w:p>
        </w:tc>
        <w:tc>
          <w:tcPr>
            <w:tcW w:w="2551" w:type="dxa"/>
            <w:noWrap/>
          </w:tcPr>
          <w:p>
            <w:pPr>
              <w:spacing w:line="360" w:lineRule="auto"/>
              <w:jc w:val="right"/>
              <w:rPr>
                <w:noProof/>
                <w:color w:val="000000"/>
              </w:rPr>
            </w:pPr>
            <w:r>
              <w:rPr>
                <w:noProof/>
              </w:rPr>
              <w:tab/>
              <w:t>182 115,71</w:t>
            </w:r>
          </w:p>
        </w:tc>
        <w:tc>
          <w:tcPr>
            <w:tcW w:w="2552" w:type="dxa"/>
            <w:noWrap/>
          </w:tcPr>
          <w:p>
            <w:pPr>
              <w:tabs>
                <w:tab w:val="decimal" w:pos="792"/>
              </w:tabs>
              <w:spacing w:line="360" w:lineRule="auto"/>
              <w:jc w:val="right"/>
              <w:rPr>
                <w:bCs/>
                <w:noProof/>
              </w:rPr>
            </w:pPr>
            <w:r>
              <w:rPr>
                <w:noProof/>
              </w:rPr>
              <w:t>56,27 %</w:t>
            </w:r>
          </w:p>
        </w:tc>
      </w:tr>
      <w:tr>
        <w:trPr>
          <w:trHeight w:val="246"/>
        </w:trPr>
        <w:tc>
          <w:tcPr>
            <w:tcW w:w="4361" w:type="dxa"/>
            <w:noWrap/>
          </w:tcPr>
          <w:p>
            <w:pPr>
              <w:spacing w:line="360" w:lineRule="auto"/>
              <w:jc w:val="right"/>
              <w:rPr>
                <w:b/>
                <w:bCs/>
                <w:noProof/>
              </w:rPr>
            </w:pPr>
            <w:r>
              <w:rPr>
                <w:b/>
                <w:bCs/>
                <w:i/>
                <w:noProof/>
              </w:rPr>
              <w:t xml:space="preserve"> от ГД „Здравеопазване и безопасност на храните“</w:t>
            </w:r>
          </w:p>
        </w:tc>
        <w:tc>
          <w:tcPr>
            <w:tcW w:w="2551" w:type="dxa"/>
            <w:noWrap/>
          </w:tcPr>
          <w:p>
            <w:pPr>
              <w:spacing w:line="360" w:lineRule="auto"/>
              <w:jc w:val="right"/>
              <w:rPr>
                <w:noProof/>
                <w:color w:val="000000"/>
              </w:rPr>
            </w:pPr>
            <w:r>
              <w:rPr>
                <w:noProof/>
              </w:rPr>
              <w:t>141 506,17</w:t>
            </w:r>
          </w:p>
        </w:tc>
        <w:tc>
          <w:tcPr>
            <w:tcW w:w="2552" w:type="dxa"/>
            <w:noWrap/>
          </w:tcPr>
          <w:p>
            <w:pPr>
              <w:tabs>
                <w:tab w:val="decimal" w:pos="792"/>
              </w:tabs>
              <w:spacing w:line="360" w:lineRule="auto"/>
              <w:jc w:val="right"/>
              <w:rPr>
                <w:bCs/>
                <w:noProof/>
              </w:rPr>
            </w:pPr>
            <w:r>
              <w:rPr>
                <w:noProof/>
              </w:rPr>
              <w:t>43,73 %</w:t>
            </w:r>
          </w:p>
        </w:tc>
      </w:tr>
    </w:tbl>
    <w:p>
      <w:pPr>
        <w:rPr>
          <w:rFonts w:cs="Times New Roman"/>
          <w:noProof/>
        </w:rPr>
      </w:pPr>
      <w:r>
        <w:rPr>
          <w:noProof/>
        </w:rPr>
        <w:br w:type="page"/>
      </w:r>
    </w:p>
    <w:p>
      <w:pPr>
        <w:pStyle w:val="ManualHeading2"/>
        <w:rPr>
          <w:noProof/>
        </w:rPr>
      </w:pPr>
      <w:bookmarkStart w:id="7" w:name="_Toc33622585"/>
      <w:r>
        <w:t>3.</w:t>
      </w:r>
      <w:r>
        <w:tab/>
      </w:r>
      <w:r>
        <w:rPr>
          <w:noProof/>
        </w:rPr>
        <w:t>Бенефициери</w:t>
      </w:r>
      <w:bookmarkEnd w:id="7"/>
    </w:p>
    <w:p>
      <w:pPr>
        <w:spacing w:line="360" w:lineRule="auto"/>
        <w:jc w:val="both"/>
        <w:rPr>
          <w:rFonts w:cs="Times New Roman"/>
          <w:noProof/>
        </w:rPr>
      </w:pPr>
      <w:r>
        <w:rPr>
          <w:noProof/>
        </w:rPr>
        <w:t>През 2017 г. Chafea и ГД „Здравеопазване и безопасност на храните“ подписаха над 238 различни споразумения за безвъзмездни средства и договори с различни бенефициери и доставчици на услуги: държавни, академични институции, неправителствени организации, частни дружества и отделни експерти</w:t>
      </w:r>
      <w:r>
        <w:rPr>
          <w:rStyle w:val="FootnoteReference"/>
          <w:noProof/>
        </w:rPr>
        <w:t xml:space="preserve"> </w:t>
      </w:r>
      <w:r>
        <w:rPr>
          <w:rStyle w:val="FootnoteReference"/>
          <w:rFonts w:cs="Times New Roman"/>
          <w:noProof/>
        </w:rPr>
        <w:footnoteReference w:id="22"/>
      </w:r>
      <w:r>
        <w:rPr>
          <w:noProof/>
        </w:rPr>
        <w:t>. Други бенефициери бяха международни организации и служби на ЕС (чрез преки споразумения). Общият брой на бенефициерите е 450, като двете основни категории са частни консултантски дружества (обществени поръчки) и държавни организации (съвместни действия).</w:t>
      </w:r>
    </w:p>
    <w:p>
      <w:pPr>
        <w:spacing w:line="360" w:lineRule="auto"/>
        <w:jc w:val="both"/>
        <w:rPr>
          <w:rFonts w:cs="Times New Roman"/>
          <w:noProof/>
        </w:rPr>
      </w:pPr>
      <w:r>
        <w:rPr>
          <w:noProof/>
        </w:rPr>
        <w:t>На фигура 3 е представен общ преглед на различните групи бенефициери.</w:t>
      </w:r>
    </w:p>
    <w:p>
      <w:pPr>
        <w:spacing w:before="120" w:after="120" w:line="360" w:lineRule="auto"/>
        <w:jc w:val="center"/>
        <w:rPr>
          <w:rFonts w:cs="Times New Roman"/>
          <w:b/>
          <w:noProof/>
        </w:rPr>
      </w:pPr>
      <w:r>
        <w:rPr>
          <w:b/>
          <w:noProof/>
        </w:rPr>
        <w:t>Фигура 3:  Видове бенефициери по Третата здравна програма през 2017 г.</w:t>
      </w:r>
    </w:p>
    <w:p>
      <w:pPr>
        <w:spacing w:line="360" w:lineRule="auto"/>
        <w:jc w:val="center"/>
        <w:rPr>
          <w:rFonts w:eastAsia="Calibri" w:cs="Times New Roman"/>
          <w:b/>
          <w:bCs/>
          <w:noProof/>
          <w:kern w:val="32"/>
          <w:sz w:val="28"/>
          <w:szCs w:val="28"/>
        </w:rPr>
      </w:pPr>
      <w:r>
        <w:rPr>
          <w:noProof/>
          <w:lang w:val="en-GB" w:eastAsia="en-GB"/>
        </w:rPr>
        <w:drawing>
          <wp:inline distT="0" distB="0" distL="0" distR="0">
            <wp:extent cx="4572000" cy="29337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rFonts w:cs="Times New Roman"/>
          <w:noProof/>
        </w:rPr>
      </w:pPr>
      <w:r>
        <w:rPr>
          <w:noProof/>
        </w:rPr>
        <w:br w:type="page"/>
      </w:r>
    </w:p>
    <w:p>
      <w:pPr>
        <w:pStyle w:val="Heading1"/>
        <w:spacing w:line="360" w:lineRule="auto"/>
        <w:rPr>
          <w:b w:val="0"/>
          <w:bCs w:val="0"/>
          <w:noProof/>
          <w:sz w:val="28"/>
        </w:rPr>
      </w:pPr>
      <w:bookmarkStart w:id="8" w:name="_Toc33622586"/>
      <w:r>
        <w:rPr>
          <w:noProof/>
          <w:sz w:val="28"/>
        </w:rPr>
        <w:t>ДРУГИ ОСНОВНИ ХАРАКТЕРИСТИКИ</w:t>
      </w:r>
      <w:bookmarkEnd w:id="8"/>
      <w:r>
        <w:rPr>
          <w:noProof/>
          <w:sz w:val="28"/>
        </w:rPr>
        <w:t xml:space="preserve"> </w:t>
      </w:r>
    </w:p>
    <w:p>
      <w:pPr>
        <w:spacing w:before="240" w:line="360" w:lineRule="auto"/>
        <w:jc w:val="both"/>
        <w:rPr>
          <w:rFonts w:cs="Times New Roman"/>
          <w:noProof/>
        </w:rPr>
      </w:pPr>
      <w:r>
        <w:rPr>
          <w:noProof/>
        </w:rPr>
        <w:t>Целта на работната програма за 2017 г. беше да допринесе за приоритетите на Комисията в областта на здравеопазването, както е посочено в политическите насоки на председателя Юнкер</w:t>
      </w:r>
      <w:r>
        <w:rPr>
          <w:rStyle w:val="FootnoteReference"/>
          <w:rFonts w:cs="Times New Roman"/>
          <w:noProof/>
        </w:rPr>
        <w:footnoteReference w:id="23"/>
      </w:r>
      <w:r>
        <w:rPr>
          <w:noProof/>
        </w:rPr>
        <w:t xml:space="preserve"> и писмото относно мандата на члена на Комисията, отговарящ за здравеопазването и безопасността на храните</w:t>
      </w:r>
      <w:r>
        <w:rPr>
          <w:rStyle w:val="FootnoteReference"/>
          <w:rFonts w:cs="Times New Roman"/>
          <w:noProof/>
        </w:rPr>
        <w:footnoteReference w:id="24"/>
      </w:r>
      <w:r>
        <w:rPr>
          <w:noProof/>
        </w:rPr>
        <w:t>.</w:t>
      </w:r>
    </w:p>
    <w:p>
      <w:pPr>
        <w:spacing w:before="240" w:line="360" w:lineRule="auto"/>
        <w:jc w:val="both"/>
        <w:rPr>
          <w:rFonts w:cs="Times New Roman"/>
          <w:noProof/>
        </w:rPr>
      </w:pPr>
      <w:r>
        <w:rPr>
          <w:noProof/>
        </w:rPr>
        <w:t>За подкрепата на ключови политически действия бяха избрани действия, съфинансирани от компетентните органи на държавите членки (шест съвместни действия). Тези съвместни действия</w:t>
      </w:r>
      <w:r>
        <w:rPr>
          <w:rStyle w:val="FootnoteReference"/>
          <w:rFonts w:cs="Times New Roman"/>
          <w:noProof/>
        </w:rPr>
        <w:footnoteReference w:id="25"/>
      </w:r>
      <w:r>
        <w:rPr>
          <w:noProof/>
        </w:rPr>
        <w:t xml:space="preserve"> обединиха 217 бенефициери, включително свързаните с тях субекти, и отразяват интереса на държавите членки да участват активно в общи действия в областта на борбата с рака, неравенството по отношение на здравето, ваксинацията и подготвеността, електронното здравеопазване и здравната информация.</w:t>
      </w:r>
    </w:p>
    <w:p>
      <w:pPr>
        <w:spacing w:before="240" w:line="360" w:lineRule="auto"/>
        <w:jc w:val="both"/>
        <w:rPr>
          <w:noProof/>
        </w:rPr>
      </w:pPr>
      <w:r>
        <w:rPr>
          <w:noProof/>
        </w:rPr>
        <w:t>След приемането на стратегията за разпространение за третата здравна програма (през юни 2017 г.) и годишния ѝ план за разпространение за същата година Chafea и ГД „Здравеопазване и безопасност на храните“ се договориха за подобрен метод за планиране и подготовка на дейностите по разпространение. За да подкрепи тази цел, Chafea представи:</w:t>
      </w:r>
    </w:p>
    <w:p>
      <w:pPr>
        <w:pStyle w:val="ListParagraph"/>
        <w:numPr>
          <w:ilvl w:val="0"/>
          <w:numId w:val="60"/>
        </w:numPr>
        <w:spacing w:before="240" w:line="360" w:lineRule="auto"/>
        <w:jc w:val="both"/>
        <w:rPr>
          <w:noProof/>
        </w:rPr>
      </w:pPr>
      <w:r>
        <w:rPr>
          <w:rFonts w:ascii="Times New Roman" w:hAnsi="Times New Roman"/>
          <w:noProof/>
        </w:rPr>
        <w:t>Обновена база данни за проекти, която позволява на заинтересованите страни да получат организиран достъп до резултатите от проектите.</w:t>
      </w:r>
    </w:p>
    <w:p>
      <w:pPr>
        <w:pStyle w:val="ListParagraph"/>
        <w:numPr>
          <w:ilvl w:val="0"/>
          <w:numId w:val="60"/>
        </w:numPr>
        <w:spacing w:before="240" w:line="360" w:lineRule="auto"/>
        <w:jc w:val="both"/>
        <w:rPr>
          <w:noProof/>
        </w:rPr>
      </w:pPr>
      <w:r>
        <w:rPr>
          <w:rFonts w:ascii="Times New Roman" w:hAnsi="Times New Roman"/>
          <w:noProof/>
        </w:rPr>
        <w:t>Набор от нагледни изображения, илюстриращи различните теми, обхванати от здравната програма.</w:t>
      </w:r>
    </w:p>
    <w:p>
      <w:pPr>
        <w:pStyle w:val="ListParagraph"/>
        <w:numPr>
          <w:ilvl w:val="0"/>
          <w:numId w:val="60"/>
        </w:numPr>
        <w:spacing w:before="240" w:line="360" w:lineRule="auto"/>
        <w:jc w:val="both"/>
        <w:rPr>
          <w:noProof/>
        </w:rPr>
      </w:pPr>
      <w:r>
        <w:rPr>
          <w:rFonts w:ascii="Times New Roman" w:hAnsi="Times New Roman"/>
          <w:noProof/>
        </w:rPr>
        <w:t>Онлайн уроци (видеоклипове, публикувани на уебсайта на Chafea в помощ на кандидатите и бенефициерите).</w:t>
      </w:r>
    </w:p>
    <w:p>
      <w:pPr>
        <w:pStyle w:val="ListParagraph"/>
        <w:numPr>
          <w:ilvl w:val="0"/>
          <w:numId w:val="60"/>
        </w:numPr>
        <w:spacing w:before="240" w:line="360" w:lineRule="auto"/>
        <w:jc w:val="both"/>
        <w:rPr>
          <w:noProof/>
        </w:rPr>
      </w:pPr>
      <w:r>
        <w:rPr>
          <w:rFonts w:ascii="Times New Roman" w:hAnsi="Times New Roman"/>
          <w:noProof/>
        </w:rPr>
        <w:t>Редовни новини за мрежата или социалните медии за информиране на заинтересованите страни относно дейностите и резултатите по проектите.</w:t>
      </w:r>
    </w:p>
    <w:p>
      <w:pPr>
        <w:pStyle w:val="ListParagraph"/>
        <w:numPr>
          <w:ilvl w:val="0"/>
          <w:numId w:val="60"/>
        </w:numPr>
        <w:spacing w:before="240" w:line="360" w:lineRule="auto"/>
        <w:jc w:val="both"/>
        <w:rPr>
          <w:noProof/>
        </w:rPr>
      </w:pPr>
      <w:r>
        <w:rPr>
          <w:rFonts w:ascii="Times New Roman" w:hAnsi="Times New Roman"/>
          <w:noProof/>
        </w:rPr>
        <w:t>Chafea участва също така в Деня на Европа в Люксембург, организиран в сътрудничество с ГД „Здравеопазване и безопасност на храните“.</w:t>
      </w:r>
    </w:p>
    <w:p>
      <w:pPr>
        <w:spacing w:before="240" w:line="360" w:lineRule="auto"/>
        <w:jc w:val="both"/>
        <w:rPr>
          <w:noProof/>
        </w:rPr>
      </w:pPr>
      <w:r>
        <w:rPr>
          <w:noProof/>
        </w:rPr>
        <w:t>Като обърна специално внимание на ключовите приоритети в комуникацията, посочени от ГД „Здравеопазване и безопасност на храните“, освен няколко други събития, Chafea подготви:</w:t>
      </w:r>
    </w:p>
    <w:p>
      <w:pPr>
        <w:pStyle w:val="ListParagraph"/>
        <w:numPr>
          <w:ilvl w:val="0"/>
          <w:numId w:val="60"/>
        </w:numPr>
        <w:spacing w:before="240" w:line="360" w:lineRule="auto"/>
        <w:jc w:val="both"/>
        <w:rPr>
          <w:noProof/>
        </w:rPr>
      </w:pPr>
      <w:r>
        <w:rPr>
          <w:rFonts w:ascii="Times New Roman" w:hAnsi="Times New Roman"/>
          <w:noProof/>
        </w:rPr>
        <w:t>Семинар за регистри на редки болести и изложба на щандове в Мадрид, Испания, които привлякоха интереса на 160 участници през март</w:t>
      </w:r>
    </w:p>
    <w:p>
      <w:pPr>
        <w:pStyle w:val="ListParagraph"/>
        <w:numPr>
          <w:ilvl w:val="0"/>
          <w:numId w:val="60"/>
        </w:numPr>
        <w:spacing w:before="240" w:line="360" w:lineRule="auto"/>
        <w:jc w:val="both"/>
        <w:rPr>
          <w:noProof/>
        </w:rPr>
      </w:pPr>
      <w:r>
        <w:rPr>
          <w:rFonts w:ascii="Times New Roman" w:hAnsi="Times New Roman"/>
          <w:noProof/>
        </w:rPr>
        <w:t>Семинар и изложба на щандове в рамките на Международната конференция за интегрирани грижи в Дъблин, Ирландия, през май (211 участници)</w:t>
      </w:r>
    </w:p>
    <w:p>
      <w:pPr>
        <w:pStyle w:val="ListParagraph"/>
        <w:numPr>
          <w:ilvl w:val="0"/>
          <w:numId w:val="60"/>
        </w:numPr>
        <w:spacing w:before="240" w:line="360" w:lineRule="auto"/>
        <w:jc w:val="both"/>
        <w:rPr>
          <w:noProof/>
        </w:rPr>
      </w:pPr>
      <w:r>
        <w:rPr>
          <w:rFonts w:ascii="Times New Roman" w:hAnsi="Times New Roman"/>
          <w:noProof/>
        </w:rPr>
        <w:t>Тематична среща на тема „Миграция и здраве: пътища за интеграция“ в Брюксел, Белгия, през септември</w:t>
      </w:r>
    </w:p>
    <w:p>
      <w:pPr>
        <w:pStyle w:val="ListParagraph"/>
        <w:numPr>
          <w:ilvl w:val="0"/>
          <w:numId w:val="60"/>
        </w:numPr>
        <w:spacing w:before="240" w:line="360" w:lineRule="auto"/>
        <w:jc w:val="both"/>
        <w:rPr>
          <w:noProof/>
        </w:rPr>
      </w:pPr>
      <w:r>
        <w:rPr>
          <w:rFonts w:ascii="Times New Roman" w:hAnsi="Times New Roman"/>
          <w:noProof/>
        </w:rPr>
        <w:t>Тематична среща през октомври в Оденсе, Дания, посветена на незаразните болести.</w:t>
      </w:r>
    </w:p>
    <w:p>
      <w:pPr>
        <w:spacing w:line="360" w:lineRule="auto"/>
        <w:jc w:val="both"/>
        <w:rPr>
          <w:rFonts w:cs="Times New Roman"/>
          <w:noProof/>
        </w:rPr>
      </w:pPr>
      <w:r>
        <w:rPr>
          <w:noProof/>
        </w:rPr>
        <w:t>По отношение на мониторинга на изпълнението на програмата Chafea направи преглед на оперативните безвъзмездни средства, отпуснати по рамковите споразумения за партньорство за периода 2014—2017 г., с помощта на външни експерти.</w:t>
      </w:r>
    </w:p>
    <w:p>
      <w:pPr>
        <w:spacing w:before="240" w:line="360" w:lineRule="auto"/>
        <w:jc w:val="both"/>
        <w:rPr>
          <w:rFonts w:cs="Times New Roman"/>
          <w:noProof/>
        </w:rPr>
      </w:pPr>
      <w:r>
        <w:rPr>
          <w:noProof/>
        </w:rPr>
        <w:t xml:space="preserve">В резултат на прегледа беше заключено, че: целите, заложени в рамковите споразумения за партньорство, съответстват на целите на здравната програма, както и на целите на политиката на ЕС в областта на общественото здраве; с малки отклонения организациите бенефициери са изпълнили многогодишните работни програми, предвидени в споразуменията; и че са изготвени доклади и инструменти с високо качество. Определени бяха и областите за подобрение: административните процеси, връзките между избора на неправителствени организации (НПО) и приоритетите на програмата и рамката за мониторинг. </w:t>
      </w:r>
    </w:p>
    <w:p>
      <w:pPr>
        <w:spacing w:line="360" w:lineRule="auto"/>
        <w:jc w:val="both"/>
        <w:rPr>
          <w:rFonts w:cs="Times New Roman"/>
          <w:noProof/>
          <w:sz w:val="36"/>
          <w:highlight w:val="yellow"/>
        </w:rPr>
      </w:pPr>
      <w:r>
        <w:rPr>
          <w:noProof/>
        </w:rPr>
        <w:t>Повече информация относно резултатите от рамковите споразумения за партньорство може да бъде намерена в базата данни на здравната програма</w:t>
      </w:r>
      <w:r>
        <w:rPr>
          <w:rStyle w:val="FootnoteReference"/>
          <w:noProof/>
        </w:rPr>
        <w:footnoteReference w:id="26"/>
      </w:r>
      <w:r>
        <w:rPr>
          <w:noProof/>
        </w:rPr>
        <w:t>.</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993" w:left="1417"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9292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19</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contextualSpacing/>
        <w:rPr>
          <w:rFonts w:ascii="Times New Roman" w:hAnsi="Times New Roman"/>
          <w:sz w:val="16"/>
        </w:rPr>
      </w:pPr>
      <w:r>
        <w:rPr>
          <w:rStyle w:val="FootnoteReference"/>
          <w:rFonts w:ascii="Times New Roman" w:hAnsi="Times New Roman"/>
          <w:sz w:val="16"/>
        </w:rPr>
        <w:footnoteRef/>
      </w:r>
      <w:r>
        <w:rPr>
          <w:rFonts w:ascii="Times New Roman" w:hAnsi="Times New Roman"/>
          <w:sz w:val="16"/>
          <w:szCs w:val="16"/>
        </w:rPr>
        <w:t xml:space="preserve"> Регламент (ЕС) № 282/2014 на Европейския парламент и на Съвета от 11 март 2014 г. за създаване на Трета програма за действие на Съюза в областта на здравето (2014—2020 г.) и за изменение на Решение № 1350/2007/ЕО (ОВ L 86, 21.3.2014 г., стр. 1).</w:t>
      </w:r>
    </w:p>
  </w:footnote>
  <w:footnote w:id="3">
    <w:p>
      <w:pPr>
        <w:pStyle w:val="FootnoteText"/>
      </w:pPr>
      <w:r>
        <w:rPr>
          <w:rStyle w:val="FootnoteReference"/>
        </w:rPr>
        <w:footnoteRef/>
      </w:r>
      <w:r>
        <w:t xml:space="preserve"> </w:t>
      </w:r>
      <w:hyperlink r:id="rId1" w:history="1">
        <w:r>
          <w:rPr>
            <w:rStyle w:val="Hyperlink"/>
          </w:rPr>
          <w:t>https://eur-lex.europa.eu/legal-content/BG/TXT/PDF/?uri=CELEX:32014R0282&amp;from=BG</w:t>
        </w:r>
      </w:hyperlink>
      <w:r>
        <w:t>, глава V, член 17.</w:t>
      </w:r>
    </w:p>
  </w:footnote>
  <w:footnote w:id="4">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Регламент (ЕС) 2017/745 на Европейския парламент и на Съвета от 5 април 2017 г. за медицинските изделия, за изменение на Директива 2001/83/ЕО, Регламент (ЕО) № 178/2002 и Регламент (ЕО) № 1223/2009 и за отмяна на директиви 90/385/ЕИО и 93/42/ЕИО на Съвета </w:t>
      </w:r>
      <w:r>
        <w:rPr>
          <w:rFonts w:ascii="Times New Roman" w:hAnsi="Times New Roman"/>
          <w:i/>
          <w:sz w:val="16"/>
          <w:szCs w:val="16"/>
        </w:rPr>
        <w:t>(</w:t>
      </w:r>
      <w:r>
        <w:rPr>
          <w:rStyle w:val="Emphasis"/>
          <w:rFonts w:ascii="Times New Roman" w:hAnsi="Times New Roman"/>
          <w:i w:val="0"/>
          <w:sz w:val="16"/>
          <w:szCs w:val="16"/>
        </w:rPr>
        <w:t>ОВ L 117, 5.5.2017 г., стр. 1).</w:t>
      </w:r>
    </w:p>
  </w:footnote>
  <w:footnote w:id="5">
    <w:p>
      <w:pPr>
        <w:pStyle w:val="FootnoteText"/>
      </w:pPr>
      <w:r>
        <w:rPr>
          <w:rStyle w:val="FootnoteReference"/>
        </w:rPr>
        <w:footnoteRef/>
      </w:r>
      <w:r>
        <w:t xml:space="preserve"> </w:t>
      </w:r>
      <w:r>
        <w:rPr>
          <w:rFonts w:ascii="Times New Roman" w:hAnsi="Times New Roman"/>
          <w:sz w:val="16"/>
          <w:szCs w:val="16"/>
        </w:rPr>
        <w:t>Националните фокусни точки (НФТ) представляват националните експерти по здравната програма в държавите членки и другите участващи държави. Представителите на НФТ се назначават от съответните национални министерства на здравеопазването. Специфичната роля на НФТ е да подпомагат Изпълнителната агенция за потребителите, здравеопазването, селското стопанство и храните (Chafea) при: изпълнението на здравната програма на национално ниво, разпространението на резултатите от здравната програма, предоставянето на информация за въздействието, обусловено от здравната програма в съответните държави.</w:t>
      </w:r>
    </w:p>
  </w:footnote>
  <w:footnote w:id="6">
    <w:p>
      <w:pPr>
        <w:pStyle w:val="FootnoteText"/>
      </w:pPr>
      <w:r>
        <w:rPr>
          <w:rStyle w:val="FootnoteReference"/>
        </w:rPr>
        <w:footnoteRef/>
      </w:r>
      <w:r>
        <w:t xml:space="preserve"> </w:t>
      </w:r>
      <w:hyperlink r:id="rId2" w:history="1">
        <w:r>
          <w:rPr>
            <w:rStyle w:val="Hyperlink"/>
            <w:rFonts w:ascii="Times New Roman" w:hAnsi="Times New Roman"/>
            <w:sz w:val="16"/>
            <w:szCs w:val="16"/>
          </w:rPr>
          <w:t>https://eu-jav.com/</w:t>
        </w:r>
      </w:hyperlink>
      <w:r>
        <w:t xml:space="preserve"> </w:t>
      </w:r>
    </w:p>
  </w:footnote>
  <w:footnote w:id="7">
    <w:p>
      <w:pPr>
        <w:pStyle w:val="NormalWeb"/>
        <w:spacing w:after="0"/>
        <w:rPr>
          <w:sz w:val="16"/>
          <w:szCs w:val="16"/>
        </w:rPr>
      </w:pPr>
      <w:r>
        <w:rPr>
          <w:rStyle w:val="FootnoteReference"/>
          <w:sz w:val="16"/>
          <w:szCs w:val="16"/>
        </w:rPr>
        <w:footnoteRef/>
      </w:r>
      <w:r>
        <w:rPr>
          <w:sz w:val="16"/>
          <w:szCs w:val="16"/>
        </w:rPr>
        <w:t xml:space="preserve"> Съобщение на Комисията до Европейския парламент, Съвета, Европейския икономически и социален комитет и Комитета на регионите: Засилване на сътрудничеството в борбата срещу болести, предотвратими чрез ваксинация COM(2018), 26.4.2018 г. 245 final.</w:t>
      </w:r>
    </w:p>
  </w:footnote>
  <w:footnote w:id="8">
    <w:p>
      <w:pPr>
        <w:pStyle w:val="NormalWeb"/>
        <w:spacing w:after="0"/>
        <w:rPr>
          <w:rFonts w:eastAsia="Times New Roman"/>
          <w:sz w:val="16"/>
          <w:szCs w:val="16"/>
        </w:rPr>
      </w:pPr>
      <w:r>
        <w:rPr>
          <w:rStyle w:val="FootnoteReference"/>
          <w:sz w:val="16"/>
        </w:rPr>
        <w:footnoteRef/>
      </w:r>
      <w:r>
        <w:t xml:space="preserve"> </w:t>
      </w:r>
      <w:r>
        <w:rPr>
          <w:sz w:val="16"/>
          <w:szCs w:val="16"/>
        </w:rPr>
        <w:t>Препоръка на Съвета от 7 декември 2018 г. за засилване на сътрудничеството в борбата срещу болести, предотвратими чрез ваксинация (</w:t>
      </w:r>
      <w:r>
        <w:rPr>
          <w:iCs/>
          <w:sz w:val="16"/>
          <w:szCs w:val="16"/>
        </w:rPr>
        <w:t>ОВ C 466, 28.12.2018 г., стр. 1).</w:t>
      </w:r>
    </w:p>
    <w:p>
      <w:pPr>
        <w:pStyle w:val="FootnoteText"/>
        <w:spacing w:after="0"/>
        <w:rPr>
          <w:rFonts w:ascii="Times New Roman" w:hAnsi="Times New Roman"/>
          <w:sz w:val="16"/>
        </w:rPr>
      </w:pPr>
    </w:p>
  </w:footnote>
  <w:footnote w:id="9">
    <w:p>
      <w:pPr>
        <w:pStyle w:val="FootnoteText"/>
        <w:spacing w:after="0"/>
      </w:pPr>
      <w:r>
        <w:rPr>
          <w:rStyle w:val="FootnoteReference"/>
          <w:rFonts w:ascii="Times New Roman" w:hAnsi="Times New Roman"/>
          <w:sz w:val="16"/>
        </w:rPr>
        <w:footnoteRef/>
      </w:r>
      <w:r>
        <w:rPr>
          <w:rFonts w:ascii="Times New Roman" w:hAnsi="Times New Roman"/>
          <w:sz w:val="16"/>
        </w:rPr>
        <w:t xml:space="preserve"> </w:t>
      </w:r>
      <w:hyperlink r:id="rId3" w:history="1">
        <w:r>
          <w:rPr>
            <w:rStyle w:val="Hyperlink"/>
            <w:rFonts w:ascii="Times New Roman" w:hAnsi="Times New Roman"/>
            <w:sz w:val="16"/>
          </w:rPr>
          <w:t>https://ec.europa.eu/health/preparedness_response/joint_procurement_bg</w:t>
        </w:r>
      </w:hyperlink>
      <w:r>
        <w:rPr>
          <w:sz w:val="16"/>
        </w:rPr>
        <w:t xml:space="preserve"> </w:t>
      </w:r>
    </w:p>
  </w:footnote>
  <w:footnote w:id="10">
    <w:p>
      <w:pPr>
        <w:pStyle w:val="FootnoteText"/>
      </w:pPr>
      <w:r>
        <w:rPr>
          <w:rStyle w:val="FootnoteReference"/>
        </w:rPr>
        <w:footnoteRef/>
      </w:r>
      <w:r>
        <w:t xml:space="preserve"> </w:t>
      </w:r>
      <w:hyperlink r:id="rId4" w:history="1">
        <w:r>
          <w:rPr>
            <w:rStyle w:val="Hyperlink"/>
            <w:rFonts w:ascii="Times New Roman" w:hAnsi="Times New Roman"/>
            <w:sz w:val="16"/>
            <w:szCs w:val="16"/>
          </w:rPr>
          <w:t>https://jahee.iss.it/</w:t>
        </w:r>
      </w:hyperlink>
      <w:r>
        <w:rPr>
          <w:rFonts w:ascii="Times New Roman" w:hAnsi="Times New Roman"/>
          <w:sz w:val="16"/>
          <w:szCs w:val="16"/>
        </w:rPr>
        <w:t xml:space="preserve"> </w:t>
      </w:r>
    </w:p>
  </w:footnote>
  <w:footnote w:id="11">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„Неравнопоставеност в здравеопазването в Европейския съюз“, доклад на Marmot: </w:t>
      </w:r>
      <w:hyperlink r:id="rId5" w:history="1">
        <w:r>
          <w:rPr>
            <w:rStyle w:val="Hyperlink"/>
            <w:rFonts w:ascii="Times New Roman" w:hAnsi="Times New Roman"/>
            <w:sz w:val="16"/>
            <w:szCs w:val="16"/>
          </w:rPr>
          <w:t>https://ec.europa.eu/health/sites/health/files/social_determinants/docs/healthinequalitiesineu_2013_en.pdf</w:t>
        </w:r>
      </w:hyperlink>
      <w:r>
        <w:rPr>
          <w:rFonts w:ascii="Times New Roman" w:hAnsi="Times New Roman"/>
          <w:sz w:val="16"/>
          <w:szCs w:val="16"/>
        </w:rPr>
        <w:t xml:space="preserve"> </w:t>
      </w:r>
    </w:p>
  </w:footnote>
  <w:footnote w:id="12">
    <w:p>
      <w:pPr>
        <w:autoSpaceDE w:val="0"/>
        <w:autoSpaceDN w:val="0"/>
        <w:adjustRightInd w:val="0"/>
        <w:spacing w:after="0" w:line="240" w:lineRule="auto"/>
      </w:pPr>
      <w:r>
        <w:rPr>
          <w:rStyle w:val="FootnoteReference"/>
          <w:rFonts w:cs="Times New Roman"/>
          <w:sz w:val="16"/>
          <w:szCs w:val="16"/>
        </w:rPr>
        <w:footnoteRef/>
      </w:r>
      <w:r>
        <w:rPr>
          <w:sz w:val="16"/>
          <w:szCs w:val="16"/>
        </w:rPr>
        <w:t xml:space="preserve"> За периода 2014–2020 г. Европейският фонд за регионално развитие (ЕФРР) определя намаляването на неравенството по отношение на здравето като един от редицата приоритети.</w:t>
      </w:r>
    </w:p>
  </w:footnote>
  <w:footnote w:id="13">
    <w:p>
      <w:pPr>
        <w:pStyle w:val="NormalWeb"/>
        <w:spacing w:after="0"/>
        <w:rPr>
          <w:rFonts w:eastAsia="Times New Roman"/>
          <w:sz w:val="16"/>
          <w:szCs w:val="16"/>
        </w:rPr>
      </w:pPr>
      <w:r>
        <w:rPr>
          <w:rStyle w:val="FootnoteReference"/>
          <w:sz w:val="16"/>
          <w:szCs w:val="16"/>
        </w:rPr>
        <w:footnoteRef/>
      </w:r>
      <w:r>
        <w:rPr>
          <w:sz w:val="16"/>
          <w:szCs w:val="16"/>
        </w:rPr>
        <w:t xml:space="preserve"> 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 (</w:t>
      </w:r>
      <w:r>
        <w:rPr>
          <w:iCs/>
          <w:sz w:val="16"/>
          <w:szCs w:val="16"/>
        </w:rPr>
        <w:t>OB L 311, 28.11.2001 г., стр. 67).</w:t>
      </w:r>
    </w:p>
  </w:footnote>
  <w:footnote w:id="14">
    <w:p>
      <w:pPr>
        <w:pStyle w:val="NormalWeb"/>
        <w:spacing w:after="0"/>
        <w:rPr>
          <w:rFonts w:eastAsia="Times New Roman"/>
          <w:sz w:val="16"/>
          <w:szCs w:val="16"/>
        </w:rPr>
      </w:pPr>
      <w:r>
        <w:rPr>
          <w:rStyle w:val="FootnoteReference"/>
          <w:sz w:val="16"/>
          <w:szCs w:val="16"/>
        </w:rPr>
        <w:footnoteRef/>
      </w:r>
      <w:r>
        <w:rPr>
          <w:sz w:val="16"/>
          <w:szCs w:val="16"/>
        </w:rPr>
        <w:t xml:space="preserve"> Директива 2001/82/ЕО на Европейския парламент и на Съвета от 6 ноември 2001 г. относно кодекса на Общността за ветеринарните лекарствени продукти (</w:t>
      </w:r>
      <w:r>
        <w:rPr>
          <w:iCs/>
          <w:sz w:val="16"/>
          <w:szCs w:val="16"/>
        </w:rPr>
        <w:t>ОВ L 311, 28.11.2001 г., стр. 1).</w:t>
      </w:r>
    </w:p>
  </w:footnote>
  <w:footnote w:id="15">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https://www.edqm.eu/en/european-pharmacopoeia-ph-eur-9th-edition</w:t>
      </w:r>
    </w:p>
  </w:footnote>
  <w:footnote w:id="16">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Решение 94/358/ЕО на Съвета от 16 юни 1994 г. за приемане от името на Европейската общност на Конвенцията за разработване на Европейската фармакопея (ОВ L 158, 25.6.1994 г., стр. 17).</w:t>
      </w:r>
    </w:p>
  </w:footnote>
  <w:footnote w:id="17">
    <w:p>
      <w:pPr>
        <w:pStyle w:val="FootnoteText"/>
        <w:rPr>
          <w:rFonts w:ascii="Times New Roman" w:hAnsi="Times New Roman"/>
        </w:rPr>
      </w:pPr>
      <w:r>
        <w:rPr>
          <w:rStyle w:val="FootnoteReference"/>
          <w:rFonts w:ascii="Times New Roman" w:hAnsi="Times New Roman"/>
          <w:sz w:val="16"/>
        </w:rPr>
        <w:footnoteRef/>
      </w:r>
      <w:r>
        <w:rPr>
          <w:rFonts w:ascii="Times New Roman" w:hAnsi="Times New Roman"/>
          <w:sz w:val="16"/>
        </w:rPr>
        <w:t xml:space="preserve"> Европейският директорат по качеството на лекарствата и здравеопазването</w:t>
      </w:r>
      <w:r>
        <w:rPr>
          <w:rFonts w:ascii="Times New Roman" w:hAnsi="Times New Roman"/>
          <w:color w:val="222222"/>
          <w:sz w:val="16"/>
        </w:rPr>
        <w:t xml:space="preserve"> е директорат на Съвета на Европа,</w:t>
      </w:r>
      <w:r>
        <w:rPr>
          <w:rFonts w:ascii="Times New Roman" w:hAnsi="Times New Roman"/>
          <w:sz w:val="16"/>
        </w:rPr>
        <w:t xml:space="preserve"> </w:t>
      </w:r>
      <w:hyperlink r:id="rId6" w:history="1">
        <w:r>
          <w:rPr>
            <w:rStyle w:val="Hyperlink"/>
            <w:rFonts w:ascii="Times New Roman" w:hAnsi="Times New Roman"/>
            <w:sz w:val="16"/>
          </w:rPr>
          <w:t>https://www.edqm.eu/</w:t>
        </w:r>
      </w:hyperlink>
      <w:r>
        <w:rPr>
          <w:rFonts w:ascii="Times New Roman" w:hAnsi="Times New Roman"/>
          <w:color w:val="222222"/>
          <w:sz w:val="16"/>
        </w:rPr>
        <w:t xml:space="preserve"> </w:t>
      </w:r>
    </w:p>
  </w:footnote>
  <w:footnote w:id="18">
    <w:p>
      <w:pPr>
        <w:pStyle w:val="NormalWeb"/>
        <w:rPr>
          <w:sz w:val="16"/>
          <w:szCs w:val="16"/>
        </w:rPr>
      </w:pPr>
      <w:r>
        <w:rPr>
          <w:rStyle w:val="FootnoteReference"/>
          <w:sz w:val="16"/>
          <w:szCs w:val="16"/>
        </w:rPr>
        <w:footnoteRef/>
      </w:r>
      <w:r>
        <w:t xml:space="preserve"> </w:t>
      </w:r>
      <w:r>
        <w:rPr>
          <w:sz w:val="16"/>
          <w:szCs w:val="16"/>
        </w:rPr>
        <w:t>Специално внимание е отделено на разработването на такива методи, които могат да заменят, намалят и усъвършенстват експериментите с животни, що се отнася до контрола на качеството на биологичните вещества, в съответствие с Директива 2010/63/ЕС на Европейския парламент и на Съвета от 22 септември 2010 г. относно защитата на животните, използвани за научни цели, текст от значение за ЕИП (</w:t>
      </w:r>
      <w:r>
        <w:rPr>
          <w:iCs/>
          <w:sz w:val="16"/>
          <w:szCs w:val="16"/>
        </w:rPr>
        <w:t>ОВ L 276, 20.10.2010 г., стр. 33)</w:t>
      </w:r>
      <w:r>
        <w:rPr>
          <w:sz w:val="16"/>
          <w:szCs w:val="16"/>
        </w:rPr>
        <w:t>.</w:t>
      </w:r>
    </w:p>
  </w:footnote>
  <w:footnote w:id="19">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Регламент (ЕС) 2017/746 на Европейския парламент и на Съвета от 5 април 2017 г. за медицинските изделия за инвитро диагностика и за отмяна на Директива 98/79/ЕО и Решение 2010/227/ЕС на Комисията (ОВ L 117, 5.5.2017 г., стр. 176).</w:t>
      </w:r>
    </w:p>
  </w:footnote>
  <w:footnote w:id="20">
    <w:p>
      <w:pPr>
        <w:pStyle w:val="FootnoteText"/>
        <w:spacing w:after="0" w:line="240" w:lineRule="auto"/>
        <w:jc w:val="both"/>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Решение за изпълнение на Комисията от 17 декември 2013 г. за създаване на Изпълнителна агенция за потребителите, здравеопазването и храните и за отмяна на Решение 2004/858/ЕО (ОВ L 341, 18.12.2013 г., стр. 69). </w:t>
      </w:r>
    </w:p>
  </w:footnote>
  <w:footnote w:id="21">
    <w:p>
      <w:pPr>
        <w:pStyle w:val="FootnoteText"/>
      </w:pPr>
      <w:r>
        <w:rPr>
          <w:rStyle w:val="FootnoteReference"/>
          <w:rFonts w:ascii="Times New Roman" w:hAnsi="Times New Roman"/>
          <w:sz w:val="16"/>
        </w:rPr>
        <w:footnoteRef/>
      </w:r>
      <w:r>
        <w:rPr>
          <w:rFonts w:ascii="Times New Roman" w:hAnsi="Times New Roman"/>
          <w:sz w:val="16"/>
        </w:rPr>
        <w:t xml:space="preserve"> Решение за изпълнение на Комисията от 26.1.2017 г. относно работната програма за 2017 г. в рамките на третата програма за действие на Съюза в областта на здравето (2014—2020 г.) и финансовия принос на ЕС към Рамковата конвенция на СЗО за контрол на тютюна, служещо като решение за финансиране, C(2017) 316 final: </w:t>
      </w:r>
      <w:hyperlink r:id="rId7" w:history="1">
        <w:r>
          <w:rPr>
            <w:rStyle w:val="Hyperlink"/>
            <w:rFonts w:ascii="Times New Roman" w:hAnsi="Times New Roman"/>
            <w:sz w:val="16"/>
          </w:rPr>
          <w:t>https://ec.europa.eu/health/sites/health/files/programme/docs/wp2017_en.pdf</w:t>
        </w:r>
      </w:hyperlink>
      <w:r>
        <w:rPr>
          <w:rFonts w:ascii="Times New Roman" w:hAnsi="Times New Roman"/>
          <w:sz w:val="16"/>
        </w:rPr>
        <w:t xml:space="preserve"> .</w:t>
      </w:r>
    </w:p>
  </w:footnote>
  <w:footnote w:id="22">
    <w:p>
      <w:pPr>
        <w:pStyle w:val="FootnoteText"/>
        <w:rPr>
          <w:rFonts w:ascii="Times New Roman" w:hAnsi="Times New Roman"/>
        </w:rPr>
      </w:pPr>
      <w:r>
        <w:rPr>
          <w:rStyle w:val="FootnoteReference"/>
          <w:rFonts w:ascii="Times New Roman" w:hAnsi="Times New Roman"/>
          <w:sz w:val="16"/>
        </w:rPr>
        <w:footnoteRef/>
      </w:r>
      <w:r>
        <w:rPr>
          <w:rFonts w:ascii="Times New Roman" w:hAnsi="Times New Roman"/>
          <w:sz w:val="16"/>
        </w:rPr>
        <w:t xml:space="preserve"> Частичният сбор 238 не включва договорите с отделни експерти, които участват в научни комитети, оценители на покани за предложения и др.</w:t>
      </w:r>
    </w:p>
  </w:footnote>
  <w:footnote w:id="2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8" w:history="1">
        <w:r>
          <w:rPr>
            <w:rStyle w:val="Hyperlink"/>
            <w:rFonts w:ascii="Times New Roman" w:hAnsi="Times New Roman"/>
            <w:sz w:val="16"/>
            <w:szCs w:val="16"/>
          </w:rPr>
          <w:t>https://ec.europa.eu/commission/publications/president-junckers-political-guidelines_bg</w:t>
        </w:r>
      </w:hyperlink>
      <w:r>
        <w:rPr>
          <w:rFonts w:ascii="Times New Roman" w:hAnsi="Times New Roman"/>
          <w:sz w:val="16"/>
          <w:szCs w:val="16"/>
        </w:rPr>
        <w:t xml:space="preserve"> </w:t>
      </w:r>
    </w:p>
  </w:footnote>
  <w:footnote w:id="24">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9" w:history="1">
        <w:r>
          <w:rPr>
            <w:rStyle w:val="Hyperlink"/>
            <w:rFonts w:ascii="Times New Roman" w:hAnsi="Times New Roman"/>
            <w:sz w:val="16"/>
            <w:szCs w:val="16"/>
          </w:rPr>
          <w:t>https://ec.europa.eu/info/departments/health-and-food-safety/what-we-do-health-and-food-safety_en</w:t>
        </w:r>
      </w:hyperlink>
      <w:r>
        <w:rPr>
          <w:rFonts w:ascii="Times New Roman" w:hAnsi="Times New Roman"/>
          <w:sz w:val="16"/>
          <w:szCs w:val="16"/>
        </w:rPr>
        <w:t xml:space="preserve"> </w:t>
      </w:r>
    </w:p>
  </w:footnote>
  <w:footnote w:id="25">
    <w:p>
      <w:pPr>
        <w:pStyle w:val="FootnoteText"/>
        <w:jc w:val="both"/>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През 2017 г. имаше шест съвместни действия с общо 160 номинирани компетентни органа, в които бяха обхванати 217 бенефициери след включване на свързаните субекти. Средният брой на участниците в съвместните действия през 2017 г. беше 36 партньори.</w:t>
      </w:r>
    </w:p>
  </w:footnote>
  <w:footnote w:id="26">
    <w:p>
      <w:pPr>
        <w:pStyle w:val="FootnoteText"/>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w:t>
      </w:r>
      <w:hyperlink r:id="rId10" w:history="1">
        <w:r>
          <w:rPr>
            <w:rStyle w:val="Hyperlink"/>
            <w:rFonts w:ascii="Times New Roman" w:hAnsi="Times New Roman"/>
            <w:sz w:val="16"/>
          </w:rPr>
          <w:t>https://webgate.ec.europa.eu/chafea_pdb/health/search?context=HOME&amp;texttosearch=operating+grant</w:t>
        </w:r>
      </w:hyperlink>
      <w:r>
        <w:rPr>
          <w:rFonts w:ascii="Times New Roman" w:hAnsi="Times New Roman"/>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Layout w:type="fixed"/>
      <w:tblCellMar>
        <w:left w:w="0" w:type="dxa"/>
        <w:right w:w="0" w:type="dxa"/>
      </w:tblCellMar>
      <w:tblLook w:val="0000" w:firstRow="0" w:lastRow="0" w:firstColumn="0" w:lastColumn="0" w:noHBand="0" w:noVBand="0"/>
    </w:tblPr>
    <w:tblGrid>
      <w:gridCol w:w="9468"/>
    </w:tblGrid>
    <w:tr>
      <w:trPr>
        <w:trHeight w:val="426"/>
      </w:trPr>
      <w:tc>
        <w:tcPr>
          <w:tcW w:w="9468" w:type="dxa"/>
          <w:tcBorders>
            <w:top w:val="nil"/>
            <w:left w:val="nil"/>
            <w:bottom w:val="nil"/>
            <w:right w:val="nil"/>
          </w:tcBorders>
        </w:tcPr>
        <w:p>
          <w:pPr>
            <w:widowControl w:val="0"/>
            <w:autoSpaceDE w:val="0"/>
            <w:autoSpaceDN w:val="0"/>
            <w:spacing w:after="0"/>
            <w:ind w:right="85"/>
            <w:jc w:val="center"/>
            <w:rPr>
              <w:rFonts w:ascii="Arial" w:hAnsi="Arial" w:cs="Arial"/>
              <w:sz w:val="16"/>
              <w:szCs w:val="16"/>
            </w:rPr>
          </w:pPr>
        </w:p>
      </w:tc>
    </w:tr>
  </w:tbl>
  <w:p>
    <w:pPr>
      <w:pStyle w:val="Header"/>
    </w:pPr>
    <w:r>
      <w:object w:dxaOrig="9072" w:dyaOrig="12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5.25pt;height:621pt" o:ole="">
          <v:imagedata r:id="rId1" o:title=""/>
        </v:shape>
        <o:OLEObject Type="Embed" ProgID="Word.Document.12" ShapeID="_x0000_i1026" DrawAspect="Content" ObjectID="_1644841631" r:id="rId2">
          <o:FieldCodes>\s</o:FieldCodes>
        </o:OLEObject>
      </w:obje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9AA6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FC64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A06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36B9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8CFC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8CFF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F63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0329818"/>
    <w:name w:val="0,41315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2DC5A10"/>
    <w:multiLevelType w:val="hybridMultilevel"/>
    <w:tmpl w:val="CB40E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7A91BA6"/>
    <w:multiLevelType w:val="hybridMultilevel"/>
    <w:tmpl w:val="CAFE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7CF4D7F"/>
    <w:multiLevelType w:val="hybridMultilevel"/>
    <w:tmpl w:val="20547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33D9C"/>
    <w:multiLevelType w:val="hybridMultilevel"/>
    <w:tmpl w:val="93C6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300D85"/>
    <w:multiLevelType w:val="hybridMultilevel"/>
    <w:tmpl w:val="B16C0F4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D7F713B"/>
    <w:multiLevelType w:val="hybridMultilevel"/>
    <w:tmpl w:val="4CDC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08323A3"/>
    <w:multiLevelType w:val="hybridMultilevel"/>
    <w:tmpl w:val="CBA86206"/>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128F2C54"/>
    <w:multiLevelType w:val="multilevel"/>
    <w:tmpl w:val="ADECC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6062B06"/>
    <w:multiLevelType w:val="multilevel"/>
    <w:tmpl w:val="7592C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A741B3C"/>
    <w:multiLevelType w:val="hybridMultilevel"/>
    <w:tmpl w:val="91B68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
    <w:nsid w:val="1C5D40E1"/>
    <w:multiLevelType w:val="hybridMultilevel"/>
    <w:tmpl w:val="722C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4922DC"/>
    <w:multiLevelType w:val="hybridMultilevel"/>
    <w:tmpl w:val="6048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2320986"/>
    <w:multiLevelType w:val="hybridMultilevel"/>
    <w:tmpl w:val="373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572347F"/>
    <w:multiLevelType w:val="hybridMultilevel"/>
    <w:tmpl w:val="5E94D74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26A412D5"/>
    <w:multiLevelType w:val="hybridMultilevel"/>
    <w:tmpl w:val="E5E40EAC"/>
    <w:lvl w:ilvl="0" w:tplc="08090001">
      <w:start w:val="1"/>
      <w:numFmt w:val="bullet"/>
      <w:lvlText w:val=""/>
      <w:lvlJc w:val="left"/>
      <w:pPr>
        <w:ind w:left="720" w:hanging="360"/>
      </w:pPr>
      <w:rPr>
        <w:rFonts w:ascii="Symbol" w:hAnsi="Symbol" w:hint="default"/>
      </w:rPr>
    </w:lvl>
    <w:lvl w:ilvl="1" w:tplc="048CA8CE">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7132B5D"/>
    <w:multiLevelType w:val="hybridMultilevel"/>
    <w:tmpl w:val="6A6C25E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82419EC"/>
    <w:multiLevelType w:val="hybridMultilevel"/>
    <w:tmpl w:val="3234604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7">
    <w:nsid w:val="2A0967B8"/>
    <w:multiLevelType w:val="multilevel"/>
    <w:tmpl w:val="5178F132"/>
    <w:lvl w:ilvl="0">
      <w:start w:val="1"/>
      <w:numFmt w:val="decimal"/>
      <w:lvlText w:val="%1"/>
      <w:lvlJc w:val="left"/>
      <w:pPr>
        <w:ind w:left="432" w:hanging="432"/>
      </w:pPr>
      <w:rPr>
        <w:b/>
      </w:rPr>
    </w:lvl>
    <w:lvl w:ilvl="1">
      <w:start w:val="1"/>
      <w:numFmt w:val="decimal"/>
      <w:pStyle w:val="Heading2"/>
      <w:lvlText w:val="%2."/>
      <w:lvlJc w:val="left"/>
      <w:pPr>
        <w:ind w:left="860"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2C656211"/>
    <w:multiLevelType w:val="hybridMultilevel"/>
    <w:tmpl w:val="AECAE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1">
    <w:nsid w:val="2F6E5929"/>
    <w:multiLevelType w:val="hybridMultilevel"/>
    <w:tmpl w:val="62B6553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2">
    <w:nsid w:val="32327534"/>
    <w:multiLevelType w:val="hybridMultilevel"/>
    <w:tmpl w:val="4DE8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3545D84"/>
    <w:multiLevelType w:val="hybridMultilevel"/>
    <w:tmpl w:val="D304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5344427"/>
    <w:multiLevelType w:val="hybridMultilevel"/>
    <w:tmpl w:val="C210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84D2CF2"/>
    <w:multiLevelType w:val="multilevel"/>
    <w:tmpl w:val="0AACAD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AC54519"/>
    <w:multiLevelType w:val="multilevel"/>
    <w:tmpl w:val="19FAF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nsid w:val="42F02C9E"/>
    <w:multiLevelType w:val="hybridMultilevel"/>
    <w:tmpl w:val="B82C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F2058A"/>
    <w:multiLevelType w:val="hybridMultilevel"/>
    <w:tmpl w:val="5C06B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1">
    <w:nsid w:val="44DA2072"/>
    <w:multiLevelType w:val="hybridMultilevel"/>
    <w:tmpl w:val="E39C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3">
    <w:nsid w:val="4CD07F4B"/>
    <w:multiLevelType w:val="hybridMultilevel"/>
    <w:tmpl w:val="49BE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04A5F12"/>
    <w:multiLevelType w:val="multilevel"/>
    <w:tmpl w:val="0809001F"/>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1B54209"/>
    <w:multiLevelType w:val="hybridMultilevel"/>
    <w:tmpl w:val="145C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2391591"/>
    <w:multiLevelType w:val="multilevel"/>
    <w:tmpl w:val="C8305900"/>
    <w:styleLink w:val="111111"/>
    <w:lvl w:ilvl="0">
      <w:start w:val="1"/>
      <w:numFmt w:val="decimal"/>
      <w:lvlText w:val="%1."/>
      <w:lvlJc w:val="left"/>
      <w:pPr>
        <w:tabs>
          <w:tab w:val="num" w:pos="360"/>
        </w:tabs>
        <w:ind w:left="360" w:hanging="360"/>
      </w:pPr>
    </w:lvl>
    <w:lvl w:ilvl="1">
      <w:start w:val="1"/>
      <w:numFmt w:val="decimal"/>
      <w:lvlText w:val="%1.%2."/>
      <w:lvlJc w:val="left"/>
      <w:pPr>
        <w:tabs>
          <w:tab w:val="num" w:pos="1260"/>
        </w:tabs>
        <w:ind w:left="97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0">
    <w:nsid w:val="5C4B6584"/>
    <w:multiLevelType w:val="multilevel"/>
    <w:tmpl w:val="9B3CC870"/>
    <w:lvl w:ilvl="0">
      <w:start w:val="1"/>
      <w:numFmt w:val="decimal"/>
      <w:lvlText w:val="%1."/>
      <w:lvlJc w:val="left"/>
      <w:pPr>
        <w:tabs>
          <w:tab w:val="num" w:pos="720"/>
        </w:tabs>
        <w:ind w:left="720" w:hanging="360"/>
      </w:pPr>
      <w:rPr>
        <w:rFonts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nsid w:val="60945F34"/>
    <w:multiLevelType w:val="hybridMultilevel"/>
    <w:tmpl w:val="30941324"/>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nsid w:val="632135A7"/>
    <w:multiLevelType w:val="hybridMultilevel"/>
    <w:tmpl w:val="487E844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nsid w:val="64A12FA4"/>
    <w:multiLevelType w:val="multilevel"/>
    <w:tmpl w:val="E9B68C2E"/>
    <w:lvl w:ilvl="0">
      <w:start w:val="1"/>
      <w:numFmt w:val="decimal"/>
      <w:lvlText w:val="%1"/>
      <w:lvlJc w:val="left"/>
      <w:pPr>
        <w:ind w:left="432" w:hanging="432"/>
      </w:pPr>
      <w:rPr>
        <w:b/>
      </w:rPr>
    </w:lvl>
    <w:lvl w:ilvl="1">
      <w:start w:val="1"/>
      <w:numFmt w:val="decimal"/>
      <w:lvlText w:val="%1.%2"/>
      <w:lvlJc w:val="left"/>
      <w:pPr>
        <w:ind w:left="860" w:hanging="576"/>
      </w:pPr>
      <w:rPr>
        <w:color w:val="auto"/>
        <w:sz w:val="24"/>
        <w:szCs w:val="24"/>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5">
    <w:nsid w:val="663977AF"/>
    <w:multiLevelType w:val="hybridMultilevel"/>
    <w:tmpl w:val="789A437E"/>
    <w:name w:val="0,8244091"/>
    <w:lvl w:ilvl="0" w:tplc="1F86C700">
      <w:start w:val="1"/>
      <w:numFmt w:val="bullet"/>
      <w:lvlRestart w:val="0"/>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670D2527"/>
    <w:multiLevelType w:val="hybridMultilevel"/>
    <w:tmpl w:val="B134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8">
    <w:nsid w:val="6AB15973"/>
    <w:multiLevelType w:val="multilevel"/>
    <w:tmpl w:val="0AF6C7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C9447D2"/>
    <w:multiLevelType w:val="hybridMultilevel"/>
    <w:tmpl w:val="933E1DE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nsid w:val="6E6316D9"/>
    <w:multiLevelType w:val="hybridMultilevel"/>
    <w:tmpl w:val="77D6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F3E6E66"/>
    <w:multiLevelType w:val="hybridMultilevel"/>
    <w:tmpl w:val="1BCA743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2">
    <w:nsid w:val="7C27490B"/>
    <w:multiLevelType w:val="hybridMultilevel"/>
    <w:tmpl w:val="C00A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4">
    <w:nsid w:val="7FAC2CE0"/>
    <w:multiLevelType w:val="hybridMultilevel"/>
    <w:tmpl w:val="98BE33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4"/>
  </w:num>
  <w:num w:numId="2">
    <w:abstractNumId w:val="51"/>
  </w:num>
  <w:num w:numId="3">
    <w:abstractNumId w:val="37"/>
  </w:num>
  <w:num w:numId="4">
    <w:abstractNumId w:val="57"/>
  </w:num>
  <w:num w:numId="5">
    <w:abstractNumId w:val="30"/>
  </w:num>
  <w:num w:numId="6">
    <w:abstractNumId w:val="40"/>
  </w:num>
  <w:num w:numId="7">
    <w:abstractNumId w:val="22"/>
  </w:num>
  <w:num w:numId="8">
    <w:abstractNumId w:val="42"/>
  </w:num>
  <w:num w:numId="9">
    <w:abstractNumId w:val="48"/>
  </w:num>
  <w:num w:numId="10">
    <w:abstractNumId w:val="49"/>
  </w:num>
  <w:num w:numId="11">
    <w:abstractNumId w:val="29"/>
  </w:num>
  <w:num w:numId="12">
    <w:abstractNumId w:val="47"/>
  </w:num>
  <w:num w:numId="13">
    <w:abstractNumId w:val="63"/>
  </w:num>
  <w:num w:numId="14">
    <w:abstractNumId w:val="7"/>
  </w:num>
  <w:num w:numId="15">
    <w:abstractNumId w:val="5"/>
  </w:num>
  <w:num w:numId="16">
    <w:abstractNumId w:val="4"/>
  </w:num>
  <w:num w:numId="17">
    <w:abstractNumId w:val="3"/>
  </w:num>
  <w:num w:numId="18">
    <w:abstractNumId w:val="55"/>
  </w:num>
  <w:num w:numId="19">
    <w:abstractNumId w:val="46"/>
  </w:num>
  <w:num w:numId="20">
    <w:abstractNumId w:val="18"/>
  </w:num>
  <w:num w:numId="21">
    <w:abstractNumId w:val="6"/>
  </w:num>
  <w:num w:numId="22">
    <w:abstractNumId w:val="2"/>
  </w:num>
  <w:num w:numId="23">
    <w:abstractNumId w:val="1"/>
  </w:num>
  <w:num w:numId="24">
    <w:abstractNumId w:val="0"/>
  </w:num>
  <w:num w:numId="25">
    <w:abstractNumId w:val="58"/>
  </w:num>
  <w:num w:numId="26">
    <w:abstractNumId w:val="21"/>
  </w:num>
  <w:num w:numId="27">
    <w:abstractNumId w:val="9"/>
  </w:num>
  <w:num w:numId="28">
    <w:abstractNumId w:val="61"/>
  </w:num>
  <w:num w:numId="29">
    <w:abstractNumId w:val="25"/>
  </w:num>
  <w:num w:numId="30">
    <w:abstractNumId w:val="32"/>
  </w:num>
  <w:num w:numId="31">
    <w:abstractNumId w:val="26"/>
  </w:num>
  <w:num w:numId="32">
    <w:abstractNumId w:val="8"/>
  </w:num>
  <w:num w:numId="33">
    <w:abstractNumId w:val="31"/>
  </w:num>
  <w:num w:numId="34">
    <w:abstractNumId w:val="17"/>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0"/>
  </w:num>
  <w:num w:numId="40">
    <w:abstractNumId w:val="12"/>
  </w:num>
  <w:num w:numId="41">
    <w:abstractNumId w:val="35"/>
  </w:num>
  <w:num w:numId="42">
    <w:abstractNumId w:val="16"/>
  </w:num>
  <w:num w:numId="43">
    <w:abstractNumId w:val="27"/>
  </w:num>
  <w:num w:numId="44">
    <w:abstractNumId w:val="27"/>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28"/>
  </w:num>
  <w:num w:numId="48">
    <w:abstractNumId w:val="15"/>
  </w:num>
  <w:num w:numId="49">
    <w:abstractNumId w:val="50"/>
    <w:lvlOverride w:ilvl="0">
      <w:startOverride w:val="1"/>
    </w:lvlOverride>
    <w:lvlOverride w:ilvl="1"/>
    <w:lvlOverride w:ilvl="2"/>
    <w:lvlOverride w:ilvl="3"/>
    <w:lvlOverride w:ilvl="4"/>
    <w:lvlOverride w:ilvl="5"/>
    <w:lvlOverride w:ilvl="6"/>
    <w:lvlOverride w:ilvl="7"/>
    <w:lvlOverride w:ilvl="8"/>
  </w:num>
  <w:num w:numId="50">
    <w:abstractNumId w:val="14"/>
  </w:num>
  <w:num w:numId="51">
    <w:abstractNumId w:val="41"/>
  </w:num>
  <w:num w:numId="52">
    <w:abstractNumId w:val="19"/>
  </w:num>
  <w:num w:numId="53">
    <w:abstractNumId w:val="56"/>
  </w:num>
  <w:num w:numId="54">
    <w:abstractNumId w:val="33"/>
  </w:num>
  <w:num w:numId="55">
    <w:abstractNumId w:val="45"/>
  </w:num>
  <w:num w:numId="56">
    <w:abstractNumId w:val="38"/>
  </w:num>
  <w:num w:numId="57">
    <w:abstractNumId w:val="62"/>
  </w:num>
  <w:num w:numId="58">
    <w:abstractNumId w:val="34"/>
  </w:num>
  <w:num w:numId="59">
    <w:abstractNumId w:val="13"/>
  </w:num>
  <w:num w:numId="60">
    <w:abstractNumId w:val="24"/>
  </w:num>
  <w:num w:numId="61">
    <w:abstractNumId w:val="60"/>
  </w:num>
  <w:num w:numId="62">
    <w:abstractNumId w:val="39"/>
  </w:num>
  <w:num w:numId="63">
    <w:abstractNumId w:val="44"/>
  </w:num>
  <w:num w:numId="64">
    <w:abstractNumId w:val="43"/>
  </w:num>
  <w:num w:numId="65">
    <w:abstractNumId w:val="11"/>
  </w:num>
  <w:num w:numId="66">
    <w:abstractNumId w:val="64"/>
  </w:num>
  <w:num w:numId="67">
    <w:abstractNumId w:val="53"/>
  </w:num>
  <w:num w:numId="68">
    <w:abstractNumId w:val="59"/>
  </w:num>
  <w:num w:numId="69">
    <w:abstractNumId w:val="23"/>
  </w:num>
  <w:num w:numId="70">
    <w:abstractNumId w:val="5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rawingGridHorizontalSpacing w:val="110"/>
  <w:displayHorizontalDrawingGridEvery w:val="2"/>
  <w:characterSpacingControl w:val="doNotCompress"/>
  <w:hdrShapeDefaults>
    <o:shapedefaults v:ext="edit" spidmax="6146"/>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4AE3CF1-DB9E-4A9D-9232-8E60E24C5B5B"/>
    <w:docVar w:name="LW_COVERPAGE_TYPE" w:val="1"/>
    <w:docVar w:name="LW_CROSSREFERENCE" w:val="{SWD(2020) 52 final}"/>
    <w:docVar w:name="LW_DocType" w:val="NORMAL"/>
    <w:docVar w:name="LW_EMISSION" w:val="10.3.2020"/>
    <w:docVar w:name="LW_EMISSION_ISODATE" w:val="2020-03-1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48?\u1079?\u1087?\u1098?\u1083?\u1085?\u1077?\u1085?\u1080?\u1077? \u1085?\u1072? \u1090?\u1088?\u1077?\u1090?\u1072?\u1090?\u1072? \u1087?\u1088?\u1086?\u1075?\u1088?\u1072?\u1084?\u1072? \u1079?\u1072? \u1076?\u1077?\u1081?\u1089?\u1090?\u1074?\u1080?\u1077? \u1085?\u1072? \u1045?\u1057? \u1074? \u1086?\u1073?\u1083?\u1072?\u1089?\u1090?\u1090?\u1072? \u1085?\u1072? \u1079?\u1076?\u1088?\u1072?\u1074?\u1077?\u1090?\u1086? \u1087?\u1088?\u1077?\u1079? 2017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pPr>
      <w:keepNext/>
      <w:spacing w:before="360" w:after="12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qFormat/>
    <w:pPr>
      <w:keepNext/>
      <w:numPr>
        <w:ilvl w:val="1"/>
        <w:numId w:val="35"/>
      </w:numPr>
      <w:spacing w:after="240" w:line="240" w:lineRule="auto"/>
      <w:jc w:val="both"/>
      <w:outlineLvl w:val="1"/>
    </w:pPr>
    <w:rPr>
      <w:rFonts w:eastAsia="Times New Roman" w:cs="Times New Roman"/>
      <w:b/>
      <w:bCs/>
      <w:i/>
      <w:iCs/>
      <w:sz w:val="28"/>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eastAsia="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eastAsia="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eastAsia="Calibri"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142"/>
    </w:pPr>
    <w:rPr>
      <w:rFonts w:eastAsia="Arial Unicode MS" w:cs="Times New Roman"/>
      <w:noProof/>
      <w:sz w:val="24"/>
      <w:szCs w:val="24"/>
      <w:lang w:eastAsia="zh-CN"/>
    </w:rPr>
  </w:style>
  <w:style w:type="paragraph" w:styleId="TOC4">
    <w:name w:val="toc 4"/>
    <w:basedOn w:val="Normal"/>
    <w:next w:val="Normal"/>
    <w:autoRedefine/>
    <w:uiPriority w:val="39"/>
    <w:unhideWhenUse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lang w:eastAsia="en-GB"/>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semiHidden/>
    <w:unhideWhenUsed/>
    <w:rPr>
      <w:rFonts w:ascii="Calibri" w:eastAsia="Calibri" w:hAnsi="Calibri" w:cs="Times New Roman"/>
      <w:sz w:val="20"/>
      <w:szCs w:val="20"/>
    </w:rPr>
  </w:style>
  <w:style w:type="character" w:customStyle="1" w:styleId="FootnoteTextChar">
    <w:name w:val="Footnote Text Char"/>
    <w:basedOn w:val="DefaultParagraphFont"/>
    <w:semiHidden/>
    <w:rPr>
      <w:rFonts w:ascii="Calibri" w:eastAsia="Calibri" w:hAnsi="Calibri" w:cs="Times New Roman"/>
      <w:sz w:val="20"/>
      <w:szCs w:val="20"/>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iPriority w:val="99"/>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sz w:val="24"/>
    </w:rPr>
  </w:style>
  <w:style w:type="paragraph" w:customStyle="1" w:styleId="Text1">
    <w:name w:val="Text 1"/>
    <w:basedOn w:val="Normal"/>
    <w:link w:val="Text1Char1"/>
    <w:pPr>
      <w:spacing w:before="120" w:after="120" w:line="240" w:lineRule="auto"/>
      <w:ind w:left="850"/>
      <w:jc w:val="both"/>
    </w:pPr>
    <w:rPr>
      <w:rFonts w:eastAsia="Times New Roman" w:cs="Times New Roman"/>
      <w:sz w:val="24"/>
      <w:szCs w:val="24"/>
    </w:rPr>
  </w:style>
  <w:style w:type="paragraph" w:customStyle="1" w:styleId="Text2">
    <w:name w:val="Text 2"/>
    <w:basedOn w:val="Normal"/>
    <w:pPr>
      <w:spacing w:before="120" w:after="120" w:line="240" w:lineRule="auto"/>
      <w:ind w:left="1417"/>
      <w:jc w:val="both"/>
    </w:pPr>
    <w:rPr>
      <w:rFonts w:eastAsia="Times New Roman" w:cs="Times New Roman"/>
      <w:sz w:val="24"/>
      <w:szCs w:val="24"/>
    </w:rPr>
  </w:style>
  <w:style w:type="paragraph" w:customStyle="1" w:styleId="Text3">
    <w:name w:val="Text 3"/>
    <w:basedOn w:val="Normal"/>
    <w:pPr>
      <w:spacing w:before="120" w:after="120" w:line="240" w:lineRule="auto"/>
      <w:ind w:left="1984"/>
      <w:jc w:val="both"/>
    </w:pPr>
    <w:rPr>
      <w:rFonts w:eastAsia="Times New Roman" w:cs="Times New Roman"/>
      <w:sz w:val="24"/>
      <w:szCs w:val="24"/>
    </w:rPr>
  </w:style>
  <w:style w:type="paragraph" w:customStyle="1" w:styleId="Text4">
    <w:name w:val="Text 4"/>
    <w:basedOn w:val="Normal"/>
    <w:pPr>
      <w:spacing w:before="120" w:after="120" w:line="240" w:lineRule="auto"/>
      <w:ind w:left="2551"/>
      <w:jc w:val="both"/>
    </w:pPr>
    <w:rPr>
      <w:rFonts w:eastAsia="Times New Roman" w:cs="Times New Roman"/>
      <w:sz w:val="24"/>
      <w:szCs w:val="24"/>
    </w:rPr>
  </w:style>
  <w:style w:type="paragraph" w:customStyle="1" w:styleId="NormalCentered">
    <w:name w:val="Normal Centered"/>
    <w:basedOn w:val="Normal"/>
    <w:pPr>
      <w:spacing w:before="120" w:after="120" w:line="240" w:lineRule="auto"/>
      <w:jc w:val="center"/>
    </w:pPr>
    <w:rPr>
      <w:rFonts w:eastAsia="Times New Roman" w:cs="Times New Roman"/>
      <w:sz w:val="24"/>
      <w:szCs w:val="24"/>
    </w:rPr>
  </w:style>
  <w:style w:type="paragraph" w:customStyle="1" w:styleId="NormalLeft">
    <w:name w:val="Normal Left"/>
    <w:basedOn w:val="Normal"/>
    <w:pPr>
      <w:spacing w:before="120" w:after="120" w:line="240" w:lineRule="auto"/>
    </w:pPr>
    <w:rPr>
      <w:rFonts w:eastAsia="Times New Roman" w:cs="Times New Roman"/>
      <w:sz w:val="24"/>
      <w:szCs w:val="24"/>
    </w:rPr>
  </w:style>
  <w:style w:type="paragraph" w:customStyle="1" w:styleId="NormalRight">
    <w:name w:val="Normal Right"/>
    <w:basedOn w:val="Normal"/>
    <w:pPr>
      <w:spacing w:before="120" w:after="120" w:line="240" w:lineRule="auto"/>
      <w:jc w:val="right"/>
    </w:pPr>
    <w:rPr>
      <w:rFonts w:eastAsia="Times New Roman" w:cs="Times New Roman"/>
      <w:sz w:val="24"/>
      <w:szCs w:val="24"/>
    </w:rPr>
  </w:style>
  <w:style w:type="paragraph" w:customStyle="1" w:styleId="QuotedText">
    <w:name w:val="Quoted Text"/>
    <w:basedOn w:val="Normal"/>
    <w:pPr>
      <w:spacing w:before="120" w:after="120" w:line="240" w:lineRule="auto"/>
      <w:ind w:left="1417"/>
      <w:jc w:val="both"/>
    </w:pPr>
    <w:rPr>
      <w:rFonts w:eastAsia="Times New Roman" w:cs="Times New Roman"/>
      <w:sz w:val="24"/>
      <w:szCs w:val="24"/>
    </w:rPr>
  </w:style>
  <w:style w:type="paragraph" w:customStyle="1" w:styleId="Point0">
    <w:name w:val="Point 0"/>
    <w:basedOn w:val="Normal"/>
    <w:pPr>
      <w:spacing w:before="120" w:after="120" w:line="240" w:lineRule="auto"/>
      <w:ind w:left="850" w:hanging="850"/>
      <w:jc w:val="both"/>
    </w:pPr>
    <w:rPr>
      <w:rFonts w:eastAsia="Times New Roman" w:cs="Times New Roman"/>
      <w:sz w:val="24"/>
      <w:szCs w:val="24"/>
    </w:rPr>
  </w:style>
  <w:style w:type="paragraph" w:customStyle="1" w:styleId="Point1">
    <w:name w:val="Point 1"/>
    <w:basedOn w:val="Normal"/>
    <w:pPr>
      <w:spacing w:before="120" w:after="120" w:line="240" w:lineRule="auto"/>
      <w:ind w:left="1417" w:hanging="567"/>
      <w:jc w:val="both"/>
    </w:pPr>
    <w:rPr>
      <w:rFonts w:eastAsia="Times New Roman" w:cs="Times New Roman"/>
      <w:sz w:val="24"/>
      <w:szCs w:val="24"/>
    </w:rPr>
  </w:style>
  <w:style w:type="paragraph" w:customStyle="1" w:styleId="Point2">
    <w:name w:val="Point 2"/>
    <w:basedOn w:val="Normal"/>
    <w:pPr>
      <w:spacing w:before="120" w:after="120" w:line="240" w:lineRule="auto"/>
      <w:ind w:left="1984" w:hanging="567"/>
      <w:jc w:val="both"/>
    </w:pPr>
    <w:rPr>
      <w:rFonts w:eastAsia="Times New Roman" w:cs="Times New Roman"/>
      <w:sz w:val="24"/>
      <w:szCs w:val="24"/>
    </w:rPr>
  </w:style>
  <w:style w:type="paragraph" w:customStyle="1" w:styleId="Point3">
    <w:name w:val="Point 3"/>
    <w:basedOn w:val="Normal"/>
    <w:pPr>
      <w:spacing w:before="120" w:after="120" w:line="240" w:lineRule="auto"/>
      <w:ind w:left="2551" w:hanging="567"/>
      <w:jc w:val="both"/>
    </w:pPr>
    <w:rPr>
      <w:rFonts w:eastAsia="Times New Roman" w:cs="Times New Roman"/>
      <w:sz w:val="24"/>
      <w:szCs w:val="24"/>
    </w:rPr>
  </w:style>
  <w:style w:type="paragraph" w:customStyle="1" w:styleId="Point4">
    <w:name w:val="Point 4"/>
    <w:basedOn w:val="Normal"/>
    <w:pPr>
      <w:spacing w:before="120" w:after="120" w:line="240" w:lineRule="auto"/>
      <w:ind w:left="3118" w:hanging="567"/>
      <w:jc w:val="both"/>
    </w:pPr>
    <w:rPr>
      <w:rFonts w:eastAsia="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eastAsia="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eastAsia="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eastAsia="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eastAsia="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pPr>
    <w:rPr>
      <w:rFonts w:eastAsia="Times New Roman" w:cs="Times New Roman"/>
      <w:b/>
      <w:sz w:val="28"/>
      <w:szCs w:val="24"/>
    </w:rPr>
  </w:style>
  <w:style w:type="paragraph" w:customStyle="1" w:styleId="Point0number">
    <w:name w:val="Point 0 (number)"/>
    <w:basedOn w:val="Normal"/>
    <w:pPr>
      <w:numPr>
        <w:numId w:val="20"/>
      </w:numPr>
      <w:spacing w:before="120" w:after="120" w:line="240" w:lineRule="auto"/>
      <w:jc w:val="both"/>
    </w:pPr>
    <w:rPr>
      <w:rFonts w:eastAsia="Times New Roman" w:cs="Times New Roman"/>
      <w:sz w:val="24"/>
      <w:szCs w:val="24"/>
    </w:rPr>
  </w:style>
  <w:style w:type="paragraph" w:customStyle="1" w:styleId="Point1number">
    <w:name w:val="Point 1 (number)"/>
    <w:basedOn w:val="Normal"/>
    <w:pPr>
      <w:numPr>
        <w:ilvl w:val="2"/>
        <w:numId w:val="20"/>
      </w:numPr>
      <w:spacing w:before="120" w:after="120" w:line="240" w:lineRule="auto"/>
      <w:jc w:val="both"/>
    </w:pPr>
    <w:rPr>
      <w:rFonts w:eastAsia="Times New Roman" w:cs="Times New Roman"/>
      <w:sz w:val="24"/>
      <w:szCs w:val="24"/>
    </w:rPr>
  </w:style>
  <w:style w:type="paragraph" w:customStyle="1" w:styleId="Point2number">
    <w:name w:val="Point 2 (number)"/>
    <w:basedOn w:val="Normal"/>
    <w:pPr>
      <w:numPr>
        <w:ilvl w:val="4"/>
        <w:numId w:val="20"/>
      </w:numPr>
      <w:spacing w:before="120" w:after="120" w:line="240" w:lineRule="auto"/>
      <w:jc w:val="both"/>
    </w:pPr>
    <w:rPr>
      <w:rFonts w:eastAsia="Times New Roman" w:cs="Times New Roman"/>
      <w:sz w:val="24"/>
      <w:szCs w:val="24"/>
    </w:rPr>
  </w:style>
  <w:style w:type="paragraph" w:customStyle="1" w:styleId="Point3number">
    <w:name w:val="Point 3 (number)"/>
    <w:basedOn w:val="Normal"/>
    <w:pPr>
      <w:numPr>
        <w:ilvl w:val="6"/>
        <w:numId w:val="20"/>
      </w:numPr>
      <w:spacing w:before="120" w:after="120" w:line="240" w:lineRule="auto"/>
      <w:jc w:val="both"/>
    </w:pPr>
    <w:rPr>
      <w:rFonts w:eastAsia="Times New Roman" w:cs="Times New Roman"/>
      <w:sz w:val="24"/>
      <w:szCs w:val="24"/>
    </w:rPr>
  </w:style>
  <w:style w:type="paragraph" w:customStyle="1" w:styleId="Point0letter">
    <w:name w:val="Point 0 (letter)"/>
    <w:basedOn w:val="Normal"/>
    <w:pPr>
      <w:numPr>
        <w:ilvl w:val="1"/>
        <w:numId w:val="20"/>
      </w:numPr>
      <w:spacing w:before="120" w:after="120" w:line="240" w:lineRule="auto"/>
      <w:jc w:val="both"/>
    </w:pPr>
    <w:rPr>
      <w:rFonts w:eastAsia="Times New Roman" w:cs="Times New Roman"/>
      <w:sz w:val="24"/>
      <w:szCs w:val="24"/>
    </w:rPr>
  </w:style>
  <w:style w:type="paragraph" w:customStyle="1" w:styleId="Point1letter">
    <w:name w:val="Point 1 (letter)"/>
    <w:basedOn w:val="Normal"/>
    <w:pPr>
      <w:numPr>
        <w:ilvl w:val="3"/>
        <w:numId w:val="20"/>
      </w:numPr>
      <w:spacing w:before="120" w:after="120" w:line="240" w:lineRule="auto"/>
      <w:jc w:val="both"/>
    </w:pPr>
    <w:rPr>
      <w:rFonts w:eastAsia="Times New Roman" w:cs="Times New Roman"/>
      <w:sz w:val="24"/>
      <w:szCs w:val="24"/>
    </w:rPr>
  </w:style>
  <w:style w:type="paragraph" w:customStyle="1" w:styleId="Point2letter">
    <w:name w:val="Point 2 (letter)"/>
    <w:basedOn w:val="Normal"/>
    <w:pPr>
      <w:numPr>
        <w:ilvl w:val="5"/>
        <w:numId w:val="20"/>
      </w:numPr>
      <w:spacing w:before="120" w:after="120" w:line="240" w:lineRule="auto"/>
      <w:jc w:val="both"/>
    </w:pPr>
    <w:rPr>
      <w:rFonts w:eastAsia="Times New Roman" w:cs="Times New Roman"/>
      <w:sz w:val="24"/>
      <w:szCs w:val="24"/>
    </w:rPr>
  </w:style>
  <w:style w:type="paragraph" w:customStyle="1" w:styleId="Point3letter">
    <w:name w:val="Point 3 (letter)"/>
    <w:basedOn w:val="Normal"/>
    <w:pPr>
      <w:numPr>
        <w:ilvl w:val="7"/>
        <w:numId w:val="20"/>
      </w:numPr>
      <w:spacing w:before="120" w:after="120" w:line="240" w:lineRule="auto"/>
      <w:jc w:val="both"/>
    </w:pPr>
    <w:rPr>
      <w:rFonts w:eastAsia="Times New Roman" w:cs="Times New Roman"/>
      <w:sz w:val="24"/>
      <w:szCs w:val="24"/>
    </w:rPr>
  </w:style>
  <w:style w:type="paragraph" w:customStyle="1" w:styleId="Point4letter">
    <w:name w:val="Point 4 (letter)"/>
    <w:basedOn w:val="Normal"/>
    <w:pPr>
      <w:numPr>
        <w:ilvl w:val="8"/>
        <w:numId w:val="20"/>
      </w:numPr>
      <w:spacing w:before="120" w:after="120" w:line="240" w:lineRule="auto"/>
      <w:jc w:val="both"/>
    </w:pPr>
    <w:rPr>
      <w:rFonts w:eastAsia="Times New Roman" w:cs="Times New Roman"/>
      <w:sz w:val="24"/>
      <w:szCs w:val="24"/>
    </w:rPr>
  </w:style>
  <w:style w:type="paragraph" w:customStyle="1" w:styleId="Bullet0">
    <w:name w:val="Bullet 0"/>
    <w:basedOn w:val="Normal"/>
    <w:pPr>
      <w:numPr>
        <w:numId w:val="8"/>
      </w:numPr>
      <w:spacing w:before="120" w:after="120" w:line="240" w:lineRule="auto"/>
      <w:jc w:val="both"/>
    </w:pPr>
    <w:rPr>
      <w:rFonts w:eastAsia="Times New Roman" w:cs="Times New Roman"/>
      <w:sz w:val="24"/>
      <w:szCs w:val="24"/>
    </w:rPr>
  </w:style>
  <w:style w:type="paragraph" w:customStyle="1" w:styleId="Bullet1">
    <w:name w:val="Bullet 1"/>
    <w:basedOn w:val="Normal"/>
    <w:pPr>
      <w:numPr>
        <w:numId w:val="9"/>
      </w:numPr>
      <w:spacing w:before="120" w:after="120" w:line="240" w:lineRule="auto"/>
      <w:jc w:val="both"/>
    </w:pPr>
    <w:rPr>
      <w:rFonts w:eastAsia="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eastAsia="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eastAsia="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eastAsia="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eastAsia="Times New Roman" w:cs="Times New Roman"/>
      <w:sz w:val="24"/>
      <w:szCs w:val="24"/>
    </w:rPr>
  </w:style>
  <w:style w:type="paragraph" w:customStyle="1" w:styleId="Corrigendum">
    <w:name w:val="Corrigendum"/>
    <w:basedOn w:val="Normal"/>
    <w:next w:val="Normal"/>
    <w:pPr>
      <w:spacing w:after="240" w:line="240" w:lineRule="auto"/>
    </w:pPr>
    <w:rPr>
      <w:rFonts w:eastAsia="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 w:val="24"/>
      <w:szCs w:val="24"/>
    </w:rPr>
  </w:style>
  <w:style w:type="paragraph" w:customStyle="1" w:styleId="Emission">
    <w:name w:val="Emission"/>
    <w:basedOn w:val="Normal"/>
    <w:next w:val="Rfrenceinstitutionnelle"/>
    <w:pPr>
      <w:spacing w:after="0" w:line="240" w:lineRule="auto"/>
      <w:ind w:left="5103"/>
    </w:pPr>
    <w:rPr>
      <w:rFonts w:eastAsia="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eastAsia="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 w:val="24"/>
      <w:szCs w:val="24"/>
    </w:rPr>
  </w:style>
  <w:style w:type="paragraph" w:customStyle="1" w:styleId="Sous-titreobjet">
    <w:name w:val="Sous-titre objet"/>
    <w:basedOn w:val="Normal"/>
    <w:pPr>
      <w:spacing w:after="0" w:line="240" w:lineRule="auto"/>
      <w:jc w:val="center"/>
    </w:pPr>
    <w:rPr>
      <w:rFonts w:eastAsia="Times New Roman" w:cs="Times New Roman"/>
      <w:b/>
      <w:sz w:val="24"/>
      <w:szCs w:val="24"/>
    </w:rPr>
  </w:style>
  <w:style w:type="paragraph" w:customStyle="1" w:styleId="Statut">
    <w:name w:val="Statut"/>
    <w:basedOn w:val="Normal"/>
    <w:next w:val="Typedudocument"/>
    <w:pPr>
      <w:spacing w:before="360" w:after="0" w:line="240" w:lineRule="auto"/>
      <w:jc w:val="center"/>
    </w:pPr>
    <w:rPr>
      <w:rFonts w:eastAsia="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eastAsia="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 w:val="24"/>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 w:val="24"/>
      <w:szCs w:val="24"/>
    </w:rPr>
  </w:style>
  <w:style w:type="paragraph" w:customStyle="1" w:styleId="Supertitre">
    <w:name w:val="Supertitre"/>
    <w:basedOn w:val="Normal"/>
    <w:next w:val="Normal"/>
    <w:pPr>
      <w:spacing w:after="600" w:line="240" w:lineRule="auto"/>
      <w:jc w:val="center"/>
    </w:pPr>
    <w:rPr>
      <w:rFonts w:eastAsia="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 w:val="24"/>
      <w:szCs w:val="24"/>
    </w:rPr>
  </w:style>
  <w:style w:type="paragraph" w:customStyle="1" w:styleId="Rfrencecroise">
    <w:name w:val="Référence croisée"/>
    <w:basedOn w:val="Normal"/>
    <w:pPr>
      <w:spacing w:after="0" w:line="240" w:lineRule="auto"/>
      <w:jc w:val="center"/>
    </w:pPr>
    <w:rPr>
      <w:rFonts w:eastAsia="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eastAsia="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eastAsia="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eastAsia="Times New Roman" w:cs="Times New Roman"/>
      <w:sz w:val="24"/>
      <w:szCs w:val="24"/>
    </w:rPr>
  </w:style>
  <w:style w:type="paragraph" w:styleId="ListBullet3">
    <w:name w:val="List Bullet 3"/>
    <w:basedOn w:val="Normal"/>
    <w:pPr>
      <w:numPr>
        <w:numId w:val="16"/>
      </w:numPr>
      <w:spacing w:before="120" w:after="120" w:line="240" w:lineRule="auto"/>
      <w:contextualSpacing/>
      <w:jc w:val="both"/>
    </w:pPr>
    <w:rPr>
      <w:rFonts w:eastAsia="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eastAsia="Times New Roman" w:cs="Times New Roman"/>
      <w:sz w:val="24"/>
      <w:szCs w:val="24"/>
    </w:rPr>
  </w:style>
  <w:style w:type="paragraph" w:customStyle="1" w:styleId="ListDash">
    <w:name w:val="List Dash"/>
    <w:basedOn w:val="Normal"/>
    <w:pPr>
      <w:numPr>
        <w:numId w:val="18"/>
      </w:numPr>
      <w:spacing w:before="120" w:after="120" w:line="240" w:lineRule="auto"/>
      <w:jc w:val="both"/>
    </w:pPr>
    <w:rPr>
      <w:rFonts w:eastAsia="Times New Roman" w:cs="Times New Roman"/>
      <w:sz w:val="24"/>
      <w:szCs w:val="24"/>
    </w:rPr>
  </w:style>
  <w:style w:type="character" w:styleId="Strong">
    <w:name w:val="Strong"/>
    <w:uiPriority w:val="22"/>
    <w:qFormat/>
    <w:rPr>
      <w:b/>
      <w:bCs/>
    </w:rPr>
  </w:style>
  <w:style w:type="paragraph" w:styleId="ListParagraph">
    <w:name w:val="List Paragraph"/>
    <w:basedOn w:val="Normal"/>
    <w:uiPriority w:val="34"/>
    <w:qFormat/>
    <w:pPr>
      <w:ind w:left="720"/>
      <w:contextualSpacing/>
    </w:pPr>
    <w:rPr>
      <w:rFonts w:ascii="Calibri" w:eastAsia="Times New Roman" w:hAnsi="Calibri" w:cs="Times New Roman"/>
    </w:rPr>
  </w:style>
  <w:style w:type="numbering" w:styleId="111111">
    <w:name w:val="Outline List 2"/>
    <w:basedOn w:val="NoList"/>
    <w:pPr>
      <w:numPr>
        <w:numId w:val="19"/>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pPr>
      <w:spacing w:before="120" w:after="120" w:line="240" w:lineRule="auto"/>
      <w:jc w:val="both"/>
    </w:pPr>
    <w:rPr>
      <w:rFonts w:eastAsia="Times New Roman" w:cs="Times New Roman"/>
      <w:sz w:val="24"/>
      <w:szCs w:val="24"/>
    </w:rPr>
  </w:style>
  <w:style w:type="paragraph" w:styleId="ListNumber">
    <w:name w:val="List Number"/>
    <w:basedOn w:val="Normal"/>
    <w:pPr>
      <w:numPr>
        <w:numId w:val="21"/>
      </w:numPr>
      <w:spacing w:before="120" w:after="120" w:line="240" w:lineRule="auto"/>
      <w:contextualSpacing/>
      <w:jc w:val="both"/>
    </w:pPr>
    <w:rPr>
      <w:rFonts w:eastAsia="Times New Roman" w:cs="Times New Roman"/>
      <w:sz w:val="24"/>
      <w:szCs w:val="24"/>
    </w:rPr>
  </w:style>
  <w:style w:type="paragraph" w:styleId="ListNumber2">
    <w:name w:val="List Number 2"/>
    <w:basedOn w:val="Normal"/>
    <w:pPr>
      <w:numPr>
        <w:numId w:val="22"/>
      </w:numPr>
      <w:spacing w:before="120" w:after="120" w:line="240" w:lineRule="auto"/>
      <w:contextualSpacing/>
      <w:jc w:val="both"/>
    </w:pPr>
    <w:rPr>
      <w:rFonts w:eastAsia="Times New Roman" w:cs="Times New Roman"/>
      <w:sz w:val="24"/>
      <w:szCs w:val="24"/>
    </w:rPr>
  </w:style>
  <w:style w:type="paragraph" w:styleId="ListNumber3">
    <w:name w:val="List Number 3"/>
    <w:basedOn w:val="Normal"/>
    <w:pPr>
      <w:numPr>
        <w:numId w:val="23"/>
      </w:numPr>
      <w:spacing w:before="120" w:after="120" w:line="240" w:lineRule="auto"/>
      <w:contextualSpacing/>
      <w:jc w:val="both"/>
    </w:pPr>
    <w:rPr>
      <w:rFonts w:eastAsia="Times New Roman" w:cs="Times New Roman"/>
      <w:sz w:val="24"/>
      <w:szCs w:val="24"/>
    </w:rPr>
  </w:style>
  <w:style w:type="paragraph" w:styleId="ListNumber4">
    <w:name w:val="List Number 4"/>
    <w:basedOn w:val="Normal"/>
    <w:pPr>
      <w:numPr>
        <w:numId w:val="24"/>
      </w:numPr>
      <w:spacing w:before="120" w:after="120" w:line="240" w:lineRule="auto"/>
      <w:contextualSpacing/>
      <w:jc w:val="both"/>
    </w:pPr>
    <w:rPr>
      <w:rFonts w:eastAsia="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eastAsia="Times New Roman" w:cs="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unhideWhenUsed/>
    <w:rPr>
      <w:rFonts w:eastAsia="Calibri"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footnotedefaultstyleChar">
    <w:name w:val="footnote default style Char"/>
    <w:basedOn w:val="DefaultParagraphFont"/>
    <w:link w:val="footnotedefaultstyle"/>
    <w:locked/>
    <w:rPr>
      <w:rFonts w:ascii="Verdana" w:hAnsi="Verdana"/>
    </w:rPr>
  </w:style>
  <w:style w:type="paragraph" w:customStyle="1" w:styleId="footnotedefaultstyle">
    <w:name w:val="footnote default style"/>
    <w:basedOn w:val="Normal"/>
    <w:link w:val="footnotedefaultstyleChar"/>
    <w:pPr>
      <w:spacing w:after="0" w:line="240" w:lineRule="auto"/>
      <w:ind w:left="357" w:hanging="357"/>
      <w:jc w:val="both"/>
    </w:pPr>
    <w:rPr>
      <w:rFonts w:ascii="Verdana" w:hAnsi="Verdana"/>
    </w:rPr>
  </w:style>
  <w:style w:type="paragraph" w:customStyle="1" w:styleId="rtejustify">
    <w:name w:val="rtejustify"/>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oc-ti">
    <w:name w:val="doc-ti"/>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emission0">
    <w:name w:val="emission"/>
    <w:basedOn w:val="Normal"/>
    <w:pPr>
      <w:spacing w:after="0" w:line="240" w:lineRule="auto"/>
      <w:jc w:val="both"/>
    </w:pPr>
    <w:rPr>
      <w:rFonts w:eastAsia="Times New Roman" w:cs="Times New Roman"/>
      <w:sz w:val="24"/>
      <w:szCs w:val="24"/>
      <w:lang w:eastAsia="en-GB"/>
    </w:rPr>
  </w:style>
  <w:style w:type="paragraph" w:customStyle="1" w:styleId="rfrenceinstitutionnelle0">
    <w:name w:val="rfrenceinstitutionnelle"/>
    <w:basedOn w:val="Normal"/>
    <w:pPr>
      <w:spacing w:after="0" w:line="240" w:lineRule="auto"/>
      <w:jc w:val="both"/>
    </w:pPr>
    <w:rPr>
      <w:rFonts w:eastAsia="Times New Roman" w:cs="Times New Roman"/>
      <w:sz w:val="24"/>
      <w:szCs w:val="24"/>
      <w:lang w:eastAsia="en-GB"/>
    </w:rPr>
  </w:style>
  <w:style w:type="character" w:customStyle="1" w:styleId="Text1Char1">
    <w:name w:val="Text 1 Char1"/>
    <w:basedOn w:val="DefaultParagraphFont"/>
    <w:link w:val="Text1"/>
    <w:locked/>
    <w:rPr>
      <w:rFonts w:ascii="Times New Roman" w:eastAsia="Times New Roman" w:hAnsi="Times New Roman" w:cs="Times New Roman"/>
      <w:sz w:val="24"/>
      <w:szCs w:val="24"/>
    </w:rPr>
  </w:style>
  <w:style w:type="paragraph" w:customStyle="1" w:styleId="SecurityMarking">
    <w:name w:val="SecurityMarking"/>
    <w:basedOn w:val="Normal"/>
    <w:pPr>
      <w:spacing w:after="0"/>
      <w:ind w:left="5103"/>
    </w:pPr>
    <w:rPr>
      <w:rFonts w:cs="Times New Roman"/>
      <w:sz w:val="28"/>
    </w:rPr>
  </w:style>
  <w:style w:type="paragraph" w:customStyle="1" w:styleId="DateMarking">
    <w:name w:val="DateMarking"/>
    <w:basedOn w:val="Normal"/>
    <w:pPr>
      <w:spacing w:after="0"/>
      <w:ind w:left="5103"/>
    </w:pPr>
    <w:rPr>
      <w:rFonts w:cs="Times New Roman"/>
      <w:i/>
      <w:sz w:val="28"/>
    </w:rPr>
  </w:style>
  <w:style w:type="paragraph" w:customStyle="1" w:styleId="ReleasableTo">
    <w:name w:val="ReleasableTo"/>
    <w:basedOn w:val="Normal"/>
    <w:pPr>
      <w:spacing w:after="0"/>
      <w:ind w:left="5103"/>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pPr>
      <w:keepNext/>
      <w:spacing w:before="360" w:after="12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qFormat/>
    <w:pPr>
      <w:keepNext/>
      <w:numPr>
        <w:ilvl w:val="1"/>
        <w:numId w:val="35"/>
      </w:numPr>
      <w:spacing w:after="240" w:line="240" w:lineRule="auto"/>
      <w:jc w:val="both"/>
      <w:outlineLvl w:val="1"/>
    </w:pPr>
    <w:rPr>
      <w:rFonts w:eastAsia="Times New Roman" w:cs="Times New Roman"/>
      <w:b/>
      <w:bCs/>
      <w:i/>
      <w:iCs/>
      <w:sz w:val="28"/>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eastAsia="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eastAsia="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eastAsia="Calibri"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142"/>
    </w:pPr>
    <w:rPr>
      <w:rFonts w:eastAsia="Arial Unicode MS" w:cs="Times New Roman"/>
      <w:noProof/>
      <w:sz w:val="24"/>
      <w:szCs w:val="24"/>
      <w:lang w:eastAsia="zh-CN"/>
    </w:rPr>
  </w:style>
  <w:style w:type="paragraph" w:styleId="TOC4">
    <w:name w:val="toc 4"/>
    <w:basedOn w:val="Normal"/>
    <w:next w:val="Normal"/>
    <w:autoRedefine/>
    <w:uiPriority w:val="39"/>
    <w:unhideWhenUse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lang w:eastAsia="en-GB"/>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semiHidden/>
    <w:unhideWhenUsed/>
    <w:rPr>
      <w:rFonts w:ascii="Calibri" w:eastAsia="Calibri" w:hAnsi="Calibri" w:cs="Times New Roman"/>
      <w:sz w:val="20"/>
      <w:szCs w:val="20"/>
    </w:rPr>
  </w:style>
  <w:style w:type="character" w:customStyle="1" w:styleId="FootnoteTextChar">
    <w:name w:val="Footnote Text Char"/>
    <w:basedOn w:val="DefaultParagraphFont"/>
    <w:semiHidden/>
    <w:rPr>
      <w:rFonts w:ascii="Calibri" w:eastAsia="Calibri" w:hAnsi="Calibri" w:cs="Times New Roman"/>
      <w:sz w:val="20"/>
      <w:szCs w:val="20"/>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iPriority w:val="99"/>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sz w:val="24"/>
    </w:rPr>
  </w:style>
  <w:style w:type="paragraph" w:customStyle="1" w:styleId="Text1">
    <w:name w:val="Text 1"/>
    <w:basedOn w:val="Normal"/>
    <w:link w:val="Text1Char1"/>
    <w:pPr>
      <w:spacing w:before="120" w:after="120" w:line="240" w:lineRule="auto"/>
      <w:ind w:left="850"/>
      <w:jc w:val="both"/>
    </w:pPr>
    <w:rPr>
      <w:rFonts w:eastAsia="Times New Roman" w:cs="Times New Roman"/>
      <w:sz w:val="24"/>
      <w:szCs w:val="24"/>
    </w:rPr>
  </w:style>
  <w:style w:type="paragraph" w:customStyle="1" w:styleId="Text2">
    <w:name w:val="Text 2"/>
    <w:basedOn w:val="Normal"/>
    <w:pPr>
      <w:spacing w:before="120" w:after="120" w:line="240" w:lineRule="auto"/>
      <w:ind w:left="1417"/>
      <w:jc w:val="both"/>
    </w:pPr>
    <w:rPr>
      <w:rFonts w:eastAsia="Times New Roman" w:cs="Times New Roman"/>
      <w:sz w:val="24"/>
      <w:szCs w:val="24"/>
    </w:rPr>
  </w:style>
  <w:style w:type="paragraph" w:customStyle="1" w:styleId="Text3">
    <w:name w:val="Text 3"/>
    <w:basedOn w:val="Normal"/>
    <w:pPr>
      <w:spacing w:before="120" w:after="120" w:line="240" w:lineRule="auto"/>
      <w:ind w:left="1984"/>
      <w:jc w:val="both"/>
    </w:pPr>
    <w:rPr>
      <w:rFonts w:eastAsia="Times New Roman" w:cs="Times New Roman"/>
      <w:sz w:val="24"/>
      <w:szCs w:val="24"/>
    </w:rPr>
  </w:style>
  <w:style w:type="paragraph" w:customStyle="1" w:styleId="Text4">
    <w:name w:val="Text 4"/>
    <w:basedOn w:val="Normal"/>
    <w:pPr>
      <w:spacing w:before="120" w:after="120" w:line="240" w:lineRule="auto"/>
      <w:ind w:left="2551"/>
      <w:jc w:val="both"/>
    </w:pPr>
    <w:rPr>
      <w:rFonts w:eastAsia="Times New Roman" w:cs="Times New Roman"/>
      <w:sz w:val="24"/>
      <w:szCs w:val="24"/>
    </w:rPr>
  </w:style>
  <w:style w:type="paragraph" w:customStyle="1" w:styleId="NormalCentered">
    <w:name w:val="Normal Centered"/>
    <w:basedOn w:val="Normal"/>
    <w:pPr>
      <w:spacing w:before="120" w:after="120" w:line="240" w:lineRule="auto"/>
      <w:jc w:val="center"/>
    </w:pPr>
    <w:rPr>
      <w:rFonts w:eastAsia="Times New Roman" w:cs="Times New Roman"/>
      <w:sz w:val="24"/>
      <w:szCs w:val="24"/>
    </w:rPr>
  </w:style>
  <w:style w:type="paragraph" w:customStyle="1" w:styleId="NormalLeft">
    <w:name w:val="Normal Left"/>
    <w:basedOn w:val="Normal"/>
    <w:pPr>
      <w:spacing w:before="120" w:after="120" w:line="240" w:lineRule="auto"/>
    </w:pPr>
    <w:rPr>
      <w:rFonts w:eastAsia="Times New Roman" w:cs="Times New Roman"/>
      <w:sz w:val="24"/>
      <w:szCs w:val="24"/>
    </w:rPr>
  </w:style>
  <w:style w:type="paragraph" w:customStyle="1" w:styleId="NormalRight">
    <w:name w:val="Normal Right"/>
    <w:basedOn w:val="Normal"/>
    <w:pPr>
      <w:spacing w:before="120" w:after="120" w:line="240" w:lineRule="auto"/>
      <w:jc w:val="right"/>
    </w:pPr>
    <w:rPr>
      <w:rFonts w:eastAsia="Times New Roman" w:cs="Times New Roman"/>
      <w:sz w:val="24"/>
      <w:szCs w:val="24"/>
    </w:rPr>
  </w:style>
  <w:style w:type="paragraph" w:customStyle="1" w:styleId="QuotedText">
    <w:name w:val="Quoted Text"/>
    <w:basedOn w:val="Normal"/>
    <w:pPr>
      <w:spacing w:before="120" w:after="120" w:line="240" w:lineRule="auto"/>
      <w:ind w:left="1417"/>
      <w:jc w:val="both"/>
    </w:pPr>
    <w:rPr>
      <w:rFonts w:eastAsia="Times New Roman" w:cs="Times New Roman"/>
      <w:sz w:val="24"/>
      <w:szCs w:val="24"/>
    </w:rPr>
  </w:style>
  <w:style w:type="paragraph" w:customStyle="1" w:styleId="Point0">
    <w:name w:val="Point 0"/>
    <w:basedOn w:val="Normal"/>
    <w:pPr>
      <w:spacing w:before="120" w:after="120" w:line="240" w:lineRule="auto"/>
      <w:ind w:left="850" w:hanging="850"/>
      <w:jc w:val="both"/>
    </w:pPr>
    <w:rPr>
      <w:rFonts w:eastAsia="Times New Roman" w:cs="Times New Roman"/>
      <w:sz w:val="24"/>
      <w:szCs w:val="24"/>
    </w:rPr>
  </w:style>
  <w:style w:type="paragraph" w:customStyle="1" w:styleId="Point1">
    <w:name w:val="Point 1"/>
    <w:basedOn w:val="Normal"/>
    <w:pPr>
      <w:spacing w:before="120" w:after="120" w:line="240" w:lineRule="auto"/>
      <w:ind w:left="1417" w:hanging="567"/>
      <w:jc w:val="both"/>
    </w:pPr>
    <w:rPr>
      <w:rFonts w:eastAsia="Times New Roman" w:cs="Times New Roman"/>
      <w:sz w:val="24"/>
      <w:szCs w:val="24"/>
    </w:rPr>
  </w:style>
  <w:style w:type="paragraph" w:customStyle="1" w:styleId="Point2">
    <w:name w:val="Point 2"/>
    <w:basedOn w:val="Normal"/>
    <w:pPr>
      <w:spacing w:before="120" w:after="120" w:line="240" w:lineRule="auto"/>
      <w:ind w:left="1984" w:hanging="567"/>
      <w:jc w:val="both"/>
    </w:pPr>
    <w:rPr>
      <w:rFonts w:eastAsia="Times New Roman" w:cs="Times New Roman"/>
      <w:sz w:val="24"/>
      <w:szCs w:val="24"/>
    </w:rPr>
  </w:style>
  <w:style w:type="paragraph" w:customStyle="1" w:styleId="Point3">
    <w:name w:val="Point 3"/>
    <w:basedOn w:val="Normal"/>
    <w:pPr>
      <w:spacing w:before="120" w:after="120" w:line="240" w:lineRule="auto"/>
      <w:ind w:left="2551" w:hanging="567"/>
      <w:jc w:val="both"/>
    </w:pPr>
    <w:rPr>
      <w:rFonts w:eastAsia="Times New Roman" w:cs="Times New Roman"/>
      <w:sz w:val="24"/>
      <w:szCs w:val="24"/>
    </w:rPr>
  </w:style>
  <w:style w:type="paragraph" w:customStyle="1" w:styleId="Point4">
    <w:name w:val="Point 4"/>
    <w:basedOn w:val="Normal"/>
    <w:pPr>
      <w:spacing w:before="120" w:after="120" w:line="240" w:lineRule="auto"/>
      <w:ind w:left="3118" w:hanging="567"/>
      <w:jc w:val="both"/>
    </w:pPr>
    <w:rPr>
      <w:rFonts w:eastAsia="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eastAsia="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eastAsia="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eastAsia="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eastAsia="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pPr>
    <w:rPr>
      <w:rFonts w:eastAsia="Times New Roman" w:cs="Times New Roman"/>
      <w:b/>
      <w:sz w:val="28"/>
      <w:szCs w:val="24"/>
    </w:rPr>
  </w:style>
  <w:style w:type="paragraph" w:customStyle="1" w:styleId="Point0number">
    <w:name w:val="Point 0 (number)"/>
    <w:basedOn w:val="Normal"/>
    <w:pPr>
      <w:numPr>
        <w:numId w:val="20"/>
      </w:numPr>
      <w:spacing w:before="120" w:after="120" w:line="240" w:lineRule="auto"/>
      <w:jc w:val="both"/>
    </w:pPr>
    <w:rPr>
      <w:rFonts w:eastAsia="Times New Roman" w:cs="Times New Roman"/>
      <w:sz w:val="24"/>
      <w:szCs w:val="24"/>
    </w:rPr>
  </w:style>
  <w:style w:type="paragraph" w:customStyle="1" w:styleId="Point1number">
    <w:name w:val="Point 1 (number)"/>
    <w:basedOn w:val="Normal"/>
    <w:pPr>
      <w:numPr>
        <w:ilvl w:val="2"/>
        <w:numId w:val="20"/>
      </w:numPr>
      <w:spacing w:before="120" w:after="120" w:line="240" w:lineRule="auto"/>
      <w:jc w:val="both"/>
    </w:pPr>
    <w:rPr>
      <w:rFonts w:eastAsia="Times New Roman" w:cs="Times New Roman"/>
      <w:sz w:val="24"/>
      <w:szCs w:val="24"/>
    </w:rPr>
  </w:style>
  <w:style w:type="paragraph" w:customStyle="1" w:styleId="Point2number">
    <w:name w:val="Point 2 (number)"/>
    <w:basedOn w:val="Normal"/>
    <w:pPr>
      <w:numPr>
        <w:ilvl w:val="4"/>
        <w:numId w:val="20"/>
      </w:numPr>
      <w:spacing w:before="120" w:after="120" w:line="240" w:lineRule="auto"/>
      <w:jc w:val="both"/>
    </w:pPr>
    <w:rPr>
      <w:rFonts w:eastAsia="Times New Roman" w:cs="Times New Roman"/>
      <w:sz w:val="24"/>
      <w:szCs w:val="24"/>
    </w:rPr>
  </w:style>
  <w:style w:type="paragraph" w:customStyle="1" w:styleId="Point3number">
    <w:name w:val="Point 3 (number)"/>
    <w:basedOn w:val="Normal"/>
    <w:pPr>
      <w:numPr>
        <w:ilvl w:val="6"/>
        <w:numId w:val="20"/>
      </w:numPr>
      <w:spacing w:before="120" w:after="120" w:line="240" w:lineRule="auto"/>
      <w:jc w:val="both"/>
    </w:pPr>
    <w:rPr>
      <w:rFonts w:eastAsia="Times New Roman" w:cs="Times New Roman"/>
      <w:sz w:val="24"/>
      <w:szCs w:val="24"/>
    </w:rPr>
  </w:style>
  <w:style w:type="paragraph" w:customStyle="1" w:styleId="Point0letter">
    <w:name w:val="Point 0 (letter)"/>
    <w:basedOn w:val="Normal"/>
    <w:pPr>
      <w:numPr>
        <w:ilvl w:val="1"/>
        <w:numId w:val="20"/>
      </w:numPr>
      <w:spacing w:before="120" w:after="120" w:line="240" w:lineRule="auto"/>
      <w:jc w:val="both"/>
    </w:pPr>
    <w:rPr>
      <w:rFonts w:eastAsia="Times New Roman" w:cs="Times New Roman"/>
      <w:sz w:val="24"/>
      <w:szCs w:val="24"/>
    </w:rPr>
  </w:style>
  <w:style w:type="paragraph" w:customStyle="1" w:styleId="Point1letter">
    <w:name w:val="Point 1 (letter)"/>
    <w:basedOn w:val="Normal"/>
    <w:pPr>
      <w:numPr>
        <w:ilvl w:val="3"/>
        <w:numId w:val="20"/>
      </w:numPr>
      <w:spacing w:before="120" w:after="120" w:line="240" w:lineRule="auto"/>
      <w:jc w:val="both"/>
    </w:pPr>
    <w:rPr>
      <w:rFonts w:eastAsia="Times New Roman" w:cs="Times New Roman"/>
      <w:sz w:val="24"/>
      <w:szCs w:val="24"/>
    </w:rPr>
  </w:style>
  <w:style w:type="paragraph" w:customStyle="1" w:styleId="Point2letter">
    <w:name w:val="Point 2 (letter)"/>
    <w:basedOn w:val="Normal"/>
    <w:pPr>
      <w:numPr>
        <w:ilvl w:val="5"/>
        <w:numId w:val="20"/>
      </w:numPr>
      <w:spacing w:before="120" w:after="120" w:line="240" w:lineRule="auto"/>
      <w:jc w:val="both"/>
    </w:pPr>
    <w:rPr>
      <w:rFonts w:eastAsia="Times New Roman" w:cs="Times New Roman"/>
      <w:sz w:val="24"/>
      <w:szCs w:val="24"/>
    </w:rPr>
  </w:style>
  <w:style w:type="paragraph" w:customStyle="1" w:styleId="Point3letter">
    <w:name w:val="Point 3 (letter)"/>
    <w:basedOn w:val="Normal"/>
    <w:pPr>
      <w:numPr>
        <w:ilvl w:val="7"/>
        <w:numId w:val="20"/>
      </w:numPr>
      <w:spacing w:before="120" w:after="120" w:line="240" w:lineRule="auto"/>
      <w:jc w:val="both"/>
    </w:pPr>
    <w:rPr>
      <w:rFonts w:eastAsia="Times New Roman" w:cs="Times New Roman"/>
      <w:sz w:val="24"/>
      <w:szCs w:val="24"/>
    </w:rPr>
  </w:style>
  <w:style w:type="paragraph" w:customStyle="1" w:styleId="Point4letter">
    <w:name w:val="Point 4 (letter)"/>
    <w:basedOn w:val="Normal"/>
    <w:pPr>
      <w:numPr>
        <w:ilvl w:val="8"/>
        <w:numId w:val="20"/>
      </w:numPr>
      <w:spacing w:before="120" w:after="120" w:line="240" w:lineRule="auto"/>
      <w:jc w:val="both"/>
    </w:pPr>
    <w:rPr>
      <w:rFonts w:eastAsia="Times New Roman" w:cs="Times New Roman"/>
      <w:sz w:val="24"/>
      <w:szCs w:val="24"/>
    </w:rPr>
  </w:style>
  <w:style w:type="paragraph" w:customStyle="1" w:styleId="Bullet0">
    <w:name w:val="Bullet 0"/>
    <w:basedOn w:val="Normal"/>
    <w:pPr>
      <w:numPr>
        <w:numId w:val="8"/>
      </w:numPr>
      <w:spacing w:before="120" w:after="120" w:line="240" w:lineRule="auto"/>
      <w:jc w:val="both"/>
    </w:pPr>
    <w:rPr>
      <w:rFonts w:eastAsia="Times New Roman" w:cs="Times New Roman"/>
      <w:sz w:val="24"/>
      <w:szCs w:val="24"/>
    </w:rPr>
  </w:style>
  <w:style w:type="paragraph" w:customStyle="1" w:styleId="Bullet1">
    <w:name w:val="Bullet 1"/>
    <w:basedOn w:val="Normal"/>
    <w:pPr>
      <w:numPr>
        <w:numId w:val="9"/>
      </w:numPr>
      <w:spacing w:before="120" w:after="120" w:line="240" w:lineRule="auto"/>
      <w:jc w:val="both"/>
    </w:pPr>
    <w:rPr>
      <w:rFonts w:eastAsia="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eastAsia="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eastAsia="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eastAsia="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eastAsia="Times New Roman" w:cs="Times New Roman"/>
      <w:sz w:val="24"/>
      <w:szCs w:val="24"/>
    </w:rPr>
  </w:style>
  <w:style w:type="paragraph" w:customStyle="1" w:styleId="Corrigendum">
    <w:name w:val="Corrigendum"/>
    <w:basedOn w:val="Normal"/>
    <w:next w:val="Normal"/>
    <w:pPr>
      <w:spacing w:after="240" w:line="240" w:lineRule="auto"/>
    </w:pPr>
    <w:rPr>
      <w:rFonts w:eastAsia="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 w:val="24"/>
      <w:szCs w:val="24"/>
    </w:rPr>
  </w:style>
  <w:style w:type="paragraph" w:customStyle="1" w:styleId="Emission">
    <w:name w:val="Emission"/>
    <w:basedOn w:val="Normal"/>
    <w:next w:val="Rfrenceinstitutionnelle"/>
    <w:pPr>
      <w:spacing w:after="0" w:line="240" w:lineRule="auto"/>
      <w:ind w:left="5103"/>
    </w:pPr>
    <w:rPr>
      <w:rFonts w:eastAsia="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eastAsia="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 w:val="24"/>
      <w:szCs w:val="24"/>
    </w:rPr>
  </w:style>
  <w:style w:type="paragraph" w:customStyle="1" w:styleId="Sous-titreobjet">
    <w:name w:val="Sous-titre objet"/>
    <w:basedOn w:val="Normal"/>
    <w:pPr>
      <w:spacing w:after="0" w:line="240" w:lineRule="auto"/>
      <w:jc w:val="center"/>
    </w:pPr>
    <w:rPr>
      <w:rFonts w:eastAsia="Times New Roman" w:cs="Times New Roman"/>
      <w:b/>
      <w:sz w:val="24"/>
      <w:szCs w:val="24"/>
    </w:rPr>
  </w:style>
  <w:style w:type="paragraph" w:customStyle="1" w:styleId="Statut">
    <w:name w:val="Statut"/>
    <w:basedOn w:val="Normal"/>
    <w:next w:val="Typedudocument"/>
    <w:pPr>
      <w:spacing w:before="360" w:after="0" w:line="240" w:lineRule="auto"/>
      <w:jc w:val="center"/>
    </w:pPr>
    <w:rPr>
      <w:rFonts w:eastAsia="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eastAsia="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 w:val="24"/>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 w:val="24"/>
      <w:szCs w:val="24"/>
    </w:rPr>
  </w:style>
  <w:style w:type="paragraph" w:customStyle="1" w:styleId="Supertitre">
    <w:name w:val="Supertitre"/>
    <w:basedOn w:val="Normal"/>
    <w:next w:val="Normal"/>
    <w:pPr>
      <w:spacing w:after="600" w:line="240" w:lineRule="auto"/>
      <w:jc w:val="center"/>
    </w:pPr>
    <w:rPr>
      <w:rFonts w:eastAsia="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 w:val="24"/>
      <w:szCs w:val="24"/>
    </w:rPr>
  </w:style>
  <w:style w:type="paragraph" w:customStyle="1" w:styleId="Rfrencecroise">
    <w:name w:val="Référence croisée"/>
    <w:basedOn w:val="Normal"/>
    <w:pPr>
      <w:spacing w:after="0" w:line="240" w:lineRule="auto"/>
      <w:jc w:val="center"/>
    </w:pPr>
    <w:rPr>
      <w:rFonts w:eastAsia="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eastAsia="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eastAsia="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eastAsia="Times New Roman" w:cs="Times New Roman"/>
      <w:sz w:val="24"/>
      <w:szCs w:val="24"/>
    </w:rPr>
  </w:style>
  <w:style w:type="paragraph" w:styleId="ListBullet3">
    <w:name w:val="List Bullet 3"/>
    <w:basedOn w:val="Normal"/>
    <w:pPr>
      <w:numPr>
        <w:numId w:val="16"/>
      </w:numPr>
      <w:spacing w:before="120" w:after="120" w:line="240" w:lineRule="auto"/>
      <w:contextualSpacing/>
      <w:jc w:val="both"/>
    </w:pPr>
    <w:rPr>
      <w:rFonts w:eastAsia="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eastAsia="Times New Roman" w:cs="Times New Roman"/>
      <w:sz w:val="24"/>
      <w:szCs w:val="24"/>
    </w:rPr>
  </w:style>
  <w:style w:type="paragraph" w:customStyle="1" w:styleId="ListDash">
    <w:name w:val="List Dash"/>
    <w:basedOn w:val="Normal"/>
    <w:pPr>
      <w:numPr>
        <w:numId w:val="18"/>
      </w:numPr>
      <w:spacing w:before="120" w:after="120" w:line="240" w:lineRule="auto"/>
      <w:jc w:val="both"/>
    </w:pPr>
    <w:rPr>
      <w:rFonts w:eastAsia="Times New Roman" w:cs="Times New Roman"/>
      <w:sz w:val="24"/>
      <w:szCs w:val="24"/>
    </w:rPr>
  </w:style>
  <w:style w:type="character" w:styleId="Strong">
    <w:name w:val="Strong"/>
    <w:uiPriority w:val="22"/>
    <w:qFormat/>
    <w:rPr>
      <w:b/>
      <w:bCs/>
    </w:rPr>
  </w:style>
  <w:style w:type="paragraph" w:styleId="ListParagraph">
    <w:name w:val="List Paragraph"/>
    <w:basedOn w:val="Normal"/>
    <w:uiPriority w:val="34"/>
    <w:qFormat/>
    <w:pPr>
      <w:ind w:left="720"/>
      <w:contextualSpacing/>
    </w:pPr>
    <w:rPr>
      <w:rFonts w:ascii="Calibri" w:eastAsia="Times New Roman" w:hAnsi="Calibri" w:cs="Times New Roman"/>
    </w:rPr>
  </w:style>
  <w:style w:type="numbering" w:styleId="111111">
    <w:name w:val="Outline List 2"/>
    <w:basedOn w:val="NoList"/>
    <w:pPr>
      <w:numPr>
        <w:numId w:val="19"/>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pPr>
      <w:spacing w:before="120" w:after="120" w:line="240" w:lineRule="auto"/>
      <w:jc w:val="both"/>
    </w:pPr>
    <w:rPr>
      <w:rFonts w:eastAsia="Times New Roman" w:cs="Times New Roman"/>
      <w:sz w:val="24"/>
      <w:szCs w:val="24"/>
    </w:rPr>
  </w:style>
  <w:style w:type="paragraph" w:styleId="ListNumber">
    <w:name w:val="List Number"/>
    <w:basedOn w:val="Normal"/>
    <w:pPr>
      <w:numPr>
        <w:numId w:val="21"/>
      </w:numPr>
      <w:spacing w:before="120" w:after="120" w:line="240" w:lineRule="auto"/>
      <w:contextualSpacing/>
      <w:jc w:val="both"/>
    </w:pPr>
    <w:rPr>
      <w:rFonts w:eastAsia="Times New Roman" w:cs="Times New Roman"/>
      <w:sz w:val="24"/>
      <w:szCs w:val="24"/>
    </w:rPr>
  </w:style>
  <w:style w:type="paragraph" w:styleId="ListNumber2">
    <w:name w:val="List Number 2"/>
    <w:basedOn w:val="Normal"/>
    <w:pPr>
      <w:numPr>
        <w:numId w:val="22"/>
      </w:numPr>
      <w:spacing w:before="120" w:after="120" w:line="240" w:lineRule="auto"/>
      <w:contextualSpacing/>
      <w:jc w:val="both"/>
    </w:pPr>
    <w:rPr>
      <w:rFonts w:eastAsia="Times New Roman" w:cs="Times New Roman"/>
      <w:sz w:val="24"/>
      <w:szCs w:val="24"/>
    </w:rPr>
  </w:style>
  <w:style w:type="paragraph" w:styleId="ListNumber3">
    <w:name w:val="List Number 3"/>
    <w:basedOn w:val="Normal"/>
    <w:pPr>
      <w:numPr>
        <w:numId w:val="23"/>
      </w:numPr>
      <w:spacing w:before="120" w:after="120" w:line="240" w:lineRule="auto"/>
      <w:contextualSpacing/>
      <w:jc w:val="both"/>
    </w:pPr>
    <w:rPr>
      <w:rFonts w:eastAsia="Times New Roman" w:cs="Times New Roman"/>
      <w:sz w:val="24"/>
      <w:szCs w:val="24"/>
    </w:rPr>
  </w:style>
  <w:style w:type="paragraph" w:styleId="ListNumber4">
    <w:name w:val="List Number 4"/>
    <w:basedOn w:val="Normal"/>
    <w:pPr>
      <w:numPr>
        <w:numId w:val="24"/>
      </w:numPr>
      <w:spacing w:before="120" w:after="120" w:line="240" w:lineRule="auto"/>
      <w:contextualSpacing/>
      <w:jc w:val="both"/>
    </w:pPr>
    <w:rPr>
      <w:rFonts w:eastAsia="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eastAsia="Times New Roman" w:cs="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unhideWhenUsed/>
    <w:rPr>
      <w:rFonts w:eastAsia="Calibri"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footnotedefaultstyleChar">
    <w:name w:val="footnote default style Char"/>
    <w:basedOn w:val="DefaultParagraphFont"/>
    <w:link w:val="footnotedefaultstyle"/>
    <w:locked/>
    <w:rPr>
      <w:rFonts w:ascii="Verdana" w:hAnsi="Verdana"/>
    </w:rPr>
  </w:style>
  <w:style w:type="paragraph" w:customStyle="1" w:styleId="footnotedefaultstyle">
    <w:name w:val="footnote default style"/>
    <w:basedOn w:val="Normal"/>
    <w:link w:val="footnotedefaultstyleChar"/>
    <w:pPr>
      <w:spacing w:after="0" w:line="240" w:lineRule="auto"/>
      <w:ind w:left="357" w:hanging="357"/>
      <w:jc w:val="both"/>
    </w:pPr>
    <w:rPr>
      <w:rFonts w:ascii="Verdana" w:hAnsi="Verdana"/>
    </w:rPr>
  </w:style>
  <w:style w:type="paragraph" w:customStyle="1" w:styleId="rtejustify">
    <w:name w:val="rtejustify"/>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oc-ti">
    <w:name w:val="doc-ti"/>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emission0">
    <w:name w:val="emission"/>
    <w:basedOn w:val="Normal"/>
    <w:pPr>
      <w:spacing w:after="0" w:line="240" w:lineRule="auto"/>
      <w:jc w:val="both"/>
    </w:pPr>
    <w:rPr>
      <w:rFonts w:eastAsia="Times New Roman" w:cs="Times New Roman"/>
      <w:sz w:val="24"/>
      <w:szCs w:val="24"/>
      <w:lang w:eastAsia="en-GB"/>
    </w:rPr>
  </w:style>
  <w:style w:type="paragraph" w:customStyle="1" w:styleId="rfrenceinstitutionnelle0">
    <w:name w:val="rfrenceinstitutionnelle"/>
    <w:basedOn w:val="Normal"/>
    <w:pPr>
      <w:spacing w:after="0" w:line="240" w:lineRule="auto"/>
      <w:jc w:val="both"/>
    </w:pPr>
    <w:rPr>
      <w:rFonts w:eastAsia="Times New Roman" w:cs="Times New Roman"/>
      <w:sz w:val="24"/>
      <w:szCs w:val="24"/>
      <w:lang w:eastAsia="en-GB"/>
    </w:rPr>
  </w:style>
  <w:style w:type="character" w:customStyle="1" w:styleId="Text1Char1">
    <w:name w:val="Text 1 Char1"/>
    <w:basedOn w:val="DefaultParagraphFont"/>
    <w:link w:val="Text1"/>
    <w:locked/>
    <w:rPr>
      <w:rFonts w:ascii="Times New Roman" w:eastAsia="Times New Roman" w:hAnsi="Times New Roman" w:cs="Times New Roman"/>
      <w:sz w:val="24"/>
      <w:szCs w:val="24"/>
    </w:rPr>
  </w:style>
  <w:style w:type="paragraph" w:customStyle="1" w:styleId="SecurityMarking">
    <w:name w:val="SecurityMarking"/>
    <w:basedOn w:val="Normal"/>
    <w:pPr>
      <w:spacing w:after="0"/>
      <w:ind w:left="5103"/>
    </w:pPr>
    <w:rPr>
      <w:rFonts w:cs="Times New Roman"/>
      <w:sz w:val="28"/>
    </w:rPr>
  </w:style>
  <w:style w:type="paragraph" w:customStyle="1" w:styleId="DateMarking">
    <w:name w:val="DateMarking"/>
    <w:basedOn w:val="Normal"/>
    <w:pPr>
      <w:spacing w:after="0"/>
      <w:ind w:left="5103"/>
    </w:pPr>
    <w:rPr>
      <w:rFonts w:cs="Times New Roman"/>
      <w:i/>
      <w:sz w:val="28"/>
    </w:rPr>
  </w:style>
  <w:style w:type="paragraph" w:customStyle="1" w:styleId="ReleasableTo">
    <w:name w:val="ReleasableTo"/>
    <w:basedOn w:val="Normal"/>
    <w:pPr>
      <w:spacing w:after="0"/>
      <w:ind w:left="5103"/>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668">
      <w:bodyDiv w:val="1"/>
      <w:marLeft w:val="0"/>
      <w:marRight w:val="0"/>
      <w:marTop w:val="0"/>
      <w:marBottom w:val="0"/>
      <w:divBdr>
        <w:top w:val="none" w:sz="0" w:space="0" w:color="auto"/>
        <w:left w:val="none" w:sz="0" w:space="0" w:color="auto"/>
        <w:bottom w:val="none" w:sz="0" w:space="0" w:color="auto"/>
        <w:right w:val="none" w:sz="0" w:space="0" w:color="auto"/>
      </w:divBdr>
    </w:div>
    <w:div w:id="47151934">
      <w:bodyDiv w:val="1"/>
      <w:marLeft w:val="0"/>
      <w:marRight w:val="0"/>
      <w:marTop w:val="0"/>
      <w:marBottom w:val="0"/>
      <w:divBdr>
        <w:top w:val="none" w:sz="0" w:space="0" w:color="auto"/>
        <w:left w:val="none" w:sz="0" w:space="0" w:color="auto"/>
        <w:bottom w:val="none" w:sz="0" w:space="0" w:color="auto"/>
        <w:right w:val="none" w:sz="0" w:space="0" w:color="auto"/>
      </w:divBdr>
    </w:div>
    <w:div w:id="55275683">
      <w:bodyDiv w:val="1"/>
      <w:marLeft w:val="0"/>
      <w:marRight w:val="0"/>
      <w:marTop w:val="0"/>
      <w:marBottom w:val="0"/>
      <w:divBdr>
        <w:top w:val="none" w:sz="0" w:space="0" w:color="auto"/>
        <w:left w:val="none" w:sz="0" w:space="0" w:color="auto"/>
        <w:bottom w:val="none" w:sz="0" w:space="0" w:color="auto"/>
        <w:right w:val="none" w:sz="0" w:space="0" w:color="auto"/>
      </w:divBdr>
    </w:div>
    <w:div w:id="69355342">
      <w:bodyDiv w:val="1"/>
      <w:marLeft w:val="0"/>
      <w:marRight w:val="0"/>
      <w:marTop w:val="0"/>
      <w:marBottom w:val="0"/>
      <w:divBdr>
        <w:top w:val="none" w:sz="0" w:space="0" w:color="auto"/>
        <w:left w:val="none" w:sz="0" w:space="0" w:color="auto"/>
        <w:bottom w:val="none" w:sz="0" w:space="0" w:color="auto"/>
        <w:right w:val="none" w:sz="0" w:space="0" w:color="auto"/>
      </w:divBdr>
    </w:div>
    <w:div w:id="91635620">
      <w:bodyDiv w:val="1"/>
      <w:marLeft w:val="0"/>
      <w:marRight w:val="0"/>
      <w:marTop w:val="0"/>
      <w:marBottom w:val="0"/>
      <w:divBdr>
        <w:top w:val="none" w:sz="0" w:space="0" w:color="auto"/>
        <w:left w:val="none" w:sz="0" w:space="0" w:color="auto"/>
        <w:bottom w:val="none" w:sz="0" w:space="0" w:color="auto"/>
        <w:right w:val="none" w:sz="0" w:space="0" w:color="auto"/>
      </w:divBdr>
    </w:div>
    <w:div w:id="109395635">
      <w:bodyDiv w:val="1"/>
      <w:marLeft w:val="0"/>
      <w:marRight w:val="0"/>
      <w:marTop w:val="0"/>
      <w:marBottom w:val="0"/>
      <w:divBdr>
        <w:top w:val="none" w:sz="0" w:space="0" w:color="auto"/>
        <w:left w:val="none" w:sz="0" w:space="0" w:color="auto"/>
        <w:bottom w:val="none" w:sz="0" w:space="0" w:color="auto"/>
        <w:right w:val="none" w:sz="0" w:space="0" w:color="auto"/>
      </w:divBdr>
    </w:div>
    <w:div w:id="127480165">
      <w:bodyDiv w:val="1"/>
      <w:marLeft w:val="0"/>
      <w:marRight w:val="0"/>
      <w:marTop w:val="0"/>
      <w:marBottom w:val="0"/>
      <w:divBdr>
        <w:top w:val="none" w:sz="0" w:space="0" w:color="auto"/>
        <w:left w:val="none" w:sz="0" w:space="0" w:color="auto"/>
        <w:bottom w:val="none" w:sz="0" w:space="0" w:color="auto"/>
        <w:right w:val="none" w:sz="0" w:space="0" w:color="auto"/>
      </w:divBdr>
    </w:div>
    <w:div w:id="138235314">
      <w:bodyDiv w:val="1"/>
      <w:marLeft w:val="0"/>
      <w:marRight w:val="0"/>
      <w:marTop w:val="0"/>
      <w:marBottom w:val="0"/>
      <w:divBdr>
        <w:top w:val="none" w:sz="0" w:space="0" w:color="auto"/>
        <w:left w:val="none" w:sz="0" w:space="0" w:color="auto"/>
        <w:bottom w:val="none" w:sz="0" w:space="0" w:color="auto"/>
        <w:right w:val="none" w:sz="0" w:space="0" w:color="auto"/>
      </w:divBdr>
      <w:divsChild>
        <w:div w:id="1714885340">
          <w:marLeft w:val="0"/>
          <w:marRight w:val="0"/>
          <w:marTop w:val="0"/>
          <w:marBottom w:val="0"/>
          <w:divBdr>
            <w:top w:val="none" w:sz="0" w:space="0" w:color="auto"/>
            <w:left w:val="none" w:sz="0" w:space="0" w:color="auto"/>
            <w:bottom w:val="none" w:sz="0" w:space="0" w:color="auto"/>
            <w:right w:val="none" w:sz="0" w:space="0" w:color="auto"/>
          </w:divBdr>
          <w:divsChild>
            <w:div w:id="800611097">
              <w:marLeft w:val="0"/>
              <w:marRight w:val="0"/>
              <w:marTop w:val="0"/>
              <w:marBottom w:val="0"/>
              <w:divBdr>
                <w:top w:val="none" w:sz="0" w:space="0" w:color="auto"/>
                <w:left w:val="none" w:sz="0" w:space="0" w:color="auto"/>
                <w:bottom w:val="none" w:sz="0" w:space="0" w:color="auto"/>
                <w:right w:val="none" w:sz="0" w:space="0" w:color="auto"/>
              </w:divBdr>
              <w:divsChild>
                <w:div w:id="1390154784">
                  <w:marLeft w:val="0"/>
                  <w:marRight w:val="0"/>
                  <w:marTop w:val="0"/>
                  <w:marBottom w:val="0"/>
                  <w:divBdr>
                    <w:top w:val="none" w:sz="0" w:space="0" w:color="auto"/>
                    <w:left w:val="none" w:sz="0" w:space="0" w:color="auto"/>
                    <w:bottom w:val="none" w:sz="0" w:space="0" w:color="auto"/>
                    <w:right w:val="none" w:sz="0" w:space="0" w:color="auto"/>
                  </w:divBdr>
                  <w:divsChild>
                    <w:div w:id="214195939">
                      <w:marLeft w:val="0"/>
                      <w:marRight w:val="0"/>
                      <w:marTop w:val="0"/>
                      <w:marBottom w:val="0"/>
                      <w:divBdr>
                        <w:top w:val="none" w:sz="0" w:space="0" w:color="auto"/>
                        <w:left w:val="none" w:sz="0" w:space="0" w:color="auto"/>
                        <w:bottom w:val="none" w:sz="0" w:space="0" w:color="auto"/>
                        <w:right w:val="none" w:sz="0" w:space="0" w:color="auto"/>
                      </w:divBdr>
                      <w:divsChild>
                        <w:div w:id="4331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3958">
      <w:bodyDiv w:val="1"/>
      <w:marLeft w:val="0"/>
      <w:marRight w:val="0"/>
      <w:marTop w:val="0"/>
      <w:marBottom w:val="0"/>
      <w:divBdr>
        <w:top w:val="none" w:sz="0" w:space="0" w:color="auto"/>
        <w:left w:val="none" w:sz="0" w:space="0" w:color="auto"/>
        <w:bottom w:val="none" w:sz="0" w:space="0" w:color="auto"/>
        <w:right w:val="none" w:sz="0" w:space="0" w:color="auto"/>
      </w:divBdr>
    </w:div>
    <w:div w:id="180516488">
      <w:bodyDiv w:val="1"/>
      <w:marLeft w:val="0"/>
      <w:marRight w:val="0"/>
      <w:marTop w:val="0"/>
      <w:marBottom w:val="0"/>
      <w:divBdr>
        <w:top w:val="none" w:sz="0" w:space="0" w:color="auto"/>
        <w:left w:val="none" w:sz="0" w:space="0" w:color="auto"/>
        <w:bottom w:val="none" w:sz="0" w:space="0" w:color="auto"/>
        <w:right w:val="none" w:sz="0" w:space="0" w:color="auto"/>
      </w:divBdr>
    </w:div>
    <w:div w:id="183641237">
      <w:bodyDiv w:val="1"/>
      <w:marLeft w:val="0"/>
      <w:marRight w:val="0"/>
      <w:marTop w:val="0"/>
      <w:marBottom w:val="0"/>
      <w:divBdr>
        <w:top w:val="none" w:sz="0" w:space="0" w:color="auto"/>
        <w:left w:val="none" w:sz="0" w:space="0" w:color="auto"/>
        <w:bottom w:val="none" w:sz="0" w:space="0" w:color="auto"/>
        <w:right w:val="none" w:sz="0" w:space="0" w:color="auto"/>
      </w:divBdr>
    </w:div>
    <w:div w:id="198780481">
      <w:bodyDiv w:val="1"/>
      <w:marLeft w:val="0"/>
      <w:marRight w:val="0"/>
      <w:marTop w:val="0"/>
      <w:marBottom w:val="0"/>
      <w:divBdr>
        <w:top w:val="none" w:sz="0" w:space="0" w:color="auto"/>
        <w:left w:val="none" w:sz="0" w:space="0" w:color="auto"/>
        <w:bottom w:val="none" w:sz="0" w:space="0" w:color="auto"/>
        <w:right w:val="none" w:sz="0" w:space="0" w:color="auto"/>
      </w:divBdr>
    </w:div>
    <w:div w:id="202251228">
      <w:bodyDiv w:val="1"/>
      <w:marLeft w:val="0"/>
      <w:marRight w:val="0"/>
      <w:marTop w:val="0"/>
      <w:marBottom w:val="0"/>
      <w:divBdr>
        <w:top w:val="none" w:sz="0" w:space="0" w:color="auto"/>
        <w:left w:val="none" w:sz="0" w:space="0" w:color="auto"/>
        <w:bottom w:val="none" w:sz="0" w:space="0" w:color="auto"/>
        <w:right w:val="none" w:sz="0" w:space="0" w:color="auto"/>
      </w:divBdr>
    </w:div>
    <w:div w:id="205266399">
      <w:bodyDiv w:val="1"/>
      <w:marLeft w:val="0"/>
      <w:marRight w:val="0"/>
      <w:marTop w:val="0"/>
      <w:marBottom w:val="0"/>
      <w:divBdr>
        <w:top w:val="none" w:sz="0" w:space="0" w:color="auto"/>
        <w:left w:val="none" w:sz="0" w:space="0" w:color="auto"/>
        <w:bottom w:val="none" w:sz="0" w:space="0" w:color="auto"/>
        <w:right w:val="none" w:sz="0" w:space="0" w:color="auto"/>
      </w:divBdr>
    </w:div>
    <w:div w:id="207030180">
      <w:bodyDiv w:val="1"/>
      <w:marLeft w:val="0"/>
      <w:marRight w:val="0"/>
      <w:marTop w:val="0"/>
      <w:marBottom w:val="0"/>
      <w:divBdr>
        <w:top w:val="none" w:sz="0" w:space="0" w:color="auto"/>
        <w:left w:val="none" w:sz="0" w:space="0" w:color="auto"/>
        <w:bottom w:val="none" w:sz="0" w:space="0" w:color="auto"/>
        <w:right w:val="none" w:sz="0" w:space="0" w:color="auto"/>
      </w:divBdr>
    </w:div>
    <w:div w:id="253709903">
      <w:bodyDiv w:val="1"/>
      <w:marLeft w:val="0"/>
      <w:marRight w:val="0"/>
      <w:marTop w:val="0"/>
      <w:marBottom w:val="0"/>
      <w:divBdr>
        <w:top w:val="none" w:sz="0" w:space="0" w:color="auto"/>
        <w:left w:val="none" w:sz="0" w:space="0" w:color="auto"/>
        <w:bottom w:val="none" w:sz="0" w:space="0" w:color="auto"/>
        <w:right w:val="none" w:sz="0" w:space="0" w:color="auto"/>
      </w:divBdr>
      <w:divsChild>
        <w:div w:id="177935975">
          <w:marLeft w:val="0"/>
          <w:marRight w:val="0"/>
          <w:marTop w:val="0"/>
          <w:marBottom w:val="0"/>
          <w:divBdr>
            <w:top w:val="none" w:sz="0" w:space="0" w:color="auto"/>
            <w:left w:val="none" w:sz="0" w:space="0" w:color="auto"/>
            <w:bottom w:val="none" w:sz="0" w:space="0" w:color="auto"/>
            <w:right w:val="none" w:sz="0" w:space="0" w:color="auto"/>
          </w:divBdr>
          <w:divsChild>
            <w:div w:id="20669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9349">
      <w:bodyDiv w:val="1"/>
      <w:marLeft w:val="0"/>
      <w:marRight w:val="0"/>
      <w:marTop w:val="0"/>
      <w:marBottom w:val="0"/>
      <w:divBdr>
        <w:top w:val="none" w:sz="0" w:space="0" w:color="auto"/>
        <w:left w:val="none" w:sz="0" w:space="0" w:color="auto"/>
        <w:bottom w:val="none" w:sz="0" w:space="0" w:color="auto"/>
        <w:right w:val="none" w:sz="0" w:space="0" w:color="auto"/>
      </w:divBdr>
    </w:div>
    <w:div w:id="274337147">
      <w:bodyDiv w:val="1"/>
      <w:marLeft w:val="0"/>
      <w:marRight w:val="0"/>
      <w:marTop w:val="0"/>
      <w:marBottom w:val="0"/>
      <w:divBdr>
        <w:top w:val="none" w:sz="0" w:space="0" w:color="auto"/>
        <w:left w:val="none" w:sz="0" w:space="0" w:color="auto"/>
        <w:bottom w:val="none" w:sz="0" w:space="0" w:color="auto"/>
        <w:right w:val="none" w:sz="0" w:space="0" w:color="auto"/>
      </w:divBdr>
    </w:div>
    <w:div w:id="275793954">
      <w:bodyDiv w:val="1"/>
      <w:marLeft w:val="0"/>
      <w:marRight w:val="0"/>
      <w:marTop w:val="0"/>
      <w:marBottom w:val="0"/>
      <w:divBdr>
        <w:top w:val="none" w:sz="0" w:space="0" w:color="auto"/>
        <w:left w:val="none" w:sz="0" w:space="0" w:color="auto"/>
        <w:bottom w:val="none" w:sz="0" w:space="0" w:color="auto"/>
        <w:right w:val="none" w:sz="0" w:space="0" w:color="auto"/>
      </w:divBdr>
    </w:div>
    <w:div w:id="291132663">
      <w:bodyDiv w:val="1"/>
      <w:marLeft w:val="0"/>
      <w:marRight w:val="0"/>
      <w:marTop w:val="0"/>
      <w:marBottom w:val="0"/>
      <w:divBdr>
        <w:top w:val="none" w:sz="0" w:space="0" w:color="auto"/>
        <w:left w:val="none" w:sz="0" w:space="0" w:color="auto"/>
        <w:bottom w:val="none" w:sz="0" w:space="0" w:color="auto"/>
        <w:right w:val="none" w:sz="0" w:space="0" w:color="auto"/>
      </w:divBdr>
    </w:div>
    <w:div w:id="300775213">
      <w:bodyDiv w:val="1"/>
      <w:marLeft w:val="0"/>
      <w:marRight w:val="0"/>
      <w:marTop w:val="0"/>
      <w:marBottom w:val="0"/>
      <w:divBdr>
        <w:top w:val="none" w:sz="0" w:space="0" w:color="auto"/>
        <w:left w:val="none" w:sz="0" w:space="0" w:color="auto"/>
        <w:bottom w:val="none" w:sz="0" w:space="0" w:color="auto"/>
        <w:right w:val="none" w:sz="0" w:space="0" w:color="auto"/>
      </w:divBdr>
    </w:div>
    <w:div w:id="309477929">
      <w:bodyDiv w:val="1"/>
      <w:marLeft w:val="0"/>
      <w:marRight w:val="0"/>
      <w:marTop w:val="0"/>
      <w:marBottom w:val="0"/>
      <w:divBdr>
        <w:top w:val="none" w:sz="0" w:space="0" w:color="auto"/>
        <w:left w:val="none" w:sz="0" w:space="0" w:color="auto"/>
        <w:bottom w:val="none" w:sz="0" w:space="0" w:color="auto"/>
        <w:right w:val="none" w:sz="0" w:space="0" w:color="auto"/>
      </w:divBdr>
    </w:div>
    <w:div w:id="351960427">
      <w:bodyDiv w:val="1"/>
      <w:marLeft w:val="0"/>
      <w:marRight w:val="0"/>
      <w:marTop w:val="0"/>
      <w:marBottom w:val="0"/>
      <w:divBdr>
        <w:top w:val="none" w:sz="0" w:space="0" w:color="auto"/>
        <w:left w:val="none" w:sz="0" w:space="0" w:color="auto"/>
        <w:bottom w:val="none" w:sz="0" w:space="0" w:color="auto"/>
        <w:right w:val="none" w:sz="0" w:space="0" w:color="auto"/>
      </w:divBdr>
    </w:div>
    <w:div w:id="372006173">
      <w:bodyDiv w:val="1"/>
      <w:marLeft w:val="0"/>
      <w:marRight w:val="0"/>
      <w:marTop w:val="0"/>
      <w:marBottom w:val="0"/>
      <w:divBdr>
        <w:top w:val="none" w:sz="0" w:space="0" w:color="auto"/>
        <w:left w:val="none" w:sz="0" w:space="0" w:color="auto"/>
        <w:bottom w:val="none" w:sz="0" w:space="0" w:color="auto"/>
        <w:right w:val="none" w:sz="0" w:space="0" w:color="auto"/>
      </w:divBdr>
    </w:div>
    <w:div w:id="373194080">
      <w:bodyDiv w:val="1"/>
      <w:marLeft w:val="0"/>
      <w:marRight w:val="0"/>
      <w:marTop w:val="0"/>
      <w:marBottom w:val="0"/>
      <w:divBdr>
        <w:top w:val="none" w:sz="0" w:space="0" w:color="auto"/>
        <w:left w:val="none" w:sz="0" w:space="0" w:color="auto"/>
        <w:bottom w:val="none" w:sz="0" w:space="0" w:color="auto"/>
        <w:right w:val="none" w:sz="0" w:space="0" w:color="auto"/>
      </w:divBdr>
    </w:div>
    <w:div w:id="397171347">
      <w:bodyDiv w:val="1"/>
      <w:marLeft w:val="0"/>
      <w:marRight w:val="0"/>
      <w:marTop w:val="0"/>
      <w:marBottom w:val="0"/>
      <w:divBdr>
        <w:top w:val="none" w:sz="0" w:space="0" w:color="auto"/>
        <w:left w:val="none" w:sz="0" w:space="0" w:color="auto"/>
        <w:bottom w:val="none" w:sz="0" w:space="0" w:color="auto"/>
        <w:right w:val="none" w:sz="0" w:space="0" w:color="auto"/>
      </w:divBdr>
      <w:divsChild>
        <w:div w:id="733503329">
          <w:marLeft w:val="0"/>
          <w:marRight w:val="0"/>
          <w:marTop w:val="0"/>
          <w:marBottom w:val="0"/>
          <w:divBdr>
            <w:top w:val="none" w:sz="0" w:space="0" w:color="auto"/>
            <w:left w:val="none" w:sz="0" w:space="0" w:color="auto"/>
            <w:bottom w:val="none" w:sz="0" w:space="0" w:color="auto"/>
            <w:right w:val="none" w:sz="0" w:space="0" w:color="auto"/>
          </w:divBdr>
        </w:div>
        <w:div w:id="870455441">
          <w:marLeft w:val="0"/>
          <w:marRight w:val="0"/>
          <w:marTop w:val="0"/>
          <w:marBottom w:val="0"/>
          <w:divBdr>
            <w:top w:val="none" w:sz="0" w:space="0" w:color="auto"/>
            <w:left w:val="none" w:sz="0" w:space="0" w:color="auto"/>
            <w:bottom w:val="none" w:sz="0" w:space="0" w:color="auto"/>
            <w:right w:val="none" w:sz="0" w:space="0" w:color="auto"/>
          </w:divBdr>
        </w:div>
        <w:div w:id="2075621333">
          <w:marLeft w:val="0"/>
          <w:marRight w:val="0"/>
          <w:marTop w:val="0"/>
          <w:marBottom w:val="0"/>
          <w:divBdr>
            <w:top w:val="none" w:sz="0" w:space="0" w:color="auto"/>
            <w:left w:val="none" w:sz="0" w:space="0" w:color="auto"/>
            <w:bottom w:val="none" w:sz="0" w:space="0" w:color="auto"/>
            <w:right w:val="none" w:sz="0" w:space="0" w:color="auto"/>
          </w:divBdr>
        </w:div>
        <w:div w:id="1492990446">
          <w:marLeft w:val="0"/>
          <w:marRight w:val="0"/>
          <w:marTop w:val="0"/>
          <w:marBottom w:val="0"/>
          <w:divBdr>
            <w:top w:val="none" w:sz="0" w:space="0" w:color="auto"/>
            <w:left w:val="none" w:sz="0" w:space="0" w:color="auto"/>
            <w:bottom w:val="none" w:sz="0" w:space="0" w:color="auto"/>
            <w:right w:val="none" w:sz="0" w:space="0" w:color="auto"/>
          </w:divBdr>
        </w:div>
        <w:div w:id="160462907">
          <w:marLeft w:val="0"/>
          <w:marRight w:val="0"/>
          <w:marTop w:val="0"/>
          <w:marBottom w:val="0"/>
          <w:divBdr>
            <w:top w:val="none" w:sz="0" w:space="0" w:color="auto"/>
            <w:left w:val="none" w:sz="0" w:space="0" w:color="auto"/>
            <w:bottom w:val="none" w:sz="0" w:space="0" w:color="auto"/>
            <w:right w:val="none" w:sz="0" w:space="0" w:color="auto"/>
          </w:divBdr>
        </w:div>
        <w:div w:id="371463491">
          <w:marLeft w:val="0"/>
          <w:marRight w:val="0"/>
          <w:marTop w:val="0"/>
          <w:marBottom w:val="0"/>
          <w:divBdr>
            <w:top w:val="none" w:sz="0" w:space="0" w:color="auto"/>
            <w:left w:val="none" w:sz="0" w:space="0" w:color="auto"/>
            <w:bottom w:val="none" w:sz="0" w:space="0" w:color="auto"/>
            <w:right w:val="none" w:sz="0" w:space="0" w:color="auto"/>
          </w:divBdr>
        </w:div>
        <w:div w:id="1230535573">
          <w:marLeft w:val="0"/>
          <w:marRight w:val="0"/>
          <w:marTop w:val="0"/>
          <w:marBottom w:val="0"/>
          <w:divBdr>
            <w:top w:val="none" w:sz="0" w:space="0" w:color="auto"/>
            <w:left w:val="none" w:sz="0" w:space="0" w:color="auto"/>
            <w:bottom w:val="none" w:sz="0" w:space="0" w:color="auto"/>
            <w:right w:val="none" w:sz="0" w:space="0" w:color="auto"/>
          </w:divBdr>
        </w:div>
        <w:div w:id="780078123">
          <w:marLeft w:val="0"/>
          <w:marRight w:val="0"/>
          <w:marTop w:val="0"/>
          <w:marBottom w:val="0"/>
          <w:divBdr>
            <w:top w:val="none" w:sz="0" w:space="0" w:color="auto"/>
            <w:left w:val="none" w:sz="0" w:space="0" w:color="auto"/>
            <w:bottom w:val="none" w:sz="0" w:space="0" w:color="auto"/>
            <w:right w:val="none" w:sz="0" w:space="0" w:color="auto"/>
          </w:divBdr>
        </w:div>
        <w:div w:id="1248811324">
          <w:marLeft w:val="0"/>
          <w:marRight w:val="0"/>
          <w:marTop w:val="0"/>
          <w:marBottom w:val="0"/>
          <w:divBdr>
            <w:top w:val="none" w:sz="0" w:space="0" w:color="auto"/>
            <w:left w:val="none" w:sz="0" w:space="0" w:color="auto"/>
            <w:bottom w:val="none" w:sz="0" w:space="0" w:color="auto"/>
            <w:right w:val="none" w:sz="0" w:space="0" w:color="auto"/>
          </w:divBdr>
        </w:div>
        <w:div w:id="1884364978">
          <w:marLeft w:val="0"/>
          <w:marRight w:val="0"/>
          <w:marTop w:val="0"/>
          <w:marBottom w:val="0"/>
          <w:divBdr>
            <w:top w:val="none" w:sz="0" w:space="0" w:color="auto"/>
            <w:left w:val="none" w:sz="0" w:space="0" w:color="auto"/>
            <w:bottom w:val="none" w:sz="0" w:space="0" w:color="auto"/>
            <w:right w:val="none" w:sz="0" w:space="0" w:color="auto"/>
          </w:divBdr>
        </w:div>
        <w:div w:id="1353533439">
          <w:marLeft w:val="0"/>
          <w:marRight w:val="0"/>
          <w:marTop w:val="0"/>
          <w:marBottom w:val="0"/>
          <w:divBdr>
            <w:top w:val="none" w:sz="0" w:space="0" w:color="auto"/>
            <w:left w:val="none" w:sz="0" w:space="0" w:color="auto"/>
            <w:bottom w:val="none" w:sz="0" w:space="0" w:color="auto"/>
            <w:right w:val="none" w:sz="0" w:space="0" w:color="auto"/>
          </w:divBdr>
        </w:div>
      </w:divsChild>
    </w:div>
    <w:div w:id="439615993">
      <w:bodyDiv w:val="1"/>
      <w:marLeft w:val="0"/>
      <w:marRight w:val="0"/>
      <w:marTop w:val="0"/>
      <w:marBottom w:val="0"/>
      <w:divBdr>
        <w:top w:val="none" w:sz="0" w:space="0" w:color="auto"/>
        <w:left w:val="none" w:sz="0" w:space="0" w:color="auto"/>
        <w:bottom w:val="none" w:sz="0" w:space="0" w:color="auto"/>
        <w:right w:val="none" w:sz="0" w:space="0" w:color="auto"/>
      </w:divBdr>
    </w:div>
    <w:div w:id="460730473">
      <w:bodyDiv w:val="1"/>
      <w:marLeft w:val="0"/>
      <w:marRight w:val="0"/>
      <w:marTop w:val="0"/>
      <w:marBottom w:val="0"/>
      <w:divBdr>
        <w:top w:val="none" w:sz="0" w:space="0" w:color="auto"/>
        <w:left w:val="none" w:sz="0" w:space="0" w:color="auto"/>
        <w:bottom w:val="none" w:sz="0" w:space="0" w:color="auto"/>
        <w:right w:val="none" w:sz="0" w:space="0" w:color="auto"/>
      </w:divBdr>
    </w:div>
    <w:div w:id="461387523">
      <w:bodyDiv w:val="1"/>
      <w:marLeft w:val="0"/>
      <w:marRight w:val="0"/>
      <w:marTop w:val="0"/>
      <w:marBottom w:val="0"/>
      <w:divBdr>
        <w:top w:val="none" w:sz="0" w:space="0" w:color="auto"/>
        <w:left w:val="none" w:sz="0" w:space="0" w:color="auto"/>
        <w:bottom w:val="none" w:sz="0" w:space="0" w:color="auto"/>
        <w:right w:val="none" w:sz="0" w:space="0" w:color="auto"/>
      </w:divBdr>
    </w:div>
    <w:div w:id="494150220">
      <w:bodyDiv w:val="1"/>
      <w:marLeft w:val="0"/>
      <w:marRight w:val="0"/>
      <w:marTop w:val="0"/>
      <w:marBottom w:val="0"/>
      <w:divBdr>
        <w:top w:val="none" w:sz="0" w:space="0" w:color="auto"/>
        <w:left w:val="none" w:sz="0" w:space="0" w:color="auto"/>
        <w:bottom w:val="none" w:sz="0" w:space="0" w:color="auto"/>
        <w:right w:val="none" w:sz="0" w:space="0" w:color="auto"/>
      </w:divBdr>
    </w:div>
    <w:div w:id="504587429">
      <w:bodyDiv w:val="1"/>
      <w:marLeft w:val="0"/>
      <w:marRight w:val="0"/>
      <w:marTop w:val="0"/>
      <w:marBottom w:val="0"/>
      <w:divBdr>
        <w:top w:val="none" w:sz="0" w:space="0" w:color="auto"/>
        <w:left w:val="none" w:sz="0" w:space="0" w:color="auto"/>
        <w:bottom w:val="none" w:sz="0" w:space="0" w:color="auto"/>
        <w:right w:val="none" w:sz="0" w:space="0" w:color="auto"/>
      </w:divBdr>
    </w:div>
    <w:div w:id="557135602">
      <w:bodyDiv w:val="1"/>
      <w:marLeft w:val="0"/>
      <w:marRight w:val="0"/>
      <w:marTop w:val="0"/>
      <w:marBottom w:val="0"/>
      <w:divBdr>
        <w:top w:val="none" w:sz="0" w:space="0" w:color="auto"/>
        <w:left w:val="none" w:sz="0" w:space="0" w:color="auto"/>
        <w:bottom w:val="none" w:sz="0" w:space="0" w:color="auto"/>
        <w:right w:val="none" w:sz="0" w:space="0" w:color="auto"/>
      </w:divBdr>
    </w:div>
    <w:div w:id="575434405">
      <w:bodyDiv w:val="1"/>
      <w:marLeft w:val="0"/>
      <w:marRight w:val="0"/>
      <w:marTop w:val="0"/>
      <w:marBottom w:val="0"/>
      <w:divBdr>
        <w:top w:val="none" w:sz="0" w:space="0" w:color="auto"/>
        <w:left w:val="none" w:sz="0" w:space="0" w:color="auto"/>
        <w:bottom w:val="none" w:sz="0" w:space="0" w:color="auto"/>
        <w:right w:val="none" w:sz="0" w:space="0" w:color="auto"/>
      </w:divBdr>
    </w:div>
    <w:div w:id="607927946">
      <w:bodyDiv w:val="1"/>
      <w:marLeft w:val="0"/>
      <w:marRight w:val="0"/>
      <w:marTop w:val="0"/>
      <w:marBottom w:val="0"/>
      <w:divBdr>
        <w:top w:val="none" w:sz="0" w:space="0" w:color="auto"/>
        <w:left w:val="none" w:sz="0" w:space="0" w:color="auto"/>
        <w:bottom w:val="none" w:sz="0" w:space="0" w:color="auto"/>
        <w:right w:val="none" w:sz="0" w:space="0" w:color="auto"/>
      </w:divBdr>
      <w:divsChild>
        <w:div w:id="850022250">
          <w:marLeft w:val="0"/>
          <w:marRight w:val="0"/>
          <w:marTop w:val="0"/>
          <w:marBottom w:val="0"/>
          <w:divBdr>
            <w:top w:val="none" w:sz="0" w:space="0" w:color="auto"/>
            <w:left w:val="none" w:sz="0" w:space="0" w:color="auto"/>
            <w:bottom w:val="none" w:sz="0" w:space="0" w:color="auto"/>
            <w:right w:val="none" w:sz="0" w:space="0" w:color="auto"/>
          </w:divBdr>
          <w:divsChild>
            <w:div w:id="556169316">
              <w:marLeft w:val="0"/>
              <w:marRight w:val="0"/>
              <w:marTop w:val="0"/>
              <w:marBottom w:val="0"/>
              <w:divBdr>
                <w:top w:val="none" w:sz="0" w:space="0" w:color="auto"/>
                <w:left w:val="none" w:sz="0" w:space="0" w:color="auto"/>
                <w:bottom w:val="none" w:sz="0" w:space="0" w:color="auto"/>
                <w:right w:val="none" w:sz="0" w:space="0" w:color="auto"/>
              </w:divBdr>
              <w:divsChild>
                <w:div w:id="281882465">
                  <w:marLeft w:val="0"/>
                  <w:marRight w:val="0"/>
                  <w:marTop w:val="0"/>
                  <w:marBottom w:val="0"/>
                  <w:divBdr>
                    <w:top w:val="none" w:sz="0" w:space="0" w:color="auto"/>
                    <w:left w:val="none" w:sz="0" w:space="0" w:color="auto"/>
                    <w:bottom w:val="none" w:sz="0" w:space="0" w:color="auto"/>
                    <w:right w:val="none" w:sz="0" w:space="0" w:color="auto"/>
                  </w:divBdr>
                  <w:divsChild>
                    <w:div w:id="665787151">
                      <w:marLeft w:val="0"/>
                      <w:marRight w:val="0"/>
                      <w:marTop w:val="0"/>
                      <w:marBottom w:val="0"/>
                      <w:divBdr>
                        <w:top w:val="none" w:sz="0" w:space="0" w:color="auto"/>
                        <w:left w:val="none" w:sz="0" w:space="0" w:color="auto"/>
                        <w:bottom w:val="none" w:sz="0" w:space="0" w:color="auto"/>
                        <w:right w:val="none" w:sz="0" w:space="0" w:color="auto"/>
                      </w:divBdr>
                      <w:divsChild>
                        <w:div w:id="959649044">
                          <w:marLeft w:val="0"/>
                          <w:marRight w:val="0"/>
                          <w:marTop w:val="150"/>
                          <w:marBottom w:val="0"/>
                          <w:divBdr>
                            <w:top w:val="none" w:sz="0" w:space="0" w:color="auto"/>
                            <w:left w:val="none" w:sz="0" w:space="0" w:color="auto"/>
                            <w:bottom w:val="none" w:sz="0" w:space="0" w:color="auto"/>
                            <w:right w:val="none" w:sz="0" w:space="0" w:color="auto"/>
                          </w:divBdr>
                          <w:divsChild>
                            <w:div w:id="1542665418">
                              <w:marLeft w:val="0"/>
                              <w:marRight w:val="0"/>
                              <w:marTop w:val="0"/>
                              <w:marBottom w:val="0"/>
                              <w:divBdr>
                                <w:top w:val="none" w:sz="0" w:space="0" w:color="auto"/>
                                <w:left w:val="none" w:sz="0" w:space="0" w:color="auto"/>
                                <w:bottom w:val="none" w:sz="0" w:space="0" w:color="auto"/>
                                <w:right w:val="none" w:sz="0" w:space="0" w:color="auto"/>
                              </w:divBdr>
                              <w:divsChild>
                                <w:div w:id="355693972">
                                  <w:marLeft w:val="0"/>
                                  <w:marRight w:val="0"/>
                                  <w:marTop w:val="0"/>
                                  <w:marBottom w:val="0"/>
                                  <w:divBdr>
                                    <w:top w:val="none" w:sz="0" w:space="0" w:color="auto"/>
                                    <w:left w:val="none" w:sz="0" w:space="0" w:color="auto"/>
                                    <w:bottom w:val="none" w:sz="0" w:space="0" w:color="auto"/>
                                    <w:right w:val="none" w:sz="0" w:space="0" w:color="auto"/>
                                  </w:divBdr>
                                  <w:divsChild>
                                    <w:div w:id="1020623427">
                                      <w:marLeft w:val="0"/>
                                      <w:marRight w:val="0"/>
                                      <w:marTop w:val="0"/>
                                      <w:marBottom w:val="0"/>
                                      <w:divBdr>
                                        <w:top w:val="none" w:sz="0" w:space="0" w:color="auto"/>
                                        <w:left w:val="none" w:sz="0" w:space="0" w:color="auto"/>
                                        <w:bottom w:val="none" w:sz="0" w:space="0" w:color="auto"/>
                                        <w:right w:val="none" w:sz="0" w:space="0" w:color="auto"/>
                                      </w:divBdr>
                                      <w:divsChild>
                                        <w:div w:id="1049308148">
                                          <w:marLeft w:val="0"/>
                                          <w:marRight w:val="0"/>
                                          <w:marTop w:val="0"/>
                                          <w:marBottom w:val="0"/>
                                          <w:divBdr>
                                            <w:top w:val="none" w:sz="0" w:space="0" w:color="auto"/>
                                            <w:left w:val="none" w:sz="0" w:space="0" w:color="auto"/>
                                            <w:bottom w:val="none" w:sz="0" w:space="0" w:color="auto"/>
                                            <w:right w:val="none" w:sz="0" w:space="0" w:color="auto"/>
                                          </w:divBdr>
                                          <w:divsChild>
                                            <w:div w:id="2060124732">
                                              <w:marLeft w:val="0"/>
                                              <w:marRight w:val="0"/>
                                              <w:marTop w:val="0"/>
                                              <w:marBottom w:val="0"/>
                                              <w:divBdr>
                                                <w:top w:val="none" w:sz="0" w:space="0" w:color="auto"/>
                                                <w:left w:val="none" w:sz="0" w:space="0" w:color="auto"/>
                                                <w:bottom w:val="none" w:sz="0" w:space="0" w:color="auto"/>
                                                <w:right w:val="none" w:sz="0" w:space="0" w:color="auto"/>
                                              </w:divBdr>
                                              <w:divsChild>
                                                <w:div w:id="1241257141">
                                                  <w:marLeft w:val="0"/>
                                                  <w:marRight w:val="0"/>
                                                  <w:marTop w:val="0"/>
                                                  <w:marBottom w:val="0"/>
                                                  <w:divBdr>
                                                    <w:top w:val="none" w:sz="0" w:space="0" w:color="auto"/>
                                                    <w:left w:val="none" w:sz="0" w:space="0" w:color="auto"/>
                                                    <w:bottom w:val="none" w:sz="0" w:space="0" w:color="auto"/>
                                                    <w:right w:val="none" w:sz="0" w:space="0" w:color="auto"/>
                                                  </w:divBdr>
                                                  <w:divsChild>
                                                    <w:div w:id="581329241">
                                                      <w:marLeft w:val="0"/>
                                                      <w:marRight w:val="0"/>
                                                      <w:marTop w:val="0"/>
                                                      <w:marBottom w:val="0"/>
                                                      <w:divBdr>
                                                        <w:top w:val="none" w:sz="0" w:space="0" w:color="auto"/>
                                                        <w:left w:val="none" w:sz="0" w:space="0" w:color="auto"/>
                                                        <w:bottom w:val="none" w:sz="0" w:space="0" w:color="auto"/>
                                                        <w:right w:val="none" w:sz="0" w:space="0" w:color="auto"/>
                                                      </w:divBdr>
                                                      <w:divsChild>
                                                        <w:div w:id="206570183">
                                                          <w:marLeft w:val="0"/>
                                                          <w:marRight w:val="0"/>
                                                          <w:marTop w:val="0"/>
                                                          <w:marBottom w:val="0"/>
                                                          <w:divBdr>
                                                            <w:top w:val="none" w:sz="0" w:space="0" w:color="auto"/>
                                                            <w:left w:val="none" w:sz="0" w:space="0" w:color="auto"/>
                                                            <w:bottom w:val="none" w:sz="0" w:space="0" w:color="auto"/>
                                                            <w:right w:val="none" w:sz="0" w:space="0" w:color="auto"/>
                                                          </w:divBdr>
                                                          <w:divsChild>
                                                            <w:div w:id="462773388">
                                                              <w:marLeft w:val="0"/>
                                                              <w:marRight w:val="0"/>
                                                              <w:marTop w:val="0"/>
                                                              <w:marBottom w:val="0"/>
                                                              <w:divBdr>
                                                                <w:top w:val="none" w:sz="0" w:space="0" w:color="auto"/>
                                                                <w:left w:val="none" w:sz="0" w:space="0" w:color="auto"/>
                                                                <w:bottom w:val="none" w:sz="0" w:space="0" w:color="auto"/>
                                                                <w:right w:val="none" w:sz="0" w:space="0" w:color="auto"/>
                                                              </w:divBdr>
                                                              <w:divsChild>
                                                                <w:div w:id="1824925186">
                                                                  <w:marLeft w:val="0"/>
                                                                  <w:marRight w:val="0"/>
                                                                  <w:marTop w:val="0"/>
                                                                  <w:marBottom w:val="0"/>
                                                                  <w:divBdr>
                                                                    <w:top w:val="none" w:sz="0" w:space="0" w:color="auto"/>
                                                                    <w:left w:val="none" w:sz="0" w:space="0" w:color="auto"/>
                                                                    <w:bottom w:val="none" w:sz="0" w:space="0" w:color="auto"/>
                                                                    <w:right w:val="none" w:sz="0" w:space="0" w:color="auto"/>
                                                                  </w:divBdr>
                                                                  <w:divsChild>
                                                                    <w:div w:id="706687569">
                                                                      <w:marLeft w:val="0"/>
                                                                      <w:marRight w:val="0"/>
                                                                      <w:marTop w:val="0"/>
                                                                      <w:marBottom w:val="0"/>
                                                                      <w:divBdr>
                                                                        <w:top w:val="none" w:sz="0" w:space="0" w:color="auto"/>
                                                                        <w:left w:val="none" w:sz="0" w:space="0" w:color="auto"/>
                                                                        <w:bottom w:val="none" w:sz="0" w:space="0" w:color="auto"/>
                                                                        <w:right w:val="none" w:sz="0" w:space="0" w:color="auto"/>
                                                                      </w:divBdr>
                                                                      <w:divsChild>
                                                                        <w:div w:id="2279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213952">
      <w:bodyDiv w:val="1"/>
      <w:marLeft w:val="0"/>
      <w:marRight w:val="0"/>
      <w:marTop w:val="0"/>
      <w:marBottom w:val="0"/>
      <w:divBdr>
        <w:top w:val="none" w:sz="0" w:space="0" w:color="auto"/>
        <w:left w:val="none" w:sz="0" w:space="0" w:color="auto"/>
        <w:bottom w:val="none" w:sz="0" w:space="0" w:color="auto"/>
        <w:right w:val="none" w:sz="0" w:space="0" w:color="auto"/>
      </w:divBdr>
    </w:div>
    <w:div w:id="622539535">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7050292">
      <w:bodyDiv w:val="1"/>
      <w:marLeft w:val="0"/>
      <w:marRight w:val="0"/>
      <w:marTop w:val="0"/>
      <w:marBottom w:val="0"/>
      <w:divBdr>
        <w:top w:val="none" w:sz="0" w:space="0" w:color="auto"/>
        <w:left w:val="none" w:sz="0" w:space="0" w:color="auto"/>
        <w:bottom w:val="none" w:sz="0" w:space="0" w:color="auto"/>
        <w:right w:val="none" w:sz="0" w:space="0" w:color="auto"/>
      </w:divBdr>
    </w:div>
    <w:div w:id="754321380">
      <w:bodyDiv w:val="1"/>
      <w:marLeft w:val="0"/>
      <w:marRight w:val="0"/>
      <w:marTop w:val="0"/>
      <w:marBottom w:val="0"/>
      <w:divBdr>
        <w:top w:val="none" w:sz="0" w:space="0" w:color="auto"/>
        <w:left w:val="none" w:sz="0" w:space="0" w:color="auto"/>
        <w:bottom w:val="none" w:sz="0" w:space="0" w:color="auto"/>
        <w:right w:val="none" w:sz="0" w:space="0" w:color="auto"/>
      </w:divBdr>
    </w:div>
    <w:div w:id="814033623">
      <w:bodyDiv w:val="1"/>
      <w:marLeft w:val="0"/>
      <w:marRight w:val="0"/>
      <w:marTop w:val="0"/>
      <w:marBottom w:val="0"/>
      <w:divBdr>
        <w:top w:val="none" w:sz="0" w:space="0" w:color="auto"/>
        <w:left w:val="none" w:sz="0" w:space="0" w:color="auto"/>
        <w:bottom w:val="none" w:sz="0" w:space="0" w:color="auto"/>
        <w:right w:val="none" w:sz="0" w:space="0" w:color="auto"/>
      </w:divBdr>
    </w:div>
    <w:div w:id="860823163">
      <w:bodyDiv w:val="1"/>
      <w:marLeft w:val="0"/>
      <w:marRight w:val="0"/>
      <w:marTop w:val="0"/>
      <w:marBottom w:val="0"/>
      <w:divBdr>
        <w:top w:val="none" w:sz="0" w:space="0" w:color="auto"/>
        <w:left w:val="none" w:sz="0" w:space="0" w:color="auto"/>
        <w:bottom w:val="none" w:sz="0" w:space="0" w:color="auto"/>
        <w:right w:val="none" w:sz="0" w:space="0" w:color="auto"/>
      </w:divBdr>
    </w:div>
    <w:div w:id="918635080">
      <w:bodyDiv w:val="1"/>
      <w:marLeft w:val="0"/>
      <w:marRight w:val="0"/>
      <w:marTop w:val="0"/>
      <w:marBottom w:val="0"/>
      <w:divBdr>
        <w:top w:val="none" w:sz="0" w:space="0" w:color="auto"/>
        <w:left w:val="none" w:sz="0" w:space="0" w:color="auto"/>
        <w:bottom w:val="none" w:sz="0" w:space="0" w:color="auto"/>
        <w:right w:val="none" w:sz="0" w:space="0" w:color="auto"/>
      </w:divBdr>
    </w:div>
    <w:div w:id="924270297">
      <w:bodyDiv w:val="1"/>
      <w:marLeft w:val="0"/>
      <w:marRight w:val="0"/>
      <w:marTop w:val="0"/>
      <w:marBottom w:val="0"/>
      <w:divBdr>
        <w:top w:val="none" w:sz="0" w:space="0" w:color="auto"/>
        <w:left w:val="none" w:sz="0" w:space="0" w:color="auto"/>
        <w:bottom w:val="none" w:sz="0" w:space="0" w:color="auto"/>
        <w:right w:val="none" w:sz="0" w:space="0" w:color="auto"/>
      </w:divBdr>
    </w:div>
    <w:div w:id="932324286">
      <w:bodyDiv w:val="1"/>
      <w:marLeft w:val="0"/>
      <w:marRight w:val="0"/>
      <w:marTop w:val="0"/>
      <w:marBottom w:val="0"/>
      <w:divBdr>
        <w:top w:val="none" w:sz="0" w:space="0" w:color="auto"/>
        <w:left w:val="none" w:sz="0" w:space="0" w:color="auto"/>
        <w:bottom w:val="none" w:sz="0" w:space="0" w:color="auto"/>
        <w:right w:val="none" w:sz="0" w:space="0" w:color="auto"/>
      </w:divBdr>
    </w:div>
    <w:div w:id="942152158">
      <w:bodyDiv w:val="1"/>
      <w:marLeft w:val="0"/>
      <w:marRight w:val="0"/>
      <w:marTop w:val="0"/>
      <w:marBottom w:val="0"/>
      <w:divBdr>
        <w:top w:val="none" w:sz="0" w:space="0" w:color="auto"/>
        <w:left w:val="none" w:sz="0" w:space="0" w:color="auto"/>
        <w:bottom w:val="none" w:sz="0" w:space="0" w:color="auto"/>
        <w:right w:val="none" w:sz="0" w:space="0" w:color="auto"/>
      </w:divBdr>
    </w:div>
    <w:div w:id="964653871">
      <w:bodyDiv w:val="1"/>
      <w:marLeft w:val="0"/>
      <w:marRight w:val="0"/>
      <w:marTop w:val="0"/>
      <w:marBottom w:val="0"/>
      <w:divBdr>
        <w:top w:val="none" w:sz="0" w:space="0" w:color="auto"/>
        <w:left w:val="none" w:sz="0" w:space="0" w:color="auto"/>
        <w:bottom w:val="none" w:sz="0" w:space="0" w:color="auto"/>
        <w:right w:val="none" w:sz="0" w:space="0" w:color="auto"/>
      </w:divBdr>
    </w:div>
    <w:div w:id="968626350">
      <w:bodyDiv w:val="1"/>
      <w:marLeft w:val="0"/>
      <w:marRight w:val="0"/>
      <w:marTop w:val="0"/>
      <w:marBottom w:val="0"/>
      <w:divBdr>
        <w:top w:val="none" w:sz="0" w:space="0" w:color="auto"/>
        <w:left w:val="none" w:sz="0" w:space="0" w:color="auto"/>
        <w:bottom w:val="none" w:sz="0" w:space="0" w:color="auto"/>
        <w:right w:val="none" w:sz="0" w:space="0" w:color="auto"/>
      </w:divBdr>
    </w:div>
    <w:div w:id="1006637421">
      <w:bodyDiv w:val="1"/>
      <w:marLeft w:val="0"/>
      <w:marRight w:val="0"/>
      <w:marTop w:val="0"/>
      <w:marBottom w:val="0"/>
      <w:divBdr>
        <w:top w:val="none" w:sz="0" w:space="0" w:color="auto"/>
        <w:left w:val="none" w:sz="0" w:space="0" w:color="auto"/>
        <w:bottom w:val="none" w:sz="0" w:space="0" w:color="auto"/>
        <w:right w:val="none" w:sz="0" w:space="0" w:color="auto"/>
      </w:divBdr>
    </w:div>
    <w:div w:id="1041978146">
      <w:bodyDiv w:val="1"/>
      <w:marLeft w:val="0"/>
      <w:marRight w:val="0"/>
      <w:marTop w:val="0"/>
      <w:marBottom w:val="0"/>
      <w:divBdr>
        <w:top w:val="none" w:sz="0" w:space="0" w:color="auto"/>
        <w:left w:val="none" w:sz="0" w:space="0" w:color="auto"/>
        <w:bottom w:val="none" w:sz="0" w:space="0" w:color="auto"/>
        <w:right w:val="none" w:sz="0" w:space="0" w:color="auto"/>
      </w:divBdr>
    </w:div>
    <w:div w:id="1045570462">
      <w:bodyDiv w:val="1"/>
      <w:marLeft w:val="0"/>
      <w:marRight w:val="0"/>
      <w:marTop w:val="0"/>
      <w:marBottom w:val="0"/>
      <w:divBdr>
        <w:top w:val="none" w:sz="0" w:space="0" w:color="auto"/>
        <w:left w:val="none" w:sz="0" w:space="0" w:color="auto"/>
        <w:bottom w:val="none" w:sz="0" w:space="0" w:color="auto"/>
        <w:right w:val="none" w:sz="0" w:space="0" w:color="auto"/>
      </w:divBdr>
    </w:div>
    <w:div w:id="1061368972">
      <w:bodyDiv w:val="1"/>
      <w:marLeft w:val="0"/>
      <w:marRight w:val="0"/>
      <w:marTop w:val="0"/>
      <w:marBottom w:val="0"/>
      <w:divBdr>
        <w:top w:val="none" w:sz="0" w:space="0" w:color="auto"/>
        <w:left w:val="none" w:sz="0" w:space="0" w:color="auto"/>
        <w:bottom w:val="none" w:sz="0" w:space="0" w:color="auto"/>
        <w:right w:val="none" w:sz="0" w:space="0" w:color="auto"/>
      </w:divBdr>
    </w:div>
    <w:div w:id="1064336699">
      <w:bodyDiv w:val="1"/>
      <w:marLeft w:val="0"/>
      <w:marRight w:val="0"/>
      <w:marTop w:val="0"/>
      <w:marBottom w:val="0"/>
      <w:divBdr>
        <w:top w:val="none" w:sz="0" w:space="0" w:color="auto"/>
        <w:left w:val="none" w:sz="0" w:space="0" w:color="auto"/>
        <w:bottom w:val="none" w:sz="0" w:space="0" w:color="auto"/>
        <w:right w:val="none" w:sz="0" w:space="0" w:color="auto"/>
      </w:divBdr>
    </w:div>
    <w:div w:id="1096756206">
      <w:bodyDiv w:val="1"/>
      <w:marLeft w:val="0"/>
      <w:marRight w:val="0"/>
      <w:marTop w:val="0"/>
      <w:marBottom w:val="0"/>
      <w:divBdr>
        <w:top w:val="none" w:sz="0" w:space="0" w:color="auto"/>
        <w:left w:val="none" w:sz="0" w:space="0" w:color="auto"/>
        <w:bottom w:val="none" w:sz="0" w:space="0" w:color="auto"/>
        <w:right w:val="none" w:sz="0" w:space="0" w:color="auto"/>
      </w:divBdr>
    </w:div>
    <w:div w:id="1105732180">
      <w:bodyDiv w:val="1"/>
      <w:marLeft w:val="0"/>
      <w:marRight w:val="0"/>
      <w:marTop w:val="0"/>
      <w:marBottom w:val="0"/>
      <w:divBdr>
        <w:top w:val="none" w:sz="0" w:space="0" w:color="auto"/>
        <w:left w:val="none" w:sz="0" w:space="0" w:color="auto"/>
        <w:bottom w:val="none" w:sz="0" w:space="0" w:color="auto"/>
        <w:right w:val="none" w:sz="0" w:space="0" w:color="auto"/>
      </w:divBdr>
    </w:div>
    <w:div w:id="1112699578">
      <w:bodyDiv w:val="1"/>
      <w:marLeft w:val="0"/>
      <w:marRight w:val="0"/>
      <w:marTop w:val="0"/>
      <w:marBottom w:val="0"/>
      <w:divBdr>
        <w:top w:val="none" w:sz="0" w:space="0" w:color="auto"/>
        <w:left w:val="none" w:sz="0" w:space="0" w:color="auto"/>
        <w:bottom w:val="none" w:sz="0" w:space="0" w:color="auto"/>
        <w:right w:val="none" w:sz="0" w:space="0" w:color="auto"/>
      </w:divBdr>
    </w:div>
    <w:div w:id="1131288496">
      <w:bodyDiv w:val="1"/>
      <w:marLeft w:val="0"/>
      <w:marRight w:val="0"/>
      <w:marTop w:val="0"/>
      <w:marBottom w:val="0"/>
      <w:divBdr>
        <w:top w:val="none" w:sz="0" w:space="0" w:color="auto"/>
        <w:left w:val="none" w:sz="0" w:space="0" w:color="auto"/>
        <w:bottom w:val="none" w:sz="0" w:space="0" w:color="auto"/>
        <w:right w:val="none" w:sz="0" w:space="0" w:color="auto"/>
      </w:divBdr>
    </w:div>
    <w:div w:id="1207986334">
      <w:bodyDiv w:val="1"/>
      <w:marLeft w:val="0"/>
      <w:marRight w:val="0"/>
      <w:marTop w:val="0"/>
      <w:marBottom w:val="0"/>
      <w:divBdr>
        <w:top w:val="none" w:sz="0" w:space="0" w:color="auto"/>
        <w:left w:val="none" w:sz="0" w:space="0" w:color="auto"/>
        <w:bottom w:val="none" w:sz="0" w:space="0" w:color="auto"/>
        <w:right w:val="none" w:sz="0" w:space="0" w:color="auto"/>
      </w:divBdr>
    </w:div>
    <w:div w:id="1216622994">
      <w:bodyDiv w:val="1"/>
      <w:marLeft w:val="0"/>
      <w:marRight w:val="0"/>
      <w:marTop w:val="0"/>
      <w:marBottom w:val="0"/>
      <w:divBdr>
        <w:top w:val="none" w:sz="0" w:space="0" w:color="auto"/>
        <w:left w:val="none" w:sz="0" w:space="0" w:color="auto"/>
        <w:bottom w:val="none" w:sz="0" w:space="0" w:color="auto"/>
        <w:right w:val="none" w:sz="0" w:space="0" w:color="auto"/>
      </w:divBdr>
    </w:div>
    <w:div w:id="1228803273">
      <w:bodyDiv w:val="1"/>
      <w:marLeft w:val="0"/>
      <w:marRight w:val="0"/>
      <w:marTop w:val="0"/>
      <w:marBottom w:val="0"/>
      <w:divBdr>
        <w:top w:val="none" w:sz="0" w:space="0" w:color="auto"/>
        <w:left w:val="none" w:sz="0" w:space="0" w:color="auto"/>
        <w:bottom w:val="none" w:sz="0" w:space="0" w:color="auto"/>
        <w:right w:val="none" w:sz="0" w:space="0" w:color="auto"/>
      </w:divBdr>
    </w:div>
    <w:div w:id="1234003098">
      <w:bodyDiv w:val="1"/>
      <w:marLeft w:val="0"/>
      <w:marRight w:val="0"/>
      <w:marTop w:val="0"/>
      <w:marBottom w:val="0"/>
      <w:divBdr>
        <w:top w:val="none" w:sz="0" w:space="0" w:color="auto"/>
        <w:left w:val="none" w:sz="0" w:space="0" w:color="auto"/>
        <w:bottom w:val="none" w:sz="0" w:space="0" w:color="auto"/>
        <w:right w:val="none" w:sz="0" w:space="0" w:color="auto"/>
      </w:divBdr>
    </w:div>
    <w:div w:id="1249000763">
      <w:bodyDiv w:val="1"/>
      <w:marLeft w:val="0"/>
      <w:marRight w:val="0"/>
      <w:marTop w:val="0"/>
      <w:marBottom w:val="0"/>
      <w:divBdr>
        <w:top w:val="none" w:sz="0" w:space="0" w:color="auto"/>
        <w:left w:val="none" w:sz="0" w:space="0" w:color="auto"/>
        <w:bottom w:val="none" w:sz="0" w:space="0" w:color="auto"/>
        <w:right w:val="none" w:sz="0" w:space="0" w:color="auto"/>
      </w:divBdr>
    </w:div>
    <w:div w:id="1249265688">
      <w:bodyDiv w:val="1"/>
      <w:marLeft w:val="0"/>
      <w:marRight w:val="0"/>
      <w:marTop w:val="0"/>
      <w:marBottom w:val="0"/>
      <w:divBdr>
        <w:top w:val="none" w:sz="0" w:space="0" w:color="auto"/>
        <w:left w:val="none" w:sz="0" w:space="0" w:color="auto"/>
        <w:bottom w:val="none" w:sz="0" w:space="0" w:color="auto"/>
        <w:right w:val="none" w:sz="0" w:space="0" w:color="auto"/>
      </w:divBdr>
    </w:div>
    <w:div w:id="1252543980">
      <w:bodyDiv w:val="1"/>
      <w:marLeft w:val="0"/>
      <w:marRight w:val="0"/>
      <w:marTop w:val="0"/>
      <w:marBottom w:val="0"/>
      <w:divBdr>
        <w:top w:val="none" w:sz="0" w:space="0" w:color="auto"/>
        <w:left w:val="none" w:sz="0" w:space="0" w:color="auto"/>
        <w:bottom w:val="none" w:sz="0" w:space="0" w:color="auto"/>
        <w:right w:val="none" w:sz="0" w:space="0" w:color="auto"/>
      </w:divBdr>
    </w:div>
    <w:div w:id="1292201186">
      <w:bodyDiv w:val="1"/>
      <w:marLeft w:val="0"/>
      <w:marRight w:val="0"/>
      <w:marTop w:val="0"/>
      <w:marBottom w:val="0"/>
      <w:divBdr>
        <w:top w:val="none" w:sz="0" w:space="0" w:color="auto"/>
        <w:left w:val="none" w:sz="0" w:space="0" w:color="auto"/>
        <w:bottom w:val="none" w:sz="0" w:space="0" w:color="auto"/>
        <w:right w:val="none" w:sz="0" w:space="0" w:color="auto"/>
      </w:divBdr>
    </w:div>
    <w:div w:id="1295479536">
      <w:bodyDiv w:val="1"/>
      <w:marLeft w:val="0"/>
      <w:marRight w:val="0"/>
      <w:marTop w:val="0"/>
      <w:marBottom w:val="0"/>
      <w:divBdr>
        <w:top w:val="none" w:sz="0" w:space="0" w:color="auto"/>
        <w:left w:val="none" w:sz="0" w:space="0" w:color="auto"/>
        <w:bottom w:val="none" w:sz="0" w:space="0" w:color="auto"/>
        <w:right w:val="none" w:sz="0" w:space="0" w:color="auto"/>
      </w:divBdr>
    </w:div>
    <w:div w:id="1295988142">
      <w:bodyDiv w:val="1"/>
      <w:marLeft w:val="0"/>
      <w:marRight w:val="0"/>
      <w:marTop w:val="0"/>
      <w:marBottom w:val="0"/>
      <w:divBdr>
        <w:top w:val="none" w:sz="0" w:space="0" w:color="auto"/>
        <w:left w:val="none" w:sz="0" w:space="0" w:color="auto"/>
        <w:bottom w:val="none" w:sz="0" w:space="0" w:color="auto"/>
        <w:right w:val="none" w:sz="0" w:space="0" w:color="auto"/>
      </w:divBdr>
    </w:div>
    <w:div w:id="1307472766">
      <w:bodyDiv w:val="1"/>
      <w:marLeft w:val="0"/>
      <w:marRight w:val="0"/>
      <w:marTop w:val="0"/>
      <w:marBottom w:val="0"/>
      <w:divBdr>
        <w:top w:val="none" w:sz="0" w:space="0" w:color="auto"/>
        <w:left w:val="none" w:sz="0" w:space="0" w:color="auto"/>
        <w:bottom w:val="none" w:sz="0" w:space="0" w:color="auto"/>
        <w:right w:val="none" w:sz="0" w:space="0" w:color="auto"/>
      </w:divBdr>
    </w:div>
    <w:div w:id="1309285578">
      <w:bodyDiv w:val="1"/>
      <w:marLeft w:val="0"/>
      <w:marRight w:val="0"/>
      <w:marTop w:val="0"/>
      <w:marBottom w:val="0"/>
      <w:divBdr>
        <w:top w:val="none" w:sz="0" w:space="0" w:color="auto"/>
        <w:left w:val="none" w:sz="0" w:space="0" w:color="auto"/>
        <w:bottom w:val="none" w:sz="0" w:space="0" w:color="auto"/>
        <w:right w:val="none" w:sz="0" w:space="0" w:color="auto"/>
      </w:divBdr>
    </w:div>
    <w:div w:id="1316103323">
      <w:bodyDiv w:val="1"/>
      <w:marLeft w:val="0"/>
      <w:marRight w:val="0"/>
      <w:marTop w:val="0"/>
      <w:marBottom w:val="0"/>
      <w:divBdr>
        <w:top w:val="none" w:sz="0" w:space="0" w:color="auto"/>
        <w:left w:val="none" w:sz="0" w:space="0" w:color="auto"/>
        <w:bottom w:val="none" w:sz="0" w:space="0" w:color="auto"/>
        <w:right w:val="none" w:sz="0" w:space="0" w:color="auto"/>
      </w:divBdr>
    </w:div>
    <w:div w:id="1333527574">
      <w:bodyDiv w:val="1"/>
      <w:marLeft w:val="0"/>
      <w:marRight w:val="0"/>
      <w:marTop w:val="0"/>
      <w:marBottom w:val="0"/>
      <w:divBdr>
        <w:top w:val="none" w:sz="0" w:space="0" w:color="auto"/>
        <w:left w:val="none" w:sz="0" w:space="0" w:color="auto"/>
        <w:bottom w:val="none" w:sz="0" w:space="0" w:color="auto"/>
        <w:right w:val="none" w:sz="0" w:space="0" w:color="auto"/>
      </w:divBdr>
    </w:div>
    <w:div w:id="1343163615">
      <w:bodyDiv w:val="1"/>
      <w:marLeft w:val="0"/>
      <w:marRight w:val="0"/>
      <w:marTop w:val="0"/>
      <w:marBottom w:val="0"/>
      <w:divBdr>
        <w:top w:val="none" w:sz="0" w:space="0" w:color="auto"/>
        <w:left w:val="none" w:sz="0" w:space="0" w:color="auto"/>
        <w:bottom w:val="none" w:sz="0" w:space="0" w:color="auto"/>
        <w:right w:val="none" w:sz="0" w:space="0" w:color="auto"/>
      </w:divBdr>
    </w:div>
    <w:div w:id="1355423828">
      <w:bodyDiv w:val="1"/>
      <w:marLeft w:val="0"/>
      <w:marRight w:val="0"/>
      <w:marTop w:val="0"/>
      <w:marBottom w:val="0"/>
      <w:divBdr>
        <w:top w:val="none" w:sz="0" w:space="0" w:color="auto"/>
        <w:left w:val="none" w:sz="0" w:space="0" w:color="auto"/>
        <w:bottom w:val="none" w:sz="0" w:space="0" w:color="auto"/>
        <w:right w:val="none" w:sz="0" w:space="0" w:color="auto"/>
      </w:divBdr>
    </w:div>
    <w:div w:id="1375498928">
      <w:bodyDiv w:val="1"/>
      <w:marLeft w:val="0"/>
      <w:marRight w:val="0"/>
      <w:marTop w:val="0"/>
      <w:marBottom w:val="0"/>
      <w:divBdr>
        <w:top w:val="none" w:sz="0" w:space="0" w:color="auto"/>
        <w:left w:val="none" w:sz="0" w:space="0" w:color="auto"/>
        <w:bottom w:val="none" w:sz="0" w:space="0" w:color="auto"/>
        <w:right w:val="none" w:sz="0" w:space="0" w:color="auto"/>
      </w:divBdr>
    </w:div>
    <w:div w:id="1389373861">
      <w:bodyDiv w:val="1"/>
      <w:marLeft w:val="0"/>
      <w:marRight w:val="0"/>
      <w:marTop w:val="0"/>
      <w:marBottom w:val="0"/>
      <w:divBdr>
        <w:top w:val="none" w:sz="0" w:space="0" w:color="auto"/>
        <w:left w:val="none" w:sz="0" w:space="0" w:color="auto"/>
        <w:bottom w:val="none" w:sz="0" w:space="0" w:color="auto"/>
        <w:right w:val="none" w:sz="0" w:space="0" w:color="auto"/>
      </w:divBdr>
    </w:div>
    <w:div w:id="1414551358">
      <w:bodyDiv w:val="1"/>
      <w:marLeft w:val="0"/>
      <w:marRight w:val="0"/>
      <w:marTop w:val="0"/>
      <w:marBottom w:val="0"/>
      <w:divBdr>
        <w:top w:val="none" w:sz="0" w:space="0" w:color="auto"/>
        <w:left w:val="none" w:sz="0" w:space="0" w:color="auto"/>
        <w:bottom w:val="none" w:sz="0" w:space="0" w:color="auto"/>
        <w:right w:val="none" w:sz="0" w:space="0" w:color="auto"/>
      </w:divBdr>
    </w:div>
    <w:div w:id="1417745511">
      <w:bodyDiv w:val="1"/>
      <w:marLeft w:val="0"/>
      <w:marRight w:val="0"/>
      <w:marTop w:val="0"/>
      <w:marBottom w:val="0"/>
      <w:divBdr>
        <w:top w:val="none" w:sz="0" w:space="0" w:color="auto"/>
        <w:left w:val="none" w:sz="0" w:space="0" w:color="auto"/>
        <w:bottom w:val="none" w:sz="0" w:space="0" w:color="auto"/>
        <w:right w:val="none" w:sz="0" w:space="0" w:color="auto"/>
      </w:divBdr>
    </w:div>
    <w:div w:id="1430467448">
      <w:bodyDiv w:val="1"/>
      <w:marLeft w:val="0"/>
      <w:marRight w:val="0"/>
      <w:marTop w:val="0"/>
      <w:marBottom w:val="0"/>
      <w:divBdr>
        <w:top w:val="none" w:sz="0" w:space="0" w:color="auto"/>
        <w:left w:val="none" w:sz="0" w:space="0" w:color="auto"/>
        <w:bottom w:val="none" w:sz="0" w:space="0" w:color="auto"/>
        <w:right w:val="none" w:sz="0" w:space="0" w:color="auto"/>
      </w:divBdr>
    </w:div>
    <w:div w:id="1490829704">
      <w:bodyDiv w:val="1"/>
      <w:marLeft w:val="0"/>
      <w:marRight w:val="0"/>
      <w:marTop w:val="0"/>
      <w:marBottom w:val="0"/>
      <w:divBdr>
        <w:top w:val="none" w:sz="0" w:space="0" w:color="auto"/>
        <w:left w:val="none" w:sz="0" w:space="0" w:color="auto"/>
        <w:bottom w:val="none" w:sz="0" w:space="0" w:color="auto"/>
        <w:right w:val="none" w:sz="0" w:space="0" w:color="auto"/>
      </w:divBdr>
      <w:divsChild>
        <w:div w:id="85813322">
          <w:marLeft w:val="0"/>
          <w:marRight w:val="0"/>
          <w:marTop w:val="0"/>
          <w:marBottom w:val="0"/>
          <w:divBdr>
            <w:top w:val="none" w:sz="0" w:space="0" w:color="auto"/>
            <w:left w:val="none" w:sz="0" w:space="0" w:color="auto"/>
            <w:bottom w:val="none" w:sz="0" w:space="0" w:color="auto"/>
            <w:right w:val="none" w:sz="0" w:space="0" w:color="auto"/>
          </w:divBdr>
        </w:div>
        <w:div w:id="104422679">
          <w:marLeft w:val="0"/>
          <w:marRight w:val="0"/>
          <w:marTop w:val="0"/>
          <w:marBottom w:val="0"/>
          <w:divBdr>
            <w:top w:val="none" w:sz="0" w:space="0" w:color="auto"/>
            <w:left w:val="none" w:sz="0" w:space="0" w:color="auto"/>
            <w:bottom w:val="none" w:sz="0" w:space="0" w:color="auto"/>
            <w:right w:val="none" w:sz="0" w:space="0" w:color="auto"/>
          </w:divBdr>
        </w:div>
        <w:div w:id="107938138">
          <w:marLeft w:val="0"/>
          <w:marRight w:val="0"/>
          <w:marTop w:val="0"/>
          <w:marBottom w:val="0"/>
          <w:divBdr>
            <w:top w:val="none" w:sz="0" w:space="0" w:color="auto"/>
            <w:left w:val="none" w:sz="0" w:space="0" w:color="auto"/>
            <w:bottom w:val="none" w:sz="0" w:space="0" w:color="auto"/>
            <w:right w:val="none" w:sz="0" w:space="0" w:color="auto"/>
          </w:divBdr>
        </w:div>
        <w:div w:id="185405798">
          <w:marLeft w:val="0"/>
          <w:marRight w:val="0"/>
          <w:marTop w:val="0"/>
          <w:marBottom w:val="0"/>
          <w:divBdr>
            <w:top w:val="none" w:sz="0" w:space="0" w:color="auto"/>
            <w:left w:val="none" w:sz="0" w:space="0" w:color="auto"/>
            <w:bottom w:val="none" w:sz="0" w:space="0" w:color="auto"/>
            <w:right w:val="none" w:sz="0" w:space="0" w:color="auto"/>
          </w:divBdr>
        </w:div>
        <w:div w:id="208303518">
          <w:marLeft w:val="0"/>
          <w:marRight w:val="0"/>
          <w:marTop w:val="0"/>
          <w:marBottom w:val="0"/>
          <w:divBdr>
            <w:top w:val="none" w:sz="0" w:space="0" w:color="auto"/>
            <w:left w:val="none" w:sz="0" w:space="0" w:color="auto"/>
            <w:bottom w:val="none" w:sz="0" w:space="0" w:color="auto"/>
            <w:right w:val="none" w:sz="0" w:space="0" w:color="auto"/>
          </w:divBdr>
        </w:div>
        <w:div w:id="347024319">
          <w:marLeft w:val="0"/>
          <w:marRight w:val="0"/>
          <w:marTop w:val="0"/>
          <w:marBottom w:val="0"/>
          <w:divBdr>
            <w:top w:val="none" w:sz="0" w:space="0" w:color="auto"/>
            <w:left w:val="none" w:sz="0" w:space="0" w:color="auto"/>
            <w:bottom w:val="none" w:sz="0" w:space="0" w:color="auto"/>
            <w:right w:val="none" w:sz="0" w:space="0" w:color="auto"/>
          </w:divBdr>
        </w:div>
        <w:div w:id="601958810">
          <w:marLeft w:val="0"/>
          <w:marRight w:val="0"/>
          <w:marTop w:val="0"/>
          <w:marBottom w:val="0"/>
          <w:divBdr>
            <w:top w:val="none" w:sz="0" w:space="0" w:color="auto"/>
            <w:left w:val="none" w:sz="0" w:space="0" w:color="auto"/>
            <w:bottom w:val="none" w:sz="0" w:space="0" w:color="auto"/>
            <w:right w:val="none" w:sz="0" w:space="0" w:color="auto"/>
          </w:divBdr>
        </w:div>
        <w:div w:id="619072317">
          <w:marLeft w:val="0"/>
          <w:marRight w:val="0"/>
          <w:marTop w:val="0"/>
          <w:marBottom w:val="0"/>
          <w:divBdr>
            <w:top w:val="none" w:sz="0" w:space="0" w:color="auto"/>
            <w:left w:val="none" w:sz="0" w:space="0" w:color="auto"/>
            <w:bottom w:val="none" w:sz="0" w:space="0" w:color="auto"/>
            <w:right w:val="none" w:sz="0" w:space="0" w:color="auto"/>
          </w:divBdr>
        </w:div>
        <w:div w:id="781075600">
          <w:marLeft w:val="0"/>
          <w:marRight w:val="0"/>
          <w:marTop w:val="0"/>
          <w:marBottom w:val="0"/>
          <w:divBdr>
            <w:top w:val="none" w:sz="0" w:space="0" w:color="auto"/>
            <w:left w:val="none" w:sz="0" w:space="0" w:color="auto"/>
            <w:bottom w:val="none" w:sz="0" w:space="0" w:color="auto"/>
            <w:right w:val="none" w:sz="0" w:space="0" w:color="auto"/>
          </w:divBdr>
        </w:div>
        <w:div w:id="832456792">
          <w:marLeft w:val="0"/>
          <w:marRight w:val="0"/>
          <w:marTop w:val="0"/>
          <w:marBottom w:val="0"/>
          <w:divBdr>
            <w:top w:val="none" w:sz="0" w:space="0" w:color="auto"/>
            <w:left w:val="none" w:sz="0" w:space="0" w:color="auto"/>
            <w:bottom w:val="none" w:sz="0" w:space="0" w:color="auto"/>
            <w:right w:val="none" w:sz="0" w:space="0" w:color="auto"/>
          </w:divBdr>
        </w:div>
        <w:div w:id="1017316559">
          <w:marLeft w:val="0"/>
          <w:marRight w:val="0"/>
          <w:marTop w:val="0"/>
          <w:marBottom w:val="0"/>
          <w:divBdr>
            <w:top w:val="none" w:sz="0" w:space="0" w:color="auto"/>
            <w:left w:val="none" w:sz="0" w:space="0" w:color="auto"/>
            <w:bottom w:val="none" w:sz="0" w:space="0" w:color="auto"/>
            <w:right w:val="none" w:sz="0" w:space="0" w:color="auto"/>
          </w:divBdr>
        </w:div>
        <w:div w:id="1061250879">
          <w:marLeft w:val="0"/>
          <w:marRight w:val="0"/>
          <w:marTop w:val="0"/>
          <w:marBottom w:val="0"/>
          <w:divBdr>
            <w:top w:val="none" w:sz="0" w:space="0" w:color="auto"/>
            <w:left w:val="none" w:sz="0" w:space="0" w:color="auto"/>
            <w:bottom w:val="none" w:sz="0" w:space="0" w:color="auto"/>
            <w:right w:val="none" w:sz="0" w:space="0" w:color="auto"/>
          </w:divBdr>
        </w:div>
        <w:div w:id="1172839238">
          <w:marLeft w:val="0"/>
          <w:marRight w:val="0"/>
          <w:marTop w:val="0"/>
          <w:marBottom w:val="0"/>
          <w:divBdr>
            <w:top w:val="none" w:sz="0" w:space="0" w:color="auto"/>
            <w:left w:val="none" w:sz="0" w:space="0" w:color="auto"/>
            <w:bottom w:val="none" w:sz="0" w:space="0" w:color="auto"/>
            <w:right w:val="none" w:sz="0" w:space="0" w:color="auto"/>
          </w:divBdr>
        </w:div>
        <w:div w:id="1514147264">
          <w:marLeft w:val="0"/>
          <w:marRight w:val="0"/>
          <w:marTop w:val="0"/>
          <w:marBottom w:val="0"/>
          <w:divBdr>
            <w:top w:val="none" w:sz="0" w:space="0" w:color="auto"/>
            <w:left w:val="none" w:sz="0" w:space="0" w:color="auto"/>
            <w:bottom w:val="none" w:sz="0" w:space="0" w:color="auto"/>
            <w:right w:val="none" w:sz="0" w:space="0" w:color="auto"/>
          </w:divBdr>
        </w:div>
        <w:div w:id="1613902973">
          <w:marLeft w:val="0"/>
          <w:marRight w:val="0"/>
          <w:marTop w:val="0"/>
          <w:marBottom w:val="0"/>
          <w:divBdr>
            <w:top w:val="none" w:sz="0" w:space="0" w:color="auto"/>
            <w:left w:val="none" w:sz="0" w:space="0" w:color="auto"/>
            <w:bottom w:val="none" w:sz="0" w:space="0" w:color="auto"/>
            <w:right w:val="none" w:sz="0" w:space="0" w:color="auto"/>
          </w:divBdr>
        </w:div>
        <w:div w:id="1620406180">
          <w:marLeft w:val="0"/>
          <w:marRight w:val="0"/>
          <w:marTop w:val="0"/>
          <w:marBottom w:val="0"/>
          <w:divBdr>
            <w:top w:val="none" w:sz="0" w:space="0" w:color="auto"/>
            <w:left w:val="none" w:sz="0" w:space="0" w:color="auto"/>
            <w:bottom w:val="none" w:sz="0" w:space="0" w:color="auto"/>
            <w:right w:val="none" w:sz="0" w:space="0" w:color="auto"/>
          </w:divBdr>
        </w:div>
        <w:div w:id="1636176225">
          <w:marLeft w:val="0"/>
          <w:marRight w:val="0"/>
          <w:marTop w:val="0"/>
          <w:marBottom w:val="0"/>
          <w:divBdr>
            <w:top w:val="none" w:sz="0" w:space="0" w:color="auto"/>
            <w:left w:val="none" w:sz="0" w:space="0" w:color="auto"/>
            <w:bottom w:val="none" w:sz="0" w:space="0" w:color="auto"/>
            <w:right w:val="none" w:sz="0" w:space="0" w:color="auto"/>
          </w:divBdr>
        </w:div>
        <w:div w:id="1755859820">
          <w:marLeft w:val="0"/>
          <w:marRight w:val="0"/>
          <w:marTop w:val="0"/>
          <w:marBottom w:val="0"/>
          <w:divBdr>
            <w:top w:val="none" w:sz="0" w:space="0" w:color="auto"/>
            <w:left w:val="none" w:sz="0" w:space="0" w:color="auto"/>
            <w:bottom w:val="none" w:sz="0" w:space="0" w:color="auto"/>
            <w:right w:val="none" w:sz="0" w:space="0" w:color="auto"/>
          </w:divBdr>
        </w:div>
        <w:div w:id="1796604911">
          <w:marLeft w:val="0"/>
          <w:marRight w:val="0"/>
          <w:marTop w:val="0"/>
          <w:marBottom w:val="0"/>
          <w:divBdr>
            <w:top w:val="none" w:sz="0" w:space="0" w:color="auto"/>
            <w:left w:val="none" w:sz="0" w:space="0" w:color="auto"/>
            <w:bottom w:val="none" w:sz="0" w:space="0" w:color="auto"/>
            <w:right w:val="none" w:sz="0" w:space="0" w:color="auto"/>
          </w:divBdr>
        </w:div>
        <w:div w:id="1815559666">
          <w:marLeft w:val="0"/>
          <w:marRight w:val="0"/>
          <w:marTop w:val="0"/>
          <w:marBottom w:val="0"/>
          <w:divBdr>
            <w:top w:val="none" w:sz="0" w:space="0" w:color="auto"/>
            <w:left w:val="none" w:sz="0" w:space="0" w:color="auto"/>
            <w:bottom w:val="none" w:sz="0" w:space="0" w:color="auto"/>
            <w:right w:val="none" w:sz="0" w:space="0" w:color="auto"/>
          </w:divBdr>
        </w:div>
        <w:div w:id="1837381982">
          <w:marLeft w:val="0"/>
          <w:marRight w:val="0"/>
          <w:marTop w:val="0"/>
          <w:marBottom w:val="0"/>
          <w:divBdr>
            <w:top w:val="none" w:sz="0" w:space="0" w:color="auto"/>
            <w:left w:val="none" w:sz="0" w:space="0" w:color="auto"/>
            <w:bottom w:val="none" w:sz="0" w:space="0" w:color="auto"/>
            <w:right w:val="none" w:sz="0" w:space="0" w:color="auto"/>
          </w:divBdr>
        </w:div>
        <w:div w:id="1867794667">
          <w:marLeft w:val="0"/>
          <w:marRight w:val="0"/>
          <w:marTop w:val="0"/>
          <w:marBottom w:val="0"/>
          <w:divBdr>
            <w:top w:val="none" w:sz="0" w:space="0" w:color="auto"/>
            <w:left w:val="none" w:sz="0" w:space="0" w:color="auto"/>
            <w:bottom w:val="none" w:sz="0" w:space="0" w:color="auto"/>
            <w:right w:val="none" w:sz="0" w:space="0" w:color="auto"/>
          </w:divBdr>
        </w:div>
        <w:div w:id="1885018853">
          <w:marLeft w:val="0"/>
          <w:marRight w:val="0"/>
          <w:marTop w:val="0"/>
          <w:marBottom w:val="0"/>
          <w:divBdr>
            <w:top w:val="none" w:sz="0" w:space="0" w:color="auto"/>
            <w:left w:val="none" w:sz="0" w:space="0" w:color="auto"/>
            <w:bottom w:val="none" w:sz="0" w:space="0" w:color="auto"/>
            <w:right w:val="none" w:sz="0" w:space="0" w:color="auto"/>
          </w:divBdr>
        </w:div>
        <w:div w:id="1927692587">
          <w:marLeft w:val="0"/>
          <w:marRight w:val="0"/>
          <w:marTop w:val="0"/>
          <w:marBottom w:val="0"/>
          <w:divBdr>
            <w:top w:val="none" w:sz="0" w:space="0" w:color="auto"/>
            <w:left w:val="none" w:sz="0" w:space="0" w:color="auto"/>
            <w:bottom w:val="none" w:sz="0" w:space="0" w:color="auto"/>
            <w:right w:val="none" w:sz="0" w:space="0" w:color="auto"/>
          </w:divBdr>
        </w:div>
        <w:div w:id="1963683840">
          <w:marLeft w:val="0"/>
          <w:marRight w:val="0"/>
          <w:marTop w:val="0"/>
          <w:marBottom w:val="0"/>
          <w:divBdr>
            <w:top w:val="none" w:sz="0" w:space="0" w:color="auto"/>
            <w:left w:val="none" w:sz="0" w:space="0" w:color="auto"/>
            <w:bottom w:val="none" w:sz="0" w:space="0" w:color="auto"/>
            <w:right w:val="none" w:sz="0" w:space="0" w:color="auto"/>
          </w:divBdr>
        </w:div>
        <w:div w:id="1997294446">
          <w:marLeft w:val="0"/>
          <w:marRight w:val="0"/>
          <w:marTop w:val="0"/>
          <w:marBottom w:val="0"/>
          <w:divBdr>
            <w:top w:val="none" w:sz="0" w:space="0" w:color="auto"/>
            <w:left w:val="none" w:sz="0" w:space="0" w:color="auto"/>
            <w:bottom w:val="none" w:sz="0" w:space="0" w:color="auto"/>
            <w:right w:val="none" w:sz="0" w:space="0" w:color="auto"/>
          </w:divBdr>
        </w:div>
        <w:div w:id="2049449614">
          <w:marLeft w:val="0"/>
          <w:marRight w:val="0"/>
          <w:marTop w:val="0"/>
          <w:marBottom w:val="0"/>
          <w:divBdr>
            <w:top w:val="none" w:sz="0" w:space="0" w:color="auto"/>
            <w:left w:val="none" w:sz="0" w:space="0" w:color="auto"/>
            <w:bottom w:val="none" w:sz="0" w:space="0" w:color="auto"/>
            <w:right w:val="none" w:sz="0" w:space="0" w:color="auto"/>
          </w:divBdr>
        </w:div>
        <w:div w:id="2053457107">
          <w:marLeft w:val="0"/>
          <w:marRight w:val="0"/>
          <w:marTop w:val="0"/>
          <w:marBottom w:val="0"/>
          <w:divBdr>
            <w:top w:val="none" w:sz="0" w:space="0" w:color="auto"/>
            <w:left w:val="none" w:sz="0" w:space="0" w:color="auto"/>
            <w:bottom w:val="none" w:sz="0" w:space="0" w:color="auto"/>
            <w:right w:val="none" w:sz="0" w:space="0" w:color="auto"/>
          </w:divBdr>
        </w:div>
        <w:div w:id="2059623145">
          <w:marLeft w:val="0"/>
          <w:marRight w:val="0"/>
          <w:marTop w:val="0"/>
          <w:marBottom w:val="0"/>
          <w:divBdr>
            <w:top w:val="none" w:sz="0" w:space="0" w:color="auto"/>
            <w:left w:val="none" w:sz="0" w:space="0" w:color="auto"/>
            <w:bottom w:val="none" w:sz="0" w:space="0" w:color="auto"/>
            <w:right w:val="none" w:sz="0" w:space="0" w:color="auto"/>
          </w:divBdr>
        </w:div>
        <w:div w:id="2061855474">
          <w:marLeft w:val="0"/>
          <w:marRight w:val="0"/>
          <w:marTop w:val="0"/>
          <w:marBottom w:val="0"/>
          <w:divBdr>
            <w:top w:val="none" w:sz="0" w:space="0" w:color="auto"/>
            <w:left w:val="none" w:sz="0" w:space="0" w:color="auto"/>
            <w:bottom w:val="none" w:sz="0" w:space="0" w:color="auto"/>
            <w:right w:val="none" w:sz="0" w:space="0" w:color="auto"/>
          </w:divBdr>
        </w:div>
        <w:div w:id="2122450480">
          <w:marLeft w:val="0"/>
          <w:marRight w:val="0"/>
          <w:marTop w:val="0"/>
          <w:marBottom w:val="0"/>
          <w:divBdr>
            <w:top w:val="none" w:sz="0" w:space="0" w:color="auto"/>
            <w:left w:val="none" w:sz="0" w:space="0" w:color="auto"/>
            <w:bottom w:val="none" w:sz="0" w:space="0" w:color="auto"/>
            <w:right w:val="none" w:sz="0" w:space="0" w:color="auto"/>
          </w:divBdr>
        </w:div>
      </w:divsChild>
    </w:div>
    <w:div w:id="1503470744">
      <w:bodyDiv w:val="1"/>
      <w:marLeft w:val="0"/>
      <w:marRight w:val="0"/>
      <w:marTop w:val="0"/>
      <w:marBottom w:val="0"/>
      <w:divBdr>
        <w:top w:val="none" w:sz="0" w:space="0" w:color="auto"/>
        <w:left w:val="none" w:sz="0" w:space="0" w:color="auto"/>
        <w:bottom w:val="none" w:sz="0" w:space="0" w:color="auto"/>
        <w:right w:val="none" w:sz="0" w:space="0" w:color="auto"/>
      </w:divBdr>
    </w:div>
    <w:div w:id="1556895582">
      <w:bodyDiv w:val="1"/>
      <w:marLeft w:val="0"/>
      <w:marRight w:val="0"/>
      <w:marTop w:val="0"/>
      <w:marBottom w:val="0"/>
      <w:divBdr>
        <w:top w:val="none" w:sz="0" w:space="0" w:color="auto"/>
        <w:left w:val="none" w:sz="0" w:space="0" w:color="auto"/>
        <w:bottom w:val="none" w:sz="0" w:space="0" w:color="auto"/>
        <w:right w:val="none" w:sz="0" w:space="0" w:color="auto"/>
      </w:divBdr>
    </w:div>
    <w:div w:id="1562247636">
      <w:bodyDiv w:val="1"/>
      <w:marLeft w:val="0"/>
      <w:marRight w:val="0"/>
      <w:marTop w:val="0"/>
      <w:marBottom w:val="0"/>
      <w:divBdr>
        <w:top w:val="none" w:sz="0" w:space="0" w:color="auto"/>
        <w:left w:val="none" w:sz="0" w:space="0" w:color="auto"/>
        <w:bottom w:val="none" w:sz="0" w:space="0" w:color="auto"/>
        <w:right w:val="none" w:sz="0" w:space="0" w:color="auto"/>
      </w:divBdr>
    </w:div>
    <w:div w:id="1590388383">
      <w:bodyDiv w:val="1"/>
      <w:marLeft w:val="0"/>
      <w:marRight w:val="0"/>
      <w:marTop w:val="0"/>
      <w:marBottom w:val="0"/>
      <w:divBdr>
        <w:top w:val="none" w:sz="0" w:space="0" w:color="auto"/>
        <w:left w:val="none" w:sz="0" w:space="0" w:color="auto"/>
        <w:bottom w:val="none" w:sz="0" w:space="0" w:color="auto"/>
        <w:right w:val="none" w:sz="0" w:space="0" w:color="auto"/>
      </w:divBdr>
    </w:div>
    <w:div w:id="1627353436">
      <w:bodyDiv w:val="1"/>
      <w:marLeft w:val="0"/>
      <w:marRight w:val="0"/>
      <w:marTop w:val="0"/>
      <w:marBottom w:val="0"/>
      <w:divBdr>
        <w:top w:val="none" w:sz="0" w:space="0" w:color="auto"/>
        <w:left w:val="none" w:sz="0" w:space="0" w:color="auto"/>
        <w:bottom w:val="none" w:sz="0" w:space="0" w:color="auto"/>
        <w:right w:val="none" w:sz="0" w:space="0" w:color="auto"/>
      </w:divBdr>
    </w:div>
    <w:div w:id="1671257384">
      <w:bodyDiv w:val="1"/>
      <w:marLeft w:val="0"/>
      <w:marRight w:val="0"/>
      <w:marTop w:val="0"/>
      <w:marBottom w:val="0"/>
      <w:divBdr>
        <w:top w:val="none" w:sz="0" w:space="0" w:color="auto"/>
        <w:left w:val="none" w:sz="0" w:space="0" w:color="auto"/>
        <w:bottom w:val="none" w:sz="0" w:space="0" w:color="auto"/>
        <w:right w:val="none" w:sz="0" w:space="0" w:color="auto"/>
      </w:divBdr>
    </w:div>
    <w:div w:id="1681808957">
      <w:bodyDiv w:val="1"/>
      <w:marLeft w:val="0"/>
      <w:marRight w:val="0"/>
      <w:marTop w:val="0"/>
      <w:marBottom w:val="0"/>
      <w:divBdr>
        <w:top w:val="none" w:sz="0" w:space="0" w:color="auto"/>
        <w:left w:val="none" w:sz="0" w:space="0" w:color="auto"/>
        <w:bottom w:val="none" w:sz="0" w:space="0" w:color="auto"/>
        <w:right w:val="none" w:sz="0" w:space="0" w:color="auto"/>
      </w:divBdr>
    </w:div>
    <w:div w:id="1698578156">
      <w:bodyDiv w:val="1"/>
      <w:marLeft w:val="0"/>
      <w:marRight w:val="0"/>
      <w:marTop w:val="0"/>
      <w:marBottom w:val="0"/>
      <w:divBdr>
        <w:top w:val="none" w:sz="0" w:space="0" w:color="auto"/>
        <w:left w:val="none" w:sz="0" w:space="0" w:color="auto"/>
        <w:bottom w:val="none" w:sz="0" w:space="0" w:color="auto"/>
        <w:right w:val="none" w:sz="0" w:space="0" w:color="auto"/>
      </w:divBdr>
    </w:div>
    <w:div w:id="1740324323">
      <w:bodyDiv w:val="1"/>
      <w:marLeft w:val="390"/>
      <w:marRight w:val="390"/>
      <w:marTop w:val="0"/>
      <w:marBottom w:val="0"/>
      <w:divBdr>
        <w:top w:val="none" w:sz="0" w:space="0" w:color="auto"/>
        <w:left w:val="none" w:sz="0" w:space="0" w:color="auto"/>
        <w:bottom w:val="none" w:sz="0" w:space="0" w:color="auto"/>
        <w:right w:val="none" w:sz="0" w:space="0" w:color="auto"/>
      </w:divBdr>
      <w:divsChild>
        <w:div w:id="1457992717">
          <w:marLeft w:val="0"/>
          <w:marRight w:val="0"/>
          <w:marTop w:val="0"/>
          <w:marBottom w:val="0"/>
          <w:divBdr>
            <w:top w:val="none" w:sz="0" w:space="0" w:color="auto"/>
            <w:left w:val="none" w:sz="0" w:space="0" w:color="auto"/>
            <w:bottom w:val="none" w:sz="0" w:space="0" w:color="auto"/>
            <w:right w:val="none" w:sz="0" w:space="0" w:color="auto"/>
          </w:divBdr>
          <w:divsChild>
            <w:div w:id="20211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053">
      <w:bodyDiv w:val="1"/>
      <w:marLeft w:val="0"/>
      <w:marRight w:val="0"/>
      <w:marTop w:val="0"/>
      <w:marBottom w:val="0"/>
      <w:divBdr>
        <w:top w:val="none" w:sz="0" w:space="0" w:color="auto"/>
        <w:left w:val="none" w:sz="0" w:space="0" w:color="auto"/>
        <w:bottom w:val="none" w:sz="0" w:space="0" w:color="auto"/>
        <w:right w:val="none" w:sz="0" w:space="0" w:color="auto"/>
      </w:divBdr>
    </w:div>
    <w:div w:id="1851219288">
      <w:bodyDiv w:val="1"/>
      <w:marLeft w:val="0"/>
      <w:marRight w:val="0"/>
      <w:marTop w:val="0"/>
      <w:marBottom w:val="0"/>
      <w:divBdr>
        <w:top w:val="none" w:sz="0" w:space="0" w:color="auto"/>
        <w:left w:val="none" w:sz="0" w:space="0" w:color="auto"/>
        <w:bottom w:val="none" w:sz="0" w:space="0" w:color="auto"/>
        <w:right w:val="none" w:sz="0" w:space="0" w:color="auto"/>
      </w:divBdr>
    </w:div>
    <w:div w:id="1853564359">
      <w:bodyDiv w:val="1"/>
      <w:marLeft w:val="0"/>
      <w:marRight w:val="0"/>
      <w:marTop w:val="0"/>
      <w:marBottom w:val="0"/>
      <w:divBdr>
        <w:top w:val="none" w:sz="0" w:space="0" w:color="auto"/>
        <w:left w:val="none" w:sz="0" w:space="0" w:color="auto"/>
        <w:bottom w:val="none" w:sz="0" w:space="0" w:color="auto"/>
        <w:right w:val="none" w:sz="0" w:space="0" w:color="auto"/>
      </w:divBdr>
    </w:div>
    <w:div w:id="1857964245">
      <w:bodyDiv w:val="1"/>
      <w:marLeft w:val="0"/>
      <w:marRight w:val="0"/>
      <w:marTop w:val="0"/>
      <w:marBottom w:val="0"/>
      <w:divBdr>
        <w:top w:val="none" w:sz="0" w:space="0" w:color="auto"/>
        <w:left w:val="none" w:sz="0" w:space="0" w:color="auto"/>
        <w:bottom w:val="none" w:sz="0" w:space="0" w:color="auto"/>
        <w:right w:val="none" w:sz="0" w:space="0" w:color="auto"/>
      </w:divBdr>
    </w:div>
    <w:div w:id="1869636392">
      <w:bodyDiv w:val="1"/>
      <w:marLeft w:val="0"/>
      <w:marRight w:val="0"/>
      <w:marTop w:val="0"/>
      <w:marBottom w:val="0"/>
      <w:divBdr>
        <w:top w:val="none" w:sz="0" w:space="0" w:color="auto"/>
        <w:left w:val="none" w:sz="0" w:space="0" w:color="auto"/>
        <w:bottom w:val="none" w:sz="0" w:space="0" w:color="auto"/>
        <w:right w:val="none" w:sz="0" w:space="0" w:color="auto"/>
      </w:divBdr>
    </w:div>
    <w:div w:id="1880311932">
      <w:bodyDiv w:val="1"/>
      <w:marLeft w:val="0"/>
      <w:marRight w:val="0"/>
      <w:marTop w:val="0"/>
      <w:marBottom w:val="0"/>
      <w:divBdr>
        <w:top w:val="none" w:sz="0" w:space="0" w:color="auto"/>
        <w:left w:val="none" w:sz="0" w:space="0" w:color="auto"/>
        <w:bottom w:val="none" w:sz="0" w:space="0" w:color="auto"/>
        <w:right w:val="none" w:sz="0" w:space="0" w:color="auto"/>
      </w:divBdr>
    </w:div>
    <w:div w:id="1895001839">
      <w:bodyDiv w:val="1"/>
      <w:marLeft w:val="0"/>
      <w:marRight w:val="0"/>
      <w:marTop w:val="0"/>
      <w:marBottom w:val="0"/>
      <w:divBdr>
        <w:top w:val="none" w:sz="0" w:space="0" w:color="auto"/>
        <w:left w:val="none" w:sz="0" w:space="0" w:color="auto"/>
        <w:bottom w:val="none" w:sz="0" w:space="0" w:color="auto"/>
        <w:right w:val="none" w:sz="0" w:space="0" w:color="auto"/>
      </w:divBdr>
    </w:div>
    <w:div w:id="1933968493">
      <w:bodyDiv w:val="1"/>
      <w:marLeft w:val="0"/>
      <w:marRight w:val="0"/>
      <w:marTop w:val="0"/>
      <w:marBottom w:val="0"/>
      <w:divBdr>
        <w:top w:val="none" w:sz="0" w:space="0" w:color="auto"/>
        <w:left w:val="none" w:sz="0" w:space="0" w:color="auto"/>
        <w:bottom w:val="none" w:sz="0" w:space="0" w:color="auto"/>
        <w:right w:val="none" w:sz="0" w:space="0" w:color="auto"/>
      </w:divBdr>
    </w:div>
    <w:div w:id="1946574416">
      <w:bodyDiv w:val="1"/>
      <w:marLeft w:val="0"/>
      <w:marRight w:val="0"/>
      <w:marTop w:val="0"/>
      <w:marBottom w:val="0"/>
      <w:divBdr>
        <w:top w:val="none" w:sz="0" w:space="0" w:color="auto"/>
        <w:left w:val="none" w:sz="0" w:space="0" w:color="auto"/>
        <w:bottom w:val="none" w:sz="0" w:space="0" w:color="auto"/>
        <w:right w:val="none" w:sz="0" w:space="0" w:color="auto"/>
      </w:divBdr>
    </w:div>
    <w:div w:id="2003852954">
      <w:bodyDiv w:val="1"/>
      <w:marLeft w:val="0"/>
      <w:marRight w:val="0"/>
      <w:marTop w:val="0"/>
      <w:marBottom w:val="0"/>
      <w:divBdr>
        <w:top w:val="none" w:sz="0" w:space="0" w:color="auto"/>
        <w:left w:val="none" w:sz="0" w:space="0" w:color="auto"/>
        <w:bottom w:val="none" w:sz="0" w:space="0" w:color="auto"/>
        <w:right w:val="none" w:sz="0" w:space="0" w:color="auto"/>
      </w:divBdr>
    </w:div>
    <w:div w:id="2044744286">
      <w:bodyDiv w:val="1"/>
      <w:marLeft w:val="0"/>
      <w:marRight w:val="0"/>
      <w:marTop w:val="0"/>
      <w:marBottom w:val="0"/>
      <w:divBdr>
        <w:top w:val="none" w:sz="0" w:space="0" w:color="auto"/>
        <w:left w:val="none" w:sz="0" w:space="0" w:color="auto"/>
        <w:bottom w:val="none" w:sz="0" w:space="0" w:color="auto"/>
        <w:right w:val="none" w:sz="0" w:space="0" w:color="auto"/>
      </w:divBdr>
    </w:div>
    <w:div w:id="2047755262">
      <w:bodyDiv w:val="1"/>
      <w:marLeft w:val="0"/>
      <w:marRight w:val="0"/>
      <w:marTop w:val="0"/>
      <w:marBottom w:val="0"/>
      <w:divBdr>
        <w:top w:val="none" w:sz="0" w:space="0" w:color="auto"/>
        <w:left w:val="none" w:sz="0" w:space="0" w:color="auto"/>
        <w:bottom w:val="none" w:sz="0" w:space="0" w:color="auto"/>
        <w:right w:val="none" w:sz="0" w:space="0" w:color="auto"/>
      </w:divBdr>
    </w:div>
    <w:div w:id="2055306040">
      <w:bodyDiv w:val="1"/>
      <w:marLeft w:val="0"/>
      <w:marRight w:val="0"/>
      <w:marTop w:val="0"/>
      <w:marBottom w:val="0"/>
      <w:divBdr>
        <w:top w:val="none" w:sz="0" w:space="0" w:color="auto"/>
        <w:left w:val="none" w:sz="0" w:space="0" w:color="auto"/>
        <w:bottom w:val="none" w:sz="0" w:space="0" w:color="auto"/>
        <w:right w:val="none" w:sz="0" w:space="0" w:color="auto"/>
      </w:divBdr>
    </w:div>
    <w:div w:id="2094424862">
      <w:bodyDiv w:val="1"/>
      <w:marLeft w:val="0"/>
      <w:marRight w:val="0"/>
      <w:marTop w:val="0"/>
      <w:marBottom w:val="0"/>
      <w:divBdr>
        <w:top w:val="none" w:sz="0" w:space="0" w:color="auto"/>
        <w:left w:val="none" w:sz="0" w:space="0" w:color="auto"/>
        <w:bottom w:val="none" w:sz="0" w:space="0" w:color="auto"/>
        <w:right w:val="none" w:sz="0" w:space="0" w:color="auto"/>
      </w:divBdr>
    </w:div>
    <w:div w:id="2101676981">
      <w:bodyDiv w:val="1"/>
      <w:marLeft w:val="0"/>
      <w:marRight w:val="0"/>
      <w:marTop w:val="0"/>
      <w:marBottom w:val="0"/>
      <w:divBdr>
        <w:top w:val="none" w:sz="0" w:space="0" w:color="auto"/>
        <w:left w:val="none" w:sz="0" w:space="0" w:color="auto"/>
        <w:bottom w:val="none" w:sz="0" w:space="0" w:color="auto"/>
        <w:right w:val="none" w:sz="0" w:space="0" w:color="auto"/>
      </w:divBdr>
    </w:div>
    <w:div w:id="2102289594">
      <w:bodyDiv w:val="1"/>
      <w:marLeft w:val="0"/>
      <w:marRight w:val="0"/>
      <w:marTop w:val="0"/>
      <w:marBottom w:val="0"/>
      <w:divBdr>
        <w:top w:val="none" w:sz="0" w:space="0" w:color="auto"/>
        <w:left w:val="none" w:sz="0" w:space="0" w:color="auto"/>
        <w:bottom w:val="none" w:sz="0" w:space="0" w:color="auto"/>
        <w:right w:val="none" w:sz="0" w:space="0" w:color="auto"/>
      </w:divBdr>
    </w:div>
    <w:div w:id="212298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ublications/president-junckers-political-guidelines_bg" TargetMode="External"/><Relationship Id="rId3" Type="http://schemas.openxmlformats.org/officeDocument/2006/relationships/hyperlink" Target="https://ec.europa.eu/health/preparedness_response/joint_procurement_bg" TargetMode="External"/><Relationship Id="rId7" Type="http://schemas.openxmlformats.org/officeDocument/2006/relationships/hyperlink" Target="https://ec.europa.eu/health/sites/health/files/programme/docs/wp2017_en.pdf" TargetMode="External"/><Relationship Id="rId2" Type="http://schemas.openxmlformats.org/officeDocument/2006/relationships/hyperlink" Target="https://eu-jav.com/" TargetMode="External"/><Relationship Id="rId1" Type="http://schemas.openxmlformats.org/officeDocument/2006/relationships/hyperlink" Target="https://eur-lex.europa.eu/legal-content/BG/TXT/PDF/?uri=CELEX:32014R0282&amp;from=BG" TargetMode="External"/><Relationship Id="rId6" Type="http://schemas.openxmlformats.org/officeDocument/2006/relationships/hyperlink" Target="https://www.edqm.eu/" TargetMode="External"/><Relationship Id="rId5" Type="http://schemas.openxmlformats.org/officeDocument/2006/relationships/hyperlink" Target="https://ec.europa.eu/health/sites/health/files/social_determinants/docs/healthinequalitiesineu_2013_en.pdf" TargetMode="External"/><Relationship Id="rId10" Type="http://schemas.openxmlformats.org/officeDocument/2006/relationships/hyperlink" Target="https://webgate.ec.europa.eu/chafea_pdb/health/search?context=HOME&amp;texttosearch=operating+grant" TargetMode="External"/><Relationship Id="rId4" Type="http://schemas.openxmlformats.org/officeDocument/2006/relationships/hyperlink" Target="https://jahee.iss.it/" TargetMode="External"/><Relationship Id="rId9" Type="http://schemas.openxmlformats.org/officeDocument/2006/relationships/hyperlink" Target="https://ec.europa.eu/info/departments/health-and-food-safety/what-we-do-health-and-food-safety_en" TargetMode="External"/></Relationships>
</file>

<file path=word/_rels/header5.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stoyakr\AppData\Local\CATE\DGT\Dossiers\SANTE\SANTE-2020-80068\SANTE-2020-80068-00-00-BG-SRC-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'fig 3'!$B$14</c:f>
              <c:strCache>
                <c:ptCount val="1"/>
                <c:pt idx="0">
                  <c:v>Брой</c:v>
                </c:pt>
              </c:strCache>
            </c:strRef>
          </c:tx>
          <c:dLbls>
            <c:dLbl>
              <c:idx val="2"/>
              <c:layout>
                <c:manualLayout>
                  <c:x val="-1.6666666666666673E-2"/>
                  <c:y val="0.1904761904761905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764-4FB5-914B-63DB068F2FF8}"/>
                </c:ext>
              </c:extLst>
            </c:dLbl>
            <c:dLbl>
              <c:idx val="3"/>
              <c:layout>
                <c:manualLayout>
                  <c:x val="-2.9166557305336842E-2"/>
                  <c:y val="3.0303030303030304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2380555555555556"/>
                      <c:h val="0.22432900432900432"/>
                    </c:manualLayout>
                  </c15:layout>
                </c:ext>
                <c:ext xmlns:c16="http://schemas.microsoft.com/office/drawing/2014/chart" uri="{C3380CC4-5D6E-409C-BE32-E72D297353CC}">
                  <c16:uniqueId val="{00000001-B764-4FB5-914B-63DB068F2FF8}"/>
                </c:ext>
              </c:extLst>
            </c:dLbl>
            <c:spPr>
              <a:noFill/>
              <a:ln>
                <a:noFill/>
              </a:ln>
              <a:effectLst/>
            </c:spPr>
            <c:dLblPos val="outEnd"/>
            <c:showLegendKey val="0"/>
            <c:showVal val="0"/>
            <c:showCatName val="1"/>
            <c:showSerName val="0"/>
            <c:showPercent val="1"/>
            <c:showBubbleSize val="0"/>
            <c:showLeaderLines val="1"/>
            <c:leaderLines>
              <c:spPr>
                <a:ln>
                  <a:noFill/>
                </a:ln>
              </c:spPr>
            </c:leaderLines>
            <c:extLst xmlns:c16r2="http://schemas.microsoft.com/office/drawing/2015/06/chart">
              <c:ext xmlns:c15="http://schemas.microsoft.com/office/drawing/2012/chart" uri="{CE6537A1-D6FC-4f65-9D91-7224C49458BB}">
                <c15:layout/>
              </c:ext>
            </c:extLst>
          </c:dLbls>
          <c:cat>
            <c:strRef>
              <c:f>'fig 3'!$A$15:$A$20</c:f>
              <c:strCache>
                <c:ptCount val="6"/>
                <c:pt idx="0">
                  <c:v>Правителствени организации</c:v>
                </c:pt>
                <c:pt idx="1">
                  <c:v>Частни предприятия</c:v>
                </c:pt>
                <c:pt idx="2">
                  <c:v>Организации на гражданското общество</c:v>
                </c:pt>
                <c:pt idx="3">
                  <c:v>Изследователски организации</c:v>
                </c:pt>
                <c:pt idx="5">
                  <c:v>Други</c:v>
                </c:pt>
              </c:strCache>
            </c:strRef>
          </c:cat>
          <c:val>
            <c:numRef>
              <c:f>'fig 3'!$B$15:$B$20</c:f>
              <c:numCache>
                <c:formatCode>General</c:formatCode>
                <c:ptCount val="6"/>
                <c:pt idx="0">
                  <c:v>187</c:v>
                </c:pt>
                <c:pt idx="1">
                  <c:v>169</c:v>
                </c:pt>
                <c:pt idx="2">
                  <c:v>19</c:v>
                </c:pt>
                <c:pt idx="3">
                  <c:v>62</c:v>
                </c:pt>
                <c:pt idx="5">
                  <c:v>13</c:v>
                </c:pt>
              </c:numCache>
            </c:numRef>
          </c:val>
          <c:extLst xmlns:c16r2="http://schemas.microsoft.com/office/drawing/2015/06/chart">
            <c:ext xmlns:c16="http://schemas.microsoft.com/office/drawing/2014/chart" uri="{C3380CC4-5D6E-409C-BE32-E72D297353CC}">
              <c16:uniqueId val="{00000002-B764-4FB5-914B-63DB068F2FF8}"/>
            </c:ext>
          </c:extLst>
        </c:ser>
        <c:ser>
          <c:idx val="1"/>
          <c:order val="1"/>
          <c:tx>
            <c:strRef>
              <c:f>'fig 3'!$C$14</c:f>
              <c:strCache>
                <c:ptCount val="1"/>
                <c:pt idx="0">
                  <c:v>В %</c:v>
                </c:pt>
              </c:strCache>
            </c:strRef>
          </c:tx>
          <c:cat>
            <c:strRef>
              <c:f>'fig 3'!$A$15:$A$20</c:f>
              <c:strCache>
                <c:ptCount val="6"/>
                <c:pt idx="0">
                  <c:v>Правителствени организации</c:v>
                </c:pt>
                <c:pt idx="1">
                  <c:v>Частни предприятия</c:v>
                </c:pt>
                <c:pt idx="2">
                  <c:v>Организации на гражданското общество</c:v>
                </c:pt>
                <c:pt idx="3">
                  <c:v>Изследователски организации</c:v>
                </c:pt>
                <c:pt idx="5">
                  <c:v>Други</c:v>
                </c:pt>
              </c:strCache>
            </c:strRef>
          </c:cat>
          <c:val>
            <c:numRef>
              <c:f>'fig 3'!$C$15:$C$20</c:f>
              <c:numCache>
                <c:formatCode>0.00</c:formatCode>
                <c:ptCount val="6"/>
                <c:pt idx="0">
                  <c:v>41.555555555555557</c:v>
                </c:pt>
                <c:pt idx="1">
                  <c:v>37.55555555555555</c:v>
                </c:pt>
                <c:pt idx="2">
                  <c:v>4.2222222222222223</c:v>
                </c:pt>
                <c:pt idx="3">
                  <c:v>13.777777777777779</c:v>
                </c:pt>
                <c:pt idx="5">
                  <c:v>2.8888888888888888</c:v>
                </c:pt>
              </c:numCache>
            </c:numRef>
          </c:val>
          <c:extLst xmlns:c16r2="http://schemas.microsoft.com/office/drawing/2015/06/chart">
            <c:ext xmlns:c16="http://schemas.microsoft.com/office/drawing/2014/chart" uri="{C3380CC4-5D6E-409C-BE32-E72D297353CC}">
              <c16:uniqueId val="{00000003-B764-4FB5-914B-63DB068F2FF8}"/>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5F1F2-0707-45DB-9A52-4B116EF2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20</Pages>
  <Words>3828</Words>
  <Characters>23428</Characters>
  <Application>Microsoft Office Word</Application>
  <DocSecurity>0</DocSecurity>
  <Lines>478</Lines>
  <Paragraphs>229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36</cp:revision>
  <cp:lastPrinted>2020-02-11T13:02:00Z</cp:lastPrinted>
  <dcterms:created xsi:type="dcterms:W3CDTF">2020-02-11T12:58:00Z</dcterms:created>
  <dcterms:modified xsi:type="dcterms:W3CDTF">2020-03-04T14:40:00Z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