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4061493-0B2B-433F-AB73-C5969AE884AD" style="width:450.75pt;height:348pt">
            <v:imagedata r:id="rId9" o:title=""/>
          </v:shape>
        </w:pict>
      </w:r>
    </w:p>
    <w:bookmarkEnd w:id="0"/>
    <w:p>
      <w:pPr>
        <w:jc w:val="both"/>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rPr>
      </w:pPr>
      <w:bookmarkStart w:id="1" w:name="_GoBack"/>
      <w:bookmarkEnd w:id="1"/>
      <w:r>
        <w:rPr>
          <w:rFonts w:ascii="Times New Roman" w:hAnsi="Times New Roman"/>
          <w:b/>
          <w:noProof/>
        </w:rPr>
        <w:lastRenderedPageBreak/>
        <w:t>Въведение</w:t>
      </w:r>
    </w:p>
    <w:p>
      <w:pPr>
        <w:jc w:val="both"/>
        <w:rPr>
          <w:rFonts w:ascii="Times New Roman" w:hAnsi="Times New Roman" w:cs="Times New Roman"/>
          <w:noProof/>
        </w:rPr>
      </w:pPr>
      <w:r>
        <w:rPr>
          <w:rFonts w:ascii="Times New Roman" w:hAnsi="Times New Roman"/>
          <w:noProof/>
        </w:rPr>
        <w:t xml:space="preserve">Преди 35 години, през юни 1985 г., Европейската комисия представи на Европейския съвет Бяла книга за доизграждането на единния пазар. Посланието беше ясно: реална интеграция и постигане на амбициозния замисъл от Римския договор или крачка назад към баналния сценарий, при който Европа не е нищо повече от зона за свободна търговия. </w:t>
      </w:r>
    </w:p>
    <w:p>
      <w:pPr>
        <w:jc w:val="both"/>
        <w:rPr>
          <w:rFonts w:ascii="Times New Roman" w:hAnsi="Times New Roman" w:cs="Times New Roman"/>
          <w:noProof/>
        </w:rPr>
      </w:pPr>
      <w:r>
        <w:rPr>
          <w:rFonts w:ascii="Times New Roman" w:hAnsi="Times New Roman"/>
          <w:noProof/>
        </w:rPr>
        <w:t xml:space="preserve">ЕС избра пътя на тясната интеграция и благодарение на това нашият единен пазар днес е най-големият в света със своите 447 милиона потребители и 56 милиона работни места – като всички те зависят пряко от реализираната на него търговия.  </w:t>
      </w:r>
    </w:p>
    <w:p>
      <w:pPr>
        <w:jc w:val="both"/>
        <w:rPr>
          <w:rFonts w:ascii="Times New Roman" w:hAnsi="Times New Roman" w:cs="Times New Roman"/>
          <w:noProof/>
        </w:rPr>
      </w:pPr>
      <w:r>
        <w:rPr>
          <w:rFonts w:ascii="Times New Roman" w:hAnsi="Times New Roman"/>
          <w:noProof/>
        </w:rPr>
        <w:t xml:space="preserve">Мащабите и интегрираността на единния пазар заздравиха позицията и влиянието на ЕС на световната сцена. Принципите, ценностите и стандартите, от които този пазар се ръководи, са в основата на водещата роля на ЕС и усилията му за изграждането на световен ред, основан на правила и равни условия на конкуренция, които важат както в рамките на националните граници, така и извън тях. </w:t>
      </w:r>
    </w:p>
    <w:p>
      <w:pPr>
        <w:jc w:val="both"/>
        <w:rPr>
          <w:rFonts w:ascii="Times New Roman" w:hAnsi="Times New Roman" w:cs="Times New Roman"/>
          <w:noProof/>
        </w:rPr>
      </w:pPr>
      <w:r>
        <w:rPr>
          <w:rFonts w:ascii="Times New Roman" w:hAnsi="Times New Roman"/>
          <w:noProof/>
        </w:rPr>
        <w:t xml:space="preserve">Днес Европа вече проправя пътя за двойния преход към неутралност по отношение на климата, от една страна, и водеща позиция в цифровата област, от друга страна. В този контекст един от главните приоритети на Комисията за следващите пет години е да модернизира и укрепи функционирането на единния пазар. </w:t>
      </w:r>
    </w:p>
    <w:p>
      <w:pPr>
        <w:jc w:val="both"/>
        <w:rPr>
          <w:rFonts w:ascii="Times New Roman" w:hAnsi="Times New Roman" w:cs="Times New Roman"/>
          <w:noProof/>
        </w:rPr>
      </w:pPr>
      <w:r>
        <w:rPr>
          <w:rFonts w:ascii="Times New Roman" w:hAnsi="Times New Roman"/>
          <w:noProof/>
        </w:rPr>
        <w:t xml:space="preserve">Въпреки реалните успехи, постигнати от единния пазар, дружествата и потребителите все още са изправени пред редица трудности. На последното издание на форума „Европейски парламент на предприятията“, проведено през октомври 2018 г., почти 70 % от фирмите отговориха отрицателно на въпроса дали според тях единният пазар е достатъчно интегриран.  </w:t>
      </w:r>
    </w:p>
    <w:p>
      <w:pPr>
        <w:jc w:val="both"/>
        <w:rPr>
          <w:rFonts w:ascii="Times New Roman" w:hAnsi="Times New Roman" w:cs="Times New Roman"/>
          <w:noProof/>
        </w:rPr>
      </w:pPr>
      <w:r>
        <w:rPr>
          <w:rFonts w:ascii="Times New Roman" w:hAnsi="Times New Roman"/>
          <w:noProof/>
        </w:rPr>
        <w:t>Настоящото съобщение изхожда от опита и възприятията на „ползвателите“ на единния пазар, т.е. на дружествата и потребителите, присъстващи ежедневно на него, за да определи оставащите основни пречки по „траекторията“ от етапи, през които те преминават, за да осъществяват трансгранична дейност.</w:t>
      </w:r>
    </w:p>
    <w:p>
      <w:pPr>
        <w:jc w:val="both"/>
        <w:rPr>
          <w:rFonts w:ascii="Times New Roman" w:hAnsi="Times New Roman"/>
          <w:noProof/>
        </w:rPr>
      </w:pPr>
      <w:r>
        <w:rPr>
          <w:rFonts w:ascii="Times New Roman" w:hAnsi="Times New Roman"/>
          <w:noProof/>
        </w:rPr>
        <w:t>Въз основа на констатациите от два доклада</w:t>
      </w:r>
      <w:r>
        <w:rPr>
          <w:rFonts w:ascii="Times New Roman" w:hAnsi="Times New Roman" w:cs="Times New Roman"/>
          <w:noProof/>
          <w:vertAlign w:val="superscript"/>
        </w:rPr>
        <w:footnoteReference w:id="2"/>
      </w:r>
      <w:r>
        <w:rPr>
          <w:rFonts w:ascii="Times New Roman" w:hAnsi="Times New Roman"/>
          <w:noProof/>
        </w:rPr>
        <w:t xml:space="preserve">, в съобщението са очертани 13 основни пречки, с които ползвателите се сблъскват.  От данните става ясно, че тези пречки могат да бъдат от регулаторно или административно естество, но и от чисто практически характер. При дейността си в рамките на ЕС  предприятията или потребителите на практика често се изправят срещу няколко ограничения едновременно. В крайна сметка най-ощетените в тази ситуация ползватели са малките и средните предприятия (МСП) и специалистите. </w:t>
      </w:r>
    </w:p>
    <w:p>
      <w:pPr>
        <w:jc w:val="both"/>
        <w:rPr>
          <w:rFonts w:ascii="Times New Roman" w:hAnsi="Times New Roman" w:cs="Times New Roman"/>
          <w:noProof/>
        </w:rPr>
      </w:pPr>
      <w:r>
        <w:rPr>
          <w:rFonts w:ascii="Times New Roman" w:hAnsi="Times New Roman"/>
          <w:noProof/>
        </w:rPr>
        <w:t xml:space="preserve">Всички европейски граждани имат право да разполагат с възможно най-богатия избор от най-качествени стоки, услуги и възможности за заетост и предприемачество, които единният пазар може да предложи, и нищо не би следвало да им пречи да се възползват от тях.  </w:t>
      </w:r>
    </w:p>
    <w:p>
      <w:pPr>
        <w:jc w:val="both"/>
        <w:rPr>
          <w:rFonts w:ascii="Times New Roman" w:hAnsi="Times New Roman" w:cs="Times New Roman"/>
          <w:noProof/>
        </w:rPr>
      </w:pPr>
      <w:r>
        <w:rPr>
          <w:rFonts w:ascii="Times New Roman" w:hAnsi="Times New Roman"/>
          <w:noProof/>
        </w:rPr>
        <w:t>Като стъпка към преодоляването на тези проблеми на равнището както на ЕС, така и на държавите членки, в съобщението са установени пет основни първопричини за пречките: регулаторни решения на равнището на ЕС и на национално равнище, транспониране, изпълнение и прилагане на законодателството, административен капацитет и практики в държавите членки, обща стопанска среда и условия за потребителите, както и първопричини, несвързани с обществената политика, като например езика и културата. Сред изброените голямо значение имат трудностите, произтичащи от общата стопанска среда и условията за потребителите, тъй като те засягат в еднаква степен както националните ползватели, така и тези от други държави членки.</w:t>
      </w:r>
    </w:p>
    <w:p>
      <w:pPr>
        <w:jc w:val="both"/>
        <w:rPr>
          <w:rFonts w:ascii="Times New Roman" w:hAnsi="Times New Roman" w:cs="Times New Roman"/>
          <w:noProof/>
        </w:rPr>
      </w:pPr>
      <w:r>
        <w:rPr>
          <w:rFonts w:ascii="Times New Roman" w:hAnsi="Times New Roman"/>
          <w:noProof/>
        </w:rPr>
        <w:t>През март 2019 г. Европейският съвет призова ЕС и държавите членки да премахнат оставащите необосновани пречки пред единния пазар, като подчерта необходимостта да се избегне появата на нови.</w:t>
      </w:r>
    </w:p>
    <w:p>
      <w:pPr>
        <w:jc w:val="both"/>
        <w:rPr>
          <w:rFonts w:ascii="Times New Roman" w:hAnsi="Times New Roman" w:cs="Times New Roman"/>
          <w:noProof/>
        </w:rPr>
      </w:pPr>
      <w:r>
        <w:rPr>
          <w:rFonts w:ascii="Times New Roman" w:hAnsi="Times New Roman"/>
          <w:noProof/>
        </w:rPr>
        <w:t xml:space="preserve">Преодоляването на посочените в настоящото съобщение пречки и на техните първопричини следва да премине през комбинация от мерки както на равнище ЕС, така и на национално равнище: цифровизация на публичната администрация и по-добра комуникация с потребителите при преминаването на етапите от тяхната „траектория“, ново и усъвършенствано законодателство на ЕС при необходимост, по-добро изпълнение на законодателството, и най-вече по-добро правоприлагане. </w:t>
      </w:r>
    </w:p>
    <w:p>
      <w:pPr>
        <w:jc w:val="both"/>
        <w:rPr>
          <w:rFonts w:ascii="Times New Roman" w:hAnsi="Times New Roman" w:cs="Times New Roman"/>
          <w:noProof/>
        </w:rPr>
      </w:pPr>
      <w:r>
        <w:rPr>
          <w:rFonts w:ascii="Times New Roman" w:hAnsi="Times New Roman"/>
          <w:noProof/>
        </w:rPr>
        <w:t>Въпросът за правоприлагането като основно направление за действие е засегнат в съобщението „Дългосрочен план за действие за по-добро изпълнение и ефективно прилагане на правилата на единния пазар“</w:t>
      </w:r>
      <w:r>
        <w:rPr>
          <w:rStyle w:val="FootnoteReference"/>
          <w:rFonts w:ascii="Times New Roman" w:hAnsi="Times New Roman" w:cs="Times New Roman"/>
          <w:noProof/>
        </w:rPr>
        <w:footnoteReference w:id="3"/>
      </w:r>
      <w:r>
        <w:rPr>
          <w:rFonts w:ascii="Times New Roman" w:hAnsi="Times New Roman"/>
          <w:noProof/>
        </w:rPr>
        <w:t xml:space="preserve">, в което са очертани приоритетите на Комисията за подновено партньорство с държавите членки. </w:t>
      </w:r>
    </w:p>
    <w:p>
      <w:pPr>
        <w:pStyle w:val="Text1"/>
        <w:spacing w:after="200" w:line="276" w:lineRule="auto"/>
        <w:ind w:left="0"/>
        <w:rPr>
          <w:noProof/>
          <w:sz w:val="22"/>
          <w:szCs w:val="22"/>
        </w:rPr>
      </w:pPr>
      <w:r>
        <w:rPr>
          <w:noProof/>
          <w:sz w:val="22"/>
          <w:szCs w:val="22"/>
        </w:rPr>
        <w:t>В приетата днес Нова стратегия за промишлеността на Европа</w:t>
      </w:r>
      <w:r>
        <w:rPr>
          <w:rStyle w:val="FootnoteReference"/>
          <w:noProof/>
          <w:sz w:val="22"/>
          <w:szCs w:val="22"/>
        </w:rPr>
        <w:footnoteReference w:id="4"/>
      </w:r>
      <w:r>
        <w:rPr>
          <w:noProof/>
          <w:sz w:val="22"/>
          <w:szCs w:val="22"/>
        </w:rPr>
        <w:t xml:space="preserve"> се акцентира върху факта, че наличието на силен и интегриран единен пазар е основополагащ фактор и предпоставка за промишлената конкурентоспособност на ЕС. За да може единният пазар да работи в интерес на всички, законодателството на ЕС въвежда общи правила, чрез които да се премахнат пречките и да се улесни движението на стоки и услуги в целия ЕС, като същевременно се осигури защитата на потребителите. Докладът показва също така, че ако единният пазар не разгърне пълния си потенциал, най-ощетени биха били МСП и гражданите, тъй като разполагат с ограничени ресурси. Стартиращите дружества и високо иновативните МСП в частност срещат трудности при установяването на конкурентни позиции в международен мащаб.  Стратегията за мястото на МСП в устойчива и цифрова Европа</w:t>
      </w:r>
      <w:r>
        <w:rPr>
          <w:rStyle w:val="FootnoteReference"/>
          <w:noProof/>
          <w:sz w:val="22"/>
          <w:szCs w:val="22"/>
        </w:rPr>
        <w:footnoteReference w:id="5"/>
      </w:r>
      <w:r>
        <w:rPr>
          <w:noProof/>
          <w:sz w:val="22"/>
          <w:szCs w:val="22"/>
        </w:rPr>
        <w:t xml:space="preserve">, която също бе приета днес, предлага допълнителни целеви мерки, които да помогнат на МСП да използват по-добре единния пазар. </w:t>
      </w:r>
    </w:p>
    <w:p>
      <w:pPr>
        <w:jc w:val="both"/>
        <w:rPr>
          <w:rFonts w:ascii="Times New Roman" w:hAnsi="Times New Roman" w:cs="Times New Roman"/>
          <w:noProof/>
        </w:rPr>
      </w:pPr>
      <w:r>
        <w:rPr>
          <w:rFonts w:ascii="Times New Roman" w:hAnsi="Times New Roman"/>
          <w:noProof/>
        </w:rPr>
        <w:t>В настоящото съобщение също така се прави връзка с европейския семестър, в рамките на който системно се полагат усилия за отстраняване на най-сериозните регулаторни и административни пречки, както и с инструментите за по-добро регулиране на равнището на ЕС.</w:t>
      </w:r>
    </w:p>
    <w:p>
      <w:pPr>
        <w:jc w:val="both"/>
        <w:rPr>
          <w:rFonts w:ascii="Times New Roman" w:hAnsi="Times New Roman" w:cs="Times New Roman"/>
          <w:noProof/>
        </w:rPr>
      </w:pPr>
      <w:r>
        <w:rPr>
          <w:rFonts w:ascii="Times New Roman" w:hAnsi="Times New Roman"/>
          <w:noProof/>
        </w:rPr>
        <w:t>Приспособяването на единния пазар към предизвикателствата на днешния ден е амбициозна задача; същевременно по-ефективното му функциониране би разгърнало неоползотворен икономически потенциал. Данните от неотдавнашната актуализация на проучването на Европейския парламент „Цената на отказа от Европа“</w:t>
      </w:r>
      <w:r>
        <w:rPr>
          <w:rStyle w:val="FootnoteReference"/>
          <w:rFonts w:ascii="Times New Roman" w:hAnsi="Times New Roman" w:cs="Times New Roman"/>
          <w:noProof/>
        </w:rPr>
        <w:footnoteReference w:id="6"/>
      </w:r>
      <w:r>
        <w:rPr>
          <w:rFonts w:ascii="Times New Roman" w:hAnsi="Times New Roman"/>
          <w:noProof/>
        </w:rPr>
        <w:t xml:space="preserve"> показват, че ползите от премахването на оставащите пречки пред пълноценното функциониране на единния пазар на стоки и услуги биха могли да достигнат равностойност от 713 милиарда евро до края на 2029 г. </w:t>
      </w:r>
    </w:p>
    <w:p>
      <w:pPr>
        <w:jc w:val="both"/>
        <w:rPr>
          <w:rFonts w:ascii="Times New Roman" w:hAnsi="Times New Roman" w:cs="Times New Roman"/>
          <w:noProof/>
        </w:rPr>
      </w:pPr>
      <w:r>
        <w:rPr>
          <w:rFonts w:ascii="Times New Roman" w:hAnsi="Times New Roman"/>
          <w:noProof/>
        </w:rPr>
        <w:t>Постигането на тези ползи е съвместна отговорност както на Комисията, така и на държавите членки. Опазването на целостта на единния пазар на ЕС от външни предизвикателства е също толкова важно, колкото и вътрешното му укрепване. Комисията изразява готовност да умножи усилията си и да помогне на държавите членки да изградят единен пазар, в който обещаното се превръща в реалност.</w:t>
      </w:r>
    </w:p>
    <w:p>
      <w:pPr>
        <w:pStyle w:val="Heading1"/>
        <w:rPr>
          <w:noProof/>
          <w:sz w:val="22"/>
          <w:szCs w:val="22"/>
        </w:rPr>
      </w:pPr>
      <w:r>
        <w:rPr>
          <w:noProof/>
          <w:sz w:val="22"/>
          <w:szCs w:val="22"/>
        </w:rPr>
        <w:t>Най-често посочвани пречки от гледна точка на ползвателите на единния пазар</w:t>
      </w:r>
    </w:p>
    <w:p>
      <w:pPr>
        <w:jc w:val="both"/>
        <w:rPr>
          <w:rFonts w:ascii="Times New Roman" w:hAnsi="Times New Roman" w:cs="Times New Roman"/>
          <w:noProof/>
        </w:rPr>
      </w:pPr>
      <w:r>
        <w:rPr>
          <w:rFonts w:ascii="Times New Roman" w:hAnsi="Times New Roman"/>
          <w:noProof/>
        </w:rPr>
        <w:t>Настоящото съобщение се опира на информацията от два доклада на Комисията</w:t>
      </w:r>
      <w:r>
        <w:rPr>
          <w:rStyle w:val="FootnoteReference"/>
          <w:rFonts w:ascii="Times New Roman" w:hAnsi="Times New Roman" w:cs="Times New Roman"/>
          <w:noProof/>
        </w:rPr>
        <w:footnoteReference w:id="7"/>
      </w:r>
      <w:r>
        <w:rPr>
          <w:rFonts w:ascii="Times New Roman" w:hAnsi="Times New Roman"/>
          <w:noProof/>
        </w:rPr>
        <w:t xml:space="preserve">. В първия, който се представя едновременно с настоящото съобщение, се разглеждат практическите препятствия и пречки пред единния пазар, така както те се възприемат от бизнеса. В него са използвани източници, отразяващи мненията на фирмите, които възнамеряват да участват или вече са активни участници в единния пазар. Източниците включват проучвания сред дружествата, бази данни и анализи. Беше проведена и консултация с търговските камари, която даде по-пълна картина на различните препятствия. Анализът се основава също така на вътрешния експертен опит на Комисията. В доклада са включени само пречките, системно посочвани като такива от значителен дял от участвалите в проучванията фирми/или системно фигуриращи в различните източници. Вторият доклад – Индексът на ЕС за условията за потребителите, който бе публикуван през ноември 2019 г., на свой ред стъпва върху проучване на отношението на потребителите към трансграничната търговия. Без да претендират за изчерпателност, и двата доклада предлагат обобщена картина на пречките пред единния пазар от гледната точка на неговите ползватели. </w:t>
      </w:r>
    </w:p>
    <w:p>
      <w:pPr>
        <w:jc w:val="both"/>
        <w:rPr>
          <w:rFonts w:ascii="Times New Roman" w:hAnsi="Times New Roman" w:cs="Times New Roman"/>
          <w:noProof/>
        </w:rPr>
      </w:pPr>
      <w:r>
        <w:rPr>
          <w:rFonts w:ascii="Times New Roman" w:hAnsi="Times New Roman"/>
          <w:noProof/>
        </w:rPr>
        <w:t xml:space="preserve">Въз основа на данните в двата доклада в настоящото съобщение най-напред са изведени 13-те основни пречки пред трансграничната дейност, които най-често се посочват от дружествата (по отношение на трансграничната търговия или установяването) и от потребителите (по отношение на трансграничните покупки на стоки или услуги). </w:t>
      </w:r>
    </w:p>
    <w:p>
      <w:pPr>
        <w:jc w:val="both"/>
        <w:rPr>
          <w:rFonts w:ascii="Times New Roman" w:hAnsi="Times New Roman" w:cs="Times New Roman"/>
          <w:noProof/>
        </w:rPr>
      </w:pPr>
      <w:r>
        <w:rPr>
          <w:rFonts w:ascii="Times New Roman" w:hAnsi="Times New Roman"/>
          <w:noProof/>
        </w:rPr>
        <w:t>Представените в карето по-долу пречки съответстват на основните етапи от „траекторията“, която дружествата и потребителите изминават, за да могат да присъстват на единния пазар.</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noProof/>
          <w:u w:val="single"/>
        </w:rPr>
        <w:t>Основни етапи от „траекторията на дружествата“</w:t>
      </w:r>
      <w:r>
        <w:rPr>
          <w:rFonts w:ascii="Times New Roman" w:hAnsi="Times New Roman"/>
          <w:noProof/>
        </w:rPr>
        <w:t>: събиране на информацията, необходима за подготовката на трансгранична сделка (и/или за разширяване на дейността); удовлетворяване на изискванията, регламентиращи продажбата на стоки или услуги; маркетинг и продажби; доставка; следпродажбено обслужване и уреждане на спорове; данъци; (допълнителни стъпки при установяване на дружество) учредяване на стопанска дейност; персонал; инвестиции и финансиране.</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noProof/>
          <w:u w:val="single"/>
        </w:rPr>
        <w:t>Основни етапи от „траекторията на потребителите“</w:t>
      </w:r>
      <w:r>
        <w:rPr>
          <w:rFonts w:ascii="Times New Roman" w:hAnsi="Times New Roman"/>
          <w:noProof/>
        </w:rPr>
        <w:t>: събиране на информация за продукта или услугата; покупка; плащане; получаване на доставката; следпродажбено обслужване и уреждане на спорове.</w:t>
      </w:r>
    </w:p>
    <w:p>
      <w:pPr>
        <w:pStyle w:val="Heading2"/>
        <w:rPr>
          <w:noProof/>
          <w:sz w:val="22"/>
          <w:szCs w:val="22"/>
        </w:rPr>
      </w:pPr>
      <w:r>
        <w:rPr>
          <w:noProof/>
          <w:sz w:val="22"/>
          <w:szCs w:val="22"/>
        </w:rPr>
        <w:t>Събиране на информация за подготовката на трансгранични сделки и/или разширяване на дейността</w:t>
      </w:r>
    </w:p>
    <w:p>
      <w:pPr>
        <w:pStyle w:val="Heading3"/>
        <w:rPr>
          <w:noProof/>
          <w:sz w:val="22"/>
          <w:szCs w:val="22"/>
        </w:rPr>
      </w:pPr>
      <w:r>
        <w:rPr>
          <w:noProof/>
          <w:sz w:val="22"/>
          <w:szCs w:val="22"/>
        </w:rPr>
        <w:t>1.</w:t>
      </w:r>
      <w:r>
        <w:rPr>
          <w:noProof/>
          <w:sz w:val="22"/>
          <w:szCs w:val="22"/>
        </w:rPr>
        <w:tab/>
        <w:t>Дружествата срещат трудности при получаването на информация не само относно пазарните възможности и потенциалните бизнес партньори, но и за съответните регулаторни изисквания.</w:t>
      </w:r>
    </w:p>
    <w:p>
      <w:pPr>
        <w:jc w:val="both"/>
        <w:rPr>
          <w:rFonts w:ascii="Times New Roman" w:hAnsi="Times New Roman" w:cs="Times New Roman"/>
          <w:noProof/>
        </w:rPr>
      </w:pPr>
      <w:r>
        <w:rPr>
          <w:rFonts w:ascii="Times New Roman" w:hAnsi="Times New Roman"/>
          <w:noProof/>
        </w:rPr>
        <w:t>Според едно от актуалните проучвания</w:t>
      </w:r>
      <w:r>
        <w:rPr>
          <w:rStyle w:val="FootnoteReference"/>
          <w:rFonts w:ascii="Times New Roman" w:hAnsi="Times New Roman" w:cs="Times New Roman"/>
          <w:noProof/>
        </w:rPr>
        <w:footnoteReference w:id="8"/>
      </w:r>
      <w:r>
        <w:rPr>
          <w:rFonts w:ascii="Times New Roman" w:hAnsi="Times New Roman"/>
          <w:noProof/>
        </w:rPr>
        <w:t xml:space="preserve"> 31 % от МСП, които имат опит в експортната дейност, и 21 % от МСП без такъв опит посочват, че трудното намиране на бизнес партньори в друга държава членка е пречка за осъществяването на стопанска дейност в рамките на единния пазар. Освен това съответно 22 % и 11 % от МСП съобщават, че не знаят къде да намерят информация за потенциални пазарни възможности. Европейските търговски камари също така посочват, че според 69 % от участвалите в проучването техни членове трудният достъп до информация относно правилата и изискванията е третият по значимост проблем сред пречките пред единния пазар</w:t>
      </w:r>
      <w:r>
        <w:rPr>
          <w:rStyle w:val="FootnoteReference"/>
          <w:rFonts w:ascii="Times New Roman" w:hAnsi="Times New Roman" w:cs="Times New Roman"/>
          <w:noProof/>
        </w:rPr>
        <w:footnoteReference w:id="9"/>
      </w:r>
      <w:r>
        <w:rPr>
          <w:rFonts w:ascii="Times New Roman" w:hAnsi="Times New Roman"/>
          <w:noProof/>
        </w:rPr>
        <w:t>. Съгласно друго актуално изследване на петте най-големи икономики в ЕС непознаването на приложимите правила е пречка за 31 % от МСП без опит в експортната дейност и за 9 % от МСП, които имат такъв опит, в петте най-големи държави членки</w:t>
      </w:r>
      <w:r>
        <w:rPr>
          <w:rStyle w:val="FootnoteReference"/>
          <w:rFonts w:ascii="Times New Roman" w:hAnsi="Times New Roman" w:cs="Times New Roman"/>
          <w:noProof/>
        </w:rPr>
        <w:footnoteReference w:id="10"/>
      </w:r>
      <w:r>
        <w:rPr>
          <w:rFonts w:ascii="Times New Roman" w:hAnsi="Times New Roman"/>
          <w:noProof/>
        </w:rPr>
        <w:t>.</w:t>
      </w:r>
    </w:p>
    <w:p>
      <w:pPr>
        <w:pStyle w:val="Heading2"/>
        <w:rPr>
          <w:noProof/>
          <w:sz w:val="22"/>
          <w:szCs w:val="22"/>
        </w:rPr>
      </w:pPr>
      <w:r>
        <w:rPr>
          <w:noProof/>
          <w:sz w:val="22"/>
          <w:szCs w:val="22"/>
        </w:rPr>
        <w:t>Спазване на изискванията и процедурите за продажба на стоки или услуги</w:t>
      </w:r>
    </w:p>
    <w:p>
      <w:pPr>
        <w:pStyle w:val="Heading3"/>
        <w:rPr>
          <w:noProof/>
          <w:sz w:val="22"/>
          <w:szCs w:val="22"/>
        </w:rPr>
      </w:pPr>
      <w:r>
        <w:rPr>
          <w:noProof/>
          <w:sz w:val="22"/>
          <w:szCs w:val="22"/>
        </w:rPr>
        <w:t>2.</w:t>
      </w:r>
      <w:r>
        <w:rPr>
          <w:noProof/>
          <w:sz w:val="22"/>
          <w:szCs w:val="22"/>
        </w:rPr>
        <w:tab/>
        <w:t>Дружествата посочват наличието на тежки и сложни административни процедури при предлагането на стоки или услуги в друга държава членка.</w:t>
      </w:r>
    </w:p>
    <w:p>
      <w:pPr>
        <w:jc w:val="both"/>
        <w:rPr>
          <w:rFonts w:ascii="Times New Roman" w:hAnsi="Times New Roman" w:cs="Times New Roman"/>
          <w:noProof/>
        </w:rPr>
      </w:pPr>
      <w:r>
        <w:rPr>
          <w:rFonts w:ascii="Times New Roman" w:hAnsi="Times New Roman"/>
          <w:noProof/>
        </w:rPr>
        <w:t>В няколко актуални проучвания „сложните административни процедури“ редовно присъстват като едно от най-сериозните препятствия за дружествата в единния пазар, и най-вече за МСП. Сред тях се открояват процедурите за командироване на работници в друга държава членка в областта на услугите, които се считат за пречка от 58 % от респондентите в проведено наскоро проучване на европейските търговски камари</w:t>
      </w:r>
      <w:r>
        <w:rPr>
          <w:rStyle w:val="FootnoteReference"/>
          <w:rFonts w:ascii="Times New Roman" w:hAnsi="Times New Roman" w:cs="Times New Roman"/>
          <w:noProof/>
        </w:rPr>
        <w:footnoteReference w:id="11"/>
      </w:r>
      <w:r>
        <w:rPr>
          <w:rFonts w:ascii="Times New Roman" w:hAnsi="Times New Roman"/>
          <w:noProof/>
        </w:rPr>
        <w:t>. Общо 22 % от участвалите в проучването на финландската търговска организация</w:t>
      </w:r>
      <w:r>
        <w:rPr>
          <w:rStyle w:val="FootnoteReference"/>
          <w:rFonts w:ascii="Times New Roman" w:hAnsi="Times New Roman" w:cs="Times New Roman"/>
          <w:noProof/>
        </w:rPr>
        <w:footnoteReference w:id="12"/>
      </w:r>
      <w:r>
        <w:rPr>
          <w:rFonts w:ascii="Times New Roman" w:hAnsi="Times New Roman"/>
          <w:noProof/>
        </w:rPr>
        <w:t xml:space="preserve"> считат тези процедури за сериозна или много сериозна пречка. От случаите, подадени до SOLVIT през 2018 г. от страна на дружества, 10 % са свързани с командироването на работници</w:t>
      </w:r>
      <w:r>
        <w:rPr>
          <w:rStyle w:val="FootnoteReference"/>
          <w:rFonts w:ascii="Times New Roman" w:hAnsi="Times New Roman" w:cs="Times New Roman"/>
          <w:noProof/>
        </w:rPr>
        <w:footnoteReference w:id="13"/>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Макар че Европейският кодекс за електронните съобщения предвижда мерки за преодоляването на някои дългогодишни пречки пред изграждането на мрежи, включително своевременното осигуряване на радиочестотен спектър за 5G, пречки все още съществуват. Сложните и/или тежки процедури за предоставянето на разрешения/лицензи се посочват като пречка по-специално в няколко сектора на услугите, включително електронни съобщения, професионални услуги и строителство. Сред конкретните проблеми, за които дружествата съобщават, се нареждат липсата на електронни процедури, обременяващите документни изисквания (включително за заверка на преводи и копия), високите такси или дългите срокове за вземане на решение от органите. Така например дружествата, изграждащи и управляващи електронни съобщителни мрежи и услуги, включително 5G, срещат няколко вида трудности (тежки административни процедури за получаване на разрешение за строителство; високи такси на фона на нуждите на инвестицията, по-специално за определяне на радиочестотен спектър; проблеми с наличието и достъпа до информация за съществуваща физическа инфраструктура, като кабелни канали или стълбове и т.н.) Тази ситуация води до по-бавно, по-скъпо и по-неефективно изграждане на електронните съобщителни мрежи, които са от решаващо значение за развитието на цифровия единен пазар</w:t>
      </w:r>
      <w:r>
        <w:rPr>
          <w:rStyle w:val="FootnoteReference"/>
          <w:rFonts w:ascii="Times New Roman" w:hAnsi="Times New Roman" w:cs="Times New Roman"/>
          <w:noProof/>
        </w:rPr>
        <w:footnoteReference w:id="14"/>
      </w:r>
      <w:r>
        <w:rPr>
          <w:rFonts w:ascii="Times New Roman" w:hAnsi="Times New Roman"/>
          <w:noProof/>
        </w:rPr>
        <w:t xml:space="preserve">. </w:t>
      </w:r>
    </w:p>
    <w:p>
      <w:pPr>
        <w:pStyle w:val="Heading3"/>
        <w:rPr>
          <w:noProof/>
          <w:sz w:val="22"/>
          <w:szCs w:val="22"/>
        </w:rPr>
      </w:pPr>
      <w:r>
        <w:rPr>
          <w:noProof/>
          <w:sz w:val="22"/>
          <w:szCs w:val="22"/>
        </w:rPr>
        <w:t>3.</w:t>
      </w:r>
      <w:r>
        <w:rPr>
          <w:noProof/>
          <w:sz w:val="22"/>
          <w:szCs w:val="22"/>
        </w:rPr>
        <w:tab/>
        <w:t>Дружествата смятат, че достъпът до обществени поръчки е неравномерен.</w:t>
      </w:r>
    </w:p>
    <w:p>
      <w:pPr>
        <w:jc w:val="both"/>
        <w:rPr>
          <w:rFonts w:ascii="Times New Roman" w:hAnsi="Times New Roman" w:cs="Times New Roman"/>
          <w:noProof/>
        </w:rPr>
      </w:pPr>
      <w:r>
        <w:rPr>
          <w:rFonts w:ascii="Times New Roman" w:hAnsi="Times New Roman"/>
          <w:noProof/>
        </w:rPr>
        <w:t>Въпреки цифровизирането на сектора на обществените поръчки усещането за липса на прозрачност и потенциално дискриминационното, непропорционално или необективно отношение от страна на възлагащите органи са постоянен проблем за фирмите.  В проведено наскоро проучване 38 % от тях посочват „спорните практики на възлагане на обществени поръчки“ като пречка</w:t>
      </w:r>
      <w:r>
        <w:rPr>
          <w:rStyle w:val="FootnoteReference"/>
          <w:rFonts w:ascii="Times New Roman" w:hAnsi="Times New Roman" w:cs="Times New Roman"/>
          <w:noProof/>
        </w:rPr>
        <w:footnoteReference w:id="15"/>
      </w:r>
      <w:r>
        <w:rPr>
          <w:rFonts w:ascii="Times New Roman" w:hAnsi="Times New Roman"/>
          <w:noProof/>
        </w:rPr>
        <w:t xml:space="preserve"> –  проблем, който се потвърждава в голяма степен от данните, събрани на равнище ЕС. Въпреки че процентът на публикуване на възможностите за обществени поръчки в ЕС като цяло се е повишил, има сериозни разлики между държавите членки, като в някои от тях той продължава да бъде под прогнозния размер на съответния пазар на обществени поръчки. Освен това делът на тръжните процедури с една оферта се е увеличил през периода между 2009 и 2018 г., достигайки 35 % през 2018 г</w:t>
      </w:r>
      <w:r>
        <w:rPr>
          <w:rStyle w:val="FootnoteReference"/>
          <w:rFonts w:ascii="Times New Roman" w:hAnsi="Times New Roman" w:cs="Times New Roman"/>
          <w:noProof/>
        </w:rPr>
        <w:footnoteReference w:id="16"/>
      </w:r>
      <w:r>
        <w:rPr>
          <w:rFonts w:ascii="Times New Roman" w:hAnsi="Times New Roman"/>
          <w:noProof/>
        </w:rPr>
        <w:t>.</w:t>
      </w:r>
    </w:p>
    <w:p>
      <w:pPr>
        <w:pStyle w:val="Heading3"/>
        <w:rPr>
          <w:noProof/>
          <w:sz w:val="22"/>
          <w:szCs w:val="22"/>
        </w:rPr>
      </w:pPr>
      <w:r>
        <w:rPr>
          <w:noProof/>
          <w:sz w:val="22"/>
          <w:szCs w:val="22"/>
        </w:rPr>
        <w:t>4.</w:t>
      </w:r>
      <w:r>
        <w:rPr>
          <w:noProof/>
          <w:sz w:val="22"/>
          <w:szCs w:val="22"/>
        </w:rPr>
        <w:tab/>
        <w:t>Дружествата съобщават за липса на ефикасност, свързана с допълнителни технически изисквания, стандарти и други правила в някои сектори на национално равнище (отделно от изискванията на ЕС)</w:t>
      </w:r>
    </w:p>
    <w:p>
      <w:pPr>
        <w:jc w:val="both"/>
        <w:rPr>
          <w:rFonts w:ascii="Times New Roman" w:hAnsi="Times New Roman" w:cs="Times New Roman"/>
          <w:noProof/>
        </w:rPr>
      </w:pPr>
      <w:r>
        <w:rPr>
          <w:rFonts w:ascii="Times New Roman" w:hAnsi="Times New Roman"/>
          <w:noProof/>
        </w:rPr>
        <w:t xml:space="preserve"> Проведено неотдавна проучване показва, че до 71 % от МСП, които са използвали съществуващата система за взаимно признаване за нехармонизирани стоки</w:t>
      </w:r>
      <w:r>
        <w:rPr>
          <w:rStyle w:val="FootnoteReference"/>
          <w:rFonts w:ascii="Times New Roman" w:hAnsi="Times New Roman" w:cs="Times New Roman"/>
          <w:noProof/>
        </w:rPr>
        <w:footnoteReference w:id="17"/>
      </w:r>
      <w:r>
        <w:rPr>
          <w:rFonts w:ascii="Times New Roman" w:hAnsi="Times New Roman"/>
          <w:noProof/>
        </w:rPr>
        <w:t>, са получили решения за отказ на достъп до пазара</w:t>
      </w:r>
      <w:r>
        <w:rPr>
          <w:rStyle w:val="FootnoteReference"/>
          <w:rFonts w:ascii="Times New Roman" w:hAnsi="Times New Roman" w:cs="Times New Roman"/>
          <w:noProof/>
        </w:rPr>
        <w:footnoteReference w:id="18"/>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Проблеми се наблюдават и в области, които съгласно правото на ЕС са хармонизирани. В наскоро представен доклад от проучване, проведено в Нидерландия, 18 % от анкетираните самостоятелно заети лица посочват като пречка различните технически стандарти</w:t>
      </w:r>
      <w:r>
        <w:rPr>
          <w:rStyle w:val="FootnoteReference"/>
          <w:rFonts w:ascii="Times New Roman" w:hAnsi="Times New Roman" w:cs="Times New Roman"/>
          <w:noProof/>
        </w:rPr>
        <w:footnoteReference w:id="19"/>
      </w:r>
      <w:r>
        <w:rPr>
          <w:noProof/>
        </w:rPr>
        <w:t>.</w:t>
      </w:r>
      <w:r>
        <w:rPr>
          <w:rFonts w:ascii="Times New Roman" w:hAnsi="Times New Roman"/>
          <w:noProof/>
        </w:rPr>
        <w:t xml:space="preserve"> В отраслите за производство на промишлени машини и/или строителни продукти например, особено проблемни се оказват неоснователните изисквания за допълнителни маркировки, както и правилата и изискванията за продукти, които вече отговарят на хармонизираното законодателство. Секторът на електронните съобщения е друг пример за ситуация, при която част от пречките вероятно се дължат до голяма степен на неадекватно или несъгласувано регулиране, прилагано в различните държави членки (например определяне на различни цени за терминиране на пазарите на гласови повиквания)</w:t>
      </w:r>
      <w:r>
        <w:rPr>
          <w:rStyle w:val="FootnoteReference"/>
          <w:rFonts w:ascii="Times New Roman" w:hAnsi="Times New Roman" w:cs="Times New Roman"/>
          <w:noProof/>
        </w:rPr>
        <w:footnoteReference w:id="20"/>
      </w:r>
      <w:r>
        <w:rPr>
          <w:rFonts w:ascii="Times New Roman" w:hAnsi="Times New Roman"/>
          <w:noProof/>
        </w:rPr>
        <w:t xml:space="preserve">. Освен това са необходими бъдещи действия, за да се избегне повторно възникване на вече отстранените пречки (например по отношение на роуминга). </w:t>
      </w:r>
    </w:p>
    <w:p>
      <w:pPr>
        <w:pStyle w:val="Heading3"/>
        <w:rPr>
          <w:noProof/>
          <w:sz w:val="22"/>
          <w:szCs w:val="22"/>
        </w:rPr>
      </w:pPr>
      <w:r>
        <w:rPr>
          <w:noProof/>
          <w:sz w:val="22"/>
          <w:szCs w:val="22"/>
        </w:rPr>
        <w:t>5.</w:t>
      </w:r>
      <w:r>
        <w:rPr>
          <w:noProof/>
          <w:sz w:val="22"/>
          <w:szCs w:val="22"/>
        </w:rPr>
        <w:tab/>
        <w:t xml:space="preserve">Дружествата в сектора на услугите системно посочват проблеми, свързани с изискванията за достъп до определени дейности или професии и за тяхното упражняване. </w:t>
      </w:r>
    </w:p>
    <w:p>
      <w:pPr>
        <w:jc w:val="both"/>
        <w:rPr>
          <w:rFonts w:ascii="Times New Roman" w:hAnsi="Times New Roman" w:cs="Times New Roman"/>
          <w:noProof/>
        </w:rPr>
      </w:pPr>
      <w:r>
        <w:rPr>
          <w:rFonts w:ascii="Times New Roman" w:hAnsi="Times New Roman"/>
          <w:noProof/>
        </w:rPr>
        <w:t xml:space="preserve">Когато искат да разширят дейността си на единния пазар (като започнат да предоставят трансгранични услуги и/или учредят дружество в друга държава членка), доставчиците на услуги често са принудени да се съобразяват както с изисквания от общ характер, така и със специфични за дадения сектор правила. За по-голяма яснота въпросните правила могат да бъдат групирани в следните две основни категории: i) правила за достъп до пазара (изисквания за достъп) и ii) правила, регламентиращи процеса на предоставянето на услугата (изисквания за упражняване на дейност). </w:t>
      </w:r>
    </w:p>
    <w:p>
      <w:pPr>
        <w:jc w:val="both"/>
        <w:rPr>
          <w:rFonts w:ascii="Times New Roman" w:hAnsi="Times New Roman" w:cs="Times New Roman"/>
          <w:noProof/>
        </w:rPr>
      </w:pPr>
      <w:r>
        <w:rPr>
          <w:rFonts w:ascii="Times New Roman" w:hAnsi="Times New Roman"/>
          <w:noProof/>
        </w:rPr>
        <w:t>В редица случаи дружествата виждат тези национални изисквания за услугите като съществена пречка. Сред анкетираните фирми в неотдавнашното проучване на европейските търговски камари 71 % посочват, че тези изисквания са съществена или много съществена пречка (съответно 81 % и 60 % от доставчиците на услуги и производителите на стоки). Изискванията за достъп и упражняване се определят като особено важни пречки при редица регулирани професии (счетоводители, данъчни консултанти, одитори, професии в областта на строителството, архитекти и инженери, юридически професии или агенти по интелектуална собственост), както и за услугите на дребно. Изискванията за достъп до регулирани професии пораждат проблеми във връзка например с достъпа до запазени дейности (изискващи специфични квалификации и спазване на други условия, като например задължителното членство в професионална организация) и издаването на разрешения. Изискванията за упражняване на дейност включват ограничения във връзка с рекламната дейност, правната форма или дяловото участие, забрани за съвместно упражняване на професии или изисквания за застраховане. В сектора на търговията на дребно дружествата могат да се сблъскат с непропорционално строги правила, например когато искат да открият физически магазин, както и при ежедневните им дейности, включително изисквания за местоположението на магазините и гамата от продавани продукти или ограничения за търговските промоции и отстъпки.</w:t>
      </w:r>
    </w:p>
    <w:p>
      <w:pPr>
        <w:jc w:val="both"/>
        <w:rPr>
          <w:rFonts w:ascii="Times New Roman" w:hAnsi="Times New Roman" w:cs="Times New Roman"/>
          <w:noProof/>
        </w:rPr>
      </w:pPr>
      <w:r>
        <w:rPr>
          <w:rFonts w:ascii="Times New Roman" w:hAnsi="Times New Roman"/>
          <w:noProof/>
        </w:rPr>
        <w:t>Тези проблеми са застъпени много широко и в специфичните за всяка държава препоръки в рамките на европейския семестър. Препоръките към някои държави членки изрично включват премахването на регулаторната и административната тежест при предоставянето на професионални услуги и в сектора на търговията на дребно. Комисията на свой ред разработи показатели за рестриктивност, по-конкретно при регулирането на някои професии и продажбите на дребно. Резултатите от тях потвърждават доказателствата за пречките, с които дружествата се сблъскват.</w:t>
      </w:r>
    </w:p>
    <w:p>
      <w:pPr>
        <w:pStyle w:val="Heading2"/>
        <w:rPr>
          <w:noProof/>
          <w:sz w:val="22"/>
          <w:szCs w:val="22"/>
        </w:rPr>
      </w:pPr>
      <w:r>
        <w:rPr>
          <w:noProof/>
          <w:sz w:val="22"/>
          <w:szCs w:val="22"/>
        </w:rPr>
        <w:t xml:space="preserve">Трансгранично закупуване на стоки или услуги </w:t>
      </w:r>
    </w:p>
    <w:p>
      <w:pPr>
        <w:pStyle w:val="Heading3"/>
        <w:rPr>
          <w:noProof/>
          <w:sz w:val="22"/>
          <w:szCs w:val="22"/>
        </w:rPr>
      </w:pPr>
      <w:r>
        <w:rPr>
          <w:noProof/>
          <w:sz w:val="22"/>
          <w:szCs w:val="22"/>
        </w:rPr>
        <w:t>6.</w:t>
      </w:r>
      <w:r>
        <w:rPr>
          <w:noProof/>
          <w:sz w:val="22"/>
          <w:szCs w:val="22"/>
        </w:rPr>
        <w:tab/>
        <w:t>Трансграничните поръчки на потребителите и дружествата в някои случаи се отхвърлят или се пренасочват.</w:t>
      </w:r>
    </w:p>
    <w:p>
      <w:pPr>
        <w:jc w:val="both"/>
        <w:rPr>
          <w:rFonts w:ascii="Times New Roman" w:hAnsi="Times New Roman"/>
          <w:noProof/>
        </w:rPr>
      </w:pPr>
      <w:r>
        <w:rPr>
          <w:rFonts w:ascii="Times New Roman" w:hAnsi="Times New Roman"/>
          <w:noProof/>
        </w:rPr>
        <w:t>Преди влизането в сила на Регламента относно блокирането на географски принцип</w:t>
      </w:r>
      <w:r>
        <w:rPr>
          <w:rStyle w:val="FootnoteReference"/>
          <w:rFonts w:ascii="Times New Roman" w:hAnsi="Times New Roman" w:cs="Times New Roman"/>
          <w:noProof/>
        </w:rPr>
        <w:footnoteReference w:id="21"/>
      </w:r>
      <w:r>
        <w:rPr>
          <w:rFonts w:ascii="Times New Roman" w:hAnsi="Times New Roman"/>
          <w:noProof/>
        </w:rPr>
        <w:t xml:space="preserve"> един от най-често срещаните от потребителите проблеми при трансграничното пазаруване бе свързан именно с блокирането на географски принцип</w:t>
      </w:r>
      <w:r>
        <w:rPr>
          <w:rStyle w:val="FootnoteReference"/>
          <w:rFonts w:ascii="Times New Roman" w:hAnsi="Times New Roman" w:cs="Times New Roman"/>
          <w:noProof/>
        </w:rPr>
        <w:footnoteReference w:id="22"/>
      </w:r>
      <w:r>
        <w:rPr>
          <w:rFonts w:ascii="Times New Roman" w:hAnsi="Times New Roman"/>
          <w:noProof/>
        </w:rPr>
        <w:t>. След влизането в сила на този регламент</w:t>
      </w:r>
      <w:r>
        <w:rPr>
          <w:rStyle w:val="FootnoteReference"/>
          <w:rFonts w:ascii="Times New Roman" w:hAnsi="Times New Roman" w:cs="Times New Roman"/>
          <w:noProof/>
        </w:rPr>
        <w:footnoteReference w:id="23"/>
      </w:r>
      <w:r>
        <w:rPr>
          <w:rFonts w:ascii="Times New Roman" w:hAnsi="Times New Roman"/>
          <w:noProof/>
        </w:rPr>
        <w:t xml:space="preserve"> ситуацията изглежда се е подобрила, като само 14 от общо 200-те уебсайта, проверени при проведено наскоро разследване</w:t>
      </w:r>
      <w:r>
        <w:rPr>
          <w:rStyle w:val="FootnoteReference"/>
          <w:rFonts w:ascii="Times New Roman" w:hAnsi="Times New Roman" w:cs="Times New Roman"/>
          <w:noProof/>
        </w:rPr>
        <w:footnoteReference w:id="24"/>
      </w:r>
      <w:r>
        <w:rPr>
          <w:rFonts w:ascii="Times New Roman" w:hAnsi="Times New Roman"/>
          <w:noProof/>
        </w:rPr>
        <w:t>, са извършили (незаконно) пренасочване на потребителя без негово съгласие. Това обаче не значи, че всички пречки, свързани с трансграничните продажби, са премахнати. В 53 случая потребителите не са били информирани, че техните поръчки не могат да бъдат доставени в държавите, обслужвани от търговеца. Освен това експресното проучване на Евробарометър 477b</w:t>
      </w:r>
      <w:r>
        <w:rPr>
          <w:rStyle w:val="FootnoteReference"/>
          <w:rFonts w:ascii="Times New Roman" w:hAnsi="Times New Roman" w:cs="Times New Roman"/>
          <w:noProof/>
        </w:rPr>
        <w:footnoteReference w:id="25"/>
      </w:r>
      <w:r>
        <w:rPr>
          <w:rFonts w:ascii="Times New Roman" w:hAnsi="Times New Roman"/>
          <w:noProof/>
        </w:rPr>
        <w:t xml:space="preserve"> разкрива, че трансграничният достъп до аудио-визуално съдържание на практика не може да бъде осъществен (в близо половината от случаите), главно поради блокирането на географски принцип</w:t>
      </w:r>
      <w:r>
        <w:rPr>
          <w:rStyle w:val="FootnoteReference"/>
          <w:rFonts w:ascii="Times New Roman" w:hAnsi="Times New Roman" w:cs="Times New Roman"/>
          <w:noProof/>
        </w:rPr>
        <w:footnoteReference w:id="26"/>
      </w:r>
      <w:r>
        <w:rPr>
          <w:rFonts w:ascii="Times New Roman" w:hAnsi="Times New Roman"/>
          <w:noProof/>
        </w:rPr>
        <w:t>. Фактът, че производителите на съдържание/носителите на права ограничават трансграничния достъп до съдържание в своите споразумения за лицензиране на авторски права, изглежда също е проблем. Във връзка с това се предвижда скоро да бъде представен доклад за оценка на Регламента относно блокирането на географски принцип.</w:t>
      </w:r>
    </w:p>
    <w:p>
      <w:pPr>
        <w:jc w:val="both"/>
        <w:rPr>
          <w:rFonts w:ascii="Times New Roman" w:hAnsi="Times New Roman" w:cs="Times New Roman"/>
          <w:noProof/>
        </w:rPr>
      </w:pPr>
      <w:r>
        <w:rPr>
          <w:rFonts w:ascii="Times New Roman" w:hAnsi="Times New Roman"/>
          <w:noProof/>
        </w:rPr>
        <w:t xml:space="preserve">В някои случаи дружествата се сблъскват и със ситуации, при които не успяват да си набавят необходимите стоки от конкретната държава, която са избрали. Търговците на дребно отчитат като проблем факта, че – поради налаганите от доставчиците териториални ограничения на доставките – са принудени да закупуват необходимото от националните пазари. Тези практики, които могат да са нарушения на законодателството в областта на конкуренцията, могат също така да фрагментират единния пазар в ущърб както на потребителите, така и на дружествата. </w:t>
      </w:r>
    </w:p>
    <w:p>
      <w:pPr>
        <w:pStyle w:val="Heading3"/>
        <w:rPr>
          <w:noProof/>
          <w:sz w:val="22"/>
          <w:szCs w:val="22"/>
        </w:rPr>
      </w:pPr>
      <w:r>
        <w:rPr>
          <w:noProof/>
          <w:sz w:val="22"/>
          <w:szCs w:val="22"/>
        </w:rPr>
        <w:t>7.</w:t>
      </w:r>
      <w:r>
        <w:rPr>
          <w:noProof/>
          <w:sz w:val="22"/>
          <w:szCs w:val="22"/>
        </w:rPr>
        <w:tab/>
        <w:t>Потребителите съобщават, че равнището на доверие при трансграничните покупки онлайн е по-ниско.</w:t>
      </w:r>
    </w:p>
    <w:p>
      <w:pPr>
        <w:jc w:val="both"/>
        <w:rPr>
          <w:rFonts w:ascii="Times New Roman" w:hAnsi="Times New Roman"/>
          <w:noProof/>
        </w:rPr>
      </w:pPr>
      <w:r>
        <w:rPr>
          <w:rFonts w:ascii="Times New Roman" w:hAnsi="Times New Roman"/>
          <w:noProof/>
        </w:rPr>
        <w:t xml:space="preserve"> Разликата между равнището на доверие при трансграничните покупки онлайн и при националните онлайн покупки не е намаляла през периода между 2012 г. и 2018 г. Това е така въпреки рязкото нарастване на онлайн покупките и най-вече на дела на потребителите, купуващи стоки онлайн в рамките на ЕС, който почти се е удвоил от 11 % през 2012 г. на 21 % през 2018 г. (за разлика от това националните онлайн покупки са нараснали от 40 % през 2012 г. до равнище от 52 %</w:t>
      </w:r>
      <w:r>
        <w:rPr>
          <w:rStyle w:val="FootnoteReference"/>
          <w:rFonts w:ascii="Times New Roman" w:hAnsi="Times New Roman"/>
          <w:noProof/>
        </w:rPr>
        <w:footnoteReference w:id="27"/>
      </w:r>
      <w:r>
        <w:rPr>
          <w:rFonts w:ascii="Times New Roman" w:hAnsi="Times New Roman"/>
          <w:noProof/>
        </w:rPr>
        <w:t>). Потребителите все още по-неуверено пазаруват от уебсайтове в друга държава от ЕС (48 %), отколкото от уебсайтове в собствената си държава (72 %). През 2012 г. делът на потребителите и от двете категории е бил по-малък с 15 процентни пункта. Потребителите не са достатъчно осведомени и нямат конкретна информация за приложимостта на хармонизираните правила за защита на потребителите и за наличието на трансгранични средства за правна защита. Затова те се колебаят дали да търсят по-изгодни онлайн оферти извън националните граници.</w:t>
      </w:r>
    </w:p>
    <w:p>
      <w:pPr>
        <w:pStyle w:val="Heading3"/>
        <w:rPr>
          <w:noProof/>
          <w:sz w:val="22"/>
          <w:szCs w:val="22"/>
        </w:rPr>
      </w:pPr>
      <w:r>
        <w:rPr>
          <w:noProof/>
          <w:sz w:val="22"/>
          <w:szCs w:val="22"/>
        </w:rPr>
        <w:t xml:space="preserve">8. </w:t>
      </w:r>
      <w:r>
        <w:rPr>
          <w:noProof/>
          <w:sz w:val="22"/>
          <w:szCs w:val="22"/>
        </w:rPr>
        <w:tab/>
        <w:t>Потребителите са мишена за измами с трансграничен произход.</w:t>
      </w:r>
    </w:p>
    <w:p>
      <w:pPr>
        <w:jc w:val="both"/>
        <w:rPr>
          <w:rFonts w:ascii="Times New Roman" w:hAnsi="Times New Roman"/>
          <w:noProof/>
        </w:rPr>
      </w:pPr>
      <w:r>
        <w:rPr>
          <w:rFonts w:ascii="Times New Roman" w:hAnsi="Times New Roman"/>
          <w:noProof/>
        </w:rPr>
        <w:t>През последните две години в ЕС около 56 % от анкетираните потребители са били жертва на злоупотреба или измама</w:t>
      </w:r>
      <w:r>
        <w:rPr>
          <w:rFonts w:ascii="Times New Roman" w:hAnsi="Times New Roman"/>
          <w:noProof/>
          <w:vertAlign w:val="superscript"/>
        </w:rPr>
        <w:footnoteReference w:id="28"/>
      </w:r>
      <w:r>
        <w:rPr>
          <w:rFonts w:ascii="Times New Roman" w:hAnsi="Times New Roman"/>
          <w:noProof/>
        </w:rPr>
        <w:t>. Някои от тези измами, например фалшивите лотарии, при които от потребителите се иска да платят определена сума, за да получат наградата си, са най-често посочваните форми на измама с неустановен географски произход (като 9 % от потребителите са се сблъсквали с тях, без да могат да установят произхода на търговеца)</w:t>
      </w:r>
      <w:r>
        <w:rPr>
          <w:rFonts w:ascii="Times New Roman" w:hAnsi="Times New Roman"/>
          <w:noProof/>
          <w:vertAlign w:val="superscript"/>
        </w:rPr>
        <w:footnoteReference w:id="29"/>
      </w:r>
      <w:r>
        <w:rPr>
          <w:rFonts w:ascii="Times New Roman" w:hAnsi="Times New Roman"/>
          <w:noProof/>
        </w:rPr>
        <w:t>. Тези данни показват необходимостта от по-ефективно и засилено сътрудничество по административни и наказателноправни въпроси в рамките на ЕС, за да се даде отговор на предизвикателствата, пред които са изправени правоприлагащите органи в областта на защитата на потребителите при настоящите икономически условия, включително в случаите с трансгранично измерение</w:t>
      </w:r>
      <w:r>
        <w:rPr>
          <w:rStyle w:val="FootnoteReference"/>
          <w:rFonts w:ascii="Times New Roman" w:hAnsi="Times New Roman"/>
          <w:noProof/>
        </w:rPr>
        <w:footnoteReference w:id="30"/>
      </w:r>
      <w:r>
        <w:rPr>
          <w:rFonts w:ascii="Times New Roman" w:hAnsi="Times New Roman"/>
          <w:noProof/>
        </w:rPr>
        <w:t>.</w:t>
      </w:r>
    </w:p>
    <w:p>
      <w:pPr>
        <w:pStyle w:val="Heading2"/>
        <w:rPr>
          <w:noProof/>
          <w:sz w:val="22"/>
          <w:szCs w:val="22"/>
        </w:rPr>
      </w:pPr>
      <w:r>
        <w:rPr>
          <w:noProof/>
          <w:sz w:val="22"/>
          <w:szCs w:val="22"/>
        </w:rPr>
        <w:t>Доставка на стоки и услуги през граница</w:t>
      </w:r>
    </w:p>
    <w:p>
      <w:pPr>
        <w:pStyle w:val="Heading3"/>
        <w:rPr>
          <w:noProof/>
          <w:sz w:val="22"/>
          <w:szCs w:val="22"/>
        </w:rPr>
      </w:pPr>
      <w:r>
        <w:rPr>
          <w:noProof/>
          <w:sz w:val="22"/>
          <w:szCs w:val="22"/>
        </w:rPr>
        <w:t xml:space="preserve">9. </w:t>
      </w:r>
      <w:r>
        <w:rPr>
          <w:noProof/>
          <w:sz w:val="22"/>
          <w:szCs w:val="22"/>
        </w:rPr>
        <w:tab/>
        <w:t xml:space="preserve">Дружествата съобщават за тежки процедури, дължащи се на различия между данъчните системи и администрации. </w:t>
      </w:r>
    </w:p>
    <w:p>
      <w:pPr>
        <w:jc w:val="both"/>
        <w:rPr>
          <w:rFonts w:ascii="Times New Roman" w:hAnsi="Times New Roman" w:cs="Times New Roman"/>
          <w:noProof/>
        </w:rPr>
      </w:pPr>
      <w:r>
        <w:rPr>
          <w:rFonts w:ascii="Times New Roman" w:hAnsi="Times New Roman"/>
          <w:noProof/>
        </w:rPr>
        <w:t>Липсата на хармонизация в областта на данъчното облагане продължава да бъде една от основните пречки при трансграничната дейност на дружествата. Необходими са допълнителни усилия, за да се намалят различията между данъчните системи и да се преосмисли необходимостта от изискването за единодушие в Съвета. Според годишния доклад за европейските МСП за 2017/2018 г.</w:t>
      </w:r>
      <w:r>
        <w:rPr>
          <w:rStyle w:val="FootnoteReference"/>
          <w:rFonts w:ascii="Times New Roman" w:hAnsi="Times New Roman" w:cs="Times New Roman"/>
          <w:noProof/>
        </w:rPr>
        <w:footnoteReference w:id="31"/>
      </w:r>
      <w:r>
        <w:rPr>
          <w:rFonts w:ascii="Times New Roman" w:hAnsi="Times New Roman"/>
          <w:noProof/>
        </w:rPr>
        <w:t xml:space="preserve"> 63 % от МСП смятат, че „спазването на чуждестранните данъчни изисквания е твърде сложно“ и го отчитат като пречка за осъществяването на износ (и за установяването). Неотдавна бяха публикувани доклади на бизнес организации в Нидерландия и Финландия</w:t>
      </w:r>
      <w:r>
        <w:rPr>
          <w:rStyle w:val="FootnoteReference"/>
          <w:rFonts w:ascii="Times New Roman" w:hAnsi="Times New Roman" w:cs="Times New Roman"/>
          <w:noProof/>
        </w:rPr>
        <w:footnoteReference w:id="32"/>
      </w:r>
      <w:r>
        <w:rPr>
          <w:rFonts w:ascii="Times New Roman" w:hAnsi="Times New Roman"/>
          <w:noProof/>
        </w:rPr>
        <w:t>, които показват, че за 20 % от анкетираните спазването на правилата за ДДС е пречка за стопанската дейност в рамките на единния пазар. Същата картина разкрива и доклад на Комисията, от който става ясно, че разходите за спазване на изискванията в областта на ДДС се увеличават при извършването на трансгранична дейност</w:t>
      </w:r>
      <w:r>
        <w:rPr>
          <w:rStyle w:val="FootnoteReference"/>
          <w:rFonts w:ascii="Times New Roman" w:hAnsi="Times New Roman" w:cs="Times New Roman"/>
          <w:noProof/>
        </w:rPr>
        <w:footnoteReference w:id="33"/>
      </w:r>
      <w:r>
        <w:rPr>
          <w:rFonts w:ascii="Times New Roman" w:hAnsi="Times New Roman"/>
          <w:noProof/>
        </w:rPr>
        <w:t>. Ситуацията е аналогична по отношение на разходите за спазване на изискванията, свързани с корпоративното данъчно облагане</w:t>
      </w:r>
      <w:r>
        <w:rPr>
          <w:rStyle w:val="FootnoteReference"/>
          <w:rFonts w:ascii="Times New Roman" w:hAnsi="Times New Roman" w:cs="Times New Roman"/>
          <w:noProof/>
        </w:rPr>
        <w:footnoteReference w:id="34"/>
      </w:r>
      <w:r>
        <w:rPr>
          <w:rFonts w:ascii="Times New Roman" w:hAnsi="Times New Roman"/>
          <w:noProof/>
        </w:rPr>
        <w:t>. В рамките на националните граници това предизвикателство е по-силно осезаемо за МСП, отколкото за големите дружества. Данните от проучване показват, че делът на преките разходи за спазване на данъчните изисквания е около 2 % от платения данък за големите дружества и близо 30 % – за МСП</w:t>
      </w:r>
      <w:r>
        <w:rPr>
          <w:rFonts w:ascii="Times New Roman" w:hAnsi="Times New Roman" w:cs="Times New Roman"/>
          <w:noProof/>
          <w:vertAlign w:val="superscript"/>
        </w:rPr>
        <w:footnoteReference w:id="35"/>
      </w:r>
      <w:r>
        <w:rPr>
          <w:rFonts w:ascii="Times New Roman" w:hAnsi="Times New Roman"/>
          <w:noProof/>
        </w:rPr>
        <w:t>. В друго проучване</w:t>
      </w:r>
      <w:r>
        <w:rPr>
          <w:rStyle w:val="FootnoteReference"/>
          <w:rFonts w:ascii="Times New Roman" w:hAnsi="Times New Roman" w:cs="Times New Roman"/>
          <w:noProof/>
        </w:rPr>
        <w:footnoteReference w:id="36"/>
      </w:r>
      <w:r>
        <w:rPr>
          <w:rFonts w:ascii="Times New Roman" w:hAnsi="Times New Roman"/>
          <w:noProof/>
        </w:rPr>
        <w:t>, изследващо относителната тежест на спазването на данъчното законодателство в областта на прякото и непрякото данъчно облагане в 19 държави – членки на ЕС, се посочва, че МСП изразходват 2,5 % от оборота си за разходи за спазване на данъчни изисквания, докато за големите дружества делът на тези разходи е 0,7 %</w:t>
      </w:r>
      <w:r>
        <w:rPr>
          <w:rStyle w:val="FootnoteReference"/>
          <w:rFonts w:ascii="Times New Roman" w:hAnsi="Times New Roman" w:cs="Times New Roman"/>
          <w:noProof/>
        </w:rPr>
        <w:footnoteReference w:id="37"/>
      </w:r>
      <w:r>
        <w:rPr>
          <w:rFonts w:ascii="Times New Roman" w:hAnsi="Times New Roman"/>
          <w:noProof/>
        </w:rPr>
        <w:t>.</w:t>
      </w:r>
    </w:p>
    <w:p>
      <w:pPr>
        <w:pStyle w:val="Heading2"/>
        <w:rPr>
          <w:noProof/>
          <w:sz w:val="22"/>
          <w:szCs w:val="22"/>
        </w:rPr>
      </w:pPr>
      <w:r>
        <w:rPr>
          <w:noProof/>
          <w:sz w:val="22"/>
          <w:szCs w:val="22"/>
        </w:rPr>
        <w:t>Пречки, свързани със следпродажбеното обслужване</w:t>
      </w:r>
    </w:p>
    <w:p>
      <w:pPr>
        <w:pStyle w:val="Heading3"/>
        <w:rPr>
          <w:noProof/>
          <w:sz w:val="22"/>
          <w:szCs w:val="22"/>
        </w:rPr>
      </w:pPr>
      <w:r>
        <w:rPr>
          <w:noProof/>
          <w:sz w:val="22"/>
          <w:szCs w:val="22"/>
        </w:rPr>
        <w:t xml:space="preserve">10. </w:t>
      </w:r>
      <w:r>
        <w:rPr>
          <w:noProof/>
          <w:sz w:val="22"/>
          <w:szCs w:val="22"/>
        </w:rPr>
        <w:tab/>
        <w:t xml:space="preserve">Дружествата срещат трудности при уреждането на търговски/граждански спорове и при събирането на плащания </w:t>
      </w:r>
    </w:p>
    <w:p>
      <w:pPr>
        <w:jc w:val="both"/>
        <w:rPr>
          <w:rFonts w:ascii="Times New Roman" w:hAnsi="Times New Roman" w:cs="Times New Roman"/>
          <w:noProof/>
        </w:rPr>
      </w:pPr>
      <w:r>
        <w:rPr>
          <w:rFonts w:ascii="Times New Roman" w:hAnsi="Times New Roman"/>
          <w:noProof/>
        </w:rPr>
        <w:t>В проведеното наскоро проучване на европейските търговски камари</w:t>
      </w:r>
      <w:r>
        <w:rPr>
          <w:rStyle w:val="FootnoteReference"/>
          <w:rFonts w:ascii="Times New Roman" w:hAnsi="Times New Roman" w:cs="Times New Roman"/>
          <w:noProof/>
        </w:rPr>
        <w:footnoteReference w:id="38"/>
      </w:r>
      <w:r>
        <w:rPr>
          <w:rFonts w:ascii="Times New Roman" w:hAnsi="Times New Roman"/>
          <w:noProof/>
        </w:rPr>
        <w:t xml:space="preserve"> наличието на „различни договорни/правни практики“ се нарежда на пето място сред пречките пред търговията в единния пазар за 66 % от респондентите. Актуални данни на Евростат</w:t>
      </w:r>
      <w:r>
        <w:rPr>
          <w:rStyle w:val="FootnoteReference"/>
          <w:rFonts w:ascii="Times New Roman" w:hAnsi="Times New Roman"/>
          <w:noProof/>
        </w:rPr>
        <w:footnoteReference w:id="39"/>
      </w:r>
      <w:r>
        <w:rPr>
          <w:rFonts w:ascii="Times New Roman" w:hAnsi="Times New Roman"/>
          <w:noProof/>
        </w:rPr>
        <w:t xml:space="preserve"> сочат, че търговците на дребно, предлагащи онлайн продажби, предназначени за потребители, съобщават за значително повече трудности при трансграничните онлайн продажби в сравнение с онлайн продажбите като цяло (58 % спрямо 38 %). Според други актуални данни на Комисията</w:t>
      </w:r>
      <w:r>
        <w:rPr>
          <w:rStyle w:val="FootnoteReference"/>
          <w:rFonts w:ascii="Times New Roman" w:hAnsi="Times New Roman"/>
          <w:noProof/>
        </w:rPr>
        <w:footnoteReference w:id="40"/>
      </w:r>
      <w:r>
        <w:rPr>
          <w:rFonts w:ascii="Times New Roman" w:hAnsi="Times New Roman"/>
          <w:noProof/>
        </w:rPr>
        <w:t xml:space="preserve"> над 30 % от онлайн търговците на дребно смятат, че „потенциално по-високите разходи за уреждане на спорове и жалби зад граница“ (почти 35 %) са пречка за онлайн продажбите, насочени към потребители в други държави от ЕС. Липсата на информация продължава да бъде проблем, като близо половината от търговците на дребно, анкетирани за изданието на индекса на условията за потребителите от 2019 г., съобщават, че не са били наясно със съществуването на органи за алтернативно уреждане на спорове в собствените им държави</w:t>
      </w:r>
      <w:r>
        <w:rPr>
          <w:rStyle w:val="FootnoteReference"/>
          <w:rFonts w:ascii="Times New Roman" w:hAnsi="Times New Roman" w:cs="Times New Roman"/>
          <w:noProof/>
        </w:rPr>
        <w:footnoteReference w:id="41"/>
      </w:r>
      <w:r>
        <w:rPr>
          <w:rFonts w:ascii="Times New Roman" w:hAnsi="Times New Roman"/>
          <w:noProof/>
        </w:rPr>
        <w:t>.</w:t>
      </w:r>
    </w:p>
    <w:p>
      <w:pPr>
        <w:pStyle w:val="Heading2"/>
        <w:rPr>
          <w:noProof/>
          <w:sz w:val="22"/>
          <w:szCs w:val="22"/>
        </w:rPr>
      </w:pPr>
      <w:r>
        <w:rPr>
          <w:noProof/>
          <w:sz w:val="22"/>
          <w:szCs w:val="22"/>
        </w:rPr>
        <w:t>Учредяване на стопанска дейност в друга държава членка</w:t>
      </w:r>
    </w:p>
    <w:p>
      <w:pPr>
        <w:pStyle w:val="Heading3"/>
        <w:rPr>
          <w:noProof/>
          <w:sz w:val="22"/>
          <w:szCs w:val="22"/>
        </w:rPr>
      </w:pPr>
      <w:r>
        <w:rPr>
          <w:noProof/>
          <w:sz w:val="22"/>
          <w:szCs w:val="22"/>
        </w:rPr>
        <w:t xml:space="preserve">11. </w:t>
      </w:r>
      <w:r>
        <w:rPr>
          <w:noProof/>
          <w:sz w:val="22"/>
          <w:szCs w:val="22"/>
        </w:rPr>
        <w:tab/>
        <w:t xml:space="preserve">Дружествата срещат проблеми при регистрирането на стопанска дейност в друга държава членка </w:t>
      </w:r>
    </w:p>
    <w:p>
      <w:pPr>
        <w:jc w:val="both"/>
        <w:rPr>
          <w:rFonts w:ascii="Times New Roman" w:hAnsi="Times New Roman" w:cs="Times New Roman"/>
          <w:noProof/>
        </w:rPr>
      </w:pPr>
      <w:r>
        <w:rPr>
          <w:rFonts w:ascii="Times New Roman" w:hAnsi="Times New Roman"/>
          <w:noProof/>
        </w:rPr>
        <w:t>Пет от деветте търговски камари, които споделиха с Комисията опасенията на своите членове по отношение на трансграничната търговия, съобщиха за проблеми при регистрацията на стопанска дейност в ЕС, най-вече трудности при онлайн регистрацията на фирми. Проучване относно бизнес дейността в ЕС, проведено неотдавна от нидерландски органи</w:t>
      </w:r>
      <w:r>
        <w:rPr>
          <w:rStyle w:val="FootnoteReference"/>
          <w:rFonts w:ascii="Times New Roman" w:hAnsi="Times New Roman"/>
          <w:noProof/>
        </w:rPr>
        <w:footnoteReference w:id="42"/>
      </w:r>
      <w:r>
        <w:rPr>
          <w:rFonts w:ascii="Times New Roman" w:hAnsi="Times New Roman"/>
          <w:noProof/>
        </w:rPr>
        <w:t>, потвърждава това виждане, с което са съгласни 27 % от анкетираните. Данните на Комисията също са в подкрепа на тази позиция.  Резултатите от обществената консултация, проведена през 2016 г. във връзка с изготвянето на предложението за създаване на единна цифрова платформа, показаха, че регистрирането на стопанска дейност е една от трите приоритетни процедури, които трябва да могат да се осъществяват онлайн. По-специално, що се отнася до регистрацията на фирми, обществената консултация, проведена при изготвянето на предложенията за приетия през 2018 г. пакет от мерки на ЕС в областта на дружественото право, показа наличието на силна подкрепа от страна на стопанските организации (70 %) и държавите членки (64 %) за въвеждането на нови правила за изцяло онлайн регистрация на дружества с ограничена отговорност и за подаване на информация за дружествата към търговските регистри.</w:t>
      </w:r>
    </w:p>
    <w:p>
      <w:pPr>
        <w:pStyle w:val="Heading2"/>
        <w:rPr>
          <w:noProof/>
          <w:sz w:val="22"/>
          <w:szCs w:val="22"/>
        </w:rPr>
      </w:pPr>
      <w:r>
        <w:rPr>
          <w:noProof/>
          <w:sz w:val="22"/>
          <w:szCs w:val="22"/>
        </w:rPr>
        <w:t>Персонал</w:t>
      </w:r>
    </w:p>
    <w:p>
      <w:pPr>
        <w:pStyle w:val="Heading3"/>
        <w:rPr>
          <w:noProof/>
          <w:sz w:val="22"/>
          <w:szCs w:val="22"/>
        </w:rPr>
      </w:pPr>
      <w:r>
        <w:rPr>
          <w:noProof/>
          <w:sz w:val="22"/>
          <w:szCs w:val="22"/>
        </w:rPr>
        <w:t xml:space="preserve">12. </w:t>
      </w:r>
      <w:r>
        <w:rPr>
          <w:noProof/>
          <w:sz w:val="22"/>
          <w:szCs w:val="22"/>
        </w:rPr>
        <w:tab/>
        <w:t>Дружествата съобщават за проблеми с недостига и несъответствието на умения</w:t>
      </w:r>
    </w:p>
    <w:p>
      <w:pPr>
        <w:jc w:val="both"/>
        <w:rPr>
          <w:rFonts w:ascii="Times New Roman" w:hAnsi="Times New Roman" w:cs="Times New Roman"/>
          <w:noProof/>
        </w:rPr>
      </w:pPr>
      <w:r>
        <w:rPr>
          <w:rFonts w:ascii="Times New Roman" w:hAnsi="Times New Roman"/>
          <w:noProof/>
        </w:rPr>
        <w:t>Недостигът на умения подкопава интеграцията на единния пазар, тъй като пречи на дружествата, които се развиват успешно в дадена държава членка, да се установяват и да разширяват дейността си другаде в рамките на единния пазар, включително през граница. Наличието на квалифицирани служители или опитни ръководители все по-често се определя като най-важния проблем, с който МСП се сблъскват през последните години (26 % от МСП през 2019 г.) По-специално, през 2018 г. 53 % от дружествата, които са наели или са се опитали да наемат специалисти по ИКТ, съобщават за трудности при запълването на свободните работни места, като за сравнение делът тези дружества през предходната година е 41 %. Освен това скъпоструващите процедури за признаване на професионалните квалификации при регулираните професии (например за инженерите в много държави членки) ограничават мобилността на работниците.</w:t>
      </w:r>
    </w:p>
    <w:p>
      <w:pPr>
        <w:pStyle w:val="Heading2"/>
        <w:rPr>
          <w:noProof/>
          <w:sz w:val="22"/>
          <w:szCs w:val="22"/>
        </w:rPr>
      </w:pPr>
      <w:r>
        <w:rPr>
          <w:noProof/>
          <w:sz w:val="22"/>
          <w:szCs w:val="22"/>
        </w:rPr>
        <w:t>Езикови бариери</w:t>
      </w:r>
    </w:p>
    <w:p>
      <w:pPr>
        <w:pStyle w:val="Heading3"/>
        <w:rPr>
          <w:noProof/>
          <w:sz w:val="22"/>
          <w:szCs w:val="22"/>
        </w:rPr>
      </w:pPr>
      <w:r>
        <w:rPr>
          <w:noProof/>
          <w:sz w:val="22"/>
          <w:szCs w:val="22"/>
        </w:rPr>
        <w:t>13.</w:t>
      </w:r>
      <w:r>
        <w:rPr>
          <w:noProof/>
          <w:sz w:val="22"/>
          <w:szCs w:val="22"/>
        </w:rPr>
        <w:tab/>
        <w:t>Много от анкетираните дружества посочват езика като една от пречките.</w:t>
      </w:r>
    </w:p>
    <w:p>
      <w:pPr>
        <w:jc w:val="both"/>
        <w:rPr>
          <w:rFonts w:ascii="Times New Roman" w:hAnsi="Times New Roman" w:cs="Times New Roman"/>
          <w:noProof/>
        </w:rPr>
      </w:pPr>
      <w:r>
        <w:rPr>
          <w:rFonts w:ascii="Times New Roman" w:hAnsi="Times New Roman"/>
          <w:noProof/>
        </w:rPr>
        <w:t>Неотдавнашното проучване на европейските търговски камари</w:t>
      </w:r>
      <w:r>
        <w:rPr>
          <w:rStyle w:val="FootnoteReference"/>
          <w:rFonts w:ascii="Times New Roman" w:hAnsi="Times New Roman" w:cs="Times New Roman"/>
          <w:noProof/>
        </w:rPr>
        <w:footnoteReference w:id="43"/>
      </w:r>
      <w:r>
        <w:rPr>
          <w:rFonts w:ascii="Times New Roman" w:hAnsi="Times New Roman"/>
          <w:noProof/>
        </w:rPr>
        <w:t xml:space="preserve"> показва, че езиковата бариера е проблем за 36 % от дружествата. Недостигът на езикови умения също така се сочи за пречка от 32 % от МСП без опит в експортната дейност и за 10 % от МСП с такъв опит в петте най-големи държави членки</w:t>
      </w:r>
      <w:r>
        <w:rPr>
          <w:rStyle w:val="FootnoteReference"/>
          <w:rFonts w:ascii="Times New Roman" w:hAnsi="Times New Roman" w:cs="Times New Roman"/>
          <w:noProof/>
        </w:rPr>
        <w:footnoteReference w:id="44"/>
      </w:r>
      <w:r>
        <w:rPr>
          <w:rFonts w:ascii="Times New Roman" w:hAnsi="Times New Roman"/>
          <w:noProof/>
        </w:rPr>
        <w:t xml:space="preserve">. </w:t>
      </w:r>
    </w:p>
    <w:p>
      <w:pPr>
        <w:jc w:val="both"/>
        <w:rPr>
          <w:rFonts w:ascii="Times New Roman" w:hAnsi="Times New Roman"/>
          <w:i/>
          <w:noProof/>
        </w:rPr>
      </w:pPr>
      <w:r>
        <w:rPr>
          <w:rFonts w:ascii="Times New Roman" w:hAnsi="Times New Roman"/>
          <w:i/>
          <w:noProof/>
        </w:rPr>
        <w:t>Заключение</w:t>
      </w:r>
    </w:p>
    <w:p>
      <w:pPr>
        <w:jc w:val="both"/>
        <w:rPr>
          <w:rFonts w:ascii="Times New Roman" w:hAnsi="Times New Roman" w:cs="Times New Roman"/>
          <w:noProof/>
        </w:rPr>
      </w:pPr>
      <w:r>
        <w:rPr>
          <w:rFonts w:ascii="Times New Roman" w:hAnsi="Times New Roman"/>
          <w:noProof/>
        </w:rPr>
        <w:t>По всичко личи, че дружествата и потребителите са изправени пред регулаторни пречки, решение за които вече се търси в законодателството на ЕС, но и пред проблеми, за които случаят не е такъв.  Освен това има други препятствия, които не са регулаторни, нито административни, а са по-скоро от практическо естество, но са еднакво съществени. На практика при дейността си в ЕС дружеството или потребителят често се сблъсква с няколко ограничения едновременно. В крайна сметка най-ощетените в тази ситуация са МСП и специалистите.</w:t>
      </w:r>
    </w:p>
    <w:p>
      <w:pPr>
        <w:pStyle w:val="Heading1"/>
        <w:rPr>
          <w:noProof/>
          <w:sz w:val="22"/>
          <w:szCs w:val="22"/>
        </w:rPr>
      </w:pPr>
      <w:r>
        <w:rPr>
          <w:noProof/>
          <w:sz w:val="22"/>
          <w:szCs w:val="22"/>
        </w:rPr>
        <w:t xml:space="preserve">Първопричини за 13-те най-често посочвани пречки и насоки за по-нататъшни действия на равнището на ЕС и на национално равнище </w:t>
      </w:r>
    </w:p>
    <w:p>
      <w:pPr>
        <w:jc w:val="both"/>
        <w:rPr>
          <w:rFonts w:ascii="Times New Roman" w:hAnsi="Times New Roman" w:cs="Times New Roman"/>
          <w:noProof/>
        </w:rPr>
      </w:pPr>
      <w:r>
        <w:rPr>
          <w:rFonts w:ascii="Times New Roman" w:hAnsi="Times New Roman"/>
          <w:noProof/>
        </w:rPr>
        <w:t xml:space="preserve">За описаните по-горе най-често срещани пречки бяха установени пет основни първопричини. Някои от тях попадат в обхвата на компетентностите на ЕС, други в този на държавите членки, а трети са отговорност и на ЕС, и на държавите членки. Друга част не произтичат или само частично произтичат от обществената политика и могат да възникнат като следствие от специфично поведение от страна на потребителите или от определени търговски решения от страна на дружествата. Всяка от първопричините се отнася за една или повече от 13-те най-често посочвани от дружествата и потребителите пречки, разгледани в раздел I по-горе, както е представено в таблицата по-долу. По отношение на всяка първопричина са определени приоритети за действие, насочени към преодоляването на пречките, включително чрез съществуващи и евентуални бъдещи инициативи. </w:t>
      </w:r>
    </w:p>
    <w:p>
      <w:pPr>
        <w:jc w:val="both"/>
        <w:rPr>
          <w:rFonts w:ascii="Times New Roman" w:hAnsi="Times New Roman" w:cs="Times New Roman"/>
          <w:noProof/>
        </w:rPr>
      </w:pPr>
    </w:p>
    <w:p>
      <w:pPr>
        <w:jc w:val="center"/>
        <w:rPr>
          <w:rFonts w:ascii="Times New Roman" w:hAnsi="Times New Roman"/>
          <w:i/>
          <w:noProof/>
        </w:rPr>
      </w:pPr>
      <w:r>
        <w:rPr>
          <w:rFonts w:ascii="Times New Roman" w:hAnsi="Times New Roman"/>
          <w:i/>
          <w:noProof/>
        </w:rPr>
        <w:t>Таблица: Значение на първопричините за 13-те пречки и препятствия, посочени от дружествата и потребителите</w:t>
      </w:r>
    </w:p>
    <w:tbl>
      <w:tblPr>
        <w:tblW w:w="9515" w:type="dxa"/>
        <w:tblInd w:w="108" w:type="dxa"/>
        <w:tblLayout w:type="fixed"/>
        <w:tblCellMar>
          <w:left w:w="0" w:type="dxa"/>
          <w:right w:w="0" w:type="dxa"/>
        </w:tblCellMar>
        <w:tblLook w:val="04A0" w:firstRow="1" w:lastRow="0" w:firstColumn="1" w:lastColumn="0" w:noHBand="0" w:noVBand="1"/>
      </w:tblPr>
      <w:tblGrid>
        <w:gridCol w:w="393"/>
        <w:gridCol w:w="3004"/>
        <w:gridCol w:w="409"/>
        <w:gridCol w:w="197"/>
        <w:gridCol w:w="709"/>
        <w:gridCol w:w="420"/>
        <w:gridCol w:w="284"/>
        <w:gridCol w:w="30"/>
        <w:gridCol w:w="546"/>
        <w:gridCol w:w="409"/>
        <w:gridCol w:w="409"/>
        <w:gridCol w:w="517"/>
        <w:gridCol w:w="620"/>
        <w:gridCol w:w="517"/>
        <w:gridCol w:w="626"/>
        <w:gridCol w:w="425"/>
      </w:tblGrid>
      <w:tr>
        <w:trPr>
          <w:cantSplit/>
          <w:trHeight w:val="340"/>
        </w:trPr>
        <w:tc>
          <w:tcPr>
            <w:tcW w:w="3397" w:type="dxa"/>
            <w:gridSpan w:val="2"/>
            <w:vMerge w:val="restart"/>
            <w:tcBorders>
              <w:top w:val="single" w:sz="18" w:space="0" w:color="auto"/>
              <w:left w:val="nil"/>
              <w:right w:val="single" w:sz="6" w:space="0" w:color="auto"/>
            </w:tcBorders>
            <w:vAlign w:val="bottom"/>
          </w:tcPr>
          <w:p>
            <w:pPr>
              <w:spacing w:after="0" w:line="240" w:lineRule="auto"/>
              <w:jc w:val="both"/>
              <w:rPr>
                <w:rFonts w:ascii="Times New Roman" w:hAnsi="Times New Roman"/>
                <w:b/>
                <w:i/>
                <w:noProof/>
              </w:rPr>
            </w:pPr>
            <w:r>
              <w:rPr>
                <w:noProof/>
              </w:rPr>
              <w:br w:type="page"/>
            </w:r>
            <w:r>
              <w:rPr>
                <w:rFonts w:ascii="Times New Roman" w:hAnsi="Times New Roman"/>
                <w:b/>
                <w:i/>
                <w:noProof/>
              </w:rPr>
              <w:t>Пречки и препятствия при „траекторията на дружествата/потребителите“</w:t>
            </w:r>
            <w:r>
              <w:rPr>
                <w:rFonts w:ascii="Times New Roman" w:hAnsi="Times New Roman"/>
                <w:i/>
                <w:noProof/>
              </w:rPr>
              <w:t xml:space="preserve"> </w:t>
            </w:r>
          </w:p>
          <w:p>
            <w:pPr>
              <w:spacing w:after="0" w:line="240" w:lineRule="auto"/>
              <w:jc w:val="center"/>
              <w:rPr>
                <w:rFonts w:ascii="Times New Roman" w:eastAsia="Times New Roman" w:hAnsi="Times New Roman" w:cs="Times New Roman"/>
                <w:b/>
                <w:noProof/>
              </w:rPr>
            </w:pPr>
          </w:p>
        </w:tc>
        <w:tc>
          <w:tcPr>
            <w:tcW w:w="409" w:type="dxa"/>
            <w:tcBorders>
              <w:top w:val="single" w:sz="18" w:space="0" w:color="auto"/>
              <w:left w:val="single" w:sz="6" w:space="0" w:color="auto"/>
              <w:right w:val="single" w:sz="6" w:space="0" w:color="auto"/>
            </w:tcBorders>
          </w:tcPr>
          <w:p>
            <w:pPr>
              <w:spacing w:after="0" w:line="240" w:lineRule="auto"/>
              <w:jc w:val="center"/>
              <w:rPr>
                <w:rFonts w:ascii="Times New Roman" w:hAnsi="Times New Roman"/>
                <w:b/>
                <w:i/>
                <w:noProof/>
              </w:rPr>
            </w:pPr>
          </w:p>
        </w:tc>
        <w:tc>
          <w:tcPr>
            <w:tcW w:w="5709" w:type="dxa"/>
            <w:gridSpan w:val="13"/>
            <w:tcBorders>
              <w:top w:val="single" w:sz="18" w:space="0" w:color="auto"/>
              <w:left w:val="single" w:sz="6" w:space="0" w:color="auto"/>
              <w:bottom w:val="single" w:sz="6" w:space="0" w:color="auto"/>
              <w:right w:val="single" w:sz="6" w:space="0" w:color="auto"/>
            </w:tcBorders>
            <w:shd w:val="clear" w:color="auto" w:fill="auto"/>
            <w:vAlign w:val="center"/>
          </w:tcPr>
          <w:p>
            <w:pPr>
              <w:spacing w:after="0" w:line="240" w:lineRule="auto"/>
              <w:jc w:val="center"/>
              <w:rPr>
                <w:rFonts w:ascii="Times New Roman" w:eastAsia="Times New Roman" w:hAnsi="Times New Roman" w:cs="Times New Roman"/>
                <w:b/>
                <w:i/>
                <w:iCs/>
                <w:noProof/>
              </w:rPr>
            </w:pPr>
            <w:r>
              <w:rPr>
                <w:rFonts w:ascii="Times New Roman" w:hAnsi="Times New Roman"/>
                <w:b/>
                <w:i/>
                <w:noProof/>
              </w:rPr>
              <w:t xml:space="preserve">Първопричини </w:t>
            </w:r>
          </w:p>
        </w:tc>
      </w:tr>
      <w:tr>
        <w:trPr>
          <w:trHeight w:val="3036"/>
        </w:trPr>
        <w:tc>
          <w:tcPr>
            <w:tcW w:w="3397" w:type="dxa"/>
            <w:gridSpan w:val="2"/>
            <w:vMerge/>
            <w:tcBorders>
              <w:left w:val="nil"/>
              <w:right w:val="single" w:sz="4" w:space="0" w:color="auto"/>
            </w:tcBorders>
          </w:tcPr>
          <w:p>
            <w:pPr>
              <w:spacing w:after="0" w:line="240" w:lineRule="auto"/>
              <w:rPr>
                <w:rFonts w:ascii="Times New Roman" w:eastAsia="Times New Roman" w:hAnsi="Times New Roman" w:cs="Times New Roman"/>
                <w:noProof/>
              </w:rPr>
            </w:pPr>
          </w:p>
        </w:tc>
        <w:tc>
          <w:tcPr>
            <w:tcW w:w="2019"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pPr>
              <w:pStyle w:val="ListParagraph"/>
              <w:numPr>
                <w:ilvl w:val="0"/>
                <w:numId w:val="13"/>
              </w:numPr>
              <w:spacing w:after="0" w:line="240" w:lineRule="auto"/>
              <w:jc w:val="center"/>
              <w:rPr>
                <w:rFonts w:ascii="Times New Roman" w:hAnsi="Times New Roman"/>
                <w:i/>
                <w:noProof/>
              </w:rPr>
            </w:pPr>
          </w:p>
          <w:p>
            <w:pPr>
              <w:spacing w:after="0" w:line="240" w:lineRule="auto"/>
              <w:jc w:val="center"/>
              <w:rPr>
                <w:rFonts w:ascii="Times New Roman" w:hAnsi="Times New Roman"/>
                <w:i/>
                <w:noProof/>
              </w:rPr>
            </w:pPr>
            <w:r>
              <w:rPr>
                <w:rFonts w:ascii="Times New Roman" w:hAnsi="Times New Roman"/>
                <w:i/>
                <w:noProof/>
              </w:rPr>
              <w:t>Регулаторни решения на равнището на ЕС и на национално равнище</w:t>
            </w:r>
          </w:p>
        </w:tc>
        <w:tc>
          <w:tcPr>
            <w:tcW w:w="30"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pPr>
              <w:spacing w:after="0" w:line="240" w:lineRule="auto"/>
              <w:jc w:val="center"/>
              <w:rPr>
                <w:rFonts w:ascii="Times New Roman" w:hAnsi="Times New Roman"/>
                <w:i/>
                <w:noProof/>
              </w:rPr>
            </w:pPr>
          </w:p>
        </w:tc>
        <w:tc>
          <w:tcPr>
            <w:tcW w:w="1364" w:type="dxa"/>
            <w:gridSpan w:val="3"/>
            <w:tcBorders>
              <w:top w:val="single" w:sz="6" w:space="0" w:color="auto"/>
              <w:left w:val="single" w:sz="4" w:space="0" w:color="auto"/>
              <w:bottom w:val="single" w:sz="4" w:space="0" w:color="auto"/>
              <w:right w:val="single" w:sz="6" w:space="0" w:color="auto"/>
            </w:tcBorders>
            <w:shd w:val="clear" w:color="auto" w:fill="D9D9D9" w:themeFill="background1" w:themeFillShade="D9"/>
            <w:vAlign w:val="center"/>
          </w:tcPr>
          <w:p>
            <w:pPr>
              <w:spacing w:after="0" w:line="240" w:lineRule="auto"/>
              <w:jc w:val="center"/>
              <w:rPr>
                <w:rFonts w:ascii="Times New Roman" w:hAnsi="Times New Roman"/>
                <w:i/>
                <w:noProof/>
              </w:rPr>
            </w:pPr>
            <w:r>
              <w:rPr>
                <w:rFonts w:ascii="Times New Roman" w:hAnsi="Times New Roman"/>
                <w:i/>
                <w:noProof/>
              </w:rPr>
              <w:t>2. Транспониране, изпълнение и прилагане на законодателството на ЕС</w:t>
            </w:r>
          </w:p>
        </w:tc>
        <w:tc>
          <w:tcPr>
            <w:tcW w:w="1654"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pPr>
              <w:spacing w:after="0" w:line="240" w:lineRule="auto"/>
              <w:jc w:val="center"/>
              <w:rPr>
                <w:rFonts w:ascii="Times New Roman" w:hAnsi="Times New Roman"/>
                <w:i/>
                <w:noProof/>
              </w:rPr>
            </w:pPr>
            <w:r>
              <w:rPr>
                <w:rFonts w:ascii="Times New Roman" w:hAnsi="Times New Roman"/>
                <w:i/>
                <w:noProof/>
              </w:rPr>
              <w:t>3.</w:t>
            </w:r>
          </w:p>
          <w:p>
            <w:pPr>
              <w:spacing w:after="0" w:line="240" w:lineRule="auto"/>
              <w:jc w:val="center"/>
              <w:rPr>
                <w:rFonts w:ascii="Times New Roman" w:hAnsi="Times New Roman"/>
                <w:i/>
                <w:noProof/>
              </w:rPr>
            </w:pPr>
            <w:r>
              <w:rPr>
                <w:rFonts w:ascii="Times New Roman" w:hAnsi="Times New Roman"/>
                <w:i/>
                <w:noProof/>
              </w:rPr>
              <w:t>Административен капацитет и практики</w:t>
            </w:r>
          </w:p>
        </w:tc>
        <w:tc>
          <w:tcPr>
            <w:tcW w:w="626" w:type="dxa"/>
            <w:vMerge w:val="restart"/>
            <w:tcBorders>
              <w:top w:val="single" w:sz="6" w:space="0" w:color="auto"/>
              <w:left w:val="single" w:sz="6" w:space="0" w:color="auto"/>
              <w:right w:val="single" w:sz="6" w:space="0" w:color="auto"/>
            </w:tcBorders>
            <w:shd w:val="clear" w:color="auto" w:fill="D9D9D9" w:themeFill="background1" w:themeFillShade="D9"/>
            <w:textDirection w:val="btLr"/>
            <w:vAlign w:val="center"/>
          </w:tcPr>
          <w:p>
            <w:pPr>
              <w:spacing w:after="0" w:line="240" w:lineRule="auto"/>
              <w:rPr>
                <w:rFonts w:ascii="Times New Roman" w:hAnsi="Times New Roman"/>
                <w:i/>
                <w:noProof/>
              </w:rPr>
            </w:pPr>
            <w:r>
              <w:rPr>
                <w:rFonts w:ascii="Times New Roman" w:hAnsi="Times New Roman"/>
                <w:i/>
                <w:noProof/>
              </w:rPr>
              <w:t xml:space="preserve">4. Обща стопанска среда и условия за потребителите в държавите членки </w:t>
            </w:r>
          </w:p>
        </w:tc>
        <w:tc>
          <w:tcPr>
            <w:tcW w:w="425" w:type="dxa"/>
            <w:vMerge w:val="restart"/>
            <w:tcBorders>
              <w:top w:val="single" w:sz="6" w:space="0" w:color="auto"/>
              <w:left w:val="single" w:sz="6" w:space="0" w:color="auto"/>
              <w:right w:val="single" w:sz="6" w:space="0" w:color="auto"/>
            </w:tcBorders>
            <w:shd w:val="clear" w:color="auto" w:fill="D9D9D9" w:themeFill="background1" w:themeFillShade="D9"/>
            <w:textDirection w:val="btLr"/>
            <w:vAlign w:val="center"/>
          </w:tcPr>
          <w:p>
            <w:pPr>
              <w:spacing w:after="0" w:line="240" w:lineRule="auto"/>
              <w:rPr>
                <w:rFonts w:ascii="Times New Roman" w:hAnsi="Times New Roman"/>
                <w:i/>
                <w:noProof/>
              </w:rPr>
            </w:pPr>
            <w:r>
              <w:rPr>
                <w:rFonts w:ascii="Times New Roman" w:hAnsi="Times New Roman"/>
                <w:i/>
                <w:noProof/>
              </w:rPr>
              <w:t xml:space="preserve">  </w:t>
            </w:r>
          </w:p>
          <w:p>
            <w:pPr>
              <w:spacing w:after="0" w:line="240" w:lineRule="auto"/>
              <w:rPr>
                <w:rFonts w:ascii="Times New Roman" w:hAnsi="Times New Roman"/>
                <w:i/>
                <w:noProof/>
              </w:rPr>
            </w:pPr>
            <w:r>
              <w:rPr>
                <w:rFonts w:ascii="Times New Roman" w:hAnsi="Times New Roman"/>
                <w:i/>
                <w:noProof/>
              </w:rPr>
              <w:t xml:space="preserve"> 5. Първопричини, които не са свързани с обществената политика </w:t>
            </w:r>
          </w:p>
        </w:tc>
      </w:tr>
      <w:tr>
        <w:trPr>
          <w:trHeight w:val="3036"/>
        </w:trPr>
        <w:tc>
          <w:tcPr>
            <w:tcW w:w="3397" w:type="dxa"/>
            <w:gridSpan w:val="2"/>
            <w:vMerge/>
            <w:tcBorders>
              <w:left w:val="nil"/>
              <w:right w:val="single" w:sz="4" w:space="0" w:color="auto"/>
            </w:tcBorders>
          </w:tcPr>
          <w:p>
            <w:pPr>
              <w:spacing w:after="0" w:line="240" w:lineRule="auto"/>
              <w:rPr>
                <w:rFonts w:ascii="Times New Roman" w:eastAsia="Times New Roman" w:hAnsi="Times New Roman" w:cs="Times New Roman"/>
                <w:noProof/>
              </w:rPr>
            </w:pPr>
          </w:p>
        </w:tc>
        <w:tc>
          <w:tcPr>
            <w:tcW w:w="606" w:type="dxa"/>
            <w:gridSpan w:val="2"/>
            <w:tcBorders>
              <w:top w:val="single" w:sz="6" w:space="0" w:color="auto"/>
              <w:left w:val="single"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iCs/>
                <w:noProof/>
              </w:rPr>
              <w:t xml:space="preserve">  Рестриктивни национални правила и ограничена роля на законодателството на ЕС</w:t>
            </w:r>
          </w:p>
        </w:tc>
        <w:tc>
          <w:tcPr>
            <w:tcW w:w="709"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noProof/>
              </w:rPr>
              <w:t xml:space="preserve"> Законодателството на ЕС може да допуска гъвкавост в равнището на хармонизация и/или практиката, прилагана от държавите членки (т. нар. „свръхрегулиране“) </w:t>
            </w:r>
          </w:p>
        </w:tc>
        <w:tc>
          <w:tcPr>
            <w:tcW w:w="420"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noProof/>
              </w:rPr>
              <w:t xml:space="preserve"> Изисквания, мотивирани от съображения на обществената политика</w:t>
            </w:r>
          </w:p>
        </w:tc>
        <w:tc>
          <w:tcPr>
            <w:tcW w:w="284" w:type="dxa"/>
            <w:tcBorders>
              <w:top w:val="single" w:sz="6" w:space="0" w:color="auto"/>
              <w:left w:val="dotted" w:sz="4" w:space="0" w:color="auto"/>
              <w:bottom w:val="single" w:sz="4" w:space="0" w:color="auto"/>
              <w:right w:val="single" w:sz="4"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noProof/>
              </w:rPr>
              <w:t xml:space="preserve"> Сложно законодателство на ЕС</w:t>
            </w:r>
          </w:p>
        </w:tc>
        <w:tc>
          <w:tcPr>
            <w:tcW w:w="576" w:type="dxa"/>
            <w:gridSpan w:val="2"/>
            <w:tcBorders>
              <w:top w:val="single" w:sz="6" w:space="0" w:color="auto"/>
              <w:left w:val="single"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noProof/>
              </w:rPr>
              <w:t xml:space="preserve"> Несъвършено транспониране на директивите на ЕС</w:t>
            </w:r>
          </w:p>
        </w:tc>
        <w:tc>
          <w:tcPr>
            <w:tcW w:w="409" w:type="dxa"/>
            <w:tcBorders>
              <w:top w:val="single" w:sz="6" w:space="0" w:color="auto"/>
              <w:left w:val="dotted" w:sz="4" w:space="0" w:color="auto"/>
              <w:bottom w:val="single" w:sz="4" w:space="0" w:color="auto"/>
              <w:right w:val="dotted" w:sz="4" w:space="0" w:color="auto"/>
            </w:tcBorders>
            <w:textDirection w:val="btLr"/>
          </w:tcPr>
          <w:p>
            <w:pPr>
              <w:spacing w:after="0" w:line="240" w:lineRule="auto"/>
              <w:rPr>
                <w:rFonts w:ascii="Times New Roman" w:hAnsi="Times New Roman"/>
                <w:i/>
                <w:noProof/>
              </w:rPr>
            </w:pPr>
            <w:r>
              <w:rPr>
                <w:rFonts w:ascii="Times New Roman" w:hAnsi="Times New Roman"/>
                <w:i/>
                <w:iCs/>
                <w:noProof/>
              </w:rPr>
              <w:t xml:space="preserve"> Неадекватно изпълнение на законодателството на ЕС</w:t>
            </w:r>
          </w:p>
        </w:tc>
        <w:tc>
          <w:tcPr>
            <w:tcW w:w="409" w:type="dxa"/>
            <w:tcBorders>
              <w:top w:val="single" w:sz="6" w:space="0" w:color="auto"/>
              <w:left w:val="dotted" w:sz="4" w:space="0" w:color="auto"/>
              <w:bottom w:val="single" w:sz="4" w:space="0" w:color="auto"/>
              <w:right w:val="single" w:sz="6"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noProof/>
              </w:rPr>
              <w:t xml:space="preserve"> Неадекватно прилагане на законодателството на ЕС</w:t>
            </w:r>
          </w:p>
        </w:tc>
        <w:tc>
          <w:tcPr>
            <w:tcW w:w="517" w:type="dxa"/>
            <w:tcBorders>
              <w:top w:val="single" w:sz="6" w:space="0" w:color="auto"/>
              <w:left w:val="single" w:sz="6"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noProof/>
              </w:rPr>
              <w:t xml:space="preserve"> Недостатъчни или несъвместими решения за електронно управление на национално равнище</w:t>
            </w:r>
          </w:p>
        </w:tc>
        <w:tc>
          <w:tcPr>
            <w:tcW w:w="620" w:type="dxa"/>
            <w:tcBorders>
              <w:top w:val="single" w:sz="6" w:space="0" w:color="auto"/>
              <w:left w:val="dotted" w:sz="4" w:space="0" w:color="auto"/>
              <w:bottom w:val="single" w:sz="4" w:space="0" w:color="auto"/>
              <w:right w:val="dotted" w:sz="4"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noProof/>
              </w:rPr>
              <w:t xml:space="preserve"> Недостатъчна координация между Комисията и националните администрации и между самите национални администрации</w:t>
            </w:r>
          </w:p>
        </w:tc>
        <w:tc>
          <w:tcPr>
            <w:tcW w:w="517" w:type="dxa"/>
            <w:tcBorders>
              <w:top w:val="single" w:sz="6" w:space="0" w:color="auto"/>
              <w:left w:val="dotted" w:sz="4" w:space="0" w:color="auto"/>
              <w:bottom w:val="single" w:sz="4" w:space="0" w:color="auto"/>
              <w:right w:val="single" w:sz="6" w:space="0" w:color="auto"/>
            </w:tcBorders>
            <w:shd w:val="clear" w:color="auto" w:fill="auto"/>
            <w:textDirection w:val="btLr"/>
            <w:vAlign w:val="center"/>
            <w:hideMark/>
          </w:tcPr>
          <w:p>
            <w:pPr>
              <w:spacing w:after="0" w:line="240" w:lineRule="auto"/>
              <w:rPr>
                <w:rFonts w:ascii="Times New Roman" w:hAnsi="Times New Roman"/>
                <w:i/>
                <w:noProof/>
              </w:rPr>
            </w:pPr>
            <w:r>
              <w:rPr>
                <w:rFonts w:ascii="Times New Roman" w:hAnsi="Times New Roman"/>
                <w:i/>
                <w:noProof/>
              </w:rPr>
              <w:t xml:space="preserve"> Недостиг на служители или експертен опит на национално, регионално или местно равнище</w:t>
            </w:r>
          </w:p>
        </w:tc>
        <w:tc>
          <w:tcPr>
            <w:tcW w:w="626" w:type="dxa"/>
            <w:vMerge/>
            <w:tcBorders>
              <w:left w:val="single" w:sz="6" w:space="0" w:color="auto"/>
              <w:right w:val="single" w:sz="6" w:space="0" w:color="auto"/>
            </w:tcBorders>
            <w:shd w:val="clear" w:color="auto" w:fill="D9D9D9" w:themeFill="background1" w:themeFillShade="D9"/>
            <w:textDirection w:val="btLr"/>
            <w:vAlign w:val="center"/>
            <w:hideMark/>
          </w:tcPr>
          <w:p>
            <w:pPr>
              <w:spacing w:after="0" w:line="240" w:lineRule="auto"/>
              <w:rPr>
                <w:rFonts w:ascii="Times New Roman" w:hAnsi="Times New Roman"/>
                <w:i/>
                <w:noProof/>
              </w:rPr>
            </w:pPr>
          </w:p>
        </w:tc>
        <w:tc>
          <w:tcPr>
            <w:tcW w:w="425" w:type="dxa"/>
            <w:vMerge/>
            <w:tcBorders>
              <w:left w:val="single" w:sz="6" w:space="0" w:color="auto"/>
              <w:right w:val="single" w:sz="6" w:space="0" w:color="auto"/>
            </w:tcBorders>
            <w:shd w:val="clear" w:color="auto" w:fill="D9D9D9" w:themeFill="background1" w:themeFillShade="D9"/>
            <w:textDirection w:val="btLr"/>
            <w:vAlign w:val="center"/>
            <w:hideMark/>
          </w:tcPr>
          <w:p>
            <w:pPr>
              <w:spacing w:after="0" w:line="240" w:lineRule="auto"/>
              <w:rPr>
                <w:rFonts w:ascii="Times New Roman" w:hAnsi="Times New Roman"/>
                <w:i/>
                <w:noProof/>
              </w:rPr>
            </w:pPr>
          </w:p>
        </w:tc>
      </w:tr>
      <w:tr>
        <w:trPr>
          <w:trHeight w:val="19"/>
        </w:trPr>
        <w:tc>
          <w:tcPr>
            <w:tcW w:w="393" w:type="dxa"/>
            <w:tcBorders>
              <w:top w:val="single" w:sz="4" w:space="0" w:color="auto"/>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1</w:t>
            </w:r>
          </w:p>
        </w:tc>
        <w:tc>
          <w:tcPr>
            <w:tcW w:w="3004" w:type="dxa"/>
            <w:tcBorders>
              <w:top w:val="single" w:sz="4" w:space="0" w:color="auto"/>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 xml:space="preserve">Трудности при получаването на информация (Д, П) </w:t>
            </w:r>
          </w:p>
        </w:tc>
        <w:tc>
          <w:tcPr>
            <w:tcW w:w="606" w:type="dxa"/>
            <w:gridSpan w:val="2"/>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top w:val="single" w:sz="4" w:space="0" w:color="auto"/>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top w:val="single" w:sz="4" w:space="0" w:color="auto"/>
              <w:left w:val="dotted" w:sz="4" w:space="0" w:color="auto"/>
              <w:right w:val="dotted" w:sz="4" w:space="0" w:color="auto"/>
            </w:tcBorders>
          </w:tcPr>
          <w:p>
            <w:pPr>
              <w:spacing w:after="0" w:line="240" w:lineRule="auto"/>
              <w:jc w:val="center"/>
              <w:rPr>
                <w:rFonts w:ascii="Times New Roman" w:hAnsi="Times New Roman"/>
                <w:b/>
                <w:noProof/>
              </w:rPr>
            </w:pPr>
            <w:r>
              <w:rPr>
                <w:rFonts w:ascii="Times New Roman" w:hAnsi="Times New Roman"/>
                <w:b/>
                <w:noProof/>
              </w:rPr>
              <w:t>×</w:t>
            </w:r>
          </w:p>
        </w:tc>
        <w:tc>
          <w:tcPr>
            <w:tcW w:w="409" w:type="dxa"/>
            <w:tcBorders>
              <w:top w:val="single" w:sz="4" w:space="0" w:color="auto"/>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top w:val="single" w:sz="4" w:space="0" w:color="auto"/>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0" w:type="dxa"/>
            <w:tcBorders>
              <w:top w:val="single" w:sz="4" w:space="0" w:color="auto"/>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top w:val="single" w:sz="4" w:space="0" w:color="auto"/>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626" w:type="dxa"/>
            <w:tcBorders>
              <w:top w:val="single" w:sz="4" w:space="0" w:color="auto"/>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5" w:type="dxa"/>
            <w:tcBorders>
              <w:top w:val="single" w:sz="4" w:space="0" w:color="auto"/>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2</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Сложни административни процедури, регламентиращи продажбата на стоки или предоставянето на услуги зад граница (Д)</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noProof/>
              </w:rPr>
            </w:pPr>
            <w:r>
              <w:rPr>
                <w:rFonts w:ascii="Times New Roman" w:hAnsi="Times New Roman"/>
                <w:noProof/>
              </w:rPr>
              <w:t>×</w:t>
            </w: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3</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Неравномерен достъп до обществени поръчки (Д)</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4</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Проблеми, свързани с допълнителни технически изисквания, стандарти и други правила в някои сектори на национално равнище (Д)</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5</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Проблеми, свързани с изискванията за достъп и изискванията за упражняване на дейност (Д в сектора на услугите)</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r>
              <w:rPr>
                <w:rFonts w:ascii="Times New Roman" w:hAnsi="Times New Roman"/>
                <w:b/>
                <w:noProof/>
              </w:rPr>
              <w:t>×</w:t>
            </w: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6</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Отхвърляне или пренасочване на трансграничните поръчки за покупки (Д, П)</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7</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По-ниско равнище на доверие при трансграничните онлайн покупки (П)</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8</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Мишена за измами с трансграничен произход (П)</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9</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Тежки процедури поради различия в данъчните системи и администрации (Д)</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10</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 xml:space="preserve">Трудности при уреждането на търговски/граждански спорове и при събирането на плащания (Д) </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11</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Проблеми при регистрирането на стопанска дейност в друга държава членка (Д)</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r>
      <w:tr>
        <w:trPr>
          <w:trHeight w:val="19"/>
        </w:trPr>
        <w:tc>
          <w:tcPr>
            <w:tcW w:w="393" w:type="dxa"/>
            <w:tcBorders>
              <w:left w:val="nil"/>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12</w:t>
            </w:r>
          </w:p>
        </w:tc>
        <w:tc>
          <w:tcPr>
            <w:tcW w:w="3004" w:type="dxa"/>
            <w:tcBorders>
              <w:left w:val="nil"/>
              <w:right w:val="single" w:sz="4" w:space="0" w:color="auto"/>
            </w:tcBorders>
            <w:shd w:val="clear" w:color="auto" w:fill="auto"/>
            <w:vAlign w:val="center"/>
            <w:hideMark/>
          </w:tcPr>
          <w:p>
            <w:pPr>
              <w:spacing w:before="40" w:after="40" w:line="240" w:lineRule="auto"/>
              <w:rPr>
                <w:rFonts w:ascii="Times New Roman" w:hAnsi="Times New Roman"/>
                <w:noProof/>
              </w:rPr>
            </w:pPr>
            <w:r>
              <w:rPr>
                <w:rFonts w:ascii="Times New Roman" w:hAnsi="Times New Roman"/>
                <w:noProof/>
              </w:rPr>
              <w:t>Проблеми с недостига и несъответствието на умения (Д)</w:t>
            </w:r>
          </w:p>
        </w:tc>
        <w:tc>
          <w:tcPr>
            <w:tcW w:w="60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709"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single"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620" w:type="dxa"/>
            <w:tcBorders>
              <w:left w:val="dotted" w:sz="4"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dotted" w:sz="4"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626"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c>
          <w:tcPr>
            <w:tcW w:w="425" w:type="dxa"/>
            <w:tcBorders>
              <w:left w:val="single" w:sz="6"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r>
      <w:tr>
        <w:trPr>
          <w:trHeight w:val="19"/>
        </w:trPr>
        <w:tc>
          <w:tcPr>
            <w:tcW w:w="393" w:type="dxa"/>
            <w:tcBorders>
              <w:left w:val="nil"/>
              <w:bottom w:val="single" w:sz="18" w:space="0" w:color="auto"/>
              <w:right w:val="nil"/>
            </w:tcBorders>
            <w:vAlign w:val="center"/>
          </w:tcPr>
          <w:p>
            <w:pPr>
              <w:spacing w:before="40" w:after="40" w:line="240" w:lineRule="auto"/>
              <w:jc w:val="center"/>
              <w:rPr>
                <w:rFonts w:ascii="Times New Roman" w:hAnsi="Times New Roman"/>
                <w:b/>
                <w:noProof/>
              </w:rPr>
            </w:pPr>
            <w:r>
              <w:rPr>
                <w:rFonts w:ascii="Times New Roman" w:hAnsi="Times New Roman"/>
                <w:b/>
                <w:noProof/>
              </w:rPr>
              <w:t>13</w:t>
            </w:r>
          </w:p>
        </w:tc>
        <w:tc>
          <w:tcPr>
            <w:tcW w:w="3004" w:type="dxa"/>
            <w:tcBorders>
              <w:left w:val="nil"/>
              <w:bottom w:val="single" w:sz="18" w:space="0" w:color="auto"/>
              <w:right w:val="single" w:sz="4" w:space="0" w:color="auto"/>
            </w:tcBorders>
            <w:shd w:val="clear" w:color="auto" w:fill="auto"/>
            <w:vAlign w:val="center"/>
            <w:hideMark/>
          </w:tcPr>
          <w:p>
            <w:pPr>
              <w:spacing w:before="40" w:after="40" w:line="240" w:lineRule="auto"/>
              <w:rPr>
                <w:rFonts w:ascii="Times New Roman" w:hAnsi="Times New Roman"/>
                <w:noProof/>
                <w:highlight w:val="yellow"/>
              </w:rPr>
            </w:pPr>
            <w:r>
              <w:rPr>
                <w:rFonts w:ascii="Times New Roman" w:hAnsi="Times New Roman"/>
                <w:noProof/>
              </w:rPr>
              <w:t>Езикови бариери (Д, П)</w:t>
            </w:r>
          </w:p>
        </w:tc>
        <w:tc>
          <w:tcPr>
            <w:tcW w:w="606" w:type="dxa"/>
            <w:gridSpan w:val="2"/>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highlight w:val="yellow"/>
              </w:rPr>
            </w:pPr>
          </w:p>
        </w:tc>
        <w:tc>
          <w:tcPr>
            <w:tcW w:w="709"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highlight w:val="yellow"/>
              </w:rPr>
            </w:pPr>
            <w:r>
              <w:rPr>
                <w:rFonts w:ascii="Times New Roman" w:hAnsi="Times New Roman"/>
                <w:b/>
                <w:noProof/>
              </w:rPr>
              <w:t>×</w:t>
            </w:r>
          </w:p>
        </w:tc>
        <w:tc>
          <w:tcPr>
            <w:tcW w:w="420"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284" w:type="dxa"/>
            <w:tcBorders>
              <w:left w:val="dotted" w:sz="4" w:space="0" w:color="auto"/>
              <w:bottom w:val="single" w:sz="18"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76" w:type="dxa"/>
            <w:gridSpan w:val="2"/>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409" w:type="dxa"/>
            <w:tcBorders>
              <w:left w:val="dotted" w:sz="4" w:space="0" w:color="auto"/>
              <w:bottom w:val="single" w:sz="18" w:space="0" w:color="auto"/>
              <w:right w:val="dotted" w:sz="4" w:space="0" w:color="auto"/>
            </w:tcBorders>
          </w:tcPr>
          <w:p>
            <w:pPr>
              <w:spacing w:after="0" w:line="240" w:lineRule="auto"/>
              <w:jc w:val="center"/>
              <w:rPr>
                <w:rFonts w:ascii="Times New Roman" w:hAnsi="Times New Roman"/>
                <w:b/>
                <w:noProof/>
              </w:rPr>
            </w:pPr>
          </w:p>
        </w:tc>
        <w:tc>
          <w:tcPr>
            <w:tcW w:w="409" w:type="dxa"/>
            <w:tcBorders>
              <w:left w:val="dotted" w:sz="4" w:space="0" w:color="auto"/>
              <w:bottom w:val="single" w:sz="18" w:space="0" w:color="auto"/>
              <w:right w:val="single"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single"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620" w:type="dxa"/>
            <w:tcBorders>
              <w:left w:val="dotted" w:sz="4" w:space="0" w:color="auto"/>
              <w:bottom w:val="single" w:sz="18" w:space="0" w:color="auto"/>
              <w:right w:val="dotted" w:sz="4" w:space="0" w:color="auto"/>
            </w:tcBorders>
            <w:shd w:val="clear" w:color="auto" w:fill="auto"/>
            <w:noWrap/>
            <w:vAlign w:val="center"/>
            <w:hideMark/>
          </w:tcPr>
          <w:p>
            <w:pPr>
              <w:spacing w:after="0" w:line="240" w:lineRule="auto"/>
              <w:jc w:val="center"/>
              <w:rPr>
                <w:rFonts w:ascii="Times New Roman" w:hAnsi="Times New Roman"/>
                <w:b/>
                <w:noProof/>
              </w:rPr>
            </w:pPr>
          </w:p>
        </w:tc>
        <w:tc>
          <w:tcPr>
            <w:tcW w:w="517" w:type="dxa"/>
            <w:tcBorders>
              <w:left w:val="dotted" w:sz="4"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626" w:type="dxa"/>
            <w:tcBorders>
              <w:left w:val="single" w:sz="6"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p>
        </w:tc>
        <w:tc>
          <w:tcPr>
            <w:tcW w:w="425" w:type="dxa"/>
            <w:tcBorders>
              <w:left w:val="single" w:sz="6" w:space="0" w:color="auto"/>
              <w:bottom w:val="single" w:sz="18" w:space="0" w:color="auto"/>
              <w:right w:val="single" w:sz="6" w:space="0" w:color="auto"/>
            </w:tcBorders>
            <w:shd w:val="clear" w:color="auto" w:fill="auto"/>
            <w:noWrap/>
            <w:vAlign w:val="center"/>
            <w:hideMark/>
          </w:tcPr>
          <w:p>
            <w:pPr>
              <w:spacing w:after="0" w:line="240" w:lineRule="auto"/>
              <w:jc w:val="center"/>
              <w:rPr>
                <w:rFonts w:ascii="Times New Roman" w:hAnsi="Times New Roman"/>
                <w:b/>
                <w:noProof/>
              </w:rPr>
            </w:pPr>
            <w:r>
              <w:rPr>
                <w:rFonts w:ascii="Times New Roman" w:hAnsi="Times New Roman"/>
                <w:b/>
                <w:noProof/>
              </w:rPr>
              <w:t>×</w:t>
            </w:r>
          </w:p>
        </w:tc>
      </w:tr>
    </w:tbl>
    <w:p>
      <w:pPr>
        <w:ind w:left="360"/>
        <w:rPr>
          <w:rFonts w:ascii="Times New Roman" w:hAnsi="Times New Roman"/>
          <w:i/>
          <w:noProof/>
        </w:rPr>
      </w:pPr>
      <w:r>
        <w:rPr>
          <w:rFonts w:ascii="Times New Roman" w:hAnsi="Times New Roman"/>
          <w:i/>
          <w:noProof/>
        </w:rPr>
        <w:t xml:space="preserve">Легенда: (Д): дружества, (П): потребители </w:t>
      </w:r>
    </w:p>
    <w:p>
      <w:pPr>
        <w:pStyle w:val="Heading2"/>
        <w:numPr>
          <w:ilvl w:val="0"/>
          <w:numId w:val="11"/>
        </w:numPr>
        <w:rPr>
          <w:noProof/>
          <w:sz w:val="22"/>
          <w:szCs w:val="22"/>
        </w:rPr>
      </w:pPr>
      <w:r>
        <w:rPr>
          <w:noProof/>
          <w:sz w:val="22"/>
          <w:szCs w:val="22"/>
        </w:rPr>
        <w:t>Регулаторни решения на равнището на ЕС и на национално равнище</w:t>
      </w:r>
    </w:p>
    <w:p>
      <w:pPr>
        <w:jc w:val="both"/>
        <w:rPr>
          <w:noProof/>
        </w:rPr>
      </w:pPr>
    </w:p>
    <w:p>
      <w:pPr>
        <w:ind w:left="360"/>
        <w:jc w:val="both"/>
        <w:rPr>
          <w:rFonts w:ascii="Times New Roman" w:hAnsi="Times New Roman"/>
          <w:b/>
          <w:noProof/>
        </w:rPr>
      </w:pPr>
      <w:r>
        <w:rPr>
          <w:rFonts w:ascii="Times New Roman" w:hAnsi="Times New Roman"/>
          <w:b/>
          <w:noProof/>
        </w:rPr>
        <w:t>Рестриктивни национални правила и роля на законодателството на ЕС</w:t>
      </w:r>
    </w:p>
    <w:p>
      <w:pPr>
        <w:jc w:val="both"/>
        <w:rPr>
          <w:rFonts w:ascii="Times New Roman" w:hAnsi="Times New Roman" w:cs="Times New Roman"/>
          <w:noProof/>
        </w:rPr>
      </w:pPr>
      <w:r>
        <w:rPr>
          <w:rFonts w:ascii="Times New Roman" w:hAnsi="Times New Roman"/>
          <w:noProof/>
        </w:rPr>
        <w:t>Опериращите в рамките на единния пазар дружества често се сблъскват с рестриктивни национални правила. Това може да се окаже съществен проблем в сектори, в които регулаторните подходи на държавите членки са рестриктивни и често се различават, включително в области, в които преобладават иновациите и новите бизнес модели. Комисията очерта няколко приоритетни области, в които са необходими допълнителни законодателни инициативи като стъпка за преодоляването на пречките, посочени в раздел I по-горе, и с цел улесняване на трансграничната дейност за дружествата и потребителите</w:t>
      </w:r>
      <w:r>
        <w:rPr>
          <w:rStyle w:val="FootnoteReference"/>
          <w:rFonts w:ascii="Times New Roman" w:hAnsi="Times New Roman" w:cs="Times New Roman"/>
          <w:noProof/>
        </w:rPr>
        <w:footnoteReference w:id="45"/>
      </w:r>
      <w:r>
        <w:rPr>
          <w:rFonts w:ascii="Times New Roman" w:hAnsi="Times New Roman"/>
          <w:noProof/>
        </w:rPr>
        <w:t>. В работната програма на Комисията за 2020 г.</w:t>
      </w:r>
      <w:r>
        <w:rPr>
          <w:rStyle w:val="FootnoteReference"/>
          <w:rFonts w:ascii="Times New Roman" w:hAnsi="Times New Roman" w:cs="Times New Roman"/>
          <w:noProof/>
        </w:rPr>
        <w:footnoteReference w:id="46"/>
      </w:r>
      <w:r>
        <w:rPr>
          <w:rFonts w:ascii="Times New Roman" w:hAnsi="Times New Roman"/>
          <w:noProof/>
        </w:rPr>
        <w:t xml:space="preserve"> са залегнали някои възлови инициативи, свързани с екологичния преход и цифровата трансформация. Те включват изграждането на единен пазар за устойчиви продукти, изкуствен интелект, данни и цифрови услуги.</w:t>
      </w:r>
    </w:p>
    <w:p>
      <w:pPr>
        <w:jc w:val="both"/>
        <w:rPr>
          <w:rFonts w:ascii="Times New Roman" w:hAnsi="Times New Roman" w:cs="Times New Roman"/>
          <w:noProof/>
        </w:rPr>
      </w:pPr>
      <w:r>
        <w:rPr>
          <w:rFonts w:ascii="Times New Roman" w:hAnsi="Times New Roman"/>
          <w:noProof/>
        </w:rPr>
        <w:t>Рестриктивните национални правила засягат особено силно сектора на услугите, като могат да включват изисквания за достъп и изисквания за упражняване на определени дейности или професии, като например разрешителни режими, задължително членство в камара в редица области на професионални услуги, изисквания за застраховане или ограничения върху дружествените структури. В случаите, в които правото на ЕС вече предвижда рамка за оценяването на тези ограничения (Директива за услугите, Директива относно проверката за пропорционалност и т.н.), в интерес на експедитивността Комисията ще съсредоточи усилията си върху по-доброто изпълнение и прилагане на законодателството в съответствие с представения днес Дългосрочен план за действие за по-добро изпълнение и ефективно прилагане на правилата на единния пазар.</w:t>
      </w:r>
    </w:p>
    <w:p>
      <w:pPr>
        <w:jc w:val="both"/>
        <w:rPr>
          <w:rFonts w:ascii="Times New Roman" w:hAnsi="Times New Roman" w:cs="Times New Roman"/>
          <w:noProof/>
        </w:rPr>
      </w:pPr>
      <w:r>
        <w:rPr>
          <w:rFonts w:ascii="Times New Roman" w:hAnsi="Times New Roman"/>
          <w:noProof/>
        </w:rPr>
        <w:t>Различаващите се и рестриктивни регулаторни подходи се срещат и в области, в които ЕС няма или има ограничени законодателни правомощия (социално осигуряване, образование) и/или в които Договорът налага изискване за единодушие (данъчно облагане). Това не означава, че няма възможност за законодателни инициативи, както наскоро  стана ясно в сферата на прякото данъчно облагане. ЕС прие директива за подобряване на уреждането на спорове в областта на прякото данъчно облагане</w:t>
      </w:r>
      <w:r>
        <w:rPr>
          <w:rStyle w:val="FootnoteReference"/>
          <w:rFonts w:ascii="Times New Roman" w:hAnsi="Times New Roman" w:cs="Times New Roman"/>
          <w:noProof/>
        </w:rPr>
        <w:footnoteReference w:id="47"/>
      </w:r>
      <w:r>
        <w:rPr>
          <w:rFonts w:ascii="Times New Roman" w:hAnsi="Times New Roman"/>
          <w:noProof/>
        </w:rPr>
        <w:t>, по-специално посредством задължителен арбитраж. Освен това Съветът наскоро прие предложението на Комисията за преразглеждане на правилата за освобождаване от ДДС по отношение на МСП</w:t>
      </w:r>
      <w:r>
        <w:rPr>
          <w:rStyle w:val="FootnoteReference"/>
          <w:rFonts w:ascii="Times New Roman" w:hAnsi="Times New Roman" w:cs="Times New Roman"/>
          <w:noProof/>
        </w:rPr>
        <w:footnoteReference w:id="48"/>
      </w:r>
      <w:r>
        <w:rPr>
          <w:rFonts w:ascii="Times New Roman" w:hAnsi="Times New Roman"/>
          <w:noProof/>
        </w:rPr>
        <w:t xml:space="preserve">. В работната програма на Комисията за 2020 г. е включен и план за действие за борба с данъчните измами и за опростяване и улесняване на данъчното облагане. </w:t>
      </w:r>
    </w:p>
    <w:p>
      <w:pPr>
        <w:jc w:val="both"/>
        <w:rPr>
          <w:rFonts w:ascii="Times New Roman" w:hAnsi="Times New Roman" w:cs="Times New Roman"/>
          <w:noProof/>
        </w:rPr>
      </w:pPr>
      <w:r>
        <w:rPr>
          <w:rFonts w:ascii="Times New Roman" w:hAnsi="Times New Roman"/>
          <w:noProof/>
        </w:rPr>
        <w:t>За законодателните форми, които дават възможност за учредяване на европейски дружества, също е необходимо единодушие. Това не изключва възможността за инициативи на ЕС, но на практика затруднява постигането на съгласие по тях</w:t>
      </w:r>
      <w:r>
        <w:rPr>
          <w:rStyle w:val="FootnoteReference"/>
          <w:rFonts w:ascii="Times New Roman" w:hAnsi="Times New Roman" w:cs="Times New Roman"/>
          <w:noProof/>
        </w:rPr>
        <w:footnoteReference w:id="49"/>
      </w:r>
      <w:r>
        <w:rPr>
          <w:rFonts w:ascii="Times New Roman" w:hAnsi="Times New Roman"/>
          <w:noProof/>
        </w:rPr>
        <w:t>. Някои други аспекти на дружественото право обаче са хармонизирани на равнището на ЕС. Следва да се подчертае, че Директивата от 2019 г. относно използването на цифрови инструменти и процедури ще даде възможност на предприемачите да създават нови дружества или клонове изцяло онлайн във всички държави членки и трансгранично в целия ЕС, като държавите членки ще бъдат длъжни да предоставят безплатно онлайн информация за най-важните изисквания на дружественото право. Благодарение на това би следвало някои от горепосочените пречки да бъдат преодолени, да се намалят съществено разходите и да се постигне по-добра ефикасност за дружествата, в частност за МСП. Проблемите с транспонирането на законодателството и спазването на изискванията са повод за загриженост както за Комисията, така и за държавите членки. Поради това за преодоляването им е нужно задълбочено сътрудничество между тях.  В съобщението „Дългосрочен план за действие за по-добро изпълнение и ефективно прилагане на правилата на единния пазар“ са изведени основните инициативи в тази област.</w:t>
      </w:r>
    </w:p>
    <w:p>
      <w:pPr>
        <w:jc w:val="both"/>
        <w:rPr>
          <w:rFonts w:ascii="Times New Roman" w:hAnsi="Times New Roman"/>
          <w:noProof/>
        </w:rPr>
      </w:pPr>
      <w:r>
        <w:rPr>
          <w:rFonts w:ascii="Times New Roman" w:hAnsi="Times New Roman"/>
          <w:noProof/>
        </w:rPr>
        <w:t xml:space="preserve">И на последно място, ограничената роля на ЕС може да е продиктувана също така от необходимостта да се съблюдават принципите на субсидиарност и пропорционалност в дадена област.   </w:t>
      </w:r>
    </w:p>
    <w:p>
      <w:pPr>
        <w:pStyle w:val="Heading2"/>
        <w:rPr>
          <w:noProof/>
        </w:rPr>
      </w:pPr>
      <w:r>
        <w:rPr>
          <w:noProof/>
        </w:rPr>
        <w:t>Законодателството на ЕС може да оставя възможност за гъвкавост в равнището на хармонизация и/или практиката, прилагана от държавите членки (т. нар. „свръхрегулиране“).</w:t>
      </w:r>
      <w:r>
        <w:rPr>
          <w:noProof/>
        </w:rPr>
        <w:tab/>
      </w:r>
    </w:p>
    <w:p>
      <w:pPr>
        <w:jc w:val="both"/>
        <w:rPr>
          <w:rFonts w:ascii="Times New Roman" w:hAnsi="Times New Roman" w:cs="Times New Roman"/>
          <w:noProof/>
          <w:sz w:val="24"/>
          <w:szCs w:val="24"/>
        </w:rPr>
      </w:pPr>
      <w:r>
        <w:rPr>
          <w:rFonts w:ascii="Times New Roman" w:hAnsi="Times New Roman"/>
          <w:noProof/>
        </w:rPr>
        <w:t>Някои въпроси, свързани с единния пазар, са изцяло хармонизирани на равнище ЕС. Законодателят на ЕС е уредил някои въпроси изчерпателно, като е търсил баланс между необходимостта от отваряне на пазара и необходимостта от преследване на цели от обществен интерес. За тези въпроси в правилата на ЕС са определени „долен праг“ („база“) и „горен праг“ („таван“), което не оставя възможност за добавяне на изисквания на национално равнище</w:t>
      </w:r>
      <w:r>
        <w:rPr>
          <w:rStyle w:val="FootnoteReference"/>
          <w:rFonts w:ascii="Times New Roman" w:hAnsi="Times New Roman" w:cs="Times New Roman"/>
          <w:noProof/>
        </w:rPr>
        <w:footnoteReference w:id="50"/>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В много области (като някои аспекти на защитата на потребителите) някои въпроси са предмет на минимална хармонизация на равнище ЕС, като така държавите членки могат да определят стандарти над установената база. Това може да доведе до частично отклоняващи се правила в рамките на единния пазар, които могат да пораждат тежест за пазарните оператори (т.нар. „свръхрегулиране“). Различаващите се правила могат също така да направят по-трудно за потребителите да определят правното основание и обхвата на защитата, с която разполагат, когато правят трансгранична покупка.</w:t>
      </w:r>
    </w:p>
    <w:p>
      <w:pPr>
        <w:jc w:val="both"/>
        <w:rPr>
          <w:rFonts w:ascii="Times New Roman" w:hAnsi="Times New Roman" w:cs="Times New Roman"/>
          <w:noProof/>
          <w:sz w:val="24"/>
          <w:szCs w:val="24"/>
        </w:rPr>
      </w:pPr>
      <w:r>
        <w:rPr>
          <w:rFonts w:ascii="Times New Roman" w:hAnsi="Times New Roman"/>
          <w:noProof/>
        </w:rPr>
        <w:t>За въпросите, които не са изцяло хармонизирани на равнище ЕС, държавите членки имат марж за определяне на допълнителни изисквания на национално равнище, когато това е оправдано и пропорционално по съображения, свързани с някои легитимни обществени интереси. Това обаче често означава, че възниква допълнителна регулаторна или административна тежест за предприятията, като особено засегнати са МСП. Свръхрегулирането е особено изразен проблем по отношение на сектора на услугите. То има косвено отражение и върху потребителите, доколкото заради него те може да нямат възможност да се възползват от офертите на чуждестранни фирми и по-специално на иновативни МСП.</w:t>
      </w:r>
    </w:p>
    <w:p>
      <w:pPr>
        <w:jc w:val="both"/>
        <w:rPr>
          <w:rFonts w:ascii="Times New Roman" w:hAnsi="Times New Roman" w:cs="Times New Roman"/>
          <w:noProof/>
          <w:sz w:val="24"/>
          <w:szCs w:val="24"/>
        </w:rPr>
      </w:pPr>
      <w:r>
        <w:rPr>
          <w:rFonts w:ascii="Times New Roman" w:hAnsi="Times New Roman"/>
          <w:noProof/>
        </w:rPr>
        <w:t>По отношение на въпросите, попадащи в приложното поле на правото на ЕС, държавите членки трябва да спазват правилата за свободно движение, залегнали в Договора, вторичното законодателство, общите принципи на правото на ЕС (като пропорционалност и правна сигурност) и Хартата на основните права на ЕС, за да гарантират пълното действие на свободното движение на хора, стоки, услуги и капитали.</w:t>
      </w:r>
    </w:p>
    <w:p>
      <w:pPr>
        <w:jc w:val="both"/>
        <w:rPr>
          <w:rFonts w:ascii="Times New Roman" w:hAnsi="Times New Roman" w:cs="Times New Roman"/>
          <w:noProof/>
          <w:sz w:val="24"/>
          <w:szCs w:val="24"/>
        </w:rPr>
      </w:pPr>
      <w:r>
        <w:rPr>
          <w:rFonts w:ascii="Times New Roman" w:hAnsi="Times New Roman"/>
          <w:noProof/>
        </w:rPr>
        <w:t>Комисията припомня задължението на държавите членки да спазват правото на ЕС и ги призовава да умножат усилията си за опростяване на законодателството и за редуциране на ненужната административна тежест</w:t>
      </w:r>
      <w:r>
        <w:rPr>
          <w:rStyle w:val="FootnoteReference"/>
          <w:rFonts w:ascii="Times New Roman" w:hAnsi="Times New Roman" w:cs="Times New Roman"/>
          <w:noProof/>
        </w:rPr>
        <w:footnoteReference w:id="51"/>
      </w:r>
      <w:r>
        <w:rPr>
          <w:rFonts w:ascii="Times New Roman" w:hAnsi="Times New Roman"/>
          <w:noProof/>
        </w:rPr>
        <w:t>. Допълнителните национални изисквания трябва да бъдат обосновани от императивни съображения от обществен интерес, да не бъдат дискриминационни, да бъдат пропорционални, лесноразбираеми и в съответствие с хармонизираните минимални правила</w:t>
      </w:r>
      <w:r>
        <w:rPr>
          <w:rStyle w:val="FootnoteReference"/>
          <w:rFonts w:ascii="Times New Roman" w:hAnsi="Times New Roman" w:cs="Times New Roman"/>
          <w:noProof/>
        </w:rPr>
        <w:footnoteReference w:id="52"/>
      </w:r>
      <w:r>
        <w:rPr>
          <w:rFonts w:ascii="Times New Roman" w:hAnsi="Times New Roman"/>
          <w:noProof/>
        </w:rPr>
        <w:t>. Освен това с оглед на целта на единния пазар  разликите трябва да бъдат свеждани до минимум, дори в рамките на правните норми. Съгласно Договора Комисията има правомощието да започва производства за установяване на нарушение и както е посочено в съобщението „Дългосрочен план за действие за по-добро изпълнение и ефективно прилагане на правилата на единния пазар“, тя е готова да окаже съдействие на държавите членки за подобряване на съответствието с правото на ЕС като част от действията за постигане на общата цел за добре функциониращ единен пазар.</w:t>
      </w:r>
    </w:p>
    <w:p>
      <w:pPr>
        <w:pStyle w:val="Heading2"/>
        <w:rPr>
          <w:noProof/>
        </w:rPr>
      </w:pPr>
      <w:r>
        <w:rPr>
          <w:noProof/>
        </w:rPr>
        <w:t>Изисквания, мотивирани от съображения на обществената политика</w:t>
      </w:r>
    </w:p>
    <w:p>
      <w:pPr>
        <w:jc w:val="both"/>
        <w:rPr>
          <w:rFonts w:ascii="Times New Roman" w:hAnsi="Times New Roman" w:cs="Times New Roman"/>
          <w:noProof/>
          <w:sz w:val="24"/>
          <w:szCs w:val="24"/>
        </w:rPr>
      </w:pPr>
      <w:r>
        <w:rPr>
          <w:rFonts w:ascii="Times New Roman" w:hAnsi="Times New Roman"/>
          <w:noProof/>
        </w:rPr>
        <w:t>Някои от опасенията, за които потребителите съобщават, може отчасти да са породени от ситуации, в които законодателството на ЕС преследва други легитимни цели на политиката, като се търси баланс между тези цели и свободното движение на единния пазар. Сред тези цели на политиката са например защитата на  потребителите, защитата на правата на работниците и на социалните права. В някои случаи тези цели могат да бъдат постигнати по-добре и с по-малко фрагментация на единния пазар чрез обща правна рамка в ЕС. Така например Директивата относно командироването на работници цели улесняване на свободата на движение на работници, свободата на установяване и свободата на предоставяне на услуги, като за това е приет набор от общи правила на равнище ЕС. Освен това е нужно по-добро прилагане на съществуващите правила на ЕС от страна на държавите членки, така че дружествата да не се сблъскват с неоправдани или непропорционални национални правила и формалности.</w:t>
      </w:r>
    </w:p>
    <w:p>
      <w:pPr>
        <w:pStyle w:val="Heading2"/>
        <w:rPr>
          <w:noProof/>
        </w:rPr>
      </w:pPr>
      <w:r>
        <w:rPr>
          <w:noProof/>
        </w:rPr>
        <w:t>Сложно законодателство на ЕС</w:t>
      </w:r>
    </w:p>
    <w:p>
      <w:pPr>
        <w:jc w:val="both"/>
        <w:rPr>
          <w:rFonts w:ascii="Times New Roman" w:hAnsi="Times New Roman" w:cs="Times New Roman"/>
          <w:noProof/>
          <w:sz w:val="24"/>
          <w:szCs w:val="24"/>
        </w:rPr>
      </w:pPr>
      <w:r>
        <w:rPr>
          <w:rFonts w:ascii="Times New Roman" w:hAnsi="Times New Roman"/>
          <w:noProof/>
        </w:rPr>
        <w:t>Взаимодействието между отделните елементи на законодателството — в много случаи на равнище ЕС и на национално равнище, и често променящото се законодателство поставят предизвикателства. Това може да доведе до правна несигурност и разходи за привеждане в съответствие и по този начин да се отрази неблагоприятно на бизнес средата и стопанската дейност и особено силно да засегне МСП и отделния потребител. По-зелената и по-цифровизирана икономика изисква от своя страна адаптирани правила за продуктите на равнище ЕС. Така например, в съответствие с новия План за действие за кръговата икономика, екологичният преход ще доведе до необходимостта от включване в законодателството на ЕС за продуктите (в неговата цялост) на необходимите стимули за устойчивост и кръговост. Провежданите в момента консултации относно възможните адаптации към правилата за безопасността и отговорността във връзка с изкуствения интелект, роботиката и интернета на нещата вероятно не могат да изчерпят въпросите, поставяни от цифровизацията — например по отношение на стандартизацията. За целта Комисията ще предприеме необходимите стъпки, за да гарантира, че правният режим по последователен начин въвежда в сектора на нехранителните продукти все повече от елементите на кръговата и цифровата икономика. С оглед на това съществуващите консултации ще бъдат разширени в зависимост от нуждите.</w:t>
      </w:r>
    </w:p>
    <w:p>
      <w:pPr>
        <w:jc w:val="both"/>
        <w:rPr>
          <w:rFonts w:ascii="Times New Roman" w:hAnsi="Times New Roman" w:cs="Times New Roman"/>
          <w:noProof/>
          <w:sz w:val="24"/>
          <w:szCs w:val="24"/>
        </w:rPr>
      </w:pPr>
      <w:r>
        <w:rPr>
          <w:rFonts w:ascii="Times New Roman" w:hAnsi="Times New Roman"/>
          <w:noProof/>
        </w:rPr>
        <w:t>На равнището на ЕС по-доброто регулиране има за цел да гарантира, че законодателството на ЕС носи ползи за обикновените хора и предприятията, че се основава на доказателства и задълбочена оценка на въздействието и че регулаторната тежест върху физическите лица и фирмите остава възможно най-малка. Една внимателна оценка на значимите изменения в първоначалните предложения на Комисията ще спомогне да се сведе до минимум рискът от непреднамерени ефекти върху предприятията и потребителите. В рамките на своята програма за пригодност на законодателството (REFIT) Комисията системно подлага на скрининг съществуващото законодателство с цел да установи къде тежестта върху физическите лица, дружествата или администрациите може да бъде намалена, а законодателството — опростено, без това да намалява ползите от него по отношение на обществените политики. В своята работна програма за 2020 г. Комисията набеляза 44 законодателни акта, които да преминат през скрининга.</w:t>
      </w:r>
    </w:p>
    <w:p>
      <w:pPr>
        <w:jc w:val="both"/>
        <w:rPr>
          <w:rFonts w:ascii="Times New Roman" w:hAnsi="Times New Roman" w:cs="Times New Roman"/>
          <w:noProof/>
          <w:sz w:val="24"/>
          <w:szCs w:val="24"/>
        </w:rPr>
      </w:pPr>
      <w:r>
        <w:rPr>
          <w:rFonts w:ascii="Times New Roman" w:hAnsi="Times New Roman"/>
          <w:noProof/>
        </w:rPr>
        <w:t>Занапред Комисията ще прилага принципа на отмяна на предишни тежести при въвеждане на нови. Целта е да се гарантира, че законодателството на ЕС създава ползи, без да води до ненужна тежест за гражданите и бизнеса. Нова експертна група</w:t>
      </w:r>
      <w:r>
        <w:rPr>
          <w:rStyle w:val="FootnoteReference"/>
          <w:rFonts w:ascii="Times New Roman" w:hAnsi="Times New Roman" w:cs="Times New Roman"/>
          <w:noProof/>
        </w:rPr>
        <w:footnoteReference w:id="53"/>
      </w:r>
      <w:r>
        <w:rPr>
          <w:rFonts w:ascii="Times New Roman" w:hAnsi="Times New Roman"/>
          <w:noProof/>
        </w:rPr>
        <w:t xml:space="preserve"> — платформата „Готови за бъдещето“, ще консултира и подпомага Комисията в усилията ѝ за опростяване на законодателството и намаляване на административната тежест за фирмите и гражданите.</w:t>
      </w:r>
    </w:p>
    <w:p>
      <w:pPr>
        <w:jc w:val="both"/>
        <w:rPr>
          <w:rFonts w:ascii="Times New Roman" w:hAnsi="Times New Roman" w:cs="Times New Roman"/>
          <w:noProof/>
          <w:sz w:val="24"/>
          <w:szCs w:val="24"/>
        </w:rPr>
      </w:pPr>
      <w:r>
        <w:rPr>
          <w:rFonts w:ascii="Times New Roman" w:hAnsi="Times New Roman"/>
          <w:noProof/>
        </w:rPr>
        <w:t>Тъй като регулаторните предизвикателства засягат особено силно МСП, Комисията се ангажира в оценките на въздействието да анализира техния ефект върху МСП</w:t>
      </w:r>
      <w:r>
        <w:rPr>
          <w:rStyle w:val="FootnoteReference"/>
          <w:rFonts w:ascii="Times New Roman" w:hAnsi="Times New Roman" w:cs="Times New Roman"/>
          <w:noProof/>
        </w:rPr>
        <w:footnoteReference w:id="54"/>
      </w:r>
      <w:r>
        <w:rPr>
          <w:noProof/>
        </w:rPr>
        <w:t>.</w:t>
      </w:r>
      <w:r>
        <w:rPr>
          <w:rFonts w:ascii="Times New Roman" w:hAnsi="Times New Roman"/>
          <w:noProof/>
        </w:rPr>
        <w:t xml:space="preserve"> Тестът за МСП вече е част от редовната оценка и ще продължи да се извършва по отношение на всички предложения на настоящата Комисия, при които той би бил уместен, включително по отношение на Зеления пакт. В Стратегията за МСП за устойчива и цифрова Европа се предлага също така — с цел да се гарантира, че новото законодателство е пригодно по отношение на МСП — новият представител на ЕС за МСП</w:t>
      </w:r>
      <w:r>
        <w:rPr>
          <w:rFonts w:ascii="Times New Roman" w:hAnsi="Times New Roman" w:cs="Times New Roman"/>
          <w:noProof/>
          <w:vertAlign w:val="superscript"/>
        </w:rPr>
        <w:footnoteReference w:id="55"/>
      </w:r>
      <w:r>
        <w:rPr>
          <w:rFonts w:ascii="Times New Roman" w:hAnsi="Times New Roman"/>
          <w:noProof/>
        </w:rPr>
        <w:t xml:space="preserve"> да филтрира инициативите на ЕС в сътрудничество със заинтересованите страни от средите на МСП и да подава сигнали относно онези, които следва да бъдат внимателно разгледани от гледната точка на МСП. Представителят на ЕС за МСП ще има специална роля в новата платформа „Готови за бъдещето“. </w:t>
      </w:r>
    </w:p>
    <w:p>
      <w:pPr>
        <w:jc w:val="both"/>
        <w:rPr>
          <w:rFonts w:ascii="Times New Roman" w:hAnsi="Times New Roman" w:cs="Times New Roman"/>
          <w:noProof/>
          <w:sz w:val="24"/>
          <w:szCs w:val="24"/>
        </w:rPr>
      </w:pPr>
      <w:r>
        <w:rPr>
          <w:rFonts w:ascii="Times New Roman" w:hAnsi="Times New Roman"/>
          <w:noProof/>
        </w:rPr>
        <w:t xml:space="preserve">В съобщението „Дългосрочен план за действие за по-добро изпълнение и ефективно прилагане на правилата на единния пазар“ сложното законодателство на ЕС се посочва като област, в която сътрудничеството между Комисията и държавите членки трябва да се засили още повече, за да се избегнат проблеми, породени от несъответствия с изискванията. Сред предлаганите действия са повишаване на знанията и осведомеността, както и подобряване на достъпа до информация относно правилата и изискванията. </w:t>
      </w:r>
    </w:p>
    <w:p>
      <w:pPr>
        <w:pStyle w:val="Heading2"/>
        <w:numPr>
          <w:ilvl w:val="0"/>
          <w:numId w:val="11"/>
        </w:numPr>
        <w:rPr>
          <w:noProof/>
        </w:rPr>
      </w:pPr>
      <w:r>
        <w:rPr>
          <w:noProof/>
        </w:rPr>
        <w:t xml:space="preserve">Транспониране, изпълнение и прилагане на законодателството на ЕС </w:t>
      </w:r>
    </w:p>
    <w:p>
      <w:pPr>
        <w:pStyle w:val="Heading2"/>
        <w:rPr>
          <w:noProof/>
        </w:rPr>
      </w:pPr>
      <w:r>
        <w:rPr>
          <w:noProof/>
        </w:rPr>
        <w:t>Несъвършено транспониране на директивите на ЕС</w:t>
      </w:r>
    </w:p>
    <w:p>
      <w:pPr>
        <w:jc w:val="both"/>
        <w:rPr>
          <w:rFonts w:ascii="Times New Roman" w:hAnsi="Times New Roman" w:cs="Times New Roman"/>
          <w:noProof/>
          <w:sz w:val="24"/>
          <w:szCs w:val="24"/>
        </w:rPr>
      </w:pPr>
      <w:r>
        <w:rPr>
          <w:rFonts w:ascii="Times New Roman" w:hAnsi="Times New Roman"/>
          <w:noProof/>
        </w:rPr>
        <w:t xml:space="preserve">Липсата на навременно, пълно и правилно транспониране на директивите на ЕС от страна на държавите членки подкопава правилното функциониране на единния пазар, тъй като увеличава регулаторната разпокъсаност. От друга страна, неприлагането на правила, произтичащи от директиви на ЕС, и пропуските по отношение на съответствието в държавите членки водят до проблеми за отделния субект (потребител или дружество), а именно нарушаване на права, правна несигурност, липса на равни възможности, а също така до дисбаланс и неефективност в рамките на единния пазар.  </w:t>
      </w:r>
    </w:p>
    <w:p>
      <w:pPr>
        <w:jc w:val="both"/>
        <w:rPr>
          <w:rFonts w:ascii="Times New Roman" w:hAnsi="Times New Roman" w:cs="Times New Roman"/>
          <w:i/>
          <w:noProof/>
          <w:sz w:val="24"/>
          <w:szCs w:val="24"/>
        </w:rPr>
      </w:pPr>
      <w:r>
        <w:rPr>
          <w:rFonts w:ascii="Times New Roman" w:hAnsi="Times New Roman"/>
          <w:i/>
          <w:noProof/>
        </w:rPr>
        <w:t>Неадекватно изпълнение на законодателството на ЕС</w:t>
      </w:r>
    </w:p>
    <w:p>
      <w:pPr>
        <w:jc w:val="both"/>
        <w:rPr>
          <w:rFonts w:ascii="Times New Roman" w:hAnsi="Times New Roman" w:cs="Times New Roman"/>
          <w:noProof/>
          <w:sz w:val="24"/>
          <w:szCs w:val="24"/>
        </w:rPr>
      </w:pPr>
      <w:r>
        <w:rPr>
          <w:rFonts w:ascii="Times New Roman" w:hAnsi="Times New Roman"/>
          <w:noProof/>
        </w:rPr>
        <w:t xml:space="preserve">Освен че носят отговорност за правилното транспониране на директивите на ЕС, държавите членки отговарят и за правилното изпълнение на законодателството на ЕС. Няколко от 13-те най-често съобщавани пречки, посочени по-горе, могат да бъдат преодолени чрез по-добро изпълнение на съществуващото законодателство на ЕС. </w:t>
      </w:r>
    </w:p>
    <w:p>
      <w:pPr>
        <w:jc w:val="both"/>
        <w:rPr>
          <w:rFonts w:ascii="Times New Roman" w:hAnsi="Times New Roman" w:cs="Times New Roman"/>
          <w:noProof/>
          <w:sz w:val="24"/>
          <w:szCs w:val="24"/>
        </w:rPr>
      </w:pPr>
      <w:r>
        <w:rPr>
          <w:rFonts w:ascii="Times New Roman" w:hAnsi="Times New Roman"/>
          <w:noProof/>
        </w:rPr>
        <w:t xml:space="preserve">В сектора на услугите например все още има голям потенциал за по-добро изпълнение на съществуващите правила (например Директивата за услугите и Директивата за професионалните квалификации), съчетано с по-стриктното им налагане. </w:t>
      </w:r>
    </w:p>
    <w:p>
      <w:pPr>
        <w:jc w:val="both"/>
        <w:rPr>
          <w:rFonts w:ascii="Times New Roman" w:hAnsi="Times New Roman" w:cs="Times New Roman"/>
          <w:noProof/>
          <w:sz w:val="24"/>
          <w:szCs w:val="24"/>
        </w:rPr>
      </w:pPr>
      <w:r>
        <w:rPr>
          <w:rFonts w:ascii="Times New Roman" w:hAnsi="Times New Roman"/>
          <w:noProof/>
        </w:rPr>
        <w:t>Трудности възникват и в области, по отношение на които се прилага принципът за взаимно признаване. В сферата на нехармонизираните стоки фирмите често трябва да изпълняват допълнителни изисквания, наложени от държавата членка, за която искат да изнасят. Новият регламент относно взаимното признаване на стоки, законно предлагани на пазара в друга държава членка, е част от Законодателния пакет за стоките, който ще започне да се прилага през април 2020 г., и ще спомогне за по-ефективното взаимно признаване. Ще се постигне по-специално по-голяма прозрачност на решенията на компетентните органи на държавите членки, като в звената за контакт относно продуктите фирмите ще могат да получават информация относно взаимното признаване и техническите правила относно нехармонизираните стоки</w:t>
      </w:r>
      <w:r>
        <w:rPr>
          <w:rStyle w:val="FootnoteReference"/>
          <w:rFonts w:ascii="Times New Roman" w:hAnsi="Times New Roman" w:cs="Times New Roman"/>
          <w:noProof/>
        </w:rPr>
        <w:footnoteReference w:id="56"/>
      </w:r>
      <w:r>
        <w:rPr>
          <w:rFonts w:ascii="Times New Roman" w:hAnsi="Times New Roman"/>
          <w:noProof/>
        </w:rPr>
        <w:t>.</w:t>
      </w:r>
    </w:p>
    <w:p>
      <w:pPr>
        <w:pStyle w:val="Heading2"/>
        <w:rPr>
          <w:noProof/>
        </w:rPr>
      </w:pPr>
      <w:r>
        <w:rPr>
          <w:noProof/>
        </w:rPr>
        <w:t>Неадекватно прилагане на законодателството на ЕС</w:t>
      </w:r>
    </w:p>
    <w:p>
      <w:pPr>
        <w:jc w:val="both"/>
        <w:rPr>
          <w:i/>
          <w:noProof/>
        </w:rPr>
      </w:pPr>
      <w:r>
        <w:rPr>
          <w:rFonts w:ascii="Times New Roman" w:hAnsi="Times New Roman"/>
          <w:noProof/>
        </w:rPr>
        <w:t>Държавите членки са длъжни да прилагат законодателството на ЕС. С подкрепата на Комисията те следва да положат повече усилия в тази посока. Комисията припомня по-специално, че държавите членки имат задължението да изпълнят неотдавнашните законодателни мерки на ЕС, които предоставят на органите на държавите членки допълнителни правомощия за правоприлагане — например Регламента за надзора на пазара</w:t>
      </w:r>
      <w:r>
        <w:rPr>
          <w:rStyle w:val="FootnoteReference"/>
          <w:rFonts w:ascii="Times New Roman" w:hAnsi="Times New Roman" w:cs="Times New Roman"/>
          <w:noProof/>
        </w:rPr>
        <w:footnoteReference w:id="57"/>
      </w:r>
      <w:r>
        <w:rPr>
          <w:rFonts w:ascii="Times New Roman" w:hAnsi="Times New Roman"/>
          <w:noProof/>
        </w:rPr>
        <w:t>, Директивата относно по-доброто прилагане и модернизирането на правилата за защита на потребителите в ЕС и Регламента за сътрудничество в областта на защитата на потребителите (последният ще осигури на потребителите по-добра защита, в т.ч. и правна, в трансгранични условия). По-доброто прилагане на правилата трябва да бъде допълнено и от сътрудничество от страна на гражданите. Такава е целта на Директивата за лицата, сигнализиращи за нередности, която трябва да бъде транспонирана до декември 2021 г.</w:t>
      </w:r>
      <w:r>
        <w:rPr>
          <w:rStyle w:val="FootnoteReference"/>
          <w:rFonts w:ascii="Times New Roman" w:hAnsi="Times New Roman" w:cs="Times New Roman"/>
          <w:noProof/>
        </w:rPr>
        <w:footnoteReference w:id="58"/>
      </w:r>
      <w:r>
        <w:rPr>
          <w:rFonts w:ascii="Times New Roman" w:hAnsi="Times New Roman"/>
          <w:noProof/>
        </w:rPr>
        <w:t xml:space="preserve"> и която представлява нов инструмент в подкрепа на способността на националните и европейските правоприлагащи органи да откриват, да вземат мерки и да предотвратяват нарушения в ключови области на единния пазар, като обществените поръчки и защитата на потребителите. И на последно място, както е посочено в съобщението „Дългосрочен план за действие за по-добро изпълнение и ефективно прилагане на правилата на единния пазар“, Комисията е трайно ангажирана да работи с държавите членки за укрепване на организацията на работа и за пълноценно използване на всички налични административни инструменти за повишаване на бързината и ефективността, с която се обработват предполагаемите случаи на нарушения.</w:t>
      </w:r>
    </w:p>
    <w:p>
      <w:pPr>
        <w:jc w:val="both"/>
        <w:rPr>
          <w:rFonts w:ascii="Times New Roman" w:hAnsi="Times New Roman" w:cs="Times New Roman"/>
          <w:noProof/>
          <w:sz w:val="24"/>
          <w:szCs w:val="24"/>
        </w:rPr>
      </w:pPr>
      <w:r>
        <w:rPr>
          <w:rFonts w:ascii="Times New Roman" w:hAnsi="Times New Roman"/>
          <w:noProof/>
        </w:rPr>
        <w:t>В съобщението „Дългосрочен план за действие за по-добро изпълнение и ефективно прилагане на правилата на единния пазар“ са очертани няколко нови инициативи, насочени към представените по-горе предизвикателствата пред изпълнението и прилагането на законодателството на ЕС. Сред тях са по-ефикасното откриване и разследване на несъответствията с изискванията (рационализиране на съществуващите ИТ системи на единния пазар, използвани за споделяне на информация за незаконни и несъответстващи промишлени и потребителски стоки), както и създаването на Работна група по въпросите на правоприлагането във връзка с единния пазар (РГПЕП), включваща държавите членки и Комисията, и осигуряването на адекватни правомощия за правоприлагащите органи (роля на мрежата на ЕС от национални координатори за правоприлагането и Европейския орган по труда</w:t>
      </w:r>
      <w:r>
        <w:rPr>
          <w:rStyle w:val="FootnoteReference"/>
          <w:noProof/>
        </w:rPr>
        <w:footnoteReference w:id="59"/>
      </w:r>
      <w:r>
        <w:rPr>
          <w:rFonts w:ascii="Times New Roman" w:hAnsi="Times New Roman"/>
          <w:noProof/>
        </w:rPr>
        <w:t xml:space="preserve">). </w:t>
      </w:r>
    </w:p>
    <w:p>
      <w:pPr>
        <w:pStyle w:val="Heading2"/>
        <w:rPr>
          <w:noProof/>
        </w:rPr>
      </w:pPr>
      <w:r>
        <w:rPr>
          <w:noProof/>
        </w:rPr>
        <w:t xml:space="preserve">3. Административен капацитет и практики </w:t>
      </w:r>
    </w:p>
    <w:p>
      <w:pPr>
        <w:pStyle w:val="Heading2"/>
        <w:rPr>
          <w:noProof/>
        </w:rPr>
      </w:pPr>
      <w:r>
        <w:rPr>
          <w:noProof/>
        </w:rPr>
        <w:t>Недостатъчни или несъвместими решения за електронно управление на национално равнище</w:t>
      </w:r>
    </w:p>
    <w:p>
      <w:pPr>
        <w:jc w:val="both"/>
        <w:rPr>
          <w:rFonts w:ascii="Times New Roman" w:hAnsi="Times New Roman" w:cs="Times New Roman"/>
          <w:noProof/>
          <w:sz w:val="24"/>
          <w:szCs w:val="24"/>
        </w:rPr>
      </w:pPr>
      <w:r>
        <w:rPr>
          <w:rFonts w:ascii="Times New Roman" w:hAnsi="Times New Roman"/>
          <w:noProof/>
        </w:rPr>
        <w:t>Недостатъчно напредналото развитие на решенията за електронно управление може да възпрепятства развитието на единния пазар. Въпросът е особено належащ при достъпа до информация относно правилата и изискванията. Това е и първопричина за трудностите, срещани при националните формалности или процедури за удовлетворяване на изискванията за трансгранична продажба на стоки или услуги.</w:t>
      </w:r>
    </w:p>
    <w:p>
      <w:pPr>
        <w:jc w:val="both"/>
        <w:rPr>
          <w:rFonts w:ascii="Times New Roman" w:hAnsi="Times New Roman" w:cs="Times New Roman"/>
          <w:noProof/>
          <w:sz w:val="24"/>
          <w:szCs w:val="24"/>
        </w:rPr>
      </w:pPr>
      <w:r>
        <w:rPr>
          <w:rFonts w:ascii="Times New Roman" w:hAnsi="Times New Roman"/>
          <w:noProof/>
        </w:rPr>
        <w:t>Когато се въвеждат решения за електронно управление, е твърде вероятно оперативната съвместимост да представлява проблем, ако на този аспект не се обърне нужното внимание. Стратегията за изпълнение и плана за действие за Европейската рамка за оперативна съвместимост</w:t>
      </w:r>
      <w:r>
        <w:rPr>
          <w:rStyle w:val="FootnoteReference"/>
          <w:rFonts w:ascii="Times New Roman" w:hAnsi="Times New Roman" w:cs="Times New Roman"/>
          <w:noProof/>
        </w:rPr>
        <w:footnoteReference w:id="60"/>
      </w:r>
      <w:r>
        <w:rPr>
          <w:rFonts w:ascii="Times New Roman" w:hAnsi="Times New Roman"/>
          <w:noProof/>
        </w:rPr>
        <w:t>, която беше преразгледана през 2017 г., съдържат голям брой препоръки в подкрепа на трансграничната и междусекторната оперативна съвместимост. Внедряването на тези решения се подкрепя от няколко на брой програми</w:t>
      </w:r>
      <w:r>
        <w:rPr>
          <w:rStyle w:val="FootnoteReference"/>
          <w:rFonts w:ascii="Times New Roman" w:hAnsi="Times New Roman" w:cs="Times New Roman"/>
          <w:noProof/>
        </w:rPr>
        <w:footnoteReference w:id="61"/>
      </w:r>
      <w:r>
        <w:rPr>
          <w:rFonts w:ascii="Times New Roman" w:hAnsi="Times New Roman"/>
          <w:noProof/>
        </w:rPr>
        <w:t>. Инициативи като трансграничното признаване на електронни идентификации и удостоверителни услуги (залегнало в няколко законодателни акта на ЕС, като Регламент (ЕС) 910/2014 относно електронната идентификация и удостоверителните услуги</w:t>
      </w:r>
      <w:r>
        <w:rPr>
          <w:rStyle w:val="FootnoteReference"/>
          <w:rFonts w:ascii="Times New Roman" w:hAnsi="Times New Roman" w:cs="Times New Roman"/>
          <w:noProof/>
        </w:rPr>
        <w:footnoteReference w:id="62"/>
      </w:r>
      <w:r>
        <w:rPr>
          <w:rFonts w:ascii="Times New Roman" w:hAnsi="Times New Roman"/>
          <w:noProof/>
        </w:rPr>
        <w:t>) и принципът на еднократност (член 14 от Регламент (ЕС) 2018/1724 за единната цифрова платформа) вече оказват подкрепа на трансграничните цифрови публични услуги. В новата стратегия за цифровите технологии Комисията призовава за засилена роля на стратегията за оперативна съвместимост на електронното управление в ЕС</w:t>
      </w:r>
      <w:r>
        <w:rPr>
          <w:rStyle w:val="FootnoteReference"/>
          <w:rFonts w:ascii="Times New Roman" w:hAnsi="Times New Roman" w:cs="Times New Roman"/>
          <w:noProof/>
        </w:rPr>
        <w:footnoteReference w:id="63"/>
      </w:r>
      <w:r>
        <w:rPr>
          <w:rFonts w:ascii="Times New Roman" w:hAnsi="Times New Roman"/>
          <w:noProof/>
        </w:rPr>
        <w:t>. В документа са призовава и за преразглеждане на Регламента относно електронната идентификация и удостоверителните услуги с цел подобряване на неговата ефикасност, разпростиране на ползите от него и в частния сектор и насърчаване на надеждната цифрова самоличност за всички европейци.</w:t>
      </w:r>
    </w:p>
    <w:p>
      <w:pPr>
        <w:jc w:val="both"/>
        <w:rPr>
          <w:rFonts w:ascii="Times New Roman" w:hAnsi="Times New Roman" w:cs="Times New Roman"/>
          <w:noProof/>
          <w:sz w:val="24"/>
          <w:szCs w:val="24"/>
        </w:rPr>
      </w:pPr>
      <w:r>
        <w:rPr>
          <w:rFonts w:ascii="Times New Roman" w:hAnsi="Times New Roman"/>
          <w:noProof/>
        </w:rPr>
        <w:t>Считано от 12 декември 2020 г., чрез реализацията на единната цифрова платформа</w:t>
      </w:r>
      <w:r>
        <w:rPr>
          <w:rStyle w:val="FootnoteReference"/>
          <w:rFonts w:ascii="Times New Roman" w:hAnsi="Times New Roman" w:cs="Times New Roman"/>
          <w:noProof/>
        </w:rPr>
        <w:footnoteReference w:id="64"/>
      </w:r>
      <w:r>
        <w:rPr>
          <w:rFonts w:ascii="Times New Roman" w:hAnsi="Times New Roman"/>
          <w:noProof/>
        </w:rPr>
        <w:t>, порталът „Вашата Европа“ ще предоставя достъп до изчерпателна информация относно осъществяването на стопанска дейност в единния пазар. Той ще насочва също така потребителите към най-подходящата служба за оказване на съдействие. В рамките на портала са предвижда цифровизацията на 21 често използвани административни процедури, пълна трансгранична достъпност за всички онлайн процедури и въвеждане на трансгранична система съгласно принципа на еднократност до декември 2023 г.</w:t>
      </w:r>
    </w:p>
    <w:p>
      <w:pPr>
        <w:jc w:val="both"/>
        <w:rPr>
          <w:rFonts w:ascii="Times New Roman" w:hAnsi="Times New Roman" w:cs="Times New Roman"/>
          <w:noProof/>
          <w:sz w:val="24"/>
          <w:szCs w:val="24"/>
        </w:rPr>
      </w:pPr>
      <w:r>
        <w:rPr>
          <w:rFonts w:ascii="Times New Roman" w:hAnsi="Times New Roman"/>
          <w:noProof/>
        </w:rPr>
        <w:t>Системата за взаимно свързване на бизнес регистрите (BRIS), която действа от 2017 г., осигурява връзка между бизнес регистрите на държавите членки и страните от ЕИП и дава възможност на дружествата и предприемачите да търсят и получават безплатна информация за дружествата с ограничена отговорност в ЕС чрез европейския портал за електронно правосъдие, чиито услуги са многоезични и лесни за използване</w:t>
      </w:r>
      <w:r>
        <w:rPr>
          <w:rStyle w:val="FootnoteReference"/>
          <w:rFonts w:ascii="Times New Roman" w:hAnsi="Times New Roman" w:cs="Times New Roman"/>
          <w:noProof/>
        </w:rPr>
        <w:footnoteReference w:id="65"/>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noProof/>
        </w:rPr>
        <w:t>Няколко предложения за разрешаване на тези въпроси са включени и в предложението за многогодишната финансова рамка за 2021—2027 г. Така например действията по програмата „Цифрова Европа“ ще имат за цел да насърчават внедряването на решения за електронно управление и оперативна съвместимост. Законодателният пакет за стоките</w:t>
      </w:r>
      <w:r>
        <w:rPr>
          <w:rStyle w:val="FootnoteReference"/>
          <w:rFonts w:ascii="Times New Roman" w:hAnsi="Times New Roman" w:cs="Times New Roman"/>
          <w:noProof/>
        </w:rPr>
        <w:footnoteReference w:id="66"/>
      </w:r>
      <w:r>
        <w:rPr>
          <w:rFonts w:ascii="Times New Roman" w:hAnsi="Times New Roman"/>
          <w:noProof/>
        </w:rPr>
        <w:t xml:space="preserve"> разширява мандата на звената за контакт относно продуктите в ЕС с цел те да предоставят по-добре и по-бързо информация на фирмите относно привилата, приложими по отношение на техните стоки. </w:t>
      </w:r>
    </w:p>
    <w:p>
      <w:pPr>
        <w:pStyle w:val="Heading2"/>
        <w:rPr>
          <w:noProof/>
        </w:rPr>
      </w:pPr>
      <w:r>
        <w:rPr>
          <w:noProof/>
        </w:rPr>
        <w:t xml:space="preserve">Недостатъчна координация между Комисията и националните администрации и между самите национални администрации </w:t>
      </w:r>
    </w:p>
    <w:p>
      <w:pPr>
        <w:jc w:val="both"/>
        <w:rPr>
          <w:rFonts w:ascii="Times New Roman" w:hAnsi="Times New Roman" w:cs="Times New Roman"/>
          <w:noProof/>
          <w:sz w:val="24"/>
          <w:szCs w:val="24"/>
        </w:rPr>
      </w:pPr>
      <w:r>
        <w:rPr>
          <w:rFonts w:ascii="Times New Roman" w:hAnsi="Times New Roman"/>
          <w:noProof/>
        </w:rPr>
        <w:t xml:space="preserve">Тази ситуация конкретно е основен фактор, спъващ ефективното правоприлагане, доверието и лоялната конкуренция на единния пазар. За фирмите и специалистите, които искат законосъобразно да разширят своята дейност в друга държава членка, ще бъде от полза да има по-ефективна и ефикасна координация. </w:t>
      </w:r>
    </w:p>
    <w:p>
      <w:pPr>
        <w:jc w:val="both"/>
        <w:rPr>
          <w:rFonts w:ascii="Times New Roman" w:hAnsi="Times New Roman" w:cs="Times New Roman"/>
          <w:noProof/>
          <w:sz w:val="24"/>
          <w:szCs w:val="24"/>
        </w:rPr>
      </w:pPr>
      <w:r>
        <w:rPr>
          <w:rFonts w:ascii="Times New Roman" w:hAnsi="Times New Roman"/>
          <w:noProof/>
        </w:rPr>
        <w:t xml:space="preserve">Въпросът е особено релевантен в сферата на надзора на пазара на продукти, където различаващите се мнения на органите за надзор се посочват като пречка пред трансграничната дейност. Засиленото сътрудничество, постигнато чрез гладко работещ механизъм за взаимно сътрудничество и помощ между компетентните органи за надзор на пазара, ще направи единния пазар по-безопасен и ще подобри условията на конкуренция за фирмите. </w:t>
      </w:r>
    </w:p>
    <w:p>
      <w:pPr>
        <w:jc w:val="both"/>
        <w:rPr>
          <w:rFonts w:ascii="Times New Roman" w:hAnsi="Times New Roman" w:cs="Times New Roman"/>
          <w:noProof/>
          <w:sz w:val="24"/>
          <w:szCs w:val="24"/>
        </w:rPr>
      </w:pPr>
      <w:r>
        <w:rPr>
          <w:rFonts w:ascii="Times New Roman" w:hAnsi="Times New Roman"/>
          <w:noProof/>
        </w:rPr>
        <w:t>В сферата на услугите недостатъчното или неефективно сътрудничество между националните органи често води до налагането на ограничителни правила и процедури по отношение на доставчиците на услуги. Поради ограничения обмен на информация между държавите членки в националните процедури често не се отчитат изискванията, които доставчиците на услуги вече са изпълнили в своите държави членки по произход. До такива ситуации се стига въпреки съществуващите съгласно Договора и вторичното законодателство (например съгласно Директивата за услугите) задължения националните органи да прилагат принципа на взаимно признаване. Евентуално следствие от това са ненужното дублиране на проверките и усложнените процедури за доставчиците на услуги, идващи от други държави членки.</w:t>
      </w:r>
    </w:p>
    <w:p>
      <w:pPr>
        <w:jc w:val="both"/>
        <w:rPr>
          <w:rFonts w:ascii="Times New Roman" w:hAnsi="Times New Roman" w:cs="Times New Roman"/>
          <w:noProof/>
          <w:sz w:val="24"/>
          <w:szCs w:val="24"/>
        </w:rPr>
      </w:pPr>
      <w:r>
        <w:rPr>
          <w:rFonts w:ascii="Times New Roman" w:hAnsi="Times New Roman"/>
          <w:noProof/>
        </w:rPr>
        <w:t xml:space="preserve">ЕС е разработил инструменти за административно сътрудничество, като например информационния инструмент за вътрешния пазар, който дава възможност между администрациите да се предава информация за отделните досиета и това да става в сигурна среда. В момента инструментът може да се прилага в 14 различни области, като той постоянно се разширява и подобрява. От държавите членки се очаква да го използват редовно и в пълна степен. </w:t>
      </w:r>
    </w:p>
    <w:p>
      <w:pPr>
        <w:jc w:val="both"/>
        <w:rPr>
          <w:rFonts w:ascii="Times New Roman" w:hAnsi="Times New Roman" w:cs="Times New Roman"/>
          <w:noProof/>
          <w:sz w:val="24"/>
          <w:szCs w:val="24"/>
        </w:rPr>
      </w:pPr>
      <w:r>
        <w:rPr>
          <w:rFonts w:ascii="Times New Roman" w:hAnsi="Times New Roman"/>
          <w:noProof/>
        </w:rPr>
        <w:t>Регламент 2017/2394 за сътрудничеството в областта на защитата на потребителите, който е в сила от 17 януари 2020 г., предоставя на националните органи по-големи правомощия за правоприлагане и рамка за сътрудничество между тях и с Комисията</w:t>
      </w:r>
      <w:r>
        <w:rPr>
          <w:rStyle w:val="FootnoteReference"/>
          <w:rFonts w:ascii="Times New Roman" w:hAnsi="Times New Roman" w:cs="Times New Roman"/>
          <w:noProof/>
        </w:rPr>
        <w:footnoteReference w:id="67"/>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noProof/>
        </w:rPr>
        <w:t>Да се работи по тази първопричина в области, в които няма специално сътрудничество или то не е достатъчно развито, е основна теза на съобщението „Дългосрочен план за действие за по-добро изпълнение и ефективно прилагане на правилата на единния пазар“. В съобщението се припомня по-специално колко важно е изграждането на мрежата на Съюза за съответствието на продуктите с оглед на засилване на сътрудничеството между органите за надзор на пазара в хармонизирания сектор на нехранителните стоки</w:t>
      </w:r>
      <w:r>
        <w:rPr>
          <w:rStyle w:val="FootnoteReference"/>
          <w:rFonts w:ascii="Times New Roman" w:hAnsi="Times New Roman" w:cs="Times New Roman"/>
          <w:noProof/>
        </w:rPr>
        <w:footnoteReference w:id="68"/>
      </w:r>
      <w:r>
        <w:rPr>
          <w:rFonts w:ascii="Times New Roman" w:hAnsi="Times New Roman"/>
          <w:noProof/>
        </w:rPr>
        <w:t>.</w:t>
      </w:r>
    </w:p>
    <w:p>
      <w:pPr>
        <w:pStyle w:val="Heading2"/>
        <w:rPr>
          <w:noProof/>
        </w:rPr>
      </w:pPr>
      <w:r>
        <w:rPr>
          <w:noProof/>
        </w:rPr>
        <w:t>Недостиг на служители или експертен опит на национално, регионално или местно равнище</w:t>
      </w:r>
    </w:p>
    <w:p>
      <w:pPr>
        <w:jc w:val="both"/>
        <w:rPr>
          <w:rFonts w:ascii="Times New Roman" w:hAnsi="Times New Roman" w:cs="Times New Roman"/>
          <w:noProof/>
          <w:sz w:val="24"/>
          <w:szCs w:val="24"/>
        </w:rPr>
      </w:pPr>
      <w:r>
        <w:rPr>
          <w:rFonts w:ascii="Times New Roman" w:hAnsi="Times New Roman"/>
          <w:noProof/>
        </w:rPr>
        <w:t>Недостатъчният административен капацитет, заделен за изпълнението на правилата на единния пазар, в т.ч. на регионално и местно равнище, пречи да бъдат използвани предимствата на единния пазар. Това подкопава общественото доверие в единния пазар и лоялната конкуренция между фирмите. Тази първопричина се проявява в случаите, когато фирми или специалисти искат да разширят дейността си в своята държава или в друга държава членка (включително в сферата на обществените поръчки), и е била поставяна многократно на вниманието на някои държави членки в техните препоръки в рамките на европейския семестър.</w:t>
      </w:r>
    </w:p>
    <w:p>
      <w:pPr>
        <w:jc w:val="both"/>
        <w:rPr>
          <w:rFonts w:ascii="Times New Roman" w:hAnsi="Times New Roman" w:cs="Times New Roman"/>
          <w:noProof/>
          <w:sz w:val="24"/>
          <w:szCs w:val="24"/>
        </w:rPr>
      </w:pPr>
      <w:r>
        <w:rPr>
          <w:rFonts w:ascii="Times New Roman" w:hAnsi="Times New Roman"/>
          <w:noProof/>
        </w:rPr>
        <w:t>Комисията изгради комплексна рамка, чрез която да подпомага администрациите на държавите членки, включително за подобряването на техния административен капацитет. Комисията продължава също така да подкрепя професионализацията на работещите в областта на обществените поръчки чрез различни програми, например обучения относно благоприятните за МСП политики, организирани за централните органи за покупки.</w:t>
      </w:r>
    </w:p>
    <w:p>
      <w:pPr>
        <w:jc w:val="both"/>
        <w:rPr>
          <w:rFonts w:ascii="Times New Roman" w:hAnsi="Times New Roman" w:cs="Times New Roman"/>
          <w:noProof/>
          <w:sz w:val="24"/>
          <w:szCs w:val="24"/>
        </w:rPr>
      </w:pPr>
      <w:r>
        <w:rPr>
          <w:rFonts w:ascii="Times New Roman" w:hAnsi="Times New Roman"/>
          <w:noProof/>
        </w:rPr>
        <w:t>Предложената от Комисията програма за единния пазар в рамките на многогодишната финансова рамка за  2021—2027 г. предвижда да се отдаде приоритет на изграждането на капацитета на националните администрации и сдруженията на потребителите с цел да се подпомогне развитието на техните дейности по правоприлагане. Нови действия се предлагат също така в съобщението „Дългосрочен план за действие за по-добро изпълнение и ефективно прилагане на правилата на единния пазар“, по-специално създаването на мрежа за сътрудничество между националните координатори за правоприлагането в сферата на единния пазар или засилването на обучението на юристите, отговарящи за прилагането на законодателството за единния пазар.</w:t>
      </w:r>
    </w:p>
    <w:p>
      <w:pPr>
        <w:pStyle w:val="Heading2"/>
        <w:rPr>
          <w:noProof/>
        </w:rPr>
      </w:pPr>
      <w:r>
        <w:rPr>
          <w:noProof/>
        </w:rPr>
        <w:t xml:space="preserve">4. Обща стопанска среда и условия за потребителите в държавите членки </w:t>
      </w:r>
    </w:p>
    <w:p>
      <w:pPr>
        <w:jc w:val="both"/>
        <w:rPr>
          <w:rFonts w:ascii="Times New Roman" w:hAnsi="Times New Roman" w:cs="Times New Roman"/>
          <w:noProof/>
          <w:sz w:val="24"/>
          <w:szCs w:val="24"/>
        </w:rPr>
      </w:pPr>
      <w:r>
        <w:rPr>
          <w:rFonts w:ascii="Times New Roman" w:hAnsi="Times New Roman"/>
          <w:noProof/>
        </w:rPr>
        <w:t>Много от пречките, представени в настоящото съобщение, са често пъти общи за местните потребители и фирми и за потребителите и фирмите, чиято дейност е и трансгранична. Тези пречки възникват поради причини, които нямат специфичен трансграничен елемент, а са свързани с общата стопанска и потребителска среда. Тук се включват проблемите с разрешенията за строителство (например в сферата на далекосъобщителната инфраструктура), изискванията за навлизане на пазара и упражняване на определени дейности или професии, свързването с електропреносната мрежа, разрешаването на търговски спорове — по съдебен ред и извънсъдебно, както и плащането на данъци. Анализът на провежданото от Световната банка проучване „Doing Business“</w:t>
      </w:r>
      <w:r>
        <w:rPr>
          <w:rStyle w:val="FootnoteReference"/>
          <w:rFonts w:ascii="Times New Roman" w:hAnsi="Times New Roman" w:cs="Times New Roman"/>
          <w:noProof/>
        </w:rPr>
        <w:footnoteReference w:id="69"/>
      </w:r>
      <w:r>
        <w:rPr>
          <w:rFonts w:ascii="Times New Roman" w:hAnsi="Times New Roman"/>
          <w:noProof/>
        </w:rPr>
        <w:t xml:space="preserve"> се спира на тези факти: „Държавите членки може да имат високи постижения по измерението „трансгранична търговия“, но слаби постижения по други пречки пред стопанската дейност“. </w:t>
      </w:r>
    </w:p>
    <w:p>
      <w:pPr>
        <w:jc w:val="both"/>
        <w:rPr>
          <w:rFonts w:ascii="Times New Roman" w:hAnsi="Times New Roman" w:cs="Times New Roman"/>
          <w:noProof/>
          <w:sz w:val="24"/>
          <w:szCs w:val="24"/>
        </w:rPr>
      </w:pPr>
      <w:r>
        <w:rPr>
          <w:rFonts w:ascii="Times New Roman" w:hAnsi="Times New Roman"/>
          <w:noProof/>
        </w:rPr>
        <w:t xml:space="preserve">През 2019 г. препоръките за 16 държави членки в рамките на европейския семестър се отнасяха до премахването на най-проблематичните регулаторни и административни тежести, слабости в публичната администрация и в бизнес средата, както и липсата на предвидима регулаторна рамка. В анализа от европейския семестър се подчертава също така необходимостта от повишаване на качеството на управление и на институциите, както и на ефективността на правораздавателните системи и публичните администрации. Аналогично, както беше посочено по-горе, в доклада за функционирането на единния пазар се посочва серия от показатели за рестриктивността в редица области от икономическо значение, като например регулираните професии и услугите за търговия на дребно. </w:t>
      </w:r>
    </w:p>
    <w:p>
      <w:pPr>
        <w:jc w:val="both"/>
        <w:rPr>
          <w:rFonts w:ascii="Times New Roman" w:hAnsi="Times New Roman" w:cs="Times New Roman"/>
          <w:noProof/>
          <w:sz w:val="24"/>
          <w:szCs w:val="24"/>
        </w:rPr>
      </w:pPr>
      <w:r>
        <w:rPr>
          <w:rFonts w:ascii="Times New Roman" w:hAnsi="Times New Roman"/>
          <w:noProof/>
        </w:rPr>
        <w:t>Комисията е въвела също така инструменти, чрез които да се предотвратява приемането на ненужно рестриктивни национални правила. Скорошен пример в това отношение е Директивата за проверка на пропорционалността, която държавите членки трябва да транспонират до 30 юли 2020 г. Съгласно нея държавите членки са длъжни предварително да оценяват пропорционалността на всички нови или изменени законови, регулаторни или административни разпоредби, с които се ограничава достъпът до регулирани професии или до тяхното упражняване.</w:t>
      </w:r>
    </w:p>
    <w:p>
      <w:pPr>
        <w:jc w:val="both"/>
        <w:rPr>
          <w:rFonts w:ascii="Times New Roman" w:hAnsi="Times New Roman" w:cs="Times New Roman"/>
          <w:noProof/>
          <w:sz w:val="24"/>
          <w:szCs w:val="24"/>
        </w:rPr>
      </w:pPr>
      <w:r>
        <w:rPr>
          <w:rFonts w:ascii="Times New Roman" w:hAnsi="Times New Roman"/>
          <w:noProof/>
        </w:rPr>
        <w:t>Политиките по отношение на квалификациите също имат роля за подобряването на бизнес средата — и като осигуряване на квалификациите, търсени от бизнеса, и като по-добро определяне на необходимите умения и повишаване на тяхната трансгранична видимост и прозрачност. В бъдещата Усъвършенствана програма за уменията в Европа ще бъдат предложени няколко действия във връзка с тези цели. Освен това в бъдещия Европейски пакт за имиграцията и убежището ще бъде уточнен подходът към управлението на законната миграция, за да може ЕС по-успешно да привлича хора с квалификациите и талантите, от които се нуждае пазарът на труда в ЕС. Повторният старт и бързото приключване на преговорите по Директивата за синята карта, чиято цел е привличането на висококвалифицирани работници, ще продължи да бъде приоритет.</w:t>
      </w:r>
    </w:p>
    <w:p>
      <w:pPr>
        <w:jc w:val="both"/>
        <w:rPr>
          <w:rFonts w:ascii="Times New Roman" w:hAnsi="Times New Roman" w:cs="Times New Roman"/>
          <w:i/>
          <w:noProof/>
          <w:sz w:val="24"/>
          <w:szCs w:val="24"/>
        </w:rPr>
      </w:pPr>
      <w:r>
        <w:rPr>
          <w:rFonts w:ascii="Times New Roman" w:hAnsi="Times New Roman"/>
          <w:noProof/>
        </w:rPr>
        <w:t>В стратегията за МСП за устойчива и цифрова Европа се обръща внимание на необходимостта от подобряване на вътрешната национална среда с помощта на конкретни инициативи. Сред тях са укрепване на сътрудничеството с държавите членки при прилагането на принципа „Мисли първо за малките“ и укрепването на мрежата от представители за МСП, както и пълнота и ефективност на националното обслужване на едно гише в подкрепа на МСП, които желаят да извършват трансгранична дейност.</w:t>
      </w:r>
    </w:p>
    <w:p>
      <w:pPr>
        <w:pStyle w:val="Heading2"/>
        <w:rPr>
          <w:noProof/>
        </w:rPr>
      </w:pPr>
      <w:r>
        <w:rPr>
          <w:noProof/>
        </w:rPr>
        <w:t xml:space="preserve">5. Първопричини, които не са свързани с обществената политика </w:t>
      </w:r>
    </w:p>
    <w:p>
      <w:pPr>
        <w:jc w:val="both"/>
        <w:rPr>
          <w:rFonts w:ascii="Times New Roman" w:hAnsi="Times New Roman" w:cs="Times New Roman"/>
          <w:noProof/>
          <w:sz w:val="24"/>
          <w:szCs w:val="24"/>
        </w:rPr>
      </w:pPr>
      <w:r>
        <w:rPr>
          <w:rFonts w:ascii="Times New Roman" w:hAnsi="Times New Roman"/>
          <w:noProof/>
        </w:rPr>
        <w:t xml:space="preserve">Първопричините за появата на пречки не винаги са пряко свързани с обществените политики, били те национални или на равнището на ЕС. Пазарите в различните държави членки съществуват в рамките на по-широкия културен контекст. Различните предпочитания на потребителите или различните езици в ЕС правят трансграничните дейности по-сложни. Търговският избор на частните лица или логистичните проблеми могат да обяснят някои от трудностите, за които съобщават дружествата — например отхвърляне на бизнес възможности или териториални ограничения в доставките при търговците на дребно. В това отношение резултатите от проведеното от Комисията проучване на сектора на електронната търговия (10 май 2017 г.) показват, че според 11 % от търговците на дребно техните доставчици налагат договорни ограничения върху трансграничните продажби. </w:t>
      </w:r>
    </w:p>
    <w:p>
      <w:pPr>
        <w:jc w:val="both"/>
        <w:rPr>
          <w:rFonts w:ascii="Times New Roman" w:hAnsi="Times New Roman" w:cs="Times New Roman"/>
          <w:noProof/>
          <w:sz w:val="24"/>
          <w:szCs w:val="24"/>
        </w:rPr>
      </w:pPr>
      <w:r>
        <w:rPr>
          <w:rFonts w:ascii="Times New Roman" w:hAnsi="Times New Roman"/>
          <w:noProof/>
        </w:rPr>
        <w:t>Общите макроикономически и микроикономически условия също могат да играят роля. Географските и инфраструктурните условия също може да създават пречки пред достъпа до пазара, например поради по-дълго време за транспорт, разстояния или естествени пречки пред достъпа.</w:t>
      </w:r>
    </w:p>
    <w:p>
      <w:pPr>
        <w:jc w:val="both"/>
        <w:rPr>
          <w:rFonts w:ascii="Times New Roman" w:hAnsi="Times New Roman"/>
          <w:noProof/>
          <w:sz w:val="24"/>
        </w:rPr>
      </w:pPr>
      <w:r>
        <w:rPr>
          <w:rFonts w:ascii="Times New Roman" w:hAnsi="Times New Roman"/>
          <w:noProof/>
        </w:rPr>
        <w:t>Това, че тези първопричини не произтичат пряко от обществените политики, не означава, че ЕС не може да има роля при преодоляването на някои от тях. Такъв е случаят с пречките, чиито първопричини са търговският избор на частните лица. Когато този избор не е мотивиран от обективни причини, той може да доведе до изкуствено разделение на единния пазар. Скорошен пример за действие на ЕС по този проблем е Регламентът относно блокирането на географски принцип</w:t>
      </w:r>
      <w:r>
        <w:rPr>
          <w:rStyle w:val="FootnoteReference"/>
          <w:rFonts w:ascii="Times New Roman" w:hAnsi="Times New Roman" w:cs="Times New Roman"/>
          <w:noProof/>
        </w:rPr>
        <w:footnoteReference w:id="70"/>
      </w:r>
      <w:r>
        <w:rPr>
          <w:rFonts w:ascii="Times New Roman" w:hAnsi="Times New Roman"/>
          <w:noProof/>
        </w:rPr>
        <w:t>. Друг пример са правилата в областта на конкуренцията. Неотдавна, като продължение на проведеното проучване на сектора, Комисията се занима с антиконкурентните споразумения на някои фирми, вследствие на които се стига до парцелиране на единния пазар</w:t>
      </w:r>
      <w:r>
        <w:rPr>
          <w:rStyle w:val="FootnoteReference"/>
          <w:rFonts w:ascii="Times New Roman" w:hAnsi="Times New Roman"/>
          <w:noProof/>
        </w:rPr>
        <w:footnoteReference w:id="71"/>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noProof/>
        </w:rPr>
        <w:t>Що се отнася до териториалните ограничения на доставките, освен че се изисква пълно съответствие със законодателството в сферата на конкуренцията, след съобщението от 2018 г. за търговията на дребно</w:t>
      </w:r>
      <w:r>
        <w:rPr>
          <w:rStyle w:val="FootnoteReference"/>
          <w:rFonts w:ascii="Times New Roman" w:hAnsi="Times New Roman" w:cs="Times New Roman"/>
          <w:noProof/>
        </w:rPr>
        <w:footnoteReference w:id="72"/>
      </w:r>
      <w:r>
        <w:rPr>
          <w:rFonts w:ascii="Times New Roman" w:hAnsi="Times New Roman"/>
          <w:noProof/>
        </w:rPr>
        <w:t xml:space="preserve"> Комисията поиска от доставчиците доброволно да променят подхода си. Освен това, преди да обмисли възможни следващи стъпки, Комисията в момента проучва доколко широко разпространени са териториалните ограничения на доставките, кои са засегнатите продукти, какви мотиви изтъкват доставчиците за тяхното използване, как конкуренцията между търговците на дребно може да се отрази на териториалните ограничения на доставките и какво е икономическото въздействие на различните равнища от веригата на доставки и върху потребителите. В зависимост от резултатите Комисията ще разгледа необходимостта от допълнителни политически действия. </w:t>
      </w:r>
    </w:p>
    <w:p>
      <w:pPr>
        <w:jc w:val="both"/>
        <w:rPr>
          <w:rFonts w:ascii="Times New Roman" w:hAnsi="Times New Roman" w:cs="Times New Roman"/>
          <w:noProof/>
          <w:sz w:val="24"/>
          <w:szCs w:val="24"/>
        </w:rPr>
      </w:pPr>
      <w:r>
        <w:rPr>
          <w:rFonts w:ascii="Times New Roman" w:hAnsi="Times New Roman"/>
          <w:noProof/>
        </w:rPr>
        <w:t xml:space="preserve">Програмата „Еразъм“ допринася за подобряване на езиковите познания на студентите. Европейските структурни и инвестиционни фондове спомагат за подобряване на инфраструктурата и намаляване на географските пречки в държавите членки. Те ще бъдат допълнени от други програми на ЕС, по-специално с 42,3 млрд. евро, предложени за новия Механизъм за свързване на Европа в рамките на новата многогодишна финансова рамка. </w:t>
      </w:r>
    </w:p>
    <w:p>
      <w:pPr>
        <w:pStyle w:val="Heading1"/>
        <w:rPr>
          <w:noProof/>
        </w:rPr>
      </w:pPr>
      <w:r>
        <w:rPr>
          <w:noProof/>
        </w:rPr>
        <w:t>Ключови действия</w:t>
      </w:r>
    </w:p>
    <w:p>
      <w:pPr>
        <w:jc w:val="both"/>
        <w:rPr>
          <w:rFonts w:ascii="Times New Roman" w:hAnsi="Times New Roman" w:cs="Times New Roman"/>
          <w:noProof/>
          <w:sz w:val="24"/>
          <w:szCs w:val="24"/>
        </w:rPr>
      </w:pPr>
      <w:r>
        <w:rPr>
          <w:rFonts w:ascii="Times New Roman" w:hAnsi="Times New Roman"/>
          <w:noProof/>
        </w:rPr>
        <w:t xml:space="preserve">В настоящото съобщение и в новите политически инициативи, приети днес, се определят приоритетни действия, които да бъдат изпълнявани съвместно от държавите членки и Комисията. </w:t>
      </w:r>
    </w:p>
    <w:p>
      <w:pPr>
        <w:jc w:val="both"/>
        <w:rPr>
          <w:rFonts w:ascii="Times New Roman" w:hAnsi="Times New Roman" w:cs="Times New Roman"/>
          <w:noProof/>
          <w:sz w:val="24"/>
          <w:szCs w:val="24"/>
        </w:rPr>
      </w:pPr>
      <w:r>
        <w:rPr>
          <w:rFonts w:ascii="Times New Roman" w:hAnsi="Times New Roman"/>
          <w:noProof/>
        </w:rPr>
        <w:t>Комисията по-специално призовава държавите членки и Европейския парламент:</w:t>
      </w:r>
    </w:p>
    <w:p>
      <w:pPr>
        <w:pStyle w:val="ListParagraph"/>
        <w:numPr>
          <w:ilvl w:val="0"/>
          <w:numId w:val="9"/>
        </w:numPr>
        <w:spacing w:after="120" w:line="264" w:lineRule="auto"/>
        <w:jc w:val="both"/>
        <w:rPr>
          <w:rFonts w:ascii="Times New Roman" w:hAnsi="Times New Roman" w:cs="Times New Roman"/>
          <w:noProof/>
          <w:sz w:val="24"/>
          <w:szCs w:val="24"/>
        </w:rPr>
      </w:pPr>
      <w:r>
        <w:rPr>
          <w:rFonts w:ascii="Times New Roman" w:hAnsi="Times New Roman"/>
          <w:noProof/>
        </w:rPr>
        <w:t>да приемат бързо всички предложения по многогодишната финансова рамка, които попадат в сферата на единния пазар, имат отношение към електронното управление и се отнасят до финансирането на нови стандарти, ИТ инструменти (като Информационната система за вътрешния пазар (IMI), услугите за гражданите и бизнеса (като SOLVIT) или до кампании за повишаване на осведомеността, по-специално програмата „Цифрова Европа“ и програмата за единния пазар;</w:t>
      </w:r>
    </w:p>
    <w:p>
      <w:pPr>
        <w:pStyle w:val="ListParagraph"/>
        <w:numPr>
          <w:ilvl w:val="0"/>
          <w:numId w:val="9"/>
        </w:numPr>
        <w:spacing w:after="120" w:line="264" w:lineRule="auto"/>
        <w:jc w:val="both"/>
        <w:rPr>
          <w:rFonts w:ascii="Times New Roman" w:hAnsi="Times New Roman" w:cs="Times New Roman"/>
          <w:noProof/>
          <w:sz w:val="24"/>
          <w:szCs w:val="24"/>
        </w:rPr>
      </w:pPr>
      <w:r>
        <w:rPr>
          <w:rFonts w:ascii="Times New Roman" w:hAnsi="Times New Roman"/>
          <w:noProof/>
        </w:rPr>
        <w:t>да приемат бързо висящите законодателни предложения, чиято цел е да се работи по първопричините за пречките, идентифицирани в настоящото съобщение, и по-специално приоритетните висящи предложения, посочени в работната програма на Комисията за 2020 г.</w:t>
      </w:r>
    </w:p>
    <w:p>
      <w:pPr>
        <w:jc w:val="both"/>
        <w:rPr>
          <w:rFonts w:ascii="Times New Roman" w:hAnsi="Times New Roman" w:cs="Times New Roman"/>
          <w:noProof/>
          <w:sz w:val="24"/>
          <w:szCs w:val="24"/>
        </w:rPr>
      </w:pPr>
      <w:r>
        <w:rPr>
          <w:rFonts w:ascii="Times New Roman" w:hAnsi="Times New Roman"/>
          <w:noProof/>
        </w:rPr>
        <w:t>Освен това Комисията призовава държавите членки:</w:t>
      </w:r>
    </w:p>
    <w:p>
      <w:pPr>
        <w:pStyle w:val="ListParagraph"/>
        <w:numPr>
          <w:ilvl w:val="0"/>
          <w:numId w:val="8"/>
        </w:numPr>
        <w:spacing w:after="120" w:line="264" w:lineRule="auto"/>
        <w:jc w:val="both"/>
        <w:rPr>
          <w:rFonts w:ascii="Times New Roman" w:hAnsi="Times New Roman" w:cs="Times New Roman"/>
          <w:noProof/>
          <w:sz w:val="24"/>
          <w:szCs w:val="24"/>
        </w:rPr>
      </w:pPr>
      <w:r>
        <w:rPr>
          <w:rFonts w:ascii="Times New Roman" w:hAnsi="Times New Roman"/>
          <w:noProof/>
        </w:rPr>
        <w:t>да изпълнят своите правни задължения и да поемат своята отговорност за справяне с първопричините, които са в рамките на техните правомощия, като обременителната регулация и процедури, и да гарантират, че тяхното отрицателно въздействие върху единния пазар, било то настоящо или бъдещо, не противоречи на законодателството на ЕС и при всички случаи остава ограничено;</w:t>
      </w:r>
    </w:p>
    <w:p>
      <w:pPr>
        <w:pStyle w:val="ListParagraph"/>
        <w:numPr>
          <w:ilvl w:val="0"/>
          <w:numId w:val="8"/>
        </w:numPr>
        <w:spacing w:after="120" w:line="264" w:lineRule="auto"/>
        <w:jc w:val="both"/>
        <w:rPr>
          <w:rFonts w:ascii="Times New Roman" w:hAnsi="Times New Roman" w:cs="Times New Roman"/>
          <w:noProof/>
          <w:sz w:val="24"/>
          <w:szCs w:val="24"/>
        </w:rPr>
      </w:pPr>
      <w:r>
        <w:rPr>
          <w:rFonts w:ascii="Times New Roman" w:hAnsi="Times New Roman"/>
          <w:noProof/>
        </w:rPr>
        <w:t xml:space="preserve">да умножат усилията си за спазване на законодателството за единния пазар, като премахват съществуващите пречки и не допускат появата на нови; </w:t>
      </w:r>
    </w:p>
    <w:p>
      <w:pPr>
        <w:pStyle w:val="ListParagraph"/>
        <w:numPr>
          <w:ilvl w:val="0"/>
          <w:numId w:val="8"/>
        </w:numPr>
        <w:spacing w:after="120" w:line="264" w:lineRule="auto"/>
        <w:jc w:val="both"/>
        <w:rPr>
          <w:rFonts w:ascii="Times New Roman" w:hAnsi="Times New Roman" w:cs="Times New Roman"/>
          <w:noProof/>
          <w:sz w:val="24"/>
          <w:szCs w:val="24"/>
        </w:rPr>
      </w:pPr>
      <w:r>
        <w:rPr>
          <w:rFonts w:ascii="Times New Roman" w:hAnsi="Times New Roman"/>
          <w:noProof/>
        </w:rPr>
        <w:t>да насочат достатъчно ресурси към администрациите, които са от ключово значение за функционирането на единния пазар, например към органите, координиращи единния цифров портал, органите за надзор на пазара, органите в сферата на конкуренцията и органите, натоварени със защитата на потребителите, службите, предоставящи съдействие, като единните звена за контакт, звената за контакт относно продуктите или центровете на SOLVIT;</w:t>
      </w:r>
    </w:p>
    <w:p>
      <w:pPr>
        <w:pStyle w:val="ListParagraph"/>
        <w:numPr>
          <w:ilvl w:val="0"/>
          <w:numId w:val="8"/>
        </w:numPr>
        <w:spacing w:after="120" w:line="264" w:lineRule="auto"/>
        <w:jc w:val="both"/>
        <w:rPr>
          <w:rFonts w:ascii="Times New Roman" w:hAnsi="Times New Roman" w:cs="Times New Roman"/>
          <w:noProof/>
          <w:sz w:val="24"/>
          <w:szCs w:val="24"/>
        </w:rPr>
      </w:pPr>
      <w:r>
        <w:rPr>
          <w:rFonts w:ascii="Times New Roman" w:hAnsi="Times New Roman"/>
          <w:noProof/>
        </w:rPr>
        <w:t>да гарантират ефективността на обслужването на едно гише с цел да се окаже подкрепа най-вече на МСП с координирани отговори по приложимите правила и разпоредби, на които трябва да отговарят, за да осъществяват стопанска дейност на единния пазар (трансгранична и национална), както и относно възможностите за инвестиции/програмите, предлагани от ЕС.</w:t>
      </w:r>
    </w:p>
    <w:p>
      <w:pPr>
        <w:jc w:val="both"/>
        <w:rPr>
          <w:rFonts w:ascii="Times New Roman" w:hAnsi="Times New Roman" w:cs="Times New Roman"/>
          <w:noProof/>
          <w:sz w:val="24"/>
          <w:szCs w:val="24"/>
        </w:rPr>
      </w:pPr>
      <w:r>
        <w:rPr>
          <w:rFonts w:ascii="Times New Roman" w:hAnsi="Times New Roman"/>
          <w:noProof/>
        </w:rPr>
        <w:t xml:space="preserve">От своя страна Комисията: </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rPr>
        <w:t>днес приема  Дългосрочен план за действие за по-добро изпълнение и ефективно прилагане на правилата на единния пазар</w:t>
      </w:r>
      <w:r>
        <w:rPr>
          <w:rStyle w:val="FootnoteReference"/>
          <w:rFonts w:ascii="Times New Roman" w:hAnsi="Times New Roman" w:cs="Times New Roman"/>
          <w:noProof/>
        </w:rPr>
        <w:footnoteReference w:id="73"/>
      </w:r>
      <w:r>
        <w:rPr>
          <w:rFonts w:ascii="Times New Roman" w:hAnsi="Times New Roman"/>
          <w:noProof/>
        </w:rPr>
        <w:t xml:space="preserve"> за справяне с пречките, представени в настоящото съобщение и коренящи се в недостатъчно доброто налагане на законодателството на ЕС. В този контекст ще бъде сформирана Работна група по въпросите на правоприлагането във връзка с единния пазар (РГПЕП), съставена от държавите членки и Комисията;</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rPr>
        <w:t xml:space="preserve">ще оцени необходимостта от допълнителни регулаторни действия за справяне с пречките, чиито първопричини са други и могат да бъдат разрешени на равнището на ЕС. Комисията ще докладва за резултатите от този анализ догодина, също и за да може да отчете въздействието от първата година на прилагане на Дългосрочния план за действие за по-добро изпълнение и ефективно прилагане на правилата на единния пазар; </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rPr>
        <w:t>ще продължи да работи съвместно с държавите членки за преодоляване на първопричините за националните пречки, включително чрез превенция, например в рамките на Директивата за прозрачността в рамките на единния пазар</w:t>
      </w:r>
      <w:r>
        <w:rPr>
          <w:rStyle w:val="FootnoteReference"/>
          <w:rFonts w:ascii="Times New Roman" w:hAnsi="Times New Roman" w:cs="Times New Roman"/>
          <w:noProof/>
        </w:rPr>
        <w:footnoteReference w:id="74"/>
      </w:r>
      <w:r>
        <w:rPr>
          <w:rFonts w:ascii="Times New Roman" w:hAnsi="Times New Roman"/>
          <w:noProof/>
        </w:rPr>
        <w:t xml:space="preserve"> и Директивата за проверката за пропорционалност. Европейският семестър е друга подходяща рамка за проследяване и работа по първопричините за появата на пречките и бариерите, идентифицирани в настоящото съобщение;</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rPr>
        <w:t>ще подсили програмата REFIT, включително чрез прилагането на принципа на отмяна на предишни тежести при въвеждане на нови, като включи в пълна степен заинтересованите страни. Платформата „Готови за бъдещето“ ще се занимае с въпроса как може да бъде опростено съществуващото законодателство и как да се гарантира справянето с бъдещи предизвикателства. амбицията е цялото бъдещо законодателство на европейско и национално равнище да бъде разработено с оглед на крайния потребител, като за целта потенциалните пречки се идентифицират и смекчават още в ранните етапи на процеса, например чрез използването на цифрови инструменти.</w:t>
      </w:r>
    </w:p>
    <w:p>
      <w:pPr>
        <w:pStyle w:val="ListParagraph"/>
        <w:jc w:val="both"/>
        <w:rPr>
          <w:rFonts w:ascii="Times New Roman" w:hAnsi="Times New Roman" w:cs="Times New Roman"/>
          <w:noProof/>
          <w:sz w:val="24"/>
          <w:szCs w:val="24"/>
        </w:rPr>
      </w:pPr>
    </w:p>
    <w:p>
      <w:pPr>
        <w:pStyle w:val="Heading1"/>
        <w:ind w:left="567" w:hanging="567"/>
        <w:rPr>
          <w:noProof/>
          <w:sz w:val="24"/>
          <w:szCs w:val="24"/>
        </w:rPr>
      </w:pPr>
      <w:r>
        <w:rPr>
          <w:noProof/>
        </w:rPr>
        <w:t>Заключение</w:t>
      </w:r>
    </w:p>
    <w:p>
      <w:pPr>
        <w:jc w:val="both"/>
        <w:rPr>
          <w:rFonts w:ascii="Times New Roman" w:hAnsi="Times New Roman" w:cs="Times New Roman"/>
          <w:noProof/>
          <w:sz w:val="24"/>
          <w:szCs w:val="24"/>
        </w:rPr>
      </w:pPr>
      <w:r>
        <w:rPr>
          <w:rFonts w:ascii="Times New Roman" w:hAnsi="Times New Roman"/>
          <w:noProof/>
        </w:rPr>
        <w:t>В настоящото съобщение и придружаващите го доклади Комисията разглежда функционирането на единния пазар от друга перспектива  — тази на неговите потребители. Това, което разкрива тази перспектива, е, че към днешна дата твърде много пречки продължават да спъват функционирането на единния пазар. Това затруднява бизнеса и потребителите. Необходима ни е политическа воля и решимост — както през 1985 г. — за съвместна работа на равнището на ЕС и държавите членки за преодоляване на съществуващите пречки чрез изкореняване  на първопричините за тях. Приетият днес пакет от инициативи — новата стратегия за промишлеността на Европа, стратегията за мястото на МСП за устойчива и цифрова Европа, съобщението „Дългосрочен план за действие за по-добро изпълнение и ефективно прилагане на правилата на единния пазар“ и настоящото съобщение — е основа, с помощта на която можем да дадем нов старт на нашето партньорство, за да гарантираме, че Европа може да даде растеж, просперитет и стабилност на своите граждани и фирми, във вътрешен и в глобален план.</w:t>
      </w:r>
    </w:p>
    <w:p>
      <w:pPr>
        <w:jc w:val="both"/>
        <w:rPr>
          <w:rFonts w:ascii="Times New Roman" w:hAnsi="Times New Roman" w:cs="Times New Roman"/>
          <w:noProof/>
          <w:sz w:val="24"/>
          <w:szCs w:val="24"/>
        </w:rPr>
      </w:pPr>
    </w:p>
    <w:p>
      <w:pPr>
        <w:rPr>
          <w:noProof/>
        </w:rPr>
      </w:pPr>
    </w:p>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Работен документ на службите на Комисията „Бизнес траектория в единния пазар: практически препятствия и пречки“; Индекс на условията за потребителите, изготвен от Комисията: потребителите и единния пазар — издание от 2019 г.</w:t>
      </w:r>
    </w:p>
    <w:p>
      <w:pPr>
        <w:pStyle w:val="FootnoteText"/>
        <w:jc w:val="both"/>
        <w:rPr>
          <w:rFonts w:ascii="Times New Roman" w:hAnsi="Times New Roman" w:cs="Times New Roman"/>
          <w:sz w:val="16"/>
          <w:szCs w:val="16"/>
        </w:rPr>
      </w:pPr>
    </w:p>
  </w:footnote>
  <w:footnote w:id="3">
    <w:p>
      <w:pPr>
        <w:pStyle w:val="FootnoteText"/>
        <w:rPr>
          <w:rFonts w:ascii="Times New Roman" w:hAnsi="Times New Roman"/>
          <w:sz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COM(2020)94 10.3.2020 г.</w:t>
      </w:r>
    </w:p>
  </w:footnote>
  <w:footnote w:id="4">
    <w:p>
      <w:pPr>
        <w:pStyle w:val="FootnoteText"/>
        <w:rPr>
          <w:rFonts w:ascii="Times New Roman" w:hAnsi="Times New Roman"/>
          <w:sz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COM(2020)102 10.3.2020 г.</w:t>
      </w:r>
    </w:p>
  </w:footnote>
  <w:footnote w:id="5">
    <w:p>
      <w:pPr>
        <w:pStyle w:val="FootnoteText"/>
        <w:rPr>
          <w:rFonts w:ascii="Times New Roman" w:hAnsi="Times New Roman"/>
          <w:sz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COM(2020)103 10.3.2020 г.</w:t>
      </w:r>
    </w:p>
  </w:footnote>
  <w:footnote w:id="6">
    <w:p>
      <w:pPr>
        <w:pStyle w:val="FootnoteText"/>
        <w:rPr>
          <w:rFonts w:ascii="Times New Roman" w:hAnsi="Times New Roman"/>
          <w:sz w:val="16"/>
        </w:rPr>
      </w:pPr>
      <w:r>
        <w:rPr>
          <w:rStyle w:val="FootnoteReference"/>
          <w:rFonts w:ascii="Times New Roman" w:hAnsi="Times New Roman" w:cs="Times New Roman"/>
          <w:sz w:val="16"/>
          <w:szCs w:val="16"/>
        </w:rPr>
        <w:footnoteRef/>
      </w:r>
      <w:r>
        <w:rPr>
          <w:rFonts w:ascii="Times New Roman" w:hAnsi="Times New Roman"/>
          <w:sz w:val="16"/>
        </w:rPr>
        <w:t xml:space="preserve"> https://www.europarl.europa.eu/RegData/etudes/STUD/2019/631745/EPRS_STU(2019)631745_EN.pdf</w:t>
      </w:r>
    </w:p>
  </w:footnote>
  <w:footnote w:id="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Работен документ на службите на Комисията „Бизнес траекторията в единния пазар: практически препятствия и пречки“; Индекс на условията за потребителите, изготвен от Комисията: потребителите и единния пазар — издание от 2019 г.</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Център за европейски политически изследвания „Hidden Treatures: Mapping Europe’s sources of competitive advantage in doing business“ („Скрити съкровища: източници на конкурентни предимства за бизнеса в Европа“), 2019 г.</w:t>
      </w:r>
    </w:p>
  </w:footnote>
  <w:footnote w:id="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Асоциация на европейските търговско-промишлени палати, „Business survey – EU Internal Market: Barriers and Solutions“ („Бизнес проучване – Вътрешен пазар на ЕС: пречки и решения“), 2019 г.</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Център за европейски политически изследвания „Hidden Treatures: Mapping Europe’s sources of competitive advantage in doing business“ („Скрити съкровища: източници на конкурентни предимства за бизнеса в Европа“), 2019 г.</w:t>
      </w:r>
    </w:p>
  </w:footnote>
  <w:footnote w:id="1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Асоциация на европейските търговско-промишлени палати, „Business survey – EU Internal Market: Barriers and Solutions“ („Бизнес проучване – Вътрешен пазар на ЕС:  пречки и решения)“ 2019 г.</w:t>
      </w:r>
    </w:p>
  </w:footnote>
  <w:footnote w:id="1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Confederation of Finnish Industries (Конфедерация на финландските промишлени производители)</w:t>
      </w:r>
    </w:p>
  </w:footnote>
  <w:footnote w:id="1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Информационно табло за единния пазар за 2018г.</w:t>
      </w:r>
      <w:r>
        <w:rPr>
          <w:rFonts w:ascii="Times New Roman" w:hAnsi="Times New Roman"/>
          <w:sz w:val="16"/>
          <w:szCs w:val="16"/>
        </w:rPr>
        <w:br/>
        <w:t>https://ec.europa.eu/internal_market/scoreboard/performance_by_governance_tool/solvit/index_en.htm</w:t>
      </w:r>
    </w:p>
  </w:footnote>
  <w:footnote w:id="1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По този въпрос вж. първопричина 1 по-долу. </w:t>
      </w:r>
    </w:p>
  </w:footnote>
  <w:footnote w:id="1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Асоциация на европейските търговско-промишлени палати, „Business survey – EU Internal Market: Barriers and Solutions“ („Бизнес проучване – Вътрешен пазар на ЕС:  пречки и решения)“ 2019 г.</w:t>
      </w:r>
    </w:p>
  </w:footnote>
  <w:footnote w:id="1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Доклад за функционирането на единния пазар, 2019 г., SWD(2019) 444 final.</w:t>
      </w:r>
    </w:p>
  </w:footnote>
  <w:footnote w:id="1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Стоки, които не са хармонизирани от законодателството на ЕС, като например текстилни изделия, обувки, детски стоки, бижутерия, съдове и прибори или мебели.</w:t>
      </w:r>
    </w:p>
  </w:footnote>
  <w:footnote w:id="1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Вж. първопричина 2 по-долу.  </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Министерство на икономиката на Нидерландия, Нидерландска агенция по износ, „Doing Business in Europe“ (Бизнес дейност в Европа“), 2018 г.</w:t>
      </w:r>
    </w:p>
  </w:footnote>
  <w:footnote w:id="2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По този въпрос вж. първопричина 1 по-долу.</w:t>
      </w:r>
    </w:p>
  </w:footnote>
  <w:footnote w:id="2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Регламент (ЕС) 2018/302 на Европейския парламент и на Съвета от 28 февруари 2018 г. за преодоляване на необоснованото блокиране на географски принцип и на други форми на дискриминация въз основа на националността, местопребиваването или мястото на установяване на клиентите в рамките на вътрешния пазар и за изменение на регламенти (ЕО) № 2006/2004 и (ЕС) 2017/2394 и Директива 2009/22/ЕО.</w:t>
      </w:r>
    </w:p>
  </w:footnote>
  <w:footnote w:id="2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Вж. първопричина 5 по-долу.  </w:t>
      </w:r>
    </w:p>
  </w:footnote>
  <w:footnote w:id="2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Регламент (ЕС) 2018/302, чиито разпоредби са насочени към преодоляване на необоснованата дискриминация при онлайн и офлайн продажбите въз основа на националност, местопребиваване или място на установяване в рамките на вътрешния пазар. Съдържащите се в регламента правила са в интерес на клиентите — както на потребителите, така и на дружествата, закупуващи стоки или услуги като крайни ползватели.</w:t>
      </w:r>
    </w:p>
  </w:footnote>
  <w:footnote w:id="2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Мащабна проверка в рамките на мрежата за сътрудничество в областта на защитата на потребителите</w:t>
      </w:r>
      <w:r>
        <w:rPr>
          <w:rFonts w:ascii="Times New Roman" w:hAnsi="Times New Roman"/>
          <w:sz w:val="16"/>
          <w:szCs w:val="16"/>
        </w:rPr>
        <w:br/>
        <w:t>https://ec.europa.eu/commission/presscorner/detail/bg/IP_20_156</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https://ec.europa.eu/digital-single-market/en/news/flash-eurobarometer-study-intra-eu-communications</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Този вид съдържание не е включено в обхвата на Регламента относно блокирането на географски принцип. </w:t>
      </w:r>
    </w:p>
  </w:footnote>
  <w:footnote w:id="2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Индекс на условията за потребителите, издание от 2019 г., Генерална дирекция „Правосъдие и потребители“, стр. 66.</w:t>
      </w:r>
    </w:p>
  </w:footnote>
  <w:footnote w:id="2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Проучване на Комисията относно отношението на европейците към киберсигурността — Специално издание на Евробарометър 499, 29 януари 2020 г.</w:t>
      </w:r>
    </w:p>
  </w:footnote>
  <w:footnote w:id="2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Индекс на условията за потребителите, издание от 2019 г., Генерална дирекция „Правосъдие и потребители“, стр. 34.</w:t>
      </w:r>
    </w:p>
  </w:footnote>
  <w:footnote w:id="3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Вж. първопричина 3 по-долу.</w:t>
      </w:r>
    </w:p>
  </w:footnote>
  <w:footnote w:id="3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Европейска комисия, „Annual report on European SMEs 2017/2018“ (Годишен доклад за европейските МСП 2017/2018 г.), 2018 г.</w:t>
      </w:r>
    </w:p>
  </w:footnote>
  <w:footnote w:id="3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Министерство на икономиката на Нидерландия, Нидерландска агенция по износ, „Doing Business in Europe“ (Бизнес дейност в Европа“), 2018 г. и Конфедерация на финландските промишлени производители  </w:t>
      </w:r>
    </w:p>
  </w:footnote>
  <w:footnote w:id="3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https://op.europa.eu/en/publication-detail/-/publication/0ed32649-fe8e-11e8-a96d-01aa75ed71a1</w:t>
      </w:r>
    </w:p>
  </w:footnote>
  <w:footnote w:id="3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Въз основа на оценка на въздействието от 2016 г., изготвена във връзка с общата консолидирана основа за облагане с корпоративен данък (</w:t>
      </w:r>
      <w:hyperlink r:id="rId1" w:history="1">
        <w:r>
          <w:rPr>
            <w:rStyle w:val="Hyperlink"/>
            <w:rFonts w:ascii="Times New Roman" w:hAnsi="Times New Roman"/>
            <w:sz w:val="16"/>
            <w:szCs w:val="16"/>
          </w:rPr>
          <w:t>https://ec.europa.eu/taxation_customs/sites/taxation/files/swd_2016_341_en.pdf</w:t>
        </w:r>
      </w:hyperlink>
    </w:p>
    <w:p>
      <w:pPr>
        <w:pStyle w:val="FootnoteText"/>
        <w:jc w:val="both"/>
        <w:rPr>
          <w:rFonts w:ascii="Times New Roman" w:hAnsi="Times New Roman" w:cs="Times New Roman"/>
          <w:sz w:val="16"/>
          <w:szCs w:val="16"/>
        </w:rPr>
      </w:pPr>
      <w:r>
        <w:rPr>
          <w:rFonts w:ascii="Times New Roman" w:hAnsi="Times New Roman"/>
          <w:sz w:val="16"/>
          <w:szCs w:val="16"/>
        </w:rPr>
        <w:t>https://op.europa.eu/en/publication-detail/-/publication/0ed32649-fe8e-11e8-a96d-01aa75ed71a1</w:t>
      </w:r>
    </w:p>
  </w:footnote>
  <w:footnote w:id="3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w:t>
      </w:r>
      <w:hyperlink r:id="rId2" w:history="1">
        <w:r>
          <w:rPr>
            <w:rStyle w:val="Hyperlink"/>
            <w:rFonts w:ascii="Times New Roman" w:hAnsi="Times New Roman"/>
            <w:sz w:val="16"/>
            <w:szCs w:val="16"/>
          </w:rPr>
          <w:t>https://ec.europa.eu/taxation_customs/sites/taxation/files/resources/documents/tax_survey.pdf</w:t>
        </w:r>
      </w:hyperlink>
      <w:r>
        <w:rPr>
          <w:rFonts w:ascii="Times New Roman" w:hAnsi="Times New Roman"/>
          <w:sz w:val="16"/>
          <w:szCs w:val="16"/>
        </w:rPr>
        <w:t xml:space="preserve"> </w:t>
      </w:r>
    </w:p>
  </w:footnote>
  <w:footnote w:id="3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KPMG-GFK (2018 г.), Study on tax compliance costs for SMEs („Проучване на разходите на МСП за спазване на данъчното законодателство“). Проучване, възложено от Европейската комисия, тръжна процедура на Европейската комисия No. EASME/COSME/2015/004. </w:t>
      </w:r>
    </w:p>
  </w:footnote>
  <w:footnote w:id="3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Вж. първопричина 1 по-долу. </w:t>
      </w:r>
    </w:p>
  </w:footnote>
  <w:footnote w:id="3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Асоциация на европейските търговско-промишлени палати, „Business survey – EU Internal Market: Barriers and Solutions“ („Бизнес проучване – Вътрешен пазар на ЕС:  пречки и решения)“ 2019 г.</w:t>
      </w:r>
    </w:p>
  </w:footnote>
  <w:footnote w:id="3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Retailers' attitudes towards cross-border trade and consumer protection (main report) („Проучване на отношението на търговците на дребно към трансграничната търговия и защитата на потребителите, основен доклад“), 2018 г.</w:t>
      </w:r>
    </w:p>
  </w:footnote>
  <w:footnote w:id="4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Retailers' attitudes towards cross-border trade and consumer protection (main report) („Проучване на отношението на търговците на дребно към трансграничната търговия и защитата на потребителите, основен доклад“), 2018 г.</w:t>
      </w:r>
    </w:p>
  </w:footnote>
  <w:footnote w:id="4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Индекс на условията за потребителите, издание от 2019 г., Генерална дирекция „Правосъдие и потребители“</w:t>
      </w:r>
    </w:p>
  </w:footnote>
  <w:footnote w:id="4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Министерство на икономиката на Нидерландия, Нидерландска агенция по износ, „Doing Business in Europe“ (Бизнес дейност в Европа“), 2018 г.</w:t>
      </w:r>
    </w:p>
  </w:footnote>
  <w:footnote w:id="4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Асоциация на европейските търговско-промишлени палати, „Business survey – EU Internal Market: Barriers and Solutions“ („Бизнес проучване – Вътрешен пазар на ЕС:  пречки и решения)“ 2019 г.</w:t>
      </w:r>
    </w:p>
  </w:footnote>
  <w:footnote w:id="4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Център за европейски политически изследвания „Hidden Treatures: Mapping Europe’s sources of competitive advantage in doing business“ („Скрити съкровища: източници на конкурентни предимства за бизнеса в Европа“), 2019 г.</w:t>
      </w:r>
    </w:p>
  </w:footnote>
  <w:footnote w:id="4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Преразглеждане на Директивата за намаляване на разходите за разгръщане на широколентов достъп (вж. пречка 2), допълнително хармонизиране на цените за терминиране на гласови повиквания по силата на бъдещ делегиран акт (вж. пречка 4), законодателен акт за цифровите услуги (вж. пречка 4).</w:t>
      </w:r>
    </w:p>
  </w:footnote>
  <w:footnote w:id="4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2020 г. Съюз с по-големи амбиции“, Брюксел, 29.1.2020 г., COM(2020) 37 final </w:t>
      </w:r>
    </w:p>
  </w:footnote>
  <w:footnote w:id="4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Директива (ЕС) 2017/1852 на Съвета от 10 октомври 2017 г. относно механизми за разрешаване на спорове във връзка с данъчното облагане в Европейския съюз (OВ L 265, 14.10.2017 г., стр.1)</w:t>
      </w:r>
      <w:r>
        <w:rPr>
          <w:rFonts w:ascii="Times New Roman" w:hAnsi="Times New Roman"/>
          <w:iCs/>
          <w:sz w:val="16"/>
          <w:szCs w:val="16"/>
        </w:rPr>
        <w:t>.</w:t>
      </w:r>
    </w:p>
  </w:footnote>
  <w:footnote w:id="4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Вж. реформа на ДДС (пречка 9) </w:t>
      </w:r>
    </w:p>
  </w:footnote>
  <w:footnote w:id="4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Така например предложението на Комисията от 2008 г. относно статута на европейското частно дружество и предложението от 2012 г. относно устава на европейската фондация впоследствие бяха оттеглени поради липсата на напредък при преговорите.  </w:t>
      </w:r>
    </w:p>
  </w:footnote>
  <w:footnote w:id="5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Отговорът на въпроса дали хармонизацията е изчерпателна или не трябва да се дава с оглед не само на областта, но и на конкретната тема.</w:t>
      </w:r>
    </w:p>
  </w:footnote>
  <w:footnote w:id="5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В точка 43 от Междуинституционалното споразумение за по-добро законотворчество от 13 април 2016 г. се предвижда, че когато в контекста на транспонирането на директиви в националното си право държавите членки изберат да добавят елементи, които по никакъв начин не са свързани с посоченото законодателство на Съюза, тези добавени елементи следва да се представят така в акта (актовете) за транспониране или в свързаните с тях документи, че да могат да бъдат разпознати. </w:t>
      </w:r>
    </w:p>
  </w:footnote>
  <w:footnote w:id="5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Вж. съобщението на Комисията от 19 юли 2018 г. „Закрила на инвестициите в рамките на ЕС“. </w:t>
      </w:r>
    </w:p>
  </w:footnote>
  <w:footnote w:id="53">
    <w:p>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 групата ще влизат националните, регионалните и местните органи на държавите членки, Комитетът на регионите, Икономическият и социален комитет и външни заинтересовани страни.</w:t>
      </w:r>
    </w:p>
  </w:footnote>
  <w:footnote w:id="5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SWD (2017) 350. Насоки за по-добро регулиране.</w:t>
      </w:r>
    </w:p>
  </w:footnote>
  <w:footnote w:id="5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Представителят на ЕС за МСП осигурява връзката между разработването на политики за МСП на равнище ЕС и националните представители/органи за МСП, които отговарят за политиката за МСП. Тя/той председателства мрежата от национални представители за МСП, които от своя страна гарантират, че националните стопански среди, националните органи и ЕС работят заедно по политиката за МСП.</w:t>
      </w:r>
    </w:p>
  </w:footnote>
  <w:footnote w:id="56">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Регламент (ЕС) 2019/515 на Европейския парламент и на Съвета от 19 март 2019 г. относно взаимното признаване на стоки, законно предлагани на пазара в друга държава членка, и за отмяна на Регламент (ЕО) № 764/2008 (Текст от значение за ЕИП.)</w:t>
      </w:r>
    </w:p>
  </w:footnote>
  <w:footnote w:id="57">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w:t>
      </w:r>
    </w:p>
  </w:footnote>
  <w:footnote w:id="5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Директива (ЕС) 2019/1937 осигурява висока степен на защита от ответни действия на лицата, които съобщават за нарушения на правото на Съюза, на които са станали свидетели във връзка със своята служебна дейност. Директивата засилва способността на националните и европейските правоприлагащи органи да откриват, да вземат мерки и да предотвратяват нарушения в ключови области на единния пазар, като обществените поръчки, финансовите услуги, изпирането на пари, финансовите интереси на ЕС и защитата на потребителите.</w:t>
      </w:r>
    </w:p>
  </w:footnote>
  <w:footnote w:id="5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Регламент (ЕС) 2019/1149 на Европейския парламент и на Съвета от 20 юни 2019 г. за създаване на Европейски орган по труда</w:t>
      </w:r>
    </w:p>
  </w:footnote>
  <w:footnote w:id="6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Съобщение на Комисията до Европейския парламент, Съвета, Европейския икономически и социален комитет и Комитета на регионите „Европейска рамка за оперативна съвместимост — стратегия за прилагане“ COM(2017)134)</w:t>
      </w:r>
    </w:p>
  </w:footnote>
  <w:footnote w:id="6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Механизмът за свързване на Европа и неговите инфраструктури за цифрови услуги, основни градивни елементи и решения за оперативна съвместимост от програмата ISA².</w:t>
      </w:r>
    </w:p>
  </w:footnote>
  <w:footnote w:id="6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В процес на преразглеждане с цел повишаване на ефективността в търговски условия.</w:t>
      </w:r>
    </w:p>
  </w:footnote>
  <w:footnote w:id="6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Съобщение на Комисията до Европейския парламент, Съвета, Европейския икономически и социален комитет и Комитета на регионите (COM/2020/67final). </w:t>
      </w:r>
    </w:p>
  </w:footnote>
  <w:footnote w:id="6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Регламент (ЕС) 2018/1724 на Европейския парламент и на Съвета от 2 октомври 2018 г. за създаване на единна цифрова платформа за предоставяне на достъп до информация, до процедури и до услуги за оказване на помощ и решаване на проблеми и за изменение на Регламент (ЕС) № 1024/2012 (Текст от значение за ЕИП.)</w:t>
      </w:r>
    </w:p>
  </w:footnote>
  <w:footnote w:id="6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https://e-justice.europa.eu/content_business_registers_at_european_level-105-en.do</w:t>
      </w:r>
    </w:p>
  </w:footnote>
  <w:footnote w:id="6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Регламент (ЕС) 2019/515 на Европейския парламент и на Съвета от 19 март 2019 г. относно взаимното признаване на стоки, законно предлагани на пазара в друга държава членка, и за отмяна на Регламент (ЕО) № 764/2008 (Текст от значение за ЕИП.)</w:t>
      </w:r>
    </w:p>
    <w:p>
      <w:pPr>
        <w:pStyle w:val="FootnoteText"/>
        <w:jc w:val="both"/>
        <w:rPr>
          <w:rFonts w:ascii="Times New Roman" w:hAnsi="Times New Roman" w:cs="Times New Roman"/>
          <w:sz w:val="16"/>
          <w:szCs w:val="16"/>
        </w:rPr>
      </w:pPr>
      <w:r>
        <w:rPr>
          <w:rFonts w:ascii="Times New Roman" w:hAnsi="Times New Roman"/>
          <w:sz w:val="16"/>
          <w:szCs w:val="16"/>
        </w:rPr>
        <w:t xml:space="preserve">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(Текст от значение за ЕИП). </w:t>
      </w:r>
    </w:p>
  </w:footnote>
  <w:footnote w:id="6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Това следва да спомогне за повишаване на доверието при извършването на трансгранични покупки (пречка 7) или за подобряване на защитата при измами, тръгващи от други географски райони.</w:t>
      </w:r>
    </w:p>
  </w:footnote>
  <w:footnote w:id="6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Като следствие от новия регламент за надзора на пазара от 2019 г.</w:t>
      </w:r>
    </w:p>
  </w:footnote>
  <w:footnote w:id="6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Група на Световната банка, Doing Business 2020 г.</w:t>
      </w:r>
    </w:p>
  </w:footnote>
  <w:footnote w:id="7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Целта на този регламент е да се преодолеят ситуациите, описани в пречка № 6 по-горе. Регламент (ЕС) 2018/302 влезе в сила на 22 март 2018 г. във всички държави — членки на ЕС, и се прилага от 3 декември 2018 г. </w:t>
      </w:r>
    </w:p>
  </w:footnote>
  <w:footnote w:id="7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Например: практиките на четирима производители на битова електроника (Asus, Denon &amp; Marantz, Philips и Pioneer), на които Комисията наложи глоба за поддържане на препродажни цени (ППЦ) по отношение на някои широко използвани потребителски електронни продукти и (в случая с Pioneer) по отношение на ограничения на трансграничната търговия между държавите — членки на ЕС; практиките на американската фирма за облекла Guess, на която Комисията наложи глоба за налагане на ограничения на трансграничните продажби на потребители (договорно блокиране на географски принцип) и за ППЦ; практиките на трима притежатели на марки и лицензодатели на права над мърчандайзинг продукти (Nike, Sanrio и NBC Universal), на които Комисията наложи глоби заради техните лицезионни и дистрибуционни споразумения, ограничаващи трансграничните и онлайн продажбите на мърчандайзинг продукти като чанти, играчки, училищни пособия и дрехи, по-специално детски.</w:t>
      </w:r>
    </w:p>
  </w:footnote>
  <w:footnote w:id="72">
    <w:p>
      <w:pPr>
        <w:pStyle w:val="FootnoteText"/>
        <w:ind w:left="142" w:hanging="142"/>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Съобщение на Комисията до Европейския парламент, Съвета, Европейския икономически и социален комитет и Комитета на регионите „Европейски сектор на търговията на дребно, пригоден за 21-ви век“,</w:t>
      </w:r>
      <w:r>
        <w:rPr>
          <w:rFonts w:ascii="Times New Roman" w:hAnsi="Times New Roman"/>
          <w:sz w:val="16"/>
          <w:szCs w:val="16"/>
        </w:rPr>
        <w:cr/>
      </w:r>
      <w:r>
        <w:rPr>
          <w:rFonts w:ascii="Times New Roman" w:hAnsi="Times New Roman"/>
          <w:sz w:val="16"/>
          <w:szCs w:val="16"/>
        </w:rPr>
        <w:br/>
        <w:t>COM/2018/219 final</w:t>
      </w:r>
    </w:p>
  </w:footnote>
  <w:footnote w:id="73">
    <w:p>
      <w:pPr>
        <w:pStyle w:val="FootnoteText"/>
      </w:pPr>
      <w:r>
        <w:rPr>
          <w:rStyle w:val="FootnoteReference"/>
        </w:rPr>
        <w:footnoteRef/>
      </w:r>
      <w:r>
        <w:t xml:space="preserve"> </w:t>
      </w:r>
      <w:r>
        <w:rPr>
          <w:rFonts w:ascii="Times New Roman" w:hAnsi="Times New Roman"/>
          <w:sz w:val="16"/>
          <w:szCs w:val="16"/>
        </w:rPr>
        <w:t>COM(2020)94 10.3.2020 г.</w:t>
      </w:r>
    </w:p>
  </w:footnote>
  <w:footnote w:id="7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t>.</w:t>
      </w:r>
      <w:r>
        <w:rPr>
          <w:rFonts w:ascii="Times New Roman" w:hAnsi="Times New Roman"/>
          <w:sz w:val="16"/>
          <w:szCs w:val="16"/>
        </w:rPr>
        <w:t xml:space="preserve"> ОВ L 241, 17.9.2015 г., стр.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EAE1BA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52A5945"/>
    <w:multiLevelType w:val="hybridMultilevel"/>
    <w:tmpl w:val="93E64146"/>
    <w:lvl w:ilvl="0" w:tplc="700E4B7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643477"/>
    <w:multiLevelType w:val="hybridMultilevel"/>
    <w:tmpl w:val="325A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55EA1"/>
    <w:multiLevelType w:val="hybridMultilevel"/>
    <w:tmpl w:val="325A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B7201"/>
    <w:multiLevelType w:val="multilevel"/>
    <w:tmpl w:val="CAE425E6"/>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2520643F"/>
    <w:multiLevelType w:val="hybridMultilevel"/>
    <w:tmpl w:val="2272EA86"/>
    <w:lvl w:ilvl="0" w:tplc="B532B2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293CE3"/>
    <w:multiLevelType w:val="multilevel"/>
    <w:tmpl w:val="7D3A9ADE"/>
    <w:name w:val="LegalNumParNumbering"/>
    <w:lvl w:ilvl="0">
      <w:start w:val="1"/>
      <w:numFmt w:val="decimal"/>
      <w:pStyle w:val="LegalNumPar"/>
      <w:lvlText w:val="%1."/>
      <w:lvlJc w:val="left"/>
      <w:pPr>
        <w:tabs>
          <w:tab w:val="num" w:pos="595"/>
        </w:tabs>
        <w:ind w:left="595" w:hanging="595"/>
      </w:pPr>
      <w:rPr>
        <w:rFonts w:hint="default"/>
      </w:rPr>
    </w:lvl>
    <w:lvl w:ilvl="1">
      <w:start w:val="1"/>
      <w:numFmt w:val="lowerLetter"/>
      <w:pStyle w:val="LegalNumPar2"/>
      <w:lvlText w:val="%2."/>
      <w:lvlJc w:val="left"/>
      <w:pPr>
        <w:tabs>
          <w:tab w:val="num" w:pos="1191"/>
        </w:tabs>
        <w:ind w:left="1191" w:hanging="596"/>
      </w:pPr>
      <w:rPr>
        <w:rFonts w:hint="default"/>
      </w:rPr>
    </w:lvl>
    <w:lvl w:ilvl="2">
      <w:start w:val="1"/>
      <w:numFmt w:val="lowerRoman"/>
      <w:pStyle w:val="LegalNumPar3"/>
      <w:lvlText w:val="%3."/>
      <w:lvlJc w:val="left"/>
      <w:pPr>
        <w:tabs>
          <w:tab w:val="num" w:pos="1786"/>
        </w:tabs>
        <w:ind w:left="1786" w:hanging="595"/>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7">
    <w:nsid w:val="2D525539"/>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C10EA"/>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A982C"/>
    <w:multiLevelType w:val="multilevel"/>
    <w:tmpl w:val="5210B64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4E4D2DDA"/>
    <w:multiLevelType w:val="hybridMultilevel"/>
    <w:tmpl w:val="A29261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072619B"/>
    <w:multiLevelType w:val="multilevel"/>
    <w:tmpl w:val="A634A1C6"/>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5FC55C3C"/>
    <w:multiLevelType w:val="hybridMultilevel"/>
    <w:tmpl w:val="5CFCBE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AA33567"/>
    <w:multiLevelType w:val="hybridMultilevel"/>
    <w:tmpl w:val="DCB0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913A0"/>
    <w:multiLevelType w:val="hybridMultilevel"/>
    <w:tmpl w:val="19FC34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87B6509"/>
    <w:multiLevelType w:val="hybridMultilevel"/>
    <w:tmpl w:val="D45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F1707F"/>
    <w:multiLevelType w:val="hybridMultilevel"/>
    <w:tmpl w:val="EB8C04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C65145E"/>
    <w:multiLevelType w:val="multilevel"/>
    <w:tmpl w:val="8DF68C16"/>
    <w:name w:val="Eurolook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95"/>
        </w:tabs>
        <w:ind w:left="595" w:hanging="595"/>
      </w:pPr>
      <w:rPr>
        <w:rFonts w:hint="default"/>
      </w:rPr>
    </w:lvl>
    <w:lvl w:ilvl="2">
      <w:start w:val="1"/>
      <w:numFmt w:val="decimal"/>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8"/>
  </w:num>
  <w:num w:numId="2">
    <w:abstractNumId w:val="6"/>
  </w:num>
  <w:num w:numId="3">
    <w:abstractNumId w:val="11"/>
  </w:num>
  <w:num w:numId="4">
    <w:abstractNumId w:val="4"/>
  </w:num>
  <w:num w:numId="5">
    <w:abstractNumId w:val="9"/>
  </w:num>
  <w:num w:numId="6">
    <w:abstractNumId w:val="17"/>
  </w:num>
  <w:num w:numId="7">
    <w:abstractNumId w:val="0"/>
  </w:num>
  <w:num w:numId="8">
    <w:abstractNumId w:val="14"/>
  </w:num>
  <w:num w:numId="9">
    <w:abstractNumId w:val="12"/>
  </w:num>
  <w:num w:numId="10">
    <w:abstractNumId w:val="5"/>
  </w:num>
  <w:num w:numId="11">
    <w:abstractNumId w:val="3"/>
  </w:num>
  <w:num w:numId="12">
    <w:abstractNumId w:val="1"/>
  </w:num>
  <w:num w:numId="13">
    <w:abstractNumId w:val="15"/>
  </w:num>
  <w:num w:numId="14">
    <w:abstractNumId w:val="7"/>
  </w:num>
  <w:num w:numId="15">
    <w:abstractNumId w:val="8"/>
  </w:num>
  <w:num w:numId="16">
    <w:abstractNumId w:val="16"/>
  </w:num>
  <w:num w:numId="17">
    <w:abstractNumId w:val="13"/>
  </w:num>
  <w:num w:numId="18">
    <w:abstractNumId w:val="10"/>
  </w:num>
  <w:num w:numId="19">
    <w:abstractNumId w:val="2"/>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E4061493-0B2B-433F-AB73-C5969AE884AD"/>
    <w:docVar w:name="LW_COVERPAGE_TYPE" w:val="1"/>
    <w:docVar w:name="LW_CROSSREFERENCE" w:val="{SWD(2020) 54 final}"/>
    <w:docVar w:name="LW_DATE.ADOPT.CP_ISODATE" w:val="&lt;EMPTY&gt;"/>
    <w:docVar w:name="LW_DocType" w:val="NORMAL"/>
    <w:docVar w:name="LW_EMISSION" w:val="10.3.2020"/>
    <w:docVar w:name="LW_EMISSION_ISODATE" w:val="2020-03-10"/>
    <w:docVar w:name="LW_EMISSION_LOCATION" w:val="BRX"/>
    <w:docVar w:name="LW_EMISSION_PREFIX" w:val="Брюксел, "/>
    <w:docVar w:name="LW_EMISSION_SUFFIX" w:val=" \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9?\u1089?\u1090?\u1072?\u1085?\u1086?\u1074?\u1103?\u1074?\u1072?\u1085?\u1077? \u1080? \u1087?\u1088?\u1077?\u1086?\u1076?\u1086?\u1083?\u1103?\u1074?\u1072?\u1085?\u1077? \u1085?\u1072? \u1087?\u1088?\u1077?\u1095?\u1082?\u1080?\u1090?\u1077? \u1087?\u1088?\u1077?\u1076? \u1077?\u1076?\u1080?\u1085?\u1085?\u1080?\u1103? \u1087?\u1072?\u1079?\u1072?\u1088?"/>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footnote reference" w:qFormat="1"/>
    <w:lsdException w:name="endnote text" w:uiPriority="0"/>
    <w:lsdException w:name="macro" w:uiPriority="90" w:qFormat="1"/>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2"/>
      </w:numPr>
      <w:tabs>
        <w:tab w:val="left" w:pos="567"/>
      </w:tabs>
      <w:spacing w:before="480" w:after="120" w:line="264" w:lineRule="auto"/>
      <w:jc w:val="both"/>
      <w:outlineLvl w:val="0"/>
    </w:pPr>
    <w:rPr>
      <w:rFonts w:ascii="Times New Roman" w:eastAsia="Times New Roman" w:hAnsi="Times New Roman" w:cs="Times New Roman"/>
      <w:b/>
      <w:smallCaps/>
      <w:sz w:val="26"/>
      <w:szCs w:val="20"/>
    </w:rPr>
  </w:style>
  <w:style w:type="paragraph" w:styleId="Heading2">
    <w:name w:val="heading 2"/>
    <w:basedOn w:val="Normal"/>
    <w:next w:val="Normal"/>
    <w:link w:val="Heading2Char"/>
    <w:autoRedefine/>
    <w:uiPriority w:val="90"/>
    <w:qFormat/>
    <w:pPr>
      <w:keepNext/>
      <w:tabs>
        <w:tab w:val="left" w:pos="737"/>
      </w:tabs>
      <w:spacing w:before="420" w:after="120" w:line="264"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autoRedefine/>
    <w:uiPriority w:val="90"/>
    <w:qFormat/>
    <w:pPr>
      <w:keepNext/>
      <w:tabs>
        <w:tab w:val="left" w:pos="709"/>
      </w:tabs>
      <w:spacing w:before="360" w:after="120" w:line="264" w:lineRule="auto"/>
      <w:ind w:left="709" w:hanging="425"/>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ascii="Times New Roman" w:eastAsia="Times New Roman" w:hAnsi="Times New Roman" w:cs="Times New Roman"/>
      <w:szCs w:val="20"/>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R"/>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6"/>
      <w:szCs w:val="20"/>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4"/>
      <w:lang w:val="bg-BG"/>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4"/>
      <w:szCs w:val="24"/>
      <w:lang w:val="bg-BG"/>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rPr>
  </w:style>
  <w:style w:type="character" w:customStyle="1" w:styleId="Heading5Char">
    <w:name w:val="Heading 5 Char"/>
    <w:basedOn w:val="DefaultParagraphFont"/>
    <w:link w:val="Heading5"/>
    <w:semiHidden/>
    <w:rPr>
      <w:rFonts w:ascii="Times New Roman" w:eastAsia="Times New Roman" w:hAnsi="Times New Roman" w:cs="Times New Roman"/>
      <w:szCs w:val="20"/>
    </w:rPr>
  </w:style>
  <w:style w:type="character" w:customStyle="1" w:styleId="Heading6Char">
    <w:name w:val="Heading 6 Char"/>
    <w:basedOn w:val="DefaultParagraphFont"/>
    <w:link w:val="Heading6"/>
    <w:semiHidden/>
    <w:rPr>
      <w:rFonts w:ascii="Times New Roman" w:eastAsia="Times New Roman" w:hAnsi="Times New Roman" w:cs="Times New Roman"/>
      <w:szCs w:val="20"/>
    </w:rPr>
  </w:style>
  <w:style w:type="character" w:customStyle="1" w:styleId="Heading7Char">
    <w:name w:val="Heading 7 Char"/>
    <w:basedOn w:val="DefaultParagraphFont"/>
    <w:link w:val="Heading7"/>
    <w:semiHidden/>
    <w:rPr>
      <w:rFonts w:ascii="Times New Roman" w:eastAsia="Times New Roman" w:hAnsi="Times New Roman" w:cs="Times New Roman"/>
      <w:szCs w:val="20"/>
    </w:rPr>
  </w:style>
  <w:style w:type="character" w:customStyle="1" w:styleId="Heading8Char">
    <w:name w:val="Heading 8 Char"/>
    <w:basedOn w:val="DefaultParagraphFont"/>
    <w:link w:val="Heading8"/>
    <w:semiHidden/>
    <w:rPr>
      <w:rFonts w:ascii="Times New Roman" w:eastAsia="Times New Roman" w:hAnsi="Times New Roman" w:cs="Times New Roman"/>
      <w:szCs w:val="20"/>
    </w:rPr>
  </w:style>
  <w:style w:type="character" w:customStyle="1" w:styleId="Heading9Char">
    <w:name w:val="Heading 9 Char"/>
    <w:basedOn w:val="DefaultParagraphFont"/>
    <w:link w:val="Heading9"/>
    <w:semiHidden/>
    <w:rPr>
      <w:rFonts w:ascii="Times New Roman" w:eastAsia="Times New Roman" w:hAnsi="Times New Roman" w:cs="Times New Roman"/>
      <w:szCs w:val="20"/>
    </w:rPr>
  </w:style>
  <w:style w:type="character" w:customStyle="1" w:styleId="MacroTextChar">
    <w:name w:val="Macro Text Char"/>
    <w:basedOn w:val="DefaultParagraphFont"/>
    <w:uiPriority w:val="90"/>
    <w:qFormat/>
    <w:rPr>
      <w:rFonts w:ascii="Courier New" w:hAnsi="Courier New"/>
      <w:sz w:val="20"/>
    </w:rPr>
  </w:style>
  <w:style w:type="paragraph" w:customStyle="1" w:styleId="MarkingLong">
    <w:name w:val="MarkingLong"/>
    <w:basedOn w:val="Marking"/>
    <w:pPr>
      <w:ind w:left="0"/>
      <w:jc w:val="right"/>
    </w:pPr>
    <w:rPr>
      <w:lang w:eastAsia="en-GB"/>
    </w:rPr>
  </w:style>
  <w:style w:type="paragraph" w:customStyle="1" w:styleId="Citation1">
    <w:name w:val="Citation1"/>
    <w:basedOn w:val="Normal"/>
    <w:uiPriority w:val="90"/>
    <w:qFormat/>
    <w:pPr>
      <w:spacing w:after="120" w:line="264" w:lineRule="auto"/>
      <w:ind w:left="454" w:right="454"/>
      <w:jc w:val="both"/>
    </w:pPr>
    <w:rPr>
      <w:rFonts w:ascii="Times New Roman" w:eastAsia="Times New Roman" w:hAnsi="Times New Roman" w:cs="Times New Roman"/>
      <w:i/>
      <w:szCs w:val="20"/>
      <w:lang w:eastAsia="en-GB"/>
    </w:rPr>
  </w:style>
  <w:style w:type="paragraph" w:styleId="ListBullet2">
    <w:name w:val="List Bullet 2"/>
    <w:basedOn w:val="Normal"/>
    <w:semiHidden/>
    <w:pPr>
      <w:numPr>
        <w:numId w:val="7"/>
      </w:numPr>
      <w:spacing w:after="120" w:line="264" w:lineRule="auto"/>
      <w:contextualSpacing/>
      <w:jc w:val="both"/>
    </w:pPr>
    <w:rPr>
      <w:rFonts w:ascii="Times New Roman" w:eastAsia="Times New Roman" w:hAnsi="Times New Roman" w:cs="Times New Roman"/>
      <w:szCs w:val="20"/>
      <w:lang w:eastAsia="en-GB"/>
    </w:rPr>
  </w:style>
  <w:style w:type="table" w:customStyle="1" w:styleId="GridTable1Light-Accent31">
    <w:name w:val="Grid Table 1 Light - Accent 31"/>
    <w:basedOn w:val="TableNormal"/>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pPr>
      <w:spacing w:after="0" w:line="240" w:lineRule="auto"/>
    </w:pPr>
    <w:rPr>
      <w:rFonts w:ascii="Times New Roman" w:hAnsi="Times New Roman"/>
    </w:rPr>
  </w:style>
  <w:style w:type="paragraph" w:customStyle="1" w:styleId="FootnoteReferenceNumber">
    <w:name w:val="Footnote Reference Number"/>
    <w:aliases w:val="Footnote Reference_LVL61,Footnote Reference_LVL62,Footnote Reference_LVL63,16 Point"/>
    <w:basedOn w:val="Normal"/>
    <w:uiPriority w:val="99"/>
    <w:pPr>
      <w:spacing w:after="160" w:line="240" w:lineRule="exact"/>
      <w:jc w:val="both"/>
    </w:pPr>
    <w:rPr>
      <w:rFonts w:ascii="Times New Roman" w:eastAsia="Times New Roman" w:hAnsi="Times New Roman" w:cs="Times New Roman"/>
      <w:sz w:val="24"/>
      <w:szCs w:val="20"/>
      <w:vertAlign w:val="superscript"/>
    </w:rPr>
  </w:style>
  <w:style w:type="character" w:customStyle="1" w:styleId="EndnoteTextChar">
    <w:name w:val="Endnote Text Char"/>
    <w:basedOn w:val="DefaultParagraphFont"/>
    <w:uiPriority w:val="99"/>
    <w:semiHidden/>
    <w:rPr>
      <w:sz w:val="20"/>
    </w:rPr>
  </w:style>
  <w:style w:type="character" w:styleId="EndnoteReference">
    <w:name w:val="endnote reference"/>
    <w:basedOn w:val="DefaultParagraphFont"/>
    <w:uiPriority w:val="99"/>
    <w:semiHidden/>
    <w:unhideWhenUsed/>
    <w:rPr>
      <w:vertAlign w:val="superscript"/>
    </w:rPr>
  </w:style>
  <w:style w:type="paragraph" w:customStyle="1" w:styleId="Text1">
    <w:name w:val="Text 1"/>
    <w:basedOn w:val="Normal"/>
    <w:link w:val="Text1Char"/>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locked/>
    <w:rPr>
      <w:rFonts w:ascii="Times New Roman" w:eastAsia="Times New Roman" w:hAnsi="Times New Roman" w:cs="Times New Roman"/>
      <w:sz w:val="24"/>
      <w:szCs w:val="20"/>
      <w:lang w:eastAsia="en-GB"/>
    </w:rPr>
  </w:style>
  <w:style w:type="paragraph" w:customStyle="1" w:styleId="ReportParagraph">
    <w:name w:val="Report Paragraph"/>
    <w:basedOn w:val="Normal"/>
    <w:link w:val="ReportParagraphChar"/>
    <w:qFormat/>
    <w:pPr>
      <w:spacing w:line="300" w:lineRule="auto"/>
      <w:jc w:val="both"/>
    </w:pPr>
    <w:rPr>
      <w:rFonts w:ascii="Verdana" w:eastAsia="MS Mincho" w:hAnsi="Verdana" w:cs="Times New Roman"/>
      <w:sz w:val="20"/>
      <w:szCs w:val="20"/>
      <w:lang w:eastAsia="en-GB"/>
    </w:rPr>
  </w:style>
  <w:style w:type="character" w:customStyle="1" w:styleId="ReportParagraphChar">
    <w:name w:val="Report Paragraph Char"/>
    <w:link w:val="ReportParagraph"/>
    <w:rPr>
      <w:rFonts w:ascii="Verdana" w:eastAsia="MS Mincho" w:hAnsi="Verdana" w:cs="Times New Roman"/>
      <w:sz w:val="20"/>
      <w:szCs w:val="20"/>
      <w:lang w:eastAsia="en-GB"/>
    </w:rPr>
  </w:style>
  <w:style w:type="character" w:customStyle="1" w:styleId="bumpedfont15">
    <w:name w:val="bumpedfont15"/>
    <w:basedOn w:val="DefaultParagraphFont"/>
  </w:style>
  <w:style w:type="paragraph" w:styleId="Subtitle">
    <w:name w:val="Subtitle"/>
    <w:basedOn w:val="Normal"/>
    <w:next w:val="Normal"/>
    <w:link w:val="SubtitleChar"/>
    <w:uiPriority w:val="11"/>
    <w:qFormat/>
    <w:pPr>
      <w:numPr>
        <w:ilvl w:val="1"/>
      </w:numPr>
      <w:spacing w:after="160" w:line="264" w:lineRule="auto"/>
      <w:jc w:val="both"/>
    </w:pPr>
    <w:rPr>
      <w:rFonts w:eastAsiaTheme="minorEastAsia"/>
      <w:color w:val="5A5A5A" w:themeColor="text1" w:themeTint="A5"/>
      <w:spacing w:val="15"/>
      <w:lang w:eastAsia="en-GB"/>
    </w:rPr>
  </w:style>
  <w:style w:type="character" w:customStyle="1" w:styleId="SubtitleChar">
    <w:name w:val="Subtitle Char"/>
    <w:basedOn w:val="DefaultParagraphFont"/>
    <w:link w:val="Subtitle"/>
    <w:uiPriority w:val="11"/>
    <w:rPr>
      <w:rFonts w:eastAsiaTheme="minorEastAsia"/>
      <w:color w:val="5A5A5A" w:themeColor="text1" w:themeTint="A5"/>
      <w:spacing w:val="15"/>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itleChar">
    <w:name w:val="Title Char"/>
    <w:basedOn w:val="DefaultParagraphFont"/>
    <w:rPr>
      <w:b/>
      <w:kern w:val="28"/>
      <w:sz w:val="48"/>
    </w:rPr>
  </w:style>
  <w:style w:type="character" w:customStyle="1" w:styleId="e24kjd">
    <w:name w:val="e24kjd"/>
    <w:basedOn w:val="DefaultParagraphFont"/>
  </w:style>
  <w:style w:type="paragraph" w:customStyle="1" w:styleId="Briefinglist1">
    <w:name w:val="Briefing list 1"/>
    <w:basedOn w:val="Normal"/>
    <w:link w:val="Briefinglist1Char"/>
    <w:qFormat/>
    <w:pPr>
      <w:pBdr>
        <w:top w:val="single" w:sz="4" w:space="1" w:color="auto"/>
        <w:left w:val="single" w:sz="4" w:space="1" w:color="auto"/>
        <w:bottom w:val="single" w:sz="4" w:space="1" w:color="auto"/>
        <w:right w:val="single" w:sz="4" w:space="1" w:color="auto"/>
      </w:pBdr>
      <w:shd w:val="clear" w:color="auto" w:fill="DAEEF3" w:themeFill="accent5" w:themeFillTint="33"/>
      <w:spacing w:after="120" w:line="264" w:lineRule="auto"/>
      <w:jc w:val="both"/>
    </w:pPr>
    <w:rPr>
      <w:rFonts w:ascii="Times New Roman" w:eastAsia="Times New Roman" w:hAnsi="Times New Roman" w:cs="Times New Roman"/>
      <w:noProof/>
      <w:szCs w:val="20"/>
      <w:lang w:eastAsia="en-GB"/>
    </w:rPr>
  </w:style>
  <w:style w:type="character" w:customStyle="1" w:styleId="Briefinglist1Char">
    <w:name w:val="Briefing list 1 Char"/>
    <w:link w:val="Briefinglist1"/>
    <w:locked/>
    <w:rPr>
      <w:rFonts w:ascii="Times New Roman" w:eastAsia="Times New Roman" w:hAnsi="Times New Roman" w:cs="Times New Roman"/>
      <w:noProof/>
      <w:szCs w:val="20"/>
      <w:shd w:val="clear" w:color="auto" w:fill="DAEEF3" w:themeFill="accent5" w:themeFillTint="33"/>
      <w:lang w:eastAsia="en-GB"/>
    </w:rPr>
  </w:style>
  <w:style w:type="paragraph" w:customStyle="1" w:styleId="Heading3withoutnumbers">
    <w:name w:val="Heading 3 without numbers"/>
    <w:basedOn w:val="Heading3"/>
    <w:link w:val="Heading3withoutnumbersChar"/>
    <w:uiPriority w:val="90"/>
    <w:qFormat/>
    <w:pPr>
      <w:keepLines/>
      <w:spacing w:before="480" w:line="240" w:lineRule="auto"/>
      <w:ind w:left="360"/>
      <w:jc w:val="left"/>
    </w:pPr>
    <w:rPr>
      <w:lang w:eastAsia="en-GB"/>
    </w:rPr>
  </w:style>
  <w:style w:type="character" w:customStyle="1" w:styleId="Heading3withoutnumbersChar">
    <w:name w:val="Heading 3 without numbers Char"/>
    <w:basedOn w:val="Heading3Char"/>
    <w:link w:val="Heading3withoutnumbers"/>
    <w:uiPriority w:val="90"/>
    <w:rPr>
      <w:rFonts w:ascii="Times New Roman" w:eastAsia="Times New Roman" w:hAnsi="Times New Roman" w:cs="Times New Roman"/>
      <w:b/>
      <w:i w:val="0"/>
      <w:sz w:val="24"/>
      <w:szCs w:val="24"/>
      <w:lang w:val="bg-BG" w:eastAsia="en-GB"/>
    </w:rPr>
  </w:style>
  <w:style w:type="paragraph" w:customStyle="1" w:styleId="Heading4clean">
    <w:name w:val="Heading 4 clean"/>
    <w:basedOn w:val="Heading4"/>
    <w:next w:val="Normal"/>
    <w:link w:val="Heading4cleanChar"/>
    <w:uiPriority w:val="90"/>
    <w:qFormat/>
    <w:pPr>
      <w:keepNext w:val="0"/>
      <w:numPr>
        <w:ilvl w:val="0"/>
        <w:numId w:val="0"/>
      </w:numPr>
      <w:tabs>
        <w:tab w:val="clear" w:pos="1049"/>
      </w:tabs>
      <w:spacing w:before="480"/>
      <w:jc w:val="left"/>
    </w:pPr>
    <w:rPr>
      <w:rFonts w:cstheme="minorHAnsi"/>
      <w:i/>
      <w:noProof/>
      <w:lang w:eastAsia="en-GB"/>
    </w:rPr>
  </w:style>
  <w:style w:type="character" w:customStyle="1" w:styleId="Heading4cleanChar">
    <w:name w:val="Heading 4 clean Char"/>
    <w:basedOn w:val="DefaultParagraphFont"/>
    <w:link w:val="Heading4clean"/>
    <w:uiPriority w:val="90"/>
    <w:rPr>
      <w:rFonts w:ascii="Times New Roman" w:eastAsia="Times New Roman" w:hAnsi="Times New Roman" w:cstheme="minorHAnsi"/>
      <w:b/>
      <w:i/>
      <w:noProof/>
      <w:szCs w:val="20"/>
      <w:lang w:eastAsia="en-GB"/>
    </w:rPr>
  </w:style>
  <w:style w:type="character" w:customStyle="1" w:styleId="Bodytext2">
    <w:name w:val="Body text|2_"/>
    <w:link w:val="Bodytext20"/>
    <w:locked/>
    <w:rPr>
      <w:sz w:val="28"/>
      <w:szCs w:val="28"/>
      <w:shd w:val="clear" w:color="auto" w:fill="FFFFFF"/>
    </w:rPr>
  </w:style>
  <w:style w:type="paragraph" w:customStyle="1" w:styleId="Bodytext20">
    <w:name w:val="Body text|2"/>
    <w:basedOn w:val="Normal"/>
    <w:link w:val="Bodytext2"/>
    <w:qFormat/>
    <w:pPr>
      <w:widowControl w:val="0"/>
      <w:shd w:val="clear" w:color="auto" w:fill="FFFFFF"/>
      <w:spacing w:before="340" w:after="480" w:line="310" w:lineRule="exact"/>
      <w:ind w:hanging="360"/>
      <w:jc w:val="center"/>
    </w:pPr>
    <w:rPr>
      <w:sz w:val="28"/>
      <w:szCs w:val="28"/>
    </w:rPr>
  </w:style>
  <w:style w:type="paragraph" w:customStyle="1" w:styleId="Tabletext">
    <w:name w:val="Table text"/>
    <w:basedOn w:val="Normal"/>
    <w:link w:val="TabletextChar"/>
    <w:uiPriority w:val="90"/>
    <w:qFormat/>
    <w:pPr>
      <w:spacing w:after="0" w:line="240" w:lineRule="auto"/>
    </w:pPr>
    <w:rPr>
      <w:rFonts w:ascii="Calibri" w:eastAsia="Times New Roman" w:hAnsi="Calibri" w:cs="Calibri"/>
      <w:b/>
      <w:bCs/>
      <w:color w:val="000000"/>
      <w:lang w:eastAsia="en-GB"/>
    </w:rPr>
  </w:style>
  <w:style w:type="character" w:customStyle="1" w:styleId="TabletextChar">
    <w:name w:val="Table text Char"/>
    <w:basedOn w:val="DefaultParagraphFont"/>
    <w:link w:val="Tabletext"/>
    <w:uiPriority w:val="90"/>
    <w:rPr>
      <w:rFonts w:ascii="Calibri" w:eastAsia="Times New Roman" w:hAnsi="Calibri" w:cs="Calibri"/>
      <w:b/>
      <w:bCs/>
      <w:color w:val="000000"/>
      <w:lang w:eastAsia="en-GB"/>
    </w:rPr>
  </w:style>
  <w:style w:type="paragraph" w:styleId="Revision">
    <w:name w:val="Revision"/>
    <w:hidden/>
    <w:semiHidden/>
    <w:pPr>
      <w:spacing w:after="0" w:line="240" w:lineRule="auto"/>
    </w:pPr>
    <w:rPr>
      <w:rFonts w:ascii="Times New Roman" w:eastAsia="Times New Roman" w:hAnsi="Times New Roman" w:cs="Times New Roman"/>
      <w:szCs w:val="20"/>
      <w:lang w:eastAsia="en-GB"/>
    </w:rPr>
  </w:style>
  <w:style w:type="paragraph" w:styleId="List">
    <w:name w:val="List"/>
    <w:basedOn w:val="Normal"/>
    <w:unhideWhenUsed/>
    <w:pPr>
      <w:spacing w:after="120" w:line="264" w:lineRule="auto"/>
      <w:ind w:left="283" w:hanging="283"/>
      <w:contextualSpacing/>
      <w:jc w:val="both"/>
    </w:pPr>
    <w:rPr>
      <w:rFonts w:ascii="Times New Roman" w:eastAsia="Times New Roman" w:hAnsi="Times New Roman" w:cs="Times New Roman"/>
      <w:szCs w:val="20"/>
      <w:lang w:eastAsia="en-GB"/>
    </w:rPr>
  </w:style>
  <w:style w:type="paragraph" w:styleId="List2">
    <w:name w:val="List 2"/>
    <w:basedOn w:val="Normal"/>
    <w:unhideWhenUsed/>
    <w:pPr>
      <w:spacing w:after="120" w:line="264" w:lineRule="auto"/>
      <w:ind w:left="566" w:hanging="283"/>
      <w:contextualSpacing/>
      <w:jc w:val="both"/>
    </w:pPr>
    <w:rPr>
      <w:rFonts w:ascii="Times New Roman" w:eastAsia="Times New Roman" w:hAnsi="Times New Roman" w:cs="Times New Roman"/>
      <w:szCs w:val="20"/>
      <w:lang w:eastAsia="en-GB"/>
    </w:rPr>
  </w:style>
  <w:style w:type="paragraph" w:styleId="ListContinue">
    <w:name w:val="List Continue"/>
    <w:basedOn w:val="Normal"/>
    <w:unhideWhenUsed/>
    <w:pPr>
      <w:spacing w:after="120" w:line="264" w:lineRule="auto"/>
      <w:ind w:left="283"/>
      <w:contextualSpacing/>
      <w:jc w:val="both"/>
    </w:pPr>
    <w:rPr>
      <w:rFonts w:ascii="Times New Roman" w:eastAsia="Times New Roman" w:hAnsi="Times New Roman" w:cs="Times New Roman"/>
      <w:szCs w:val="20"/>
      <w:lang w:eastAsia="en-GB"/>
    </w:rPr>
  </w:style>
  <w:style w:type="paragraph" w:styleId="BodyText">
    <w:name w:val="Body Text"/>
    <w:basedOn w:val="Normal"/>
    <w:link w:val="BodyTextChar"/>
    <w:unhideWhenUsed/>
    <w:pPr>
      <w:spacing w:after="120" w:line="264"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Cs w:val="20"/>
      <w:lang w:eastAsia="en-GB"/>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18"/>
      <w:szCs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Cs w:val="20"/>
    </w:rPr>
  </w:style>
  <w:style w:type="paragraph" w:customStyle="1" w:styleId="FigureTitle">
    <w:name w:val="Figure Title"/>
    <w:basedOn w:val="Normal"/>
    <w:next w:val="FigureBody"/>
    <w:uiPriority w:val="6"/>
    <w:pPr>
      <w:keepNext/>
      <w:spacing w:before="120" w:after="120" w:line="264" w:lineRule="auto"/>
      <w:jc w:val="both"/>
    </w:pPr>
    <w:rPr>
      <w:rFonts w:ascii="Times New Roman" w:eastAsia="Times New Roman" w:hAnsi="Times New Roman" w:cs="Times New Roman"/>
      <w:b/>
      <w:i/>
      <w:szCs w:val="20"/>
    </w:rPr>
  </w:style>
  <w:style w:type="paragraph" w:customStyle="1" w:styleId="HistoryTable">
    <w:name w:val="HistoryTable"/>
    <w:basedOn w:val="Normal"/>
    <w:pPr>
      <w:spacing w:before="60" w:after="60" w:line="264" w:lineRule="auto"/>
      <w:jc w:val="both"/>
    </w:pPr>
    <w:rPr>
      <w:rFonts w:ascii="Times New Roman" w:eastAsia="Times New Roman" w:hAnsi="Times New Roman" w:cs="Times New Roman"/>
      <w:sz w:val="20"/>
      <w:szCs w:val="20"/>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cs="Times New Roman"/>
      <w:b/>
      <w:sz w:val="32"/>
      <w:szCs w:val="20"/>
    </w:rPr>
  </w:style>
  <w:style w:type="paragraph" w:customStyle="1" w:styleId="TableText0">
    <w:name w:val="Table Text"/>
    <w:basedOn w:val="Normal"/>
    <w:uiPriority w:val="90"/>
    <w:qFormat/>
    <w:pPr>
      <w:spacing w:before="60" w:after="60" w:line="264" w:lineRule="auto"/>
      <w:jc w:val="both"/>
    </w:pPr>
    <w:rPr>
      <w:rFonts w:ascii="Times New Roman" w:eastAsia="Times New Roman" w:hAnsi="Times New Roman" w:cs="Times New Roman"/>
      <w:szCs w:val="20"/>
    </w:rPr>
  </w:style>
  <w:style w:type="paragraph" w:customStyle="1" w:styleId="LegalNumPar3">
    <w:name w:val="LegalNumPar3"/>
    <w:basedOn w:val="Normal"/>
    <w:pPr>
      <w:numPr>
        <w:ilvl w:val="2"/>
        <w:numId w:val="2"/>
      </w:numPr>
      <w:spacing w:after="12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2"/>
      </w:numPr>
      <w:spacing w:after="120" w:line="360" w:lineRule="auto"/>
      <w:jc w:val="both"/>
    </w:pPr>
    <w:rPr>
      <w:rFonts w:ascii="Times New Roman" w:eastAsia="Times New Roman" w:hAnsi="Times New Roman" w:cs="Times New Roman"/>
      <w:sz w:val="24"/>
      <w:szCs w:val="20"/>
    </w:rPr>
  </w:style>
  <w:style w:type="paragraph" w:customStyle="1" w:styleId="LegalNumPar">
    <w:name w:val="LegalNumPar"/>
    <w:basedOn w:val="Normal"/>
    <w:uiPriority w:val="90"/>
    <w:qFormat/>
    <w:pPr>
      <w:numPr>
        <w:numId w:val="2"/>
      </w:numPr>
      <w:spacing w:after="120" w:line="360" w:lineRule="auto"/>
      <w:jc w:val="both"/>
    </w:pPr>
    <w:rPr>
      <w:rFonts w:ascii="Times New Roman" w:eastAsia="Times New Roman" w:hAnsi="Times New Roman" w:cs="Times New Roman"/>
      <w:sz w:val="24"/>
      <w:szCs w:val="20"/>
    </w:rPr>
  </w:style>
  <w:style w:type="paragraph" w:customStyle="1" w:styleId="Marking">
    <w:name w:val="Marking"/>
    <w:basedOn w:val="Normal"/>
    <w:pPr>
      <w:spacing w:after="120"/>
      <w:ind w:left="5102" w:right="-567"/>
      <w:contextualSpacing/>
    </w:pPr>
    <w:rPr>
      <w:rFonts w:ascii="Times New Roman" w:eastAsia="Times New Roman" w:hAnsi="Times New Roman" w:cs="Times New Roman"/>
      <w:sz w:val="28"/>
      <w:szCs w:val="20"/>
    </w:rPr>
  </w:style>
  <w:style w:type="paragraph" w:customStyle="1" w:styleId="SectionTitle">
    <w:name w:val="SectionTitle"/>
    <w:basedOn w:val="Normal"/>
    <w:next w:val="Heading1"/>
    <w:uiPriority w:val="90"/>
    <w:qFormat/>
    <w:pPr>
      <w:keepNext/>
      <w:spacing w:before="720" w:after="360" w:line="264" w:lineRule="auto"/>
      <w:contextualSpacing/>
      <w:jc w:val="center"/>
      <w:outlineLvl w:val="0"/>
    </w:pPr>
    <w:rPr>
      <w:rFonts w:ascii="Times New Roman Bold" w:eastAsia="Times New Roman" w:hAnsi="Times New Roman Bold" w:cs="Times New Roman"/>
      <w:b/>
      <w:smallCaps/>
      <w:sz w:val="32"/>
      <w:szCs w:val="20"/>
    </w:rPr>
  </w:style>
  <w:style w:type="paragraph" w:customStyle="1" w:styleId="ChapterTitle">
    <w:name w:val="ChapterTitle"/>
    <w:basedOn w:val="Normal"/>
    <w:next w:val="SectionTitle"/>
    <w:uiPriority w:val="90"/>
    <w:qFormat/>
    <w:pPr>
      <w:keepNext/>
      <w:spacing w:before="720" w:after="360" w:line="264" w:lineRule="auto"/>
      <w:jc w:val="center"/>
      <w:outlineLvl w:val="0"/>
    </w:pPr>
    <w:rPr>
      <w:rFonts w:ascii="Times New Roman" w:eastAsia="Times New Roman" w:hAnsi="Times New Roman" w:cs="Times New Roman"/>
      <w:b/>
      <w:sz w:val="36"/>
      <w:szCs w:val="20"/>
    </w:rPr>
  </w:style>
  <w:style w:type="paragraph" w:customStyle="1" w:styleId="PartTitle">
    <w:name w:val="PartTitle"/>
    <w:basedOn w:val="Normal"/>
    <w:next w:val="ChapterTitle"/>
    <w:uiPriority w:val="90"/>
    <w:qFormat/>
    <w:pPr>
      <w:keepNext/>
      <w:pageBreakBefore/>
      <w:spacing w:before="720" w:after="360" w:line="264" w:lineRule="auto"/>
      <w:jc w:val="center"/>
      <w:outlineLvl w:val="0"/>
    </w:pPr>
    <w:rPr>
      <w:rFonts w:ascii="Times New Roman" w:eastAsia="Times New Roman" w:hAnsi="Times New Roman" w:cs="Times New Roman"/>
      <w:b/>
      <w:sz w:val="40"/>
      <w:szCs w:val="20"/>
    </w:rPr>
  </w:style>
  <w:style w:type="paragraph" w:customStyle="1" w:styleId="AnnexTitle">
    <w:name w:val="AnnexTitle"/>
    <w:basedOn w:val="Normal"/>
    <w:next w:val="Normal"/>
    <w:uiPriority w:val="90"/>
    <w:qFormat/>
    <w:pPr>
      <w:pageBreakBefore/>
      <w:numPr>
        <w:numId w:val="1"/>
      </w:numPr>
      <w:spacing w:before="240" w:after="360" w:line="264" w:lineRule="auto"/>
      <w:jc w:val="both"/>
      <w:outlineLvl w:val="0"/>
    </w:pPr>
    <w:rPr>
      <w:rFonts w:ascii="Times New Roman" w:eastAsia="Times New Roman" w:hAnsi="Times New Roman" w:cs="Times New Roman"/>
      <w:b/>
      <w:sz w:val="36"/>
      <w:szCs w:val="20"/>
    </w:rPr>
  </w:style>
  <w:style w:type="paragraph" w:customStyle="1" w:styleId="FITTable">
    <w:name w:val="FIT Table"/>
    <w:basedOn w:val="Normal"/>
    <w:pPr>
      <w:spacing w:before="60" w:after="60" w:line="264"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4"/>
      </w:numPr>
      <w:spacing w:after="120" w:line="264" w:lineRule="auto"/>
      <w:contextualSpacing/>
      <w:jc w:val="both"/>
    </w:pPr>
    <w:rPr>
      <w:rFonts w:ascii="Times New Roman" w:eastAsia="Times New Roman" w:hAnsi="Times New Roman" w:cs="Times New Roman"/>
      <w:szCs w:val="20"/>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ascii="Times New Roman" w:eastAsia="Times New Roman" w:hAnsi="Times New Roman" w:cs="Times New Roman"/>
      <w:szCs w:val="20"/>
    </w:rPr>
  </w:style>
  <w:style w:type="paragraph" w:styleId="ListNumber">
    <w:name w:val="List Number"/>
    <w:basedOn w:val="Normal"/>
    <w:pPr>
      <w:numPr>
        <w:numId w:val="4"/>
      </w:numPr>
      <w:spacing w:after="120" w:line="264" w:lineRule="auto"/>
      <w:contextualSpacing/>
      <w:jc w:val="both"/>
    </w:pPr>
    <w:rPr>
      <w:rFonts w:ascii="Times New Roman" w:eastAsia="Times New Roman" w:hAnsi="Times New Roman" w:cs="Times New Roman"/>
      <w:szCs w:val="20"/>
    </w:rPr>
  </w:style>
  <w:style w:type="paragraph" w:customStyle="1" w:styleId="ListDashLevel4">
    <w:name w:val="List Dash (Level 4)"/>
    <w:basedOn w:val="Normal"/>
    <w:pPr>
      <w:numPr>
        <w:ilvl w:val="3"/>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3">
    <w:name w:val="List Dash (Level 3)"/>
    <w:basedOn w:val="Normal"/>
    <w:pPr>
      <w:numPr>
        <w:ilvl w:val="2"/>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2">
    <w:name w:val="List Dash (Level 2)"/>
    <w:basedOn w:val="Normal"/>
    <w:pPr>
      <w:numPr>
        <w:ilvl w:val="1"/>
        <w:numId w:val="3"/>
      </w:numPr>
      <w:spacing w:after="120" w:line="264" w:lineRule="auto"/>
      <w:contextualSpacing/>
      <w:jc w:val="both"/>
    </w:pPr>
    <w:rPr>
      <w:rFonts w:ascii="Times New Roman" w:eastAsia="Times New Roman" w:hAnsi="Times New Roman" w:cs="Times New Roman"/>
      <w:szCs w:val="20"/>
    </w:rPr>
  </w:style>
  <w:style w:type="paragraph" w:customStyle="1" w:styleId="ListDash">
    <w:name w:val="List Dash"/>
    <w:basedOn w:val="Normal"/>
    <w:pPr>
      <w:numPr>
        <w:numId w:val="3"/>
      </w:numPr>
      <w:spacing w:after="120" w:line="264" w:lineRule="auto"/>
      <w:contextualSpacing/>
      <w:jc w:val="both"/>
    </w:pPr>
    <w:rPr>
      <w:rFonts w:ascii="Times New Roman" w:eastAsia="Times New Roman" w:hAnsi="Times New Roman" w:cs="Times New Roman"/>
      <w:szCs w:val="20"/>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styleId="ListBullet">
    <w:name w:val="List Bullet"/>
    <w:basedOn w:val="Normal"/>
    <w:pPr>
      <w:numPr>
        <w:numId w:val="5"/>
      </w:numPr>
      <w:spacing w:after="120" w:line="264" w:lineRule="auto"/>
      <w:contextualSpacing/>
      <w:jc w:val="both"/>
    </w:pPr>
    <w:rPr>
      <w:rFonts w:ascii="Times New Roman" w:eastAsia="Times New Roman" w:hAnsi="Times New Roman" w:cs="Times New Roman"/>
      <w:szCs w:val="20"/>
    </w:rPr>
  </w:style>
  <w:style w:type="paragraph" w:styleId="TOC9">
    <w:name w:val="toc 9"/>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8">
    <w:name w:val="toc 8"/>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7">
    <w:name w:val="toc 7"/>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jc w:val="both"/>
    </w:pPr>
    <w:rPr>
      <w:rFonts w:ascii="Times New Roman" w:eastAsia="Times New Roman" w:hAnsi="Times New Roman" w:cs="Times New Roman"/>
      <w:b/>
      <w:sz w:val="20"/>
      <w:szCs w:val="20"/>
    </w:rPr>
  </w:style>
  <w:style w:type="paragraph" w:styleId="TOC5">
    <w:name w:val="toc 5"/>
    <w:basedOn w:val="Normal"/>
    <w:next w:val="Normal"/>
    <w:semiHidden/>
    <w:pPr>
      <w:tabs>
        <w:tab w:val="left" w:pos="595"/>
        <w:tab w:val="right" w:leader="dot" w:pos="8640"/>
      </w:tabs>
      <w:spacing w:before="240" w:after="60" w:line="240" w:lineRule="auto"/>
      <w:ind w:right="720"/>
      <w:jc w:val="both"/>
    </w:pPr>
    <w:rPr>
      <w:rFonts w:ascii="Times New Roman" w:eastAsia="Times New Roman" w:hAnsi="Times New Roman" w:cs="Times New Roman"/>
      <w:b/>
      <w:sz w:val="20"/>
      <w:szCs w:val="20"/>
    </w:rPr>
  </w:style>
  <w:style w:type="paragraph" w:styleId="TOC4">
    <w:name w:val="toc 4"/>
    <w:basedOn w:val="Normal"/>
    <w:next w:val="Normal"/>
    <w:uiPriority w:val="99"/>
    <w:semiHidden/>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sz w:val="20"/>
      <w:szCs w:val="20"/>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jc w:val="both"/>
    </w:pPr>
    <w:rPr>
      <w:rFonts w:ascii="Times New Roman" w:eastAsia="Times New Roman" w:hAnsi="Times New Roman" w:cs="Times New Roman"/>
      <w:b/>
      <w:sz w:val="20"/>
      <w:szCs w:val="20"/>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cs="Times New Roman"/>
      <w:b/>
      <w:sz w:val="32"/>
      <w:szCs w:val="20"/>
    </w:rPr>
  </w:style>
  <w:style w:type="paragraph" w:customStyle="1" w:styleId="YReferences">
    <w:name w:val="YReferences"/>
    <w:basedOn w:val="Normal"/>
    <w:pPr>
      <w:spacing w:after="480" w:line="264" w:lineRule="auto"/>
      <w:ind w:left="1531" w:hanging="1531"/>
      <w:contextualSpacing/>
      <w:jc w:val="both"/>
    </w:pPr>
    <w:rPr>
      <w:rFonts w:ascii="Times New Roman" w:eastAsia="Times New Roman" w:hAnsi="Times New Roman" w:cs="Times New Roman"/>
      <w:szCs w:val="20"/>
    </w:rPr>
  </w:style>
  <w:style w:type="paragraph" w:customStyle="1" w:styleId="SubTitle2">
    <w:name w:val="SubTitle 2"/>
    <w:basedOn w:val="Normal"/>
    <w:pPr>
      <w:spacing w:after="280" w:line="264"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Normal"/>
    <w:pPr>
      <w:spacing w:before="360" w:after="2000" w:line="264"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1"/>
    <w:pPr>
      <w:spacing w:before="3200" w:after="480" w:line="264" w:lineRule="auto"/>
      <w:jc w:val="center"/>
    </w:pPr>
    <w:rPr>
      <w:rFonts w:ascii="Times New Roman" w:eastAsia="Times New Roman" w:hAnsi="Times New Roman" w:cs="Times New Roman"/>
      <w:b/>
      <w:kern w:val="28"/>
      <w:sz w:val="48"/>
      <w:szCs w:val="20"/>
    </w:rPr>
  </w:style>
  <w:style w:type="character" w:customStyle="1" w:styleId="TitleChar1">
    <w:name w:val="Title Char1"/>
    <w:basedOn w:val="DefaultParagraphFont"/>
    <w:link w:val="Title"/>
    <w:rPr>
      <w:rFonts w:ascii="Times New Roman" w:eastAsia="Times New Roman" w:hAnsi="Times New Roman" w:cs="Times New Roman"/>
      <w:b/>
      <w:kern w:val="28"/>
      <w:sz w:val="48"/>
      <w:szCs w:val="20"/>
    </w:rPr>
  </w:style>
  <w:style w:type="paragraph" w:customStyle="1" w:styleId="NumPar4">
    <w:name w:val="NumPar 4"/>
    <w:basedOn w:val="Heading4"/>
    <w:uiPriority w:val="90"/>
    <w:qFormat/>
    <w:pPr>
      <w:keepNext w:val="0"/>
      <w:spacing w:before="0"/>
      <w:ind w:left="0" w:firstLine="0"/>
      <w:outlineLvl w:val="9"/>
    </w:pPr>
    <w:rPr>
      <w:b w:val="0"/>
    </w:rPr>
  </w:style>
  <w:style w:type="paragraph" w:customStyle="1" w:styleId="NumPar3">
    <w:name w:val="NumPar 3"/>
    <w:basedOn w:val="Heading3"/>
    <w:uiPriority w:val="90"/>
    <w:qFormat/>
    <w:pPr>
      <w:keepNext w:val="0"/>
      <w:spacing w:before="0"/>
      <w:outlineLvl w:val="9"/>
    </w:pPr>
    <w:rPr>
      <w:b w:val="0"/>
    </w:rPr>
  </w:style>
  <w:style w:type="paragraph" w:customStyle="1" w:styleId="NumPar2">
    <w:name w:val="NumPar 2"/>
    <w:basedOn w:val="Heading2"/>
    <w:uiPriority w:val="90"/>
    <w:qFormat/>
    <w:pPr>
      <w:spacing w:before="0"/>
      <w:outlineLvl w:val="9"/>
    </w:pPr>
    <w:rPr>
      <w:b w:val="0"/>
    </w:rPr>
  </w:style>
  <w:style w:type="paragraph" w:customStyle="1" w:styleId="NumPar1">
    <w:name w:val="NumPar 1"/>
    <w:basedOn w:val="Heading1"/>
    <w:uiPriority w:val="90"/>
    <w:qFormat/>
    <w:pPr>
      <w:keepNext w:val="0"/>
      <w:spacing w:before="0"/>
      <w:outlineLvl w:val="9"/>
    </w:pPr>
    <w:rPr>
      <w:b w:val="0"/>
      <w:smallCaps w:val="0"/>
      <w:sz w:val="22"/>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ascii="Times New Roman" w:eastAsia="Times New Roman" w:hAnsi="Times New Roman" w:cs="Times New Roman"/>
      <w:sz w:val="16"/>
      <w:szCs w:val="20"/>
    </w:rPr>
  </w:style>
  <w:style w:type="paragraph" w:styleId="EndnoteText">
    <w:name w:val="endnote text"/>
    <w:basedOn w:val="Normal"/>
    <w:link w:val="EndnoteTextChar1"/>
    <w:semiHidden/>
    <w:pPr>
      <w:spacing w:after="120" w:line="264" w:lineRule="auto"/>
      <w:jc w:val="both"/>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semiHidden/>
    <w:rPr>
      <w:rFonts w:ascii="Times New Roman" w:eastAsia="Times New Roman" w:hAnsi="Times New Roman" w:cs="Times New Roman"/>
      <w:sz w:val="20"/>
      <w:szCs w:val="20"/>
    </w:rPr>
  </w:style>
  <w:style w:type="paragraph" w:customStyle="1" w:styleId="References">
    <w:name w:val="References"/>
    <w:pPr>
      <w:tabs>
        <w:tab w:val="num" w:pos="397"/>
        <w:tab w:val="num" w:pos="709"/>
      </w:tabs>
      <w:spacing w:after="0" w:line="240" w:lineRule="auto"/>
      <w:ind w:left="709" w:hanging="709"/>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64" w:lineRule="auto"/>
      <w:ind w:left="5102" w:right="-567"/>
      <w:jc w:val="both"/>
    </w:pPr>
    <w:rPr>
      <w:rFonts w:ascii="Times New Roman" w:eastAsia="Times New Roman" w:hAnsi="Times New Roman" w:cs="Times New Roman"/>
      <w:szCs w:val="20"/>
    </w:rPr>
  </w:style>
  <w:style w:type="character" w:customStyle="1" w:styleId="DateChar">
    <w:name w:val="Date Char"/>
    <w:basedOn w:val="DefaultParagraphFont"/>
    <w:link w:val="Date"/>
    <w:rPr>
      <w:rFonts w:ascii="Times New Roman" w:eastAsia="Times New Roman" w:hAnsi="Times New Roman" w:cs="Times New Roman"/>
      <w:szCs w:val="20"/>
    </w:rPr>
  </w:style>
  <w:style w:type="paragraph" w:customStyle="1" w:styleId="Enclosures">
    <w:name w:val="Enclosures"/>
    <w:basedOn w:val="Normal"/>
    <w:pPr>
      <w:keepNext/>
      <w:keepLines/>
      <w:tabs>
        <w:tab w:val="left" w:pos="5641"/>
      </w:tabs>
      <w:spacing w:before="480" w:after="0" w:line="264" w:lineRule="auto"/>
      <w:ind w:left="1794" w:hanging="1794"/>
      <w:contextualSpacing/>
      <w:jc w:val="both"/>
    </w:pPr>
    <w:rPr>
      <w:rFonts w:ascii="Times New Roman" w:eastAsia="Times New Roman" w:hAnsi="Times New Roman" w:cs="Times New Roman"/>
      <w:szCs w:val="20"/>
    </w:rPr>
  </w:style>
  <w:style w:type="paragraph" w:customStyle="1" w:styleId="Contact">
    <w:name w:val="Contact"/>
    <w:basedOn w:val="Normal"/>
    <w:uiPriority w:val="99"/>
    <w:pPr>
      <w:spacing w:before="480" w:after="0" w:line="264" w:lineRule="auto"/>
      <w:ind w:left="567" w:hanging="567"/>
    </w:pPr>
    <w:rPr>
      <w:rFonts w:ascii="Times New Roman" w:eastAsia="Times New Roman" w:hAnsi="Times New Roman" w:cs="Times New Roman"/>
      <w:szCs w:val="20"/>
    </w:rPr>
  </w:style>
  <w:style w:type="paragraph" w:styleId="Caption">
    <w:name w:val="caption"/>
    <w:basedOn w:val="Normal"/>
    <w:next w:val="Normal"/>
    <w:pPr>
      <w:spacing w:before="120" w:after="120" w:line="264" w:lineRule="auto"/>
      <w:jc w:val="both"/>
    </w:pPr>
    <w:rPr>
      <w:rFonts w:ascii="Times New Roman" w:eastAsia="Times New Roman" w:hAnsi="Times New Roman" w:cs="Times New Roman"/>
      <w:b/>
      <w:i/>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Flag">
    <w:name w:val="Z_Flag"/>
    <w:basedOn w:val="Normal"/>
    <w:next w:val="Normal"/>
    <w:uiPriority w:val="99"/>
    <w:semiHidden/>
    <w:pPr>
      <w:widowControl w:val="0"/>
      <w:spacing w:after="0" w:line="264" w:lineRule="auto"/>
      <w:ind w:right="85"/>
      <w:jc w:val="both"/>
    </w:pPr>
    <w:rPr>
      <w:rFonts w:ascii="Times New Roman" w:eastAsia="Times New Roman" w:hAnsi="Times New Roman" w:cs="Times New Roman"/>
      <w:szCs w:val="20"/>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cs="Times New Roman"/>
      <w:b/>
      <w:sz w:val="32"/>
      <w:szCs w:val="20"/>
    </w:rPr>
  </w:style>
  <w:style w:type="paragraph" w:customStyle="1" w:styleId="Glossary">
    <w:name w:val="Glossary"/>
    <w:basedOn w:val="Normal"/>
    <w:uiPriority w:val="90"/>
    <w:qFormat/>
    <w:pPr>
      <w:tabs>
        <w:tab w:val="left" w:pos="2835"/>
      </w:tabs>
      <w:spacing w:after="120" w:line="264" w:lineRule="auto"/>
      <w:ind w:left="2835" w:hanging="2835"/>
    </w:pPr>
    <w:rPr>
      <w:rFonts w:ascii="Times New Roman" w:eastAsia="Times New Roman" w:hAnsi="Times New Roman" w:cs="Times New Roman"/>
      <w:szCs w:val="20"/>
    </w:rPr>
  </w:style>
  <w:style w:type="paragraph" w:customStyle="1" w:styleId="Citation">
    <w:name w:val="Citation"/>
    <w:basedOn w:val="Normal"/>
    <w:link w:val="CitationChar"/>
    <w:uiPriority w:val="90"/>
    <w:qFormat/>
    <w:pPr>
      <w:spacing w:after="120" w:line="264" w:lineRule="auto"/>
      <w:ind w:left="454" w:right="454"/>
      <w:jc w:val="both"/>
    </w:pPr>
    <w:rPr>
      <w:rFonts w:ascii="Times New Roman" w:eastAsia="Times New Roman" w:hAnsi="Times New Roman" w:cs="Times New Roman"/>
      <w:i/>
      <w:szCs w:val="20"/>
    </w:rPr>
  </w:style>
  <w:style w:type="character" w:customStyle="1" w:styleId="CitationChar">
    <w:name w:val="Citation Char"/>
    <w:link w:val="Citation"/>
    <w:uiPriority w:val="90"/>
    <w:qFormat/>
    <w:rPr>
      <w:rFonts w:ascii="Times New Roman" w:eastAsia="Times New Roman" w:hAnsi="Times New Roman" w:cs="Times New Roman"/>
      <w:i/>
      <w:szCs w:val="20"/>
    </w:rPr>
  </w:style>
  <w:style w:type="paragraph" w:styleId="MacroText">
    <w:name w:val="macro"/>
    <w:basedOn w:val="Normal"/>
    <w:link w:val="MacroTextChar1"/>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cs="Times New Roman"/>
      <w:sz w:val="20"/>
      <w:szCs w:val="20"/>
    </w:rPr>
  </w:style>
  <w:style w:type="character" w:customStyle="1" w:styleId="MacroTextChar1">
    <w:name w:val="Macro Text Char1"/>
    <w:basedOn w:val="DefaultParagraphFont"/>
    <w:link w:val="MacroText"/>
    <w:uiPriority w:val="90"/>
    <w:qFormat/>
    <w:rPr>
      <w:rFonts w:ascii="Courier New" w:eastAsia="Times New Roman" w:hAnsi="Courier New" w:cs="Times New Roman"/>
      <w:sz w:val="20"/>
      <w:szCs w:val="20"/>
    </w:rPr>
  </w:style>
  <w:style w:type="table" w:customStyle="1" w:styleId="TableHistory">
    <w:name w:val="Table History"/>
    <w:basedOn w:val="TableNormal"/>
    <w:uiPriority w:val="99"/>
    <w:pPr>
      <w:spacing w:before="60" w:after="60" w:line="240" w:lineRule="auto"/>
    </w:pPr>
    <w:rPr>
      <w:rFonts w:ascii="Times New Roman" w:eastAsia="Times New Roman" w:hAnsi="Times New Roman" w:cs="Times New Roman"/>
      <w:sz w:val="24"/>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ascii="Times New Roman" w:eastAsia="Times New Roman" w:hAnsi="Times New Roman" w:cs="Times New Roman"/>
      <w:sz w:val="24"/>
      <w:szCs w:val="20"/>
    </w:rPr>
    <w:tblPr>
      <w:tblInd w:w="1984" w:type="dxa"/>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footnote reference" w:qFormat="1"/>
    <w:lsdException w:name="endnote text" w:uiPriority="0"/>
    <w:lsdException w:name="macro" w:uiPriority="90" w:qFormat="1"/>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2"/>
      </w:numPr>
      <w:tabs>
        <w:tab w:val="left" w:pos="567"/>
      </w:tabs>
      <w:spacing w:before="480" w:after="120" w:line="264" w:lineRule="auto"/>
      <w:jc w:val="both"/>
      <w:outlineLvl w:val="0"/>
    </w:pPr>
    <w:rPr>
      <w:rFonts w:ascii="Times New Roman" w:eastAsia="Times New Roman" w:hAnsi="Times New Roman" w:cs="Times New Roman"/>
      <w:b/>
      <w:smallCaps/>
      <w:sz w:val="26"/>
      <w:szCs w:val="20"/>
    </w:rPr>
  </w:style>
  <w:style w:type="paragraph" w:styleId="Heading2">
    <w:name w:val="heading 2"/>
    <w:basedOn w:val="Normal"/>
    <w:next w:val="Normal"/>
    <w:link w:val="Heading2Char"/>
    <w:autoRedefine/>
    <w:uiPriority w:val="90"/>
    <w:qFormat/>
    <w:pPr>
      <w:keepNext/>
      <w:tabs>
        <w:tab w:val="left" w:pos="737"/>
      </w:tabs>
      <w:spacing w:before="420" w:after="120" w:line="264"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autoRedefine/>
    <w:uiPriority w:val="90"/>
    <w:qFormat/>
    <w:pPr>
      <w:keepNext/>
      <w:tabs>
        <w:tab w:val="left" w:pos="709"/>
      </w:tabs>
      <w:spacing w:before="360" w:after="120" w:line="264" w:lineRule="auto"/>
      <w:ind w:left="709" w:hanging="425"/>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ascii="Times New Roman" w:eastAsia="Times New Roman" w:hAnsi="Times New Roman" w:cs="Times New Roman"/>
      <w:szCs w:val="20"/>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R"/>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6"/>
      <w:szCs w:val="20"/>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4"/>
      <w:lang w:val="bg-BG"/>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4"/>
      <w:szCs w:val="24"/>
      <w:lang w:val="bg-BG"/>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rPr>
  </w:style>
  <w:style w:type="character" w:customStyle="1" w:styleId="Heading5Char">
    <w:name w:val="Heading 5 Char"/>
    <w:basedOn w:val="DefaultParagraphFont"/>
    <w:link w:val="Heading5"/>
    <w:semiHidden/>
    <w:rPr>
      <w:rFonts w:ascii="Times New Roman" w:eastAsia="Times New Roman" w:hAnsi="Times New Roman" w:cs="Times New Roman"/>
      <w:szCs w:val="20"/>
    </w:rPr>
  </w:style>
  <w:style w:type="character" w:customStyle="1" w:styleId="Heading6Char">
    <w:name w:val="Heading 6 Char"/>
    <w:basedOn w:val="DefaultParagraphFont"/>
    <w:link w:val="Heading6"/>
    <w:semiHidden/>
    <w:rPr>
      <w:rFonts w:ascii="Times New Roman" w:eastAsia="Times New Roman" w:hAnsi="Times New Roman" w:cs="Times New Roman"/>
      <w:szCs w:val="20"/>
    </w:rPr>
  </w:style>
  <w:style w:type="character" w:customStyle="1" w:styleId="Heading7Char">
    <w:name w:val="Heading 7 Char"/>
    <w:basedOn w:val="DefaultParagraphFont"/>
    <w:link w:val="Heading7"/>
    <w:semiHidden/>
    <w:rPr>
      <w:rFonts w:ascii="Times New Roman" w:eastAsia="Times New Roman" w:hAnsi="Times New Roman" w:cs="Times New Roman"/>
      <w:szCs w:val="20"/>
    </w:rPr>
  </w:style>
  <w:style w:type="character" w:customStyle="1" w:styleId="Heading8Char">
    <w:name w:val="Heading 8 Char"/>
    <w:basedOn w:val="DefaultParagraphFont"/>
    <w:link w:val="Heading8"/>
    <w:semiHidden/>
    <w:rPr>
      <w:rFonts w:ascii="Times New Roman" w:eastAsia="Times New Roman" w:hAnsi="Times New Roman" w:cs="Times New Roman"/>
      <w:szCs w:val="20"/>
    </w:rPr>
  </w:style>
  <w:style w:type="character" w:customStyle="1" w:styleId="Heading9Char">
    <w:name w:val="Heading 9 Char"/>
    <w:basedOn w:val="DefaultParagraphFont"/>
    <w:link w:val="Heading9"/>
    <w:semiHidden/>
    <w:rPr>
      <w:rFonts w:ascii="Times New Roman" w:eastAsia="Times New Roman" w:hAnsi="Times New Roman" w:cs="Times New Roman"/>
      <w:szCs w:val="20"/>
    </w:rPr>
  </w:style>
  <w:style w:type="character" w:customStyle="1" w:styleId="MacroTextChar">
    <w:name w:val="Macro Text Char"/>
    <w:basedOn w:val="DefaultParagraphFont"/>
    <w:uiPriority w:val="90"/>
    <w:qFormat/>
    <w:rPr>
      <w:rFonts w:ascii="Courier New" w:hAnsi="Courier New"/>
      <w:sz w:val="20"/>
    </w:rPr>
  </w:style>
  <w:style w:type="paragraph" w:customStyle="1" w:styleId="MarkingLong">
    <w:name w:val="MarkingLong"/>
    <w:basedOn w:val="Marking"/>
    <w:pPr>
      <w:ind w:left="0"/>
      <w:jc w:val="right"/>
    </w:pPr>
    <w:rPr>
      <w:lang w:eastAsia="en-GB"/>
    </w:rPr>
  </w:style>
  <w:style w:type="paragraph" w:customStyle="1" w:styleId="Citation1">
    <w:name w:val="Citation1"/>
    <w:basedOn w:val="Normal"/>
    <w:uiPriority w:val="90"/>
    <w:qFormat/>
    <w:pPr>
      <w:spacing w:after="120" w:line="264" w:lineRule="auto"/>
      <w:ind w:left="454" w:right="454"/>
      <w:jc w:val="both"/>
    </w:pPr>
    <w:rPr>
      <w:rFonts w:ascii="Times New Roman" w:eastAsia="Times New Roman" w:hAnsi="Times New Roman" w:cs="Times New Roman"/>
      <w:i/>
      <w:szCs w:val="20"/>
      <w:lang w:eastAsia="en-GB"/>
    </w:rPr>
  </w:style>
  <w:style w:type="paragraph" w:styleId="ListBullet2">
    <w:name w:val="List Bullet 2"/>
    <w:basedOn w:val="Normal"/>
    <w:semiHidden/>
    <w:pPr>
      <w:numPr>
        <w:numId w:val="7"/>
      </w:numPr>
      <w:spacing w:after="120" w:line="264" w:lineRule="auto"/>
      <w:contextualSpacing/>
      <w:jc w:val="both"/>
    </w:pPr>
    <w:rPr>
      <w:rFonts w:ascii="Times New Roman" w:eastAsia="Times New Roman" w:hAnsi="Times New Roman" w:cs="Times New Roman"/>
      <w:szCs w:val="20"/>
      <w:lang w:eastAsia="en-GB"/>
    </w:rPr>
  </w:style>
  <w:style w:type="table" w:customStyle="1" w:styleId="GridTable1Light-Accent31">
    <w:name w:val="Grid Table 1 Light - Accent 31"/>
    <w:basedOn w:val="TableNormal"/>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pPr>
      <w:spacing w:after="0" w:line="240" w:lineRule="auto"/>
    </w:pPr>
    <w:rPr>
      <w:rFonts w:ascii="Times New Roman" w:hAnsi="Times New Roman"/>
    </w:rPr>
  </w:style>
  <w:style w:type="paragraph" w:customStyle="1" w:styleId="FootnoteReferenceNumber">
    <w:name w:val="Footnote Reference Number"/>
    <w:aliases w:val="Footnote Reference_LVL61,Footnote Reference_LVL62,Footnote Reference_LVL63,16 Point"/>
    <w:basedOn w:val="Normal"/>
    <w:uiPriority w:val="99"/>
    <w:pPr>
      <w:spacing w:after="160" w:line="240" w:lineRule="exact"/>
      <w:jc w:val="both"/>
    </w:pPr>
    <w:rPr>
      <w:rFonts w:ascii="Times New Roman" w:eastAsia="Times New Roman" w:hAnsi="Times New Roman" w:cs="Times New Roman"/>
      <w:sz w:val="24"/>
      <w:szCs w:val="20"/>
      <w:vertAlign w:val="superscript"/>
    </w:rPr>
  </w:style>
  <w:style w:type="character" w:customStyle="1" w:styleId="EndnoteTextChar">
    <w:name w:val="Endnote Text Char"/>
    <w:basedOn w:val="DefaultParagraphFont"/>
    <w:uiPriority w:val="99"/>
    <w:semiHidden/>
    <w:rPr>
      <w:sz w:val="20"/>
    </w:rPr>
  </w:style>
  <w:style w:type="character" w:styleId="EndnoteReference">
    <w:name w:val="endnote reference"/>
    <w:basedOn w:val="DefaultParagraphFont"/>
    <w:uiPriority w:val="99"/>
    <w:semiHidden/>
    <w:unhideWhenUsed/>
    <w:rPr>
      <w:vertAlign w:val="superscript"/>
    </w:rPr>
  </w:style>
  <w:style w:type="paragraph" w:customStyle="1" w:styleId="Text1">
    <w:name w:val="Text 1"/>
    <w:basedOn w:val="Normal"/>
    <w:link w:val="Text1Char"/>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locked/>
    <w:rPr>
      <w:rFonts w:ascii="Times New Roman" w:eastAsia="Times New Roman" w:hAnsi="Times New Roman" w:cs="Times New Roman"/>
      <w:sz w:val="24"/>
      <w:szCs w:val="20"/>
      <w:lang w:eastAsia="en-GB"/>
    </w:rPr>
  </w:style>
  <w:style w:type="paragraph" w:customStyle="1" w:styleId="ReportParagraph">
    <w:name w:val="Report Paragraph"/>
    <w:basedOn w:val="Normal"/>
    <w:link w:val="ReportParagraphChar"/>
    <w:qFormat/>
    <w:pPr>
      <w:spacing w:line="300" w:lineRule="auto"/>
      <w:jc w:val="both"/>
    </w:pPr>
    <w:rPr>
      <w:rFonts w:ascii="Verdana" w:eastAsia="MS Mincho" w:hAnsi="Verdana" w:cs="Times New Roman"/>
      <w:sz w:val="20"/>
      <w:szCs w:val="20"/>
      <w:lang w:eastAsia="en-GB"/>
    </w:rPr>
  </w:style>
  <w:style w:type="character" w:customStyle="1" w:styleId="ReportParagraphChar">
    <w:name w:val="Report Paragraph Char"/>
    <w:link w:val="ReportParagraph"/>
    <w:rPr>
      <w:rFonts w:ascii="Verdana" w:eastAsia="MS Mincho" w:hAnsi="Verdana" w:cs="Times New Roman"/>
      <w:sz w:val="20"/>
      <w:szCs w:val="20"/>
      <w:lang w:eastAsia="en-GB"/>
    </w:rPr>
  </w:style>
  <w:style w:type="character" w:customStyle="1" w:styleId="bumpedfont15">
    <w:name w:val="bumpedfont15"/>
    <w:basedOn w:val="DefaultParagraphFont"/>
  </w:style>
  <w:style w:type="paragraph" w:styleId="Subtitle">
    <w:name w:val="Subtitle"/>
    <w:basedOn w:val="Normal"/>
    <w:next w:val="Normal"/>
    <w:link w:val="SubtitleChar"/>
    <w:uiPriority w:val="11"/>
    <w:qFormat/>
    <w:pPr>
      <w:numPr>
        <w:ilvl w:val="1"/>
      </w:numPr>
      <w:spacing w:after="160" w:line="264" w:lineRule="auto"/>
      <w:jc w:val="both"/>
    </w:pPr>
    <w:rPr>
      <w:rFonts w:eastAsiaTheme="minorEastAsia"/>
      <w:color w:val="5A5A5A" w:themeColor="text1" w:themeTint="A5"/>
      <w:spacing w:val="15"/>
      <w:lang w:eastAsia="en-GB"/>
    </w:rPr>
  </w:style>
  <w:style w:type="character" w:customStyle="1" w:styleId="SubtitleChar">
    <w:name w:val="Subtitle Char"/>
    <w:basedOn w:val="DefaultParagraphFont"/>
    <w:link w:val="Subtitle"/>
    <w:uiPriority w:val="11"/>
    <w:rPr>
      <w:rFonts w:eastAsiaTheme="minorEastAsia"/>
      <w:color w:val="5A5A5A" w:themeColor="text1" w:themeTint="A5"/>
      <w:spacing w:val="15"/>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itleChar">
    <w:name w:val="Title Char"/>
    <w:basedOn w:val="DefaultParagraphFont"/>
    <w:rPr>
      <w:b/>
      <w:kern w:val="28"/>
      <w:sz w:val="48"/>
    </w:rPr>
  </w:style>
  <w:style w:type="character" w:customStyle="1" w:styleId="e24kjd">
    <w:name w:val="e24kjd"/>
    <w:basedOn w:val="DefaultParagraphFont"/>
  </w:style>
  <w:style w:type="paragraph" w:customStyle="1" w:styleId="Briefinglist1">
    <w:name w:val="Briefing list 1"/>
    <w:basedOn w:val="Normal"/>
    <w:link w:val="Briefinglist1Char"/>
    <w:qFormat/>
    <w:pPr>
      <w:pBdr>
        <w:top w:val="single" w:sz="4" w:space="1" w:color="auto"/>
        <w:left w:val="single" w:sz="4" w:space="1" w:color="auto"/>
        <w:bottom w:val="single" w:sz="4" w:space="1" w:color="auto"/>
        <w:right w:val="single" w:sz="4" w:space="1" w:color="auto"/>
      </w:pBdr>
      <w:shd w:val="clear" w:color="auto" w:fill="DAEEF3" w:themeFill="accent5" w:themeFillTint="33"/>
      <w:spacing w:after="120" w:line="264" w:lineRule="auto"/>
      <w:jc w:val="both"/>
    </w:pPr>
    <w:rPr>
      <w:rFonts w:ascii="Times New Roman" w:eastAsia="Times New Roman" w:hAnsi="Times New Roman" w:cs="Times New Roman"/>
      <w:noProof/>
      <w:szCs w:val="20"/>
      <w:lang w:eastAsia="en-GB"/>
    </w:rPr>
  </w:style>
  <w:style w:type="character" w:customStyle="1" w:styleId="Briefinglist1Char">
    <w:name w:val="Briefing list 1 Char"/>
    <w:link w:val="Briefinglist1"/>
    <w:locked/>
    <w:rPr>
      <w:rFonts w:ascii="Times New Roman" w:eastAsia="Times New Roman" w:hAnsi="Times New Roman" w:cs="Times New Roman"/>
      <w:noProof/>
      <w:szCs w:val="20"/>
      <w:shd w:val="clear" w:color="auto" w:fill="DAEEF3" w:themeFill="accent5" w:themeFillTint="33"/>
      <w:lang w:eastAsia="en-GB"/>
    </w:rPr>
  </w:style>
  <w:style w:type="paragraph" w:customStyle="1" w:styleId="Heading3withoutnumbers">
    <w:name w:val="Heading 3 without numbers"/>
    <w:basedOn w:val="Heading3"/>
    <w:link w:val="Heading3withoutnumbersChar"/>
    <w:uiPriority w:val="90"/>
    <w:qFormat/>
    <w:pPr>
      <w:keepLines/>
      <w:spacing w:before="480" w:line="240" w:lineRule="auto"/>
      <w:ind w:left="360"/>
      <w:jc w:val="left"/>
    </w:pPr>
    <w:rPr>
      <w:lang w:eastAsia="en-GB"/>
    </w:rPr>
  </w:style>
  <w:style w:type="character" w:customStyle="1" w:styleId="Heading3withoutnumbersChar">
    <w:name w:val="Heading 3 without numbers Char"/>
    <w:basedOn w:val="Heading3Char"/>
    <w:link w:val="Heading3withoutnumbers"/>
    <w:uiPriority w:val="90"/>
    <w:rPr>
      <w:rFonts w:ascii="Times New Roman" w:eastAsia="Times New Roman" w:hAnsi="Times New Roman" w:cs="Times New Roman"/>
      <w:b/>
      <w:i w:val="0"/>
      <w:sz w:val="24"/>
      <w:szCs w:val="24"/>
      <w:lang w:val="bg-BG" w:eastAsia="en-GB"/>
    </w:rPr>
  </w:style>
  <w:style w:type="paragraph" w:customStyle="1" w:styleId="Heading4clean">
    <w:name w:val="Heading 4 clean"/>
    <w:basedOn w:val="Heading4"/>
    <w:next w:val="Normal"/>
    <w:link w:val="Heading4cleanChar"/>
    <w:uiPriority w:val="90"/>
    <w:qFormat/>
    <w:pPr>
      <w:keepNext w:val="0"/>
      <w:numPr>
        <w:ilvl w:val="0"/>
        <w:numId w:val="0"/>
      </w:numPr>
      <w:tabs>
        <w:tab w:val="clear" w:pos="1049"/>
      </w:tabs>
      <w:spacing w:before="480"/>
      <w:jc w:val="left"/>
    </w:pPr>
    <w:rPr>
      <w:rFonts w:cstheme="minorHAnsi"/>
      <w:i/>
      <w:noProof/>
      <w:lang w:eastAsia="en-GB"/>
    </w:rPr>
  </w:style>
  <w:style w:type="character" w:customStyle="1" w:styleId="Heading4cleanChar">
    <w:name w:val="Heading 4 clean Char"/>
    <w:basedOn w:val="DefaultParagraphFont"/>
    <w:link w:val="Heading4clean"/>
    <w:uiPriority w:val="90"/>
    <w:rPr>
      <w:rFonts w:ascii="Times New Roman" w:eastAsia="Times New Roman" w:hAnsi="Times New Roman" w:cstheme="minorHAnsi"/>
      <w:b/>
      <w:i/>
      <w:noProof/>
      <w:szCs w:val="20"/>
      <w:lang w:eastAsia="en-GB"/>
    </w:rPr>
  </w:style>
  <w:style w:type="character" w:customStyle="1" w:styleId="Bodytext2">
    <w:name w:val="Body text|2_"/>
    <w:link w:val="Bodytext20"/>
    <w:locked/>
    <w:rPr>
      <w:sz w:val="28"/>
      <w:szCs w:val="28"/>
      <w:shd w:val="clear" w:color="auto" w:fill="FFFFFF"/>
    </w:rPr>
  </w:style>
  <w:style w:type="paragraph" w:customStyle="1" w:styleId="Bodytext20">
    <w:name w:val="Body text|2"/>
    <w:basedOn w:val="Normal"/>
    <w:link w:val="Bodytext2"/>
    <w:qFormat/>
    <w:pPr>
      <w:widowControl w:val="0"/>
      <w:shd w:val="clear" w:color="auto" w:fill="FFFFFF"/>
      <w:spacing w:before="340" w:after="480" w:line="310" w:lineRule="exact"/>
      <w:ind w:hanging="360"/>
      <w:jc w:val="center"/>
    </w:pPr>
    <w:rPr>
      <w:sz w:val="28"/>
      <w:szCs w:val="28"/>
    </w:rPr>
  </w:style>
  <w:style w:type="paragraph" w:customStyle="1" w:styleId="Tabletext">
    <w:name w:val="Table text"/>
    <w:basedOn w:val="Normal"/>
    <w:link w:val="TabletextChar"/>
    <w:uiPriority w:val="90"/>
    <w:qFormat/>
    <w:pPr>
      <w:spacing w:after="0" w:line="240" w:lineRule="auto"/>
    </w:pPr>
    <w:rPr>
      <w:rFonts w:ascii="Calibri" w:eastAsia="Times New Roman" w:hAnsi="Calibri" w:cs="Calibri"/>
      <w:b/>
      <w:bCs/>
      <w:color w:val="000000"/>
      <w:lang w:eastAsia="en-GB"/>
    </w:rPr>
  </w:style>
  <w:style w:type="character" w:customStyle="1" w:styleId="TabletextChar">
    <w:name w:val="Table text Char"/>
    <w:basedOn w:val="DefaultParagraphFont"/>
    <w:link w:val="Tabletext"/>
    <w:uiPriority w:val="90"/>
    <w:rPr>
      <w:rFonts w:ascii="Calibri" w:eastAsia="Times New Roman" w:hAnsi="Calibri" w:cs="Calibri"/>
      <w:b/>
      <w:bCs/>
      <w:color w:val="000000"/>
      <w:lang w:eastAsia="en-GB"/>
    </w:rPr>
  </w:style>
  <w:style w:type="paragraph" w:styleId="Revision">
    <w:name w:val="Revision"/>
    <w:hidden/>
    <w:semiHidden/>
    <w:pPr>
      <w:spacing w:after="0" w:line="240" w:lineRule="auto"/>
    </w:pPr>
    <w:rPr>
      <w:rFonts w:ascii="Times New Roman" w:eastAsia="Times New Roman" w:hAnsi="Times New Roman" w:cs="Times New Roman"/>
      <w:szCs w:val="20"/>
      <w:lang w:eastAsia="en-GB"/>
    </w:rPr>
  </w:style>
  <w:style w:type="paragraph" w:styleId="List">
    <w:name w:val="List"/>
    <w:basedOn w:val="Normal"/>
    <w:unhideWhenUsed/>
    <w:pPr>
      <w:spacing w:after="120" w:line="264" w:lineRule="auto"/>
      <w:ind w:left="283" w:hanging="283"/>
      <w:contextualSpacing/>
      <w:jc w:val="both"/>
    </w:pPr>
    <w:rPr>
      <w:rFonts w:ascii="Times New Roman" w:eastAsia="Times New Roman" w:hAnsi="Times New Roman" w:cs="Times New Roman"/>
      <w:szCs w:val="20"/>
      <w:lang w:eastAsia="en-GB"/>
    </w:rPr>
  </w:style>
  <w:style w:type="paragraph" w:styleId="List2">
    <w:name w:val="List 2"/>
    <w:basedOn w:val="Normal"/>
    <w:unhideWhenUsed/>
    <w:pPr>
      <w:spacing w:after="120" w:line="264" w:lineRule="auto"/>
      <w:ind w:left="566" w:hanging="283"/>
      <w:contextualSpacing/>
      <w:jc w:val="both"/>
    </w:pPr>
    <w:rPr>
      <w:rFonts w:ascii="Times New Roman" w:eastAsia="Times New Roman" w:hAnsi="Times New Roman" w:cs="Times New Roman"/>
      <w:szCs w:val="20"/>
      <w:lang w:eastAsia="en-GB"/>
    </w:rPr>
  </w:style>
  <w:style w:type="paragraph" w:styleId="ListContinue">
    <w:name w:val="List Continue"/>
    <w:basedOn w:val="Normal"/>
    <w:unhideWhenUsed/>
    <w:pPr>
      <w:spacing w:after="120" w:line="264" w:lineRule="auto"/>
      <w:ind w:left="283"/>
      <w:contextualSpacing/>
      <w:jc w:val="both"/>
    </w:pPr>
    <w:rPr>
      <w:rFonts w:ascii="Times New Roman" w:eastAsia="Times New Roman" w:hAnsi="Times New Roman" w:cs="Times New Roman"/>
      <w:szCs w:val="20"/>
      <w:lang w:eastAsia="en-GB"/>
    </w:rPr>
  </w:style>
  <w:style w:type="paragraph" w:styleId="BodyText">
    <w:name w:val="Body Text"/>
    <w:basedOn w:val="Normal"/>
    <w:link w:val="BodyTextChar"/>
    <w:unhideWhenUsed/>
    <w:pPr>
      <w:spacing w:after="120" w:line="264"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Cs w:val="20"/>
      <w:lang w:eastAsia="en-GB"/>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18"/>
      <w:szCs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Cs w:val="20"/>
    </w:rPr>
  </w:style>
  <w:style w:type="paragraph" w:customStyle="1" w:styleId="FigureTitle">
    <w:name w:val="Figure Title"/>
    <w:basedOn w:val="Normal"/>
    <w:next w:val="FigureBody"/>
    <w:uiPriority w:val="6"/>
    <w:pPr>
      <w:keepNext/>
      <w:spacing w:before="120" w:after="120" w:line="264" w:lineRule="auto"/>
      <w:jc w:val="both"/>
    </w:pPr>
    <w:rPr>
      <w:rFonts w:ascii="Times New Roman" w:eastAsia="Times New Roman" w:hAnsi="Times New Roman" w:cs="Times New Roman"/>
      <w:b/>
      <w:i/>
      <w:szCs w:val="20"/>
    </w:rPr>
  </w:style>
  <w:style w:type="paragraph" w:customStyle="1" w:styleId="HistoryTable">
    <w:name w:val="HistoryTable"/>
    <w:basedOn w:val="Normal"/>
    <w:pPr>
      <w:spacing w:before="60" w:after="60" w:line="264" w:lineRule="auto"/>
      <w:jc w:val="both"/>
    </w:pPr>
    <w:rPr>
      <w:rFonts w:ascii="Times New Roman" w:eastAsia="Times New Roman" w:hAnsi="Times New Roman" w:cs="Times New Roman"/>
      <w:sz w:val="20"/>
      <w:szCs w:val="20"/>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cs="Times New Roman"/>
      <w:b/>
      <w:sz w:val="32"/>
      <w:szCs w:val="20"/>
    </w:rPr>
  </w:style>
  <w:style w:type="paragraph" w:customStyle="1" w:styleId="TableText0">
    <w:name w:val="Table Text"/>
    <w:basedOn w:val="Normal"/>
    <w:uiPriority w:val="90"/>
    <w:qFormat/>
    <w:pPr>
      <w:spacing w:before="60" w:after="60" w:line="264" w:lineRule="auto"/>
      <w:jc w:val="both"/>
    </w:pPr>
    <w:rPr>
      <w:rFonts w:ascii="Times New Roman" w:eastAsia="Times New Roman" w:hAnsi="Times New Roman" w:cs="Times New Roman"/>
      <w:szCs w:val="20"/>
    </w:rPr>
  </w:style>
  <w:style w:type="paragraph" w:customStyle="1" w:styleId="LegalNumPar3">
    <w:name w:val="LegalNumPar3"/>
    <w:basedOn w:val="Normal"/>
    <w:pPr>
      <w:numPr>
        <w:ilvl w:val="2"/>
        <w:numId w:val="2"/>
      </w:numPr>
      <w:spacing w:after="12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2"/>
      </w:numPr>
      <w:spacing w:after="120" w:line="360" w:lineRule="auto"/>
      <w:jc w:val="both"/>
    </w:pPr>
    <w:rPr>
      <w:rFonts w:ascii="Times New Roman" w:eastAsia="Times New Roman" w:hAnsi="Times New Roman" w:cs="Times New Roman"/>
      <w:sz w:val="24"/>
      <w:szCs w:val="20"/>
    </w:rPr>
  </w:style>
  <w:style w:type="paragraph" w:customStyle="1" w:styleId="LegalNumPar">
    <w:name w:val="LegalNumPar"/>
    <w:basedOn w:val="Normal"/>
    <w:uiPriority w:val="90"/>
    <w:qFormat/>
    <w:pPr>
      <w:numPr>
        <w:numId w:val="2"/>
      </w:numPr>
      <w:spacing w:after="120" w:line="360" w:lineRule="auto"/>
      <w:jc w:val="both"/>
    </w:pPr>
    <w:rPr>
      <w:rFonts w:ascii="Times New Roman" w:eastAsia="Times New Roman" w:hAnsi="Times New Roman" w:cs="Times New Roman"/>
      <w:sz w:val="24"/>
      <w:szCs w:val="20"/>
    </w:rPr>
  </w:style>
  <w:style w:type="paragraph" w:customStyle="1" w:styleId="Marking">
    <w:name w:val="Marking"/>
    <w:basedOn w:val="Normal"/>
    <w:pPr>
      <w:spacing w:after="120"/>
      <w:ind w:left="5102" w:right="-567"/>
      <w:contextualSpacing/>
    </w:pPr>
    <w:rPr>
      <w:rFonts w:ascii="Times New Roman" w:eastAsia="Times New Roman" w:hAnsi="Times New Roman" w:cs="Times New Roman"/>
      <w:sz w:val="28"/>
      <w:szCs w:val="20"/>
    </w:rPr>
  </w:style>
  <w:style w:type="paragraph" w:customStyle="1" w:styleId="SectionTitle">
    <w:name w:val="SectionTitle"/>
    <w:basedOn w:val="Normal"/>
    <w:next w:val="Heading1"/>
    <w:uiPriority w:val="90"/>
    <w:qFormat/>
    <w:pPr>
      <w:keepNext/>
      <w:spacing w:before="720" w:after="360" w:line="264" w:lineRule="auto"/>
      <w:contextualSpacing/>
      <w:jc w:val="center"/>
      <w:outlineLvl w:val="0"/>
    </w:pPr>
    <w:rPr>
      <w:rFonts w:ascii="Times New Roman Bold" w:eastAsia="Times New Roman" w:hAnsi="Times New Roman Bold" w:cs="Times New Roman"/>
      <w:b/>
      <w:smallCaps/>
      <w:sz w:val="32"/>
      <w:szCs w:val="20"/>
    </w:rPr>
  </w:style>
  <w:style w:type="paragraph" w:customStyle="1" w:styleId="ChapterTitle">
    <w:name w:val="ChapterTitle"/>
    <w:basedOn w:val="Normal"/>
    <w:next w:val="SectionTitle"/>
    <w:uiPriority w:val="90"/>
    <w:qFormat/>
    <w:pPr>
      <w:keepNext/>
      <w:spacing w:before="720" w:after="360" w:line="264" w:lineRule="auto"/>
      <w:jc w:val="center"/>
      <w:outlineLvl w:val="0"/>
    </w:pPr>
    <w:rPr>
      <w:rFonts w:ascii="Times New Roman" w:eastAsia="Times New Roman" w:hAnsi="Times New Roman" w:cs="Times New Roman"/>
      <w:b/>
      <w:sz w:val="36"/>
      <w:szCs w:val="20"/>
    </w:rPr>
  </w:style>
  <w:style w:type="paragraph" w:customStyle="1" w:styleId="PartTitle">
    <w:name w:val="PartTitle"/>
    <w:basedOn w:val="Normal"/>
    <w:next w:val="ChapterTitle"/>
    <w:uiPriority w:val="90"/>
    <w:qFormat/>
    <w:pPr>
      <w:keepNext/>
      <w:pageBreakBefore/>
      <w:spacing w:before="720" w:after="360" w:line="264" w:lineRule="auto"/>
      <w:jc w:val="center"/>
      <w:outlineLvl w:val="0"/>
    </w:pPr>
    <w:rPr>
      <w:rFonts w:ascii="Times New Roman" w:eastAsia="Times New Roman" w:hAnsi="Times New Roman" w:cs="Times New Roman"/>
      <w:b/>
      <w:sz w:val="40"/>
      <w:szCs w:val="20"/>
    </w:rPr>
  </w:style>
  <w:style w:type="paragraph" w:customStyle="1" w:styleId="AnnexTitle">
    <w:name w:val="AnnexTitle"/>
    <w:basedOn w:val="Normal"/>
    <w:next w:val="Normal"/>
    <w:uiPriority w:val="90"/>
    <w:qFormat/>
    <w:pPr>
      <w:pageBreakBefore/>
      <w:numPr>
        <w:numId w:val="1"/>
      </w:numPr>
      <w:spacing w:before="240" w:after="360" w:line="264" w:lineRule="auto"/>
      <w:jc w:val="both"/>
      <w:outlineLvl w:val="0"/>
    </w:pPr>
    <w:rPr>
      <w:rFonts w:ascii="Times New Roman" w:eastAsia="Times New Roman" w:hAnsi="Times New Roman" w:cs="Times New Roman"/>
      <w:b/>
      <w:sz w:val="36"/>
      <w:szCs w:val="20"/>
    </w:rPr>
  </w:style>
  <w:style w:type="paragraph" w:customStyle="1" w:styleId="FITTable">
    <w:name w:val="FIT Table"/>
    <w:basedOn w:val="Normal"/>
    <w:pPr>
      <w:spacing w:before="60" w:after="60" w:line="264"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4"/>
      </w:numPr>
      <w:spacing w:after="120" w:line="264" w:lineRule="auto"/>
      <w:contextualSpacing/>
      <w:jc w:val="both"/>
    </w:pPr>
    <w:rPr>
      <w:rFonts w:ascii="Times New Roman" w:eastAsia="Times New Roman" w:hAnsi="Times New Roman" w:cs="Times New Roman"/>
      <w:szCs w:val="20"/>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ascii="Times New Roman" w:eastAsia="Times New Roman" w:hAnsi="Times New Roman" w:cs="Times New Roman"/>
      <w:szCs w:val="20"/>
    </w:rPr>
  </w:style>
  <w:style w:type="paragraph" w:styleId="ListNumber">
    <w:name w:val="List Number"/>
    <w:basedOn w:val="Normal"/>
    <w:pPr>
      <w:numPr>
        <w:numId w:val="4"/>
      </w:numPr>
      <w:spacing w:after="120" w:line="264" w:lineRule="auto"/>
      <w:contextualSpacing/>
      <w:jc w:val="both"/>
    </w:pPr>
    <w:rPr>
      <w:rFonts w:ascii="Times New Roman" w:eastAsia="Times New Roman" w:hAnsi="Times New Roman" w:cs="Times New Roman"/>
      <w:szCs w:val="20"/>
    </w:rPr>
  </w:style>
  <w:style w:type="paragraph" w:customStyle="1" w:styleId="ListDashLevel4">
    <w:name w:val="List Dash (Level 4)"/>
    <w:basedOn w:val="Normal"/>
    <w:pPr>
      <w:numPr>
        <w:ilvl w:val="3"/>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3">
    <w:name w:val="List Dash (Level 3)"/>
    <w:basedOn w:val="Normal"/>
    <w:pPr>
      <w:numPr>
        <w:ilvl w:val="2"/>
        <w:numId w:val="3"/>
      </w:numPr>
      <w:spacing w:after="120" w:line="264" w:lineRule="auto"/>
      <w:contextualSpacing/>
      <w:jc w:val="both"/>
    </w:pPr>
    <w:rPr>
      <w:rFonts w:ascii="Times New Roman" w:eastAsia="Times New Roman" w:hAnsi="Times New Roman" w:cs="Times New Roman"/>
      <w:szCs w:val="20"/>
    </w:rPr>
  </w:style>
  <w:style w:type="paragraph" w:customStyle="1" w:styleId="ListDashLevel2">
    <w:name w:val="List Dash (Level 2)"/>
    <w:basedOn w:val="Normal"/>
    <w:pPr>
      <w:numPr>
        <w:ilvl w:val="1"/>
        <w:numId w:val="3"/>
      </w:numPr>
      <w:spacing w:after="120" w:line="264" w:lineRule="auto"/>
      <w:contextualSpacing/>
      <w:jc w:val="both"/>
    </w:pPr>
    <w:rPr>
      <w:rFonts w:ascii="Times New Roman" w:eastAsia="Times New Roman" w:hAnsi="Times New Roman" w:cs="Times New Roman"/>
      <w:szCs w:val="20"/>
    </w:rPr>
  </w:style>
  <w:style w:type="paragraph" w:customStyle="1" w:styleId="ListDash">
    <w:name w:val="List Dash"/>
    <w:basedOn w:val="Normal"/>
    <w:pPr>
      <w:numPr>
        <w:numId w:val="3"/>
      </w:numPr>
      <w:spacing w:after="120" w:line="264" w:lineRule="auto"/>
      <w:contextualSpacing/>
      <w:jc w:val="both"/>
    </w:pPr>
    <w:rPr>
      <w:rFonts w:ascii="Times New Roman" w:eastAsia="Times New Roman" w:hAnsi="Times New Roman" w:cs="Times New Roman"/>
      <w:szCs w:val="20"/>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ascii="Times New Roman" w:eastAsia="Times New Roman" w:hAnsi="Times New Roman" w:cs="Times New Roman"/>
      <w:szCs w:val="20"/>
    </w:rPr>
  </w:style>
  <w:style w:type="paragraph" w:styleId="ListBullet">
    <w:name w:val="List Bullet"/>
    <w:basedOn w:val="Normal"/>
    <w:pPr>
      <w:numPr>
        <w:numId w:val="5"/>
      </w:numPr>
      <w:spacing w:after="120" w:line="264" w:lineRule="auto"/>
      <w:contextualSpacing/>
      <w:jc w:val="both"/>
    </w:pPr>
    <w:rPr>
      <w:rFonts w:ascii="Times New Roman" w:eastAsia="Times New Roman" w:hAnsi="Times New Roman" w:cs="Times New Roman"/>
      <w:szCs w:val="20"/>
    </w:rPr>
  </w:style>
  <w:style w:type="paragraph" w:styleId="TOC9">
    <w:name w:val="toc 9"/>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8">
    <w:name w:val="toc 8"/>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7">
    <w:name w:val="toc 7"/>
    <w:basedOn w:val="Normal"/>
    <w:next w:val="Normal"/>
    <w:semiHidden/>
    <w:pPr>
      <w:tabs>
        <w:tab w:val="right" w:leader="dot" w:pos="8640"/>
      </w:tabs>
      <w:spacing w:after="120" w:line="264" w:lineRule="auto"/>
      <w:jc w:val="both"/>
    </w:pPr>
    <w:rPr>
      <w:rFonts w:ascii="Times New Roman" w:eastAsia="Times New Roman" w:hAnsi="Times New Roman" w:cs="Times New Roman"/>
      <w:szCs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jc w:val="both"/>
    </w:pPr>
    <w:rPr>
      <w:rFonts w:ascii="Times New Roman" w:eastAsia="Times New Roman" w:hAnsi="Times New Roman" w:cs="Times New Roman"/>
      <w:b/>
      <w:sz w:val="20"/>
      <w:szCs w:val="20"/>
    </w:rPr>
  </w:style>
  <w:style w:type="paragraph" w:styleId="TOC5">
    <w:name w:val="toc 5"/>
    <w:basedOn w:val="Normal"/>
    <w:next w:val="Normal"/>
    <w:semiHidden/>
    <w:pPr>
      <w:tabs>
        <w:tab w:val="left" w:pos="595"/>
        <w:tab w:val="right" w:leader="dot" w:pos="8640"/>
      </w:tabs>
      <w:spacing w:before="240" w:after="60" w:line="240" w:lineRule="auto"/>
      <w:ind w:right="720"/>
      <w:jc w:val="both"/>
    </w:pPr>
    <w:rPr>
      <w:rFonts w:ascii="Times New Roman" w:eastAsia="Times New Roman" w:hAnsi="Times New Roman" w:cs="Times New Roman"/>
      <w:b/>
      <w:sz w:val="20"/>
      <w:szCs w:val="20"/>
    </w:rPr>
  </w:style>
  <w:style w:type="paragraph" w:styleId="TOC4">
    <w:name w:val="toc 4"/>
    <w:basedOn w:val="Normal"/>
    <w:next w:val="Normal"/>
    <w:uiPriority w:val="99"/>
    <w:semiHidden/>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sz w:val="20"/>
      <w:szCs w:val="20"/>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jc w:val="both"/>
    </w:pPr>
    <w:rPr>
      <w:rFonts w:ascii="Times New Roman" w:eastAsia="Times New Roman" w:hAnsi="Times New Roman" w:cs="Times New Roman"/>
      <w:b/>
      <w:sz w:val="20"/>
      <w:szCs w:val="20"/>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cs="Times New Roman"/>
      <w:b/>
      <w:sz w:val="32"/>
      <w:szCs w:val="20"/>
    </w:rPr>
  </w:style>
  <w:style w:type="paragraph" w:customStyle="1" w:styleId="YReferences">
    <w:name w:val="YReferences"/>
    <w:basedOn w:val="Normal"/>
    <w:pPr>
      <w:spacing w:after="480" w:line="264" w:lineRule="auto"/>
      <w:ind w:left="1531" w:hanging="1531"/>
      <w:contextualSpacing/>
      <w:jc w:val="both"/>
    </w:pPr>
    <w:rPr>
      <w:rFonts w:ascii="Times New Roman" w:eastAsia="Times New Roman" w:hAnsi="Times New Roman" w:cs="Times New Roman"/>
      <w:szCs w:val="20"/>
    </w:rPr>
  </w:style>
  <w:style w:type="paragraph" w:customStyle="1" w:styleId="SubTitle2">
    <w:name w:val="SubTitle 2"/>
    <w:basedOn w:val="Normal"/>
    <w:pPr>
      <w:spacing w:after="280" w:line="264"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Normal"/>
    <w:pPr>
      <w:spacing w:before="360" w:after="2000" w:line="264"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1"/>
    <w:pPr>
      <w:spacing w:before="3200" w:after="480" w:line="264" w:lineRule="auto"/>
      <w:jc w:val="center"/>
    </w:pPr>
    <w:rPr>
      <w:rFonts w:ascii="Times New Roman" w:eastAsia="Times New Roman" w:hAnsi="Times New Roman" w:cs="Times New Roman"/>
      <w:b/>
      <w:kern w:val="28"/>
      <w:sz w:val="48"/>
      <w:szCs w:val="20"/>
    </w:rPr>
  </w:style>
  <w:style w:type="character" w:customStyle="1" w:styleId="TitleChar1">
    <w:name w:val="Title Char1"/>
    <w:basedOn w:val="DefaultParagraphFont"/>
    <w:link w:val="Title"/>
    <w:rPr>
      <w:rFonts w:ascii="Times New Roman" w:eastAsia="Times New Roman" w:hAnsi="Times New Roman" w:cs="Times New Roman"/>
      <w:b/>
      <w:kern w:val="28"/>
      <w:sz w:val="48"/>
      <w:szCs w:val="20"/>
    </w:rPr>
  </w:style>
  <w:style w:type="paragraph" w:customStyle="1" w:styleId="NumPar4">
    <w:name w:val="NumPar 4"/>
    <w:basedOn w:val="Heading4"/>
    <w:uiPriority w:val="90"/>
    <w:qFormat/>
    <w:pPr>
      <w:keepNext w:val="0"/>
      <w:spacing w:before="0"/>
      <w:ind w:left="0" w:firstLine="0"/>
      <w:outlineLvl w:val="9"/>
    </w:pPr>
    <w:rPr>
      <w:b w:val="0"/>
    </w:rPr>
  </w:style>
  <w:style w:type="paragraph" w:customStyle="1" w:styleId="NumPar3">
    <w:name w:val="NumPar 3"/>
    <w:basedOn w:val="Heading3"/>
    <w:uiPriority w:val="90"/>
    <w:qFormat/>
    <w:pPr>
      <w:keepNext w:val="0"/>
      <w:spacing w:before="0"/>
      <w:outlineLvl w:val="9"/>
    </w:pPr>
    <w:rPr>
      <w:b w:val="0"/>
    </w:rPr>
  </w:style>
  <w:style w:type="paragraph" w:customStyle="1" w:styleId="NumPar2">
    <w:name w:val="NumPar 2"/>
    <w:basedOn w:val="Heading2"/>
    <w:uiPriority w:val="90"/>
    <w:qFormat/>
    <w:pPr>
      <w:spacing w:before="0"/>
      <w:outlineLvl w:val="9"/>
    </w:pPr>
    <w:rPr>
      <w:b w:val="0"/>
    </w:rPr>
  </w:style>
  <w:style w:type="paragraph" w:customStyle="1" w:styleId="NumPar1">
    <w:name w:val="NumPar 1"/>
    <w:basedOn w:val="Heading1"/>
    <w:uiPriority w:val="90"/>
    <w:qFormat/>
    <w:pPr>
      <w:keepNext w:val="0"/>
      <w:spacing w:before="0"/>
      <w:outlineLvl w:val="9"/>
    </w:pPr>
    <w:rPr>
      <w:b w:val="0"/>
      <w:smallCaps w:val="0"/>
      <w:sz w:val="22"/>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ascii="Times New Roman" w:eastAsia="Times New Roman" w:hAnsi="Times New Roman" w:cs="Times New Roman"/>
      <w:sz w:val="16"/>
      <w:szCs w:val="20"/>
    </w:rPr>
  </w:style>
  <w:style w:type="paragraph" w:styleId="EndnoteText">
    <w:name w:val="endnote text"/>
    <w:basedOn w:val="Normal"/>
    <w:link w:val="EndnoteTextChar1"/>
    <w:semiHidden/>
    <w:pPr>
      <w:spacing w:after="120" w:line="264" w:lineRule="auto"/>
      <w:jc w:val="both"/>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semiHidden/>
    <w:rPr>
      <w:rFonts w:ascii="Times New Roman" w:eastAsia="Times New Roman" w:hAnsi="Times New Roman" w:cs="Times New Roman"/>
      <w:sz w:val="20"/>
      <w:szCs w:val="20"/>
    </w:rPr>
  </w:style>
  <w:style w:type="paragraph" w:customStyle="1" w:styleId="References">
    <w:name w:val="References"/>
    <w:pPr>
      <w:tabs>
        <w:tab w:val="num" w:pos="397"/>
        <w:tab w:val="num" w:pos="709"/>
      </w:tabs>
      <w:spacing w:after="0" w:line="240" w:lineRule="auto"/>
      <w:ind w:left="709" w:hanging="709"/>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64" w:lineRule="auto"/>
      <w:ind w:left="5102" w:right="-567"/>
      <w:jc w:val="both"/>
    </w:pPr>
    <w:rPr>
      <w:rFonts w:ascii="Times New Roman" w:eastAsia="Times New Roman" w:hAnsi="Times New Roman" w:cs="Times New Roman"/>
      <w:szCs w:val="20"/>
    </w:rPr>
  </w:style>
  <w:style w:type="character" w:customStyle="1" w:styleId="DateChar">
    <w:name w:val="Date Char"/>
    <w:basedOn w:val="DefaultParagraphFont"/>
    <w:link w:val="Date"/>
    <w:rPr>
      <w:rFonts w:ascii="Times New Roman" w:eastAsia="Times New Roman" w:hAnsi="Times New Roman" w:cs="Times New Roman"/>
      <w:szCs w:val="20"/>
    </w:rPr>
  </w:style>
  <w:style w:type="paragraph" w:customStyle="1" w:styleId="Enclosures">
    <w:name w:val="Enclosures"/>
    <w:basedOn w:val="Normal"/>
    <w:pPr>
      <w:keepNext/>
      <w:keepLines/>
      <w:tabs>
        <w:tab w:val="left" w:pos="5641"/>
      </w:tabs>
      <w:spacing w:before="480" w:after="0" w:line="264" w:lineRule="auto"/>
      <w:ind w:left="1794" w:hanging="1794"/>
      <w:contextualSpacing/>
      <w:jc w:val="both"/>
    </w:pPr>
    <w:rPr>
      <w:rFonts w:ascii="Times New Roman" w:eastAsia="Times New Roman" w:hAnsi="Times New Roman" w:cs="Times New Roman"/>
      <w:szCs w:val="20"/>
    </w:rPr>
  </w:style>
  <w:style w:type="paragraph" w:customStyle="1" w:styleId="Contact">
    <w:name w:val="Contact"/>
    <w:basedOn w:val="Normal"/>
    <w:uiPriority w:val="99"/>
    <w:pPr>
      <w:spacing w:before="480" w:after="0" w:line="264" w:lineRule="auto"/>
      <w:ind w:left="567" w:hanging="567"/>
    </w:pPr>
    <w:rPr>
      <w:rFonts w:ascii="Times New Roman" w:eastAsia="Times New Roman" w:hAnsi="Times New Roman" w:cs="Times New Roman"/>
      <w:szCs w:val="20"/>
    </w:rPr>
  </w:style>
  <w:style w:type="paragraph" w:styleId="Caption">
    <w:name w:val="caption"/>
    <w:basedOn w:val="Normal"/>
    <w:next w:val="Normal"/>
    <w:pPr>
      <w:spacing w:before="120" w:after="120" w:line="264" w:lineRule="auto"/>
      <w:jc w:val="both"/>
    </w:pPr>
    <w:rPr>
      <w:rFonts w:ascii="Times New Roman" w:eastAsia="Times New Roman" w:hAnsi="Times New Roman" w:cs="Times New Roman"/>
      <w:b/>
      <w:i/>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Flag">
    <w:name w:val="Z_Flag"/>
    <w:basedOn w:val="Normal"/>
    <w:next w:val="Normal"/>
    <w:uiPriority w:val="99"/>
    <w:semiHidden/>
    <w:pPr>
      <w:widowControl w:val="0"/>
      <w:spacing w:after="0" w:line="264" w:lineRule="auto"/>
      <w:ind w:right="85"/>
      <w:jc w:val="both"/>
    </w:pPr>
    <w:rPr>
      <w:rFonts w:ascii="Times New Roman" w:eastAsia="Times New Roman" w:hAnsi="Times New Roman" w:cs="Times New Roman"/>
      <w:szCs w:val="20"/>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cs="Times New Roman"/>
      <w:b/>
      <w:sz w:val="32"/>
      <w:szCs w:val="20"/>
    </w:rPr>
  </w:style>
  <w:style w:type="paragraph" w:customStyle="1" w:styleId="Glossary">
    <w:name w:val="Glossary"/>
    <w:basedOn w:val="Normal"/>
    <w:uiPriority w:val="90"/>
    <w:qFormat/>
    <w:pPr>
      <w:tabs>
        <w:tab w:val="left" w:pos="2835"/>
      </w:tabs>
      <w:spacing w:after="120" w:line="264" w:lineRule="auto"/>
      <w:ind w:left="2835" w:hanging="2835"/>
    </w:pPr>
    <w:rPr>
      <w:rFonts w:ascii="Times New Roman" w:eastAsia="Times New Roman" w:hAnsi="Times New Roman" w:cs="Times New Roman"/>
      <w:szCs w:val="20"/>
    </w:rPr>
  </w:style>
  <w:style w:type="paragraph" w:customStyle="1" w:styleId="Citation">
    <w:name w:val="Citation"/>
    <w:basedOn w:val="Normal"/>
    <w:link w:val="CitationChar"/>
    <w:uiPriority w:val="90"/>
    <w:qFormat/>
    <w:pPr>
      <w:spacing w:after="120" w:line="264" w:lineRule="auto"/>
      <w:ind w:left="454" w:right="454"/>
      <w:jc w:val="both"/>
    </w:pPr>
    <w:rPr>
      <w:rFonts w:ascii="Times New Roman" w:eastAsia="Times New Roman" w:hAnsi="Times New Roman" w:cs="Times New Roman"/>
      <w:i/>
      <w:szCs w:val="20"/>
    </w:rPr>
  </w:style>
  <w:style w:type="character" w:customStyle="1" w:styleId="CitationChar">
    <w:name w:val="Citation Char"/>
    <w:link w:val="Citation"/>
    <w:uiPriority w:val="90"/>
    <w:qFormat/>
    <w:rPr>
      <w:rFonts w:ascii="Times New Roman" w:eastAsia="Times New Roman" w:hAnsi="Times New Roman" w:cs="Times New Roman"/>
      <w:i/>
      <w:szCs w:val="20"/>
    </w:rPr>
  </w:style>
  <w:style w:type="paragraph" w:styleId="MacroText">
    <w:name w:val="macro"/>
    <w:basedOn w:val="Normal"/>
    <w:link w:val="MacroTextChar1"/>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cs="Times New Roman"/>
      <w:sz w:val="20"/>
      <w:szCs w:val="20"/>
    </w:rPr>
  </w:style>
  <w:style w:type="character" w:customStyle="1" w:styleId="MacroTextChar1">
    <w:name w:val="Macro Text Char1"/>
    <w:basedOn w:val="DefaultParagraphFont"/>
    <w:link w:val="MacroText"/>
    <w:uiPriority w:val="90"/>
    <w:qFormat/>
    <w:rPr>
      <w:rFonts w:ascii="Courier New" w:eastAsia="Times New Roman" w:hAnsi="Courier New" w:cs="Times New Roman"/>
      <w:sz w:val="20"/>
      <w:szCs w:val="20"/>
    </w:rPr>
  </w:style>
  <w:style w:type="table" w:customStyle="1" w:styleId="TableHistory">
    <w:name w:val="Table History"/>
    <w:basedOn w:val="TableNormal"/>
    <w:uiPriority w:val="99"/>
    <w:pPr>
      <w:spacing w:before="60" w:after="60" w:line="240" w:lineRule="auto"/>
    </w:pPr>
    <w:rPr>
      <w:rFonts w:ascii="Times New Roman" w:eastAsia="Times New Roman" w:hAnsi="Times New Roman" w:cs="Times New Roman"/>
      <w:sz w:val="24"/>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ascii="Times New Roman" w:eastAsia="Times New Roman" w:hAnsi="Times New Roman" w:cs="Times New Roman"/>
      <w:sz w:val="24"/>
      <w:szCs w:val="20"/>
    </w:rPr>
    <w:tblPr>
      <w:tblInd w:w="1984" w:type="dxa"/>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8162">
      <w:bodyDiv w:val="1"/>
      <w:marLeft w:val="0"/>
      <w:marRight w:val="0"/>
      <w:marTop w:val="0"/>
      <w:marBottom w:val="0"/>
      <w:divBdr>
        <w:top w:val="none" w:sz="0" w:space="0" w:color="auto"/>
        <w:left w:val="none" w:sz="0" w:space="0" w:color="auto"/>
        <w:bottom w:val="none" w:sz="0" w:space="0" w:color="auto"/>
        <w:right w:val="none" w:sz="0" w:space="0" w:color="auto"/>
      </w:divBdr>
    </w:div>
    <w:div w:id="503400712">
      <w:bodyDiv w:val="1"/>
      <w:marLeft w:val="0"/>
      <w:marRight w:val="0"/>
      <w:marTop w:val="0"/>
      <w:marBottom w:val="0"/>
      <w:divBdr>
        <w:top w:val="none" w:sz="0" w:space="0" w:color="auto"/>
        <w:left w:val="none" w:sz="0" w:space="0" w:color="auto"/>
        <w:bottom w:val="none" w:sz="0" w:space="0" w:color="auto"/>
        <w:right w:val="none" w:sz="0" w:space="0" w:color="auto"/>
      </w:divBdr>
    </w:div>
    <w:div w:id="760948539">
      <w:bodyDiv w:val="1"/>
      <w:marLeft w:val="0"/>
      <w:marRight w:val="0"/>
      <w:marTop w:val="0"/>
      <w:marBottom w:val="0"/>
      <w:divBdr>
        <w:top w:val="none" w:sz="0" w:space="0" w:color="auto"/>
        <w:left w:val="none" w:sz="0" w:space="0" w:color="auto"/>
        <w:bottom w:val="none" w:sz="0" w:space="0" w:color="auto"/>
        <w:right w:val="none" w:sz="0" w:space="0" w:color="auto"/>
      </w:divBdr>
    </w:div>
    <w:div w:id="789671536">
      <w:bodyDiv w:val="1"/>
      <w:marLeft w:val="0"/>
      <w:marRight w:val="0"/>
      <w:marTop w:val="0"/>
      <w:marBottom w:val="0"/>
      <w:divBdr>
        <w:top w:val="none" w:sz="0" w:space="0" w:color="auto"/>
        <w:left w:val="none" w:sz="0" w:space="0" w:color="auto"/>
        <w:bottom w:val="none" w:sz="0" w:space="0" w:color="auto"/>
        <w:right w:val="none" w:sz="0" w:space="0" w:color="auto"/>
      </w:divBdr>
    </w:div>
    <w:div w:id="1115294812">
      <w:bodyDiv w:val="1"/>
      <w:marLeft w:val="0"/>
      <w:marRight w:val="0"/>
      <w:marTop w:val="0"/>
      <w:marBottom w:val="0"/>
      <w:divBdr>
        <w:top w:val="none" w:sz="0" w:space="0" w:color="auto"/>
        <w:left w:val="none" w:sz="0" w:space="0" w:color="auto"/>
        <w:bottom w:val="none" w:sz="0" w:space="0" w:color="auto"/>
        <w:right w:val="none" w:sz="0" w:space="0" w:color="auto"/>
      </w:divBdr>
    </w:div>
    <w:div w:id="1152718270">
      <w:bodyDiv w:val="1"/>
      <w:marLeft w:val="0"/>
      <w:marRight w:val="0"/>
      <w:marTop w:val="0"/>
      <w:marBottom w:val="0"/>
      <w:divBdr>
        <w:top w:val="none" w:sz="0" w:space="0" w:color="auto"/>
        <w:left w:val="none" w:sz="0" w:space="0" w:color="auto"/>
        <w:bottom w:val="none" w:sz="0" w:space="0" w:color="auto"/>
        <w:right w:val="none" w:sz="0" w:space="0" w:color="auto"/>
      </w:divBdr>
    </w:div>
    <w:div w:id="1374691730">
      <w:bodyDiv w:val="1"/>
      <w:marLeft w:val="0"/>
      <w:marRight w:val="0"/>
      <w:marTop w:val="0"/>
      <w:marBottom w:val="0"/>
      <w:divBdr>
        <w:top w:val="none" w:sz="0" w:space="0" w:color="auto"/>
        <w:left w:val="none" w:sz="0" w:space="0" w:color="auto"/>
        <w:bottom w:val="none" w:sz="0" w:space="0" w:color="auto"/>
        <w:right w:val="none" w:sz="0" w:space="0" w:color="auto"/>
      </w:divBdr>
    </w:div>
    <w:div w:id="1871215486">
      <w:bodyDiv w:val="1"/>
      <w:marLeft w:val="0"/>
      <w:marRight w:val="0"/>
      <w:marTop w:val="0"/>
      <w:marBottom w:val="0"/>
      <w:divBdr>
        <w:top w:val="none" w:sz="0" w:space="0" w:color="auto"/>
        <w:left w:val="none" w:sz="0" w:space="0" w:color="auto"/>
        <w:bottom w:val="none" w:sz="0" w:space="0" w:color="auto"/>
        <w:right w:val="none" w:sz="0" w:space="0" w:color="auto"/>
      </w:divBdr>
      <w:divsChild>
        <w:div w:id="105849784">
          <w:marLeft w:val="446"/>
          <w:marRight w:val="0"/>
          <w:marTop w:val="0"/>
          <w:marBottom w:val="0"/>
          <w:divBdr>
            <w:top w:val="none" w:sz="0" w:space="0" w:color="auto"/>
            <w:left w:val="none" w:sz="0" w:space="0" w:color="auto"/>
            <w:bottom w:val="none" w:sz="0" w:space="0" w:color="auto"/>
            <w:right w:val="none" w:sz="0" w:space="0" w:color="auto"/>
          </w:divBdr>
        </w:div>
      </w:divsChild>
    </w:div>
    <w:div w:id="1873305876">
      <w:bodyDiv w:val="1"/>
      <w:marLeft w:val="0"/>
      <w:marRight w:val="0"/>
      <w:marTop w:val="0"/>
      <w:marBottom w:val="0"/>
      <w:divBdr>
        <w:top w:val="none" w:sz="0" w:space="0" w:color="auto"/>
        <w:left w:val="none" w:sz="0" w:space="0" w:color="auto"/>
        <w:bottom w:val="none" w:sz="0" w:space="0" w:color="auto"/>
        <w:right w:val="none" w:sz="0" w:space="0" w:color="auto"/>
      </w:divBdr>
    </w:div>
    <w:div w:id="1884518240">
      <w:bodyDiv w:val="1"/>
      <w:marLeft w:val="0"/>
      <w:marRight w:val="0"/>
      <w:marTop w:val="0"/>
      <w:marBottom w:val="0"/>
      <w:divBdr>
        <w:top w:val="none" w:sz="0" w:space="0" w:color="auto"/>
        <w:left w:val="none" w:sz="0" w:space="0" w:color="auto"/>
        <w:bottom w:val="none" w:sz="0" w:space="0" w:color="auto"/>
        <w:right w:val="none" w:sz="0" w:space="0" w:color="auto"/>
      </w:divBdr>
    </w:div>
    <w:div w:id="1954238676">
      <w:bodyDiv w:val="1"/>
      <w:marLeft w:val="0"/>
      <w:marRight w:val="0"/>
      <w:marTop w:val="0"/>
      <w:marBottom w:val="0"/>
      <w:divBdr>
        <w:top w:val="none" w:sz="0" w:space="0" w:color="auto"/>
        <w:left w:val="none" w:sz="0" w:space="0" w:color="auto"/>
        <w:bottom w:val="none" w:sz="0" w:space="0" w:color="auto"/>
        <w:right w:val="none" w:sz="0" w:space="0" w:color="auto"/>
      </w:divBdr>
    </w:div>
    <w:div w:id="2065910699">
      <w:bodyDiv w:val="1"/>
      <w:marLeft w:val="0"/>
      <w:marRight w:val="0"/>
      <w:marTop w:val="0"/>
      <w:marBottom w:val="0"/>
      <w:divBdr>
        <w:top w:val="none" w:sz="0" w:space="0" w:color="auto"/>
        <w:left w:val="none" w:sz="0" w:space="0" w:color="auto"/>
        <w:bottom w:val="none" w:sz="0" w:space="0" w:color="auto"/>
        <w:right w:val="none" w:sz="0" w:space="0" w:color="auto"/>
      </w:divBdr>
    </w:div>
    <w:div w:id="21461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sites/taxation/files/resources/documents/tax_survey.pdf" TargetMode="External"/><Relationship Id="rId1" Type="http://schemas.openxmlformats.org/officeDocument/2006/relationships/hyperlink" Target="https://ec.europa.eu/taxation_customs/sites/taxation/files/swd_2016_34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242915-B67D-4A9C-8C87-C3D56CF0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9717</Words>
  <Characters>57818</Characters>
  <Application>Microsoft Office Word</Application>
  <DocSecurity>0</DocSecurity>
  <Lines>1133</Lines>
  <Paragraphs>293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2020-03-09T19:21:00Z</dcterms:created>
  <dcterms:modified xsi:type="dcterms:W3CDTF">2020-03-18T10:31:00Z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