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D65B65-C978-4A42-975B-BD209B09B1B7" style="width:450.3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spacing w:before="0" w:after="0"/>
        <w:rPr>
          <w:noProof/>
          <w:szCs w:val="24"/>
        </w:rPr>
      </w:pPr>
      <w:r>
        <w:rPr>
          <w:noProof/>
        </w:rPr>
        <w:t>В съобщението си от 11 декември 2019 г.</w:t>
      </w:r>
      <w:r>
        <w:rPr>
          <w:rStyle w:val="FootnoteReference"/>
          <w:noProof/>
        </w:rPr>
        <w:footnoteReference w:id="1"/>
      </w:r>
      <w:r>
        <w:rPr>
          <w:noProof/>
        </w:rPr>
        <w:t xml:space="preserve"> Комисията представи Европейски зелен пакт за Европейския съюз и неговите граждани. В съобщението Комисията препотвърждава ангажимента си за справяне с предизвикателствата, свързани с климата и околната среда, които се явяват основната задача на сегашното поколение. Съобщението представлява нова стратегия за растеж, която има за цел превръщането на Съюза в справедливо и благоденстващо общество с модерна, ресурсно ефективна и конкурентоспособна икономика, която през 2050 г. няма да произвежда нетни емисии на парникови газове и икономическият растеж няма да зависи от използването на ресурси. Европейският зелен пакт е неразделна част от стратегията на Комисията за изпълнение на Програмата до 2030 г. на Организацията на обединените нации и целите за устойчиво развитие</w:t>
      </w:r>
      <w:r>
        <w:rPr>
          <w:rStyle w:val="FootnoteReference"/>
          <w:noProof/>
        </w:rPr>
        <w:footnoteReference w:id="2"/>
      </w:r>
      <w:r>
        <w:rPr>
          <w:noProof/>
        </w:rPr>
        <w:t>. Целта за постигане на неутрален по отношение на климата Европейски съюз до 2050 г. беше одобрена от Европейския съвет в неговите заключения от 12 декември 2019 г</w:t>
      </w:r>
      <w:r>
        <w:rPr>
          <w:rStyle w:val="FootnoteReference"/>
          <w:noProof/>
        </w:rPr>
        <w:footnoteReference w:id="3"/>
      </w:r>
      <w:r>
        <w:rPr>
          <w:noProof/>
        </w:rPr>
        <w:t>. и от Европейския парламент в неговата резолюция от 15 януари 2020 г</w:t>
      </w:r>
      <w:r>
        <w:rPr>
          <w:rStyle w:val="FootnoteReference"/>
          <w:noProof/>
        </w:rPr>
        <w:footnoteReference w:id="4"/>
      </w:r>
      <w:r>
        <w:rPr>
          <w:noProof/>
        </w:rPr>
        <w:t>.</w:t>
      </w:r>
    </w:p>
    <w:p>
      <w:pPr>
        <w:rPr>
          <w:noProof/>
        </w:rPr>
      </w:pPr>
      <w:r>
        <w:rPr>
          <w:noProof/>
        </w:rPr>
        <w:t>В Европейския зелен пакт се призовава по-специално за ускоряване на прехода към устойчива и интелигентна мобилност, тъй като транспортът произвежда една четвърт от емисиите на парникови газове в Съюза и този дял продължава да расте. За да се постигне неутралност по отношение на климата, е необходимо до 2050 г. емисиите в транспортния сектор да бъдат съкратени с 90 %, като за това намаляване трябва да допринесат всички видове транспорт.</w:t>
      </w:r>
      <w:r>
        <w:rPr>
          <w:rFonts w:ascii="Arial" w:hAnsi="Arial"/>
          <w:noProof/>
          <w:sz w:val="30"/>
          <w:szCs w:val="30"/>
        </w:rPr>
        <w:t xml:space="preserve"> </w:t>
      </w:r>
      <w:r>
        <w:rPr>
          <w:noProof/>
        </w:rPr>
        <w:t>Като част от Европейския зелен пакт Комисията обяви, че през 2020 г. ще бъде приета стратегия за устойчива и интелигентна мобилност, в която ще бъдат предвидени мерки за справяне с това предизвикателство, които ще обхванат всички източници на емисии. Наред с другите планирани действия следва значителна част от вътрешните товари — 75 % от които днес се превозват по шосе, да се пренасочат към железопътния транспорт и транспорта по вътрешни водни пътища.</w:t>
      </w:r>
    </w:p>
    <w:p>
      <w:pPr>
        <w:rPr>
          <w:noProof/>
          <w:szCs w:val="24"/>
        </w:rPr>
      </w:pPr>
      <w:r>
        <w:rPr>
          <w:noProof/>
        </w:rPr>
        <w:t xml:space="preserve">Железопътният транспорт, който е един от най-екологосъобразните и енергийноефективни видове транспорт, трябва да играе важна роля за по-бързо намаляване на емисиите от транспорта. В действителност железопътният транспорт е до голяма степен електрифициран и отделя далеч по-малко CO2 от автомобилния или въздушния транспорт за еднакво разстояние. Това е и единственият вид транспорт, при който емисиите на СО2 намаляват почти непрекъснато от 1990 г. насам въпреки увеличаването на обема на транспортираните пътници и стоки: през 2016 г. делът на железопътния транспорт е представлявал само 0,5 % от общите емисии на CO2 в транспортния сектор. Освен това на железопътния транспорт се падат едва 2 % от общото потребление на енергия в целия сектор в Съюза, докато с него през 2016 г. са превозени 11,2 % от товарите и 6,6 % от пътниците като дял от всички видове </w:t>
      </w:r>
      <w:r>
        <w:rPr>
          <w:noProof/>
        </w:rPr>
        <w:lastRenderedPageBreak/>
        <w:t>транспорт</w:t>
      </w:r>
      <w:r>
        <w:rPr>
          <w:rStyle w:val="FootnoteReference"/>
          <w:noProof/>
        </w:rPr>
        <w:footnoteReference w:id="5"/>
      </w:r>
      <w:r>
        <w:rPr>
          <w:noProof/>
        </w:rPr>
        <w:t>. В периода 1990 — 2016 г</w:t>
      </w:r>
      <w:r>
        <w:rPr>
          <w:rStyle w:val="FootnoteReference"/>
          <w:noProof/>
        </w:rPr>
        <w:footnoteReference w:id="6"/>
      </w:r>
      <w:r>
        <w:rPr>
          <w:noProof/>
        </w:rPr>
        <w:t>. железопътният транспорт е намалил потреблението си на енергия, като все повече се използват възобновяеми енергийни източници.</w:t>
      </w:r>
    </w:p>
    <w:p>
      <w:pPr>
        <w:rPr>
          <w:noProof/>
          <w:szCs w:val="24"/>
        </w:rPr>
      </w:pPr>
      <w:r>
        <w:rPr>
          <w:noProof/>
        </w:rPr>
        <w:t>Макар че в периода 2007—2016 г. железопътният превоз на пътници в Съюза като дял от сухопътния транспорт се е увеличил от 7,0 % на 7,6 % , железопътният превоз на товари е намалял до 16,65 % през 2017 г., след като през 2011 г. е отбелязал най-високото си равнище от 19 %</w:t>
      </w:r>
      <w:r>
        <w:rPr>
          <w:rStyle w:val="FootnoteReference"/>
          <w:noProof/>
        </w:rPr>
        <w:footnoteReference w:id="7"/>
      </w:r>
      <w:r>
        <w:rPr>
          <w:noProof/>
        </w:rPr>
        <w:t>.  Продължават да съществуват много пречки за постигането на истинско единно европейско железопътно пространство, включително по отношение на свеждане на шума до минимум. Преодоляването на тези пречки заедно с намаляването на разходите и ускоряването на иновациите ще позволят на железопътния транспорт да реализира пълния си потенциал. Поради това железопътният транспорт се нуждае от допълнителен стимул, за да стане по-привлекателен за пътниците и предприятията като средство за транспорт, което да отговаря както на техните ежедневни нужди за придвижване, така и по отношение на мобилността на по-дълги разстояния. Увеличаването на дела на пътниците и товарите, транспортирани по релси, ще допринесе и за намаляването както на задръстванията, така и на емисиите, опасни за човешкото здраве, по-специално замърсяването на въздуха.</w:t>
      </w:r>
    </w:p>
    <w:p>
      <w:pPr>
        <w:rPr>
          <w:noProof/>
        </w:rPr>
      </w:pPr>
      <w:r>
        <w:rPr>
          <w:noProof/>
        </w:rPr>
        <w:t xml:space="preserve">Предложението за обявяване на 2021 г. за Европейска година на железопътния транспорт има за цел да популяризира този вид транспорт в съответствие с целите, определени в съобщението на Комисията относно Европейския зелен пакт, включително по отношение на устойчивата и интелигентна мобилност. Чрез проекти, дискусии, събития, изложби и инициативи в цяла Европа Европейската година на железопътния транспорт ще популяризира железниците сред гражданите, предприятията и публичните органи като привлекателен и устойчив начин за придвижване в цяла Европа, като се постави акцент върху неговия иновативен характер и обхващаш целия Съюз мащаб. Целта на инициативата е посредством специални прояви и комуникационни кампании да се достигне до гражданите, които не използват железопътния транспорт, и да убеди повече хора и предприятия да се възползват от него. </w:t>
      </w:r>
    </w:p>
    <w:p>
      <w:pPr>
        <w:rPr>
          <w:noProof/>
        </w:rPr>
      </w:pPr>
      <w:r>
        <w:rPr>
          <w:noProof/>
        </w:rPr>
        <w:t>2021 г. е важна година за политиката на Съюза в областта на железопътния транспорт. Това ще бъде първата пълна година, през която в целия ЕС ще се прилагат правилата, договорени в рамките на четвъртия законодателен пакет в областта на железопътния транспорт</w:t>
      </w:r>
      <w:r>
        <w:rPr>
          <w:rStyle w:val="FootnoteReference"/>
          <w:noProof/>
        </w:rPr>
        <w:footnoteReference w:id="8"/>
      </w:r>
      <w:r>
        <w:rPr>
          <w:noProof/>
        </w:rPr>
        <w:t xml:space="preserve"> — по-специално относно отварянето на пазара на вътрешните услуги за превоз на пътници и относно намаляването на разходите и административната тежест за железопътните предприятия, действащи в целия ЕС. Съдейки по популярността на #DiscoverEU, в редица държави членки се наблюдава нарастващ обществен интерес към железниците, включително нощните влакове</w:t>
      </w:r>
      <w:r>
        <w:rPr>
          <w:rStyle w:val="FootnoteReference"/>
          <w:noProof/>
        </w:rPr>
        <w:footnoteReference w:id="9"/>
      </w:r>
      <w:r>
        <w:rPr>
          <w:noProof/>
        </w:rPr>
        <w:t>. Освен това изданието през 2021 г. на международния фестивал на изкуствата „Европалия“</w:t>
      </w:r>
      <w:r>
        <w:rPr>
          <w:rStyle w:val="FootnoteReference"/>
          <w:noProof/>
        </w:rPr>
        <w:footnoteReference w:id="10"/>
      </w:r>
      <w:r>
        <w:rPr>
          <w:noProof/>
        </w:rPr>
        <w:t xml:space="preserve"> ще бъде посветено на влиянието на железопътния транспорт върху изкуствата и ще подчертае неговата роля като мощен стимул за социалните, икономическите и индустриалните промени. Поради това се счита, че 2021 г. е много подходящо време за провеждането на тази инициатива. </w:t>
      </w:r>
    </w:p>
    <w:p>
      <w:pPr>
        <w:rPr>
          <w:noProof/>
        </w:rPr>
      </w:pPr>
      <w:r>
        <w:rPr>
          <w:noProof/>
        </w:rPr>
        <w:lastRenderedPageBreak/>
        <w:t>Както при всички тематични европейски години в миналото основната цел е да се повиши осведомеността относно предизвикателствата и възможностите и да се подчертае ролята на Съюза в намирането на общи решения. Целта на Европейската година на железопътния транспорт е да насърчава и подкрепя усилията на Съюза, държавите членки, регионалните и местните органи и други организации за увеличаване на дела на пътниците и товарите, превозвани с железопътен транспорт. По-специално Европейската година следва да популяризира железопътния транспорт като устойчив, иновативен и безопасен вид транспорт, като посланието трябва да достигне до широката общественост, особено до младите хора. Тя следва също така да подчертава европейския и трансграничния характер на железопътния транспорт, който сближава гражданите, позволява им да опознаят Съюза в цялото му многообразие, насърчава социалното сближаване и допринася за интегрирането на вътрешния пазар на Съюза. Инициативата следва също така да доведе до увеличаване на дела на железопътния транспорт в икономиката, промишлеността и обществения живот на Съюза като цяло и да постави железопътния транспорт като важен елемент в отношенията между Съюза и третите държави, по-специално на Западните Балкани.</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noProof/>
        </w:rPr>
      </w:pPr>
      <w:r>
        <w:rPr>
          <w:noProof/>
        </w:rPr>
        <w:t>Както се посочва по-горе, Европейска година на железопътния транспорт ще популяризира този вид транспорт в съответствие с целите, определени в съобщението на Комисията относно Европейския зелен пакт, включително по отношение на устойчивата и интелигентна мобилност. Тя освен това ще бъде естествено продължение на съществуващите инициативи и политики, свързани с железопътния транспорт, като отварянето на пазара на вътрешните услуги за превоз на пътници и намаляването на разходите и административната тежест за железопътните предприятия, действащи в целия Съюз. Подобно на други тематични европейски години мерките ще включват кампании, мероприятия, проекти и инициативи за информиране и насърчаване на равнището на Съюза, както и на национално, регионално и местно равнище. Чрез тях ще се предават ключови послания и ще се разпространява информация за примери за добра практика.</w:t>
      </w:r>
    </w:p>
    <w:p>
      <w:pPr>
        <w:rPr>
          <w:rFonts w:eastAsia="Arial Unicode MS"/>
          <w:noProof/>
        </w:rPr>
      </w:pPr>
      <w:r>
        <w:rPr>
          <w:noProof/>
        </w:rPr>
        <w:t>Европейската година ще бъде възможност да се насърчи съвместната работа на публичните органи на държавите членки и на сектора за популяризиране на железопътния транспорт. Ще бъдат положени всички усилия, за да се гарантира, че дейностите, които се организират през Европейската година, съответстват на нуждите и условията във всяка държава членка. По тази причина държавите членки трябва да назначат национален координатор, който да отговаря за организирането на тяхното участие в Европейската година на железопътния транспорт. Ще бъде сформирана европейска ръководна група, включваща представители на националните координатори. Комисията ще организира работни срещи на националните координатори за координиране на дейностите, свързани с Европейската година, и за обмен на информация по изпълнението на национално равнище и на равнището на Съюза.</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rPr>
          <w:noProof/>
        </w:rPr>
      </w:pPr>
      <w:r>
        <w:rPr>
          <w:noProof/>
        </w:rPr>
        <w:t xml:space="preserve">Европейската година на железопътния транспорт е свързана с други области на политиката на Съюза, като например регионалното развитие, промишлеността, конкурентоспособността, устойчивия туризъм, иновациите, заетостта, образованието, младежта, културата и достъпността за хората с увреждания, както и връзките на Съюза със съседните държави. Тя ще подчертае европейския и трансграничния характер на железопътния транспорт като средство за придвижване на стоки, пътуване, опознаване </w:t>
      </w:r>
      <w:r>
        <w:rPr>
          <w:noProof/>
        </w:rPr>
        <w:lastRenderedPageBreak/>
        <w:t>и свързване на континента по устойчив и ориентиран към бъдещето начин. Някои дейности в рамките на Европейската година биха могли да бъдат финансирани по линия на съществуващи програми на Съюза, като например „Хоризонт Европа“, Механизма за свързване на Европа, структурните и инвестиционните фондове на Съюза, „Творческа Европа“, „Еразъм +“, „DiscoverEU“ или „Европа за гражданите“.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това предложение е член 91 от Договора за функционирането на Европейския съюз (ДФЕС). Член 91 предвижда, че като се вземат предвид специалните аспекти на превозите, Европейският парламент и Съветът, като действат в съответствие с обикновената законодателна процедура и след консултация с Икономическия и социален комитет и с Комитета на регионите, установяват подходящи разпоредби за целите на прилагането на член 90 от ДФЕС. Член 90 от ДФЕС гласи, че целите на Договорите се осъществяват в рамките на обща транспортна политика. Основната цел на настоящото предложение е да допринесе за увеличаване на дела на пътническия и товарен железопътен транспорт. Тази цел попада в приложното поле на член 91 ДФЕС.</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Настоящото предложение е в съответствие с принципа на субсидиарност, предвиден в член 5, параграф 3 от Договора за Европейския съюз (ДЕС). Целите на настоящото предложение не могат да бъдат постигнати в достатъчна степен единствено чрез действия, предприемани от държавите членки. Това се дължи на факта, че при действия само на национално равнище не би могло да се извлече полза от обмена на опит и добри практики между държавите членки в европейски мащаб. В член 3, параграф 3 от ДЕС се посочва по-специално, че Европейският съюз установява вътрешен пазар, работи за устойчивото развитие на Европа, основаващо се, наред с другото, на подобряване качеството на околната среда, насърчава научния и техническия прогрес, както и икономическото, социалното и териториалното сближаване. Съюзът преследва своите цели чрез подходящи средства в зависимост от областите на компетентност, които са му предоставени с Договорите. Освен това действията на равнището на Съюза ще бъдат в подкрепа на дейностите на държавите членки в рамките на Европейската година, като допринесат за по-голяма популярност, установяване на многостранни партньорства, транснационален обмен на информация и повишаване на осведомеността и разпространението на добри практики в целия Съюз.</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в съответствие с принципа на пропорционалност, предвиден в член 5, параграф 4 от ДЕС. Предлага се опростен начин на действие. Той се основава на съществуващите програми, като акцентът се поставя върху информационните дейности, свързани с тематиката на Европейската година. Това не поражда непропорционални ограничения, свързани с управлението, за изпълняващите предложението административни органи. Действията на Съюза ще подкрепят и допълват усилията на държавите членки и сектора. Те, на първо място, ще повишат ефективността на собствените инструменти на Съюза. На второ място, ще спомогнат за насърчаване на полезните взаимодействия и сътрудничеството между държавите членки, регионалните и местните органи, частните и публичните предприятия и </w:t>
      </w:r>
      <w:r>
        <w:rPr>
          <w:noProof/>
        </w:rPr>
        <w:lastRenderedPageBreak/>
        <w:t>гражданското общество като цяло. Действията на Съюза няма да надхвърлят необходимото за справяне с установените предизвикателства.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Решение на Европейския парламент и на Съвета е най-подходящият инструмент за осигуряване на пълната ангажираност на законодателния орган с обявяването на 2021 година за Европейска година на железопътния транспорт.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rPr>
          <w:bCs/>
          <w:noProof/>
        </w:rPr>
      </w:pPr>
      <w:r>
        <w:rPr>
          <w:noProof/>
        </w:rPr>
        <w:t>Идеята за обявяване на 2021 г. за Европейска година на железопътния транспорт беше обсъдена на 9 декември 2019 г. с различни представители на железопътния сектор (CER, UNIFE, EIM, ERFA — AllRail), Агенцията за железопътен транспорт на Европейския съюз (ERA), Shift2Rail и Европалия. Всички участници изразиха широка подкрепа за тази инициатива, отбелязвайки трансграничния характер на железопътния транспорт и неговата роля за постигане на целта за декарбонизация. Очаква се заинтересованите страни в железопътния сектор, особено железопътните предприятия, управителите на гари, производителите и националните органи да вземат активно участие в организирането на прояви на съюзно, национално и местно равнище по линия на Европейската година. След разговори с организаторите на международния фестивал на изкуствата „Европалия“ стана ясно, че съществува голям потенциал за взаимодействие с Европейската година. Европейският икономически и социален комитет и Комитетът на регионите наскоро приеха становища по собствена инициатива</w:t>
      </w:r>
      <w:r>
        <w:rPr>
          <w:rStyle w:val="FootnoteReference"/>
          <w:bCs/>
          <w:noProof/>
        </w:rPr>
        <w:footnoteReference w:id="11"/>
      </w:r>
      <w:r>
        <w:rPr>
          <w:noProof/>
        </w:rPr>
        <w:t xml:space="preserve">, </w:t>
      </w:r>
      <w:r>
        <w:rPr>
          <w:rStyle w:val="FootnoteReference"/>
          <w:noProof/>
        </w:rPr>
        <w:footnoteReference w:id="12"/>
      </w:r>
      <w:r>
        <w:rPr>
          <w:noProof/>
        </w:rPr>
        <w:t>, които показват интереса на техните членове към насърчаването на железопътния транспорт като устойчив и иновативен вид транспорт.</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rPr>
      </w:pPr>
      <w:r>
        <w:rPr>
          <w:noProof/>
        </w:rPr>
        <w:t>Не е необходима оценка на въздействието, тъй като целите на предложената инициатива попадат в рамките на целите на съществуващи програми на Съюза. Предложената инициатива няма да задължи Комисията да предприема каквито и да било специални действия от законодателно естество. Тя също така няма да окаже съществено социално или икономическо въздействие или въздействие върху околната среда, надхвърлящо границите на съществуващите инструменти.</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lastRenderedPageBreak/>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ВУРХУ БЮДЖЕТА</w:t>
      </w:r>
    </w:p>
    <w:p>
      <w:pPr>
        <w:pBdr>
          <w:top w:val="nil"/>
          <w:left w:val="nil"/>
          <w:bottom w:val="nil"/>
          <w:right w:val="nil"/>
          <w:between w:val="nil"/>
          <w:bar w:val="nil"/>
        </w:pBdr>
        <w:spacing w:before="0" w:after="240"/>
        <w:rPr>
          <w:rFonts w:eastAsia="Arial Unicode MS" w:cs="Arial Unicode MS"/>
          <w:noProof/>
          <w:color w:val="000000" w:themeColor="text1"/>
        </w:rPr>
      </w:pPr>
      <w:r>
        <w:rPr>
          <w:noProof/>
        </w:rPr>
        <w:t xml:space="preserve">Необходимите финансови средства за изпълнението на настоящото решение за периода 2020—2021 г. се оценяват на 8 000 000 EUR. Изпълнението на Европейската година предполага подходящо финансиране, което да бъде определено в контекста на бюджетните процедури за 2020 г. и 2021 г. в съответствие с многогодишната финансова рамка за периода 2021—2027 г.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Предложението включва задължение за Комисията да докладва до 31 декември 2022 г. относно изпълнението, резултатите и общата оценка на инициативите, проведени в рамките на Европейската година.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2020/0035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относно Европейска година на железопътния транспорт (2021 г.)</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3"/>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съобщението си от 11 декември 2019 г.</w:t>
      </w:r>
      <w:r>
        <w:rPr>
          <w:rStyle w:val="FootnoteReference"/>
          <w:noProof/>
        </w:rPr>
        <w:footnoteReference w:id="15"/>
      </w:r>
      <w:r>
        <w:rPr>
          <w:noProof/>
        </w:rPr>
        <w:t xml:space="preserve"> Комисията представи Европейски зелен пакт за Европейския съюз и неговите граждани. Пактът е нова стратегия за растеж, която има за цел превръщането на Съюза в справедливо и благоденстващо общество с модерна, ресурсно ефективна и конкурентоспособна икономика, в която през 2050 г. няма да има нетни емисии на парникови газове и икономическият растеж няма да зависи от използването на ресурси. </w:t>
      </w:r>
    </w:p>
    <w:p>
      <w:pPr>
        <w:pStyle w:val="ManualConsidrant"/>
        <w:rPr>
          <w:noProof/>
        </w:rPr>
      </w:pPr>
      <w:r>
        <w:t>(2)</w:t>
      </w:r>
      <w:r>
        <w:tab/>
      </w:r>
      <w:r>
        <w:rPr>
          <w:noProof/>
        </w:rPr>
        <w:t>В заключенията си от 12 декември 2019 г.</w:t>
      </w:r>
      <w:r>
        <w:rPr>
          <w:rStyle w:val="FootnoteReference"/>
          <w:noProof/>
        </w:rPr>
        <w:footnoteReference w:id="16"/>
      </w:r>
      <w:r>
        <w:rPr>
          <w:noProof/>
        </w:rPr>
        <w:t xml:space="preserve"> Европейският съвет одобри целта за постигане до 2050 г. на неутрален по отношение на климата Европейски съюз. </w:t>
      </w:r>
    </w:p>
    <w:p>
      <w:pPr>
        <w:pStyle w:val="ManualConsidrant"/>
        <w:rPr>
          <w:noProof/>
        </w:rPr>
      </w:pPr>
      <w:r>
        <w:t>(3)</w:t>
      </w:r>
      <w:r>
        <w:tab/>
      </w:r>
      <w:r>
        <w:rPr>
          <w:noProof/>
        </w:rPr>
        <w:t>В резолюцията си от 15 януари 2020 г.</w:t>
      </w:r>
      <w:r>
        <w:rPr>
          <w:rStyle w:val="FootnoteReference"/>
          <w:noProof/>
        </w:rPr>
        <w:footnoteReference w:id="17"/>
      </w:r>
      <w:r>
        <w:rPr>
          <w:noProof/>
        </w:rPr>
        <w:t xml:space="preserve"> Европейският парламент приветства съобщението на Комисията относно Европейския зелен пакт и призова необходимият преход към неутрално по отношение на климата общество да бъде извършен най-късно до 2050 г.  </w:t>
      </w:r>
    </w:p>
    <w:p>
      <w:pPr>
        <w:pStyle w:val="ManualConsidrant"/>
        <w:rPr>
          <w:noProof/>
        </w:rPr>
      </w:pPr>
      <w:r>
        <w:t>(4)</w:t>
      </w:r>
      <w:r>
        <w:tab/>
      </w:r>
      <w:r>
        <w:rPr>
          <w:noProof/>
        </w:rPr>
        <w:t xml:space="preserve">Целите, определени в съобщението на Комисията относно Европейския зелен пакт, изискват трансформация на икономиката на Съюза и преосмисляне на политиките, по-специално в областта на транспорта и мобилността, което налага по-бърз преход към устойчива и интелигентна мобилност. Транспортът произвежда една четвърт от емисиите на парникови газове в Съюза, като неговият дял продължава да расте. За да се постигне неутралност по отношение на климата, е необходимо до 2050 г. емисиите в транспортния сектор да бъдат </w:t>
      </w:r>
      <w:r>
        <w:rPr>
          <w:noProof/>
        </w:rPr>
        <w:lastRenderedPageBreak/>
        <w:t>съкратени с 90 %, Постигането на устойчив транспорт означава нуждите на потребителите да се поставят на първо място и да им се осигурят по-евтини, по-достъпни, по-здравословни и по-чисти алтернативи на сегашния им начин на придвижване. Европейският зелен курс предвижда да се ускори преходът към устойчива и интелигентна мобилност, за да се отговори на тези предизвикателства. По-специално значителна част от вътрешните товари — 75 % от които днес се превозват по шосе, следва да се пренасочат към железопътния транспорт и транспорта по вътрешни водни пътища.</w:t>
      </w:r>
    </w:p>
    <w:p>
      <w:pPr>
        <w:pStyle w:val="ManualConsidrant"/>
        <w:rPr>
          <w:noProof/>
        </w:rPr>
      </w:pPr>
      <w:r>
        <w:t>(5)</w:t>
      </w:r>
      <w:r>
        <w:tab/>
      </w:r>
      <w:r>
        <w:rPr>
          <w:noProof/>
        </w:rPr>
        <w:t>Железопътният транспорт може да играе важна роля като решаващ фактор за постигане до 2050 г. на целта за неутралност по отношение на климата. Той е един от най-екологосъобразните и енергийноефективни видове транспорт. Железопътният транспорт е до голяма степен електрифициран и отделя далеч по-малко емисии на CO2 от автомобилния или въздушния транспорт за еднакво разстояние. Също така това е единственият вид транспорт, при който емисиите на парникови газове и емисиите на CO2 намаляват постоянно от 1990 г. насам. В периода 1990 — 2016 г</w:t>
      </w:r>
      <w:r>
        <w:rPr>
          <w:rStyle w:val="FootnoteReference"/>
          <w:noProof/>
        </w:rPr>
        <w:footnoteReference w:id="18"/>
      </w:r>
      <w:r>
        <w:rPr>
          <w:noProof/>
        </w:rPr>
        <w:t>. железопътният транспорт е намалил потреблението си на енергия, като все повече се използват възобновяеми енергийни източници.</w:t>
      </w:r>
    </w:p>
    <w:p>
      <w:pPr>
        <w:pStyle w:val="ManualConsidrant"/>
        <w:rPr>
          <w:noProof/>
        </w:rPr>
      </w:pPr>
      <w:r>
        <w:t>(6)</w:t>
      </w:r>
      <w:r>
        <w:tab/>
      </w:r>
      <w:r>
        <w:rPr>
          <w:noProof/>
        </w:rPr>
        <w:t xml:space="preserve">Железопътният сектор допринася за социалното, икономическото и териториалното сближаване, тъй като чрез него основните транспортни коридори на Съюза се свързват с периферните региони и територии. </w:t>
      </w:r>
    </w:p>
    <w:p>
      <w:pPr>
        <w:pStyle w:val="ManualConsidrant"/>
        <w:rPr>
          <w:noProof/>
        </w:rPr>
      </w:pPr>
      <w:r>
        <w:t>(7)</w:t>
      </w:r>
      <w:r>
        <w:tab/>
      </w:r>
      <w:r>
        <w:rPr>
          <w:noProof/>
        </w:rPr>
        <w:t>Макар че пътническият железопътен транспорт отбелязва слабо увеличение като дял от сухопътния транспорт в Съюза от 2007 г. насам, делът на товарните превози е намалял. Продължават да съществуват много пречки за постигането на истинско единно европейско железопътно пространство, включително по отношение на свеждане на шума до минимум. Преодоляването на тези пречки заедно с намаляването на разходите и ускоряването на иновациите ще позволят на железопътния транспорт да реализира пълния си потенциал. Поради това железопътният транспорт трябва да бъде допълнително стимулиран, за да стане по-привлекателен за пътниците и предприятията.</w:t>
      </w:r>
    </w:p>
    <w:p>
      <w:pPr>
        <w:pStyle w:val="ManualConsidrant"/>
        <w:rPr>
          <w:noProof/>
        </w:rPr>
      </w:pPr>
      <w:r>
        <w:t>(8)</w:t>
      </w:r>
      <w:r>
        <w:tab/>
      </w:r>
      <w:r>
        <w:rPr>
          <w:noProof/>
        </w:rPr>
        <w:t xml:space="preserve">2021 г. следва да бъде обявена за Европейска година на железопътния транспорт, за да се популяризира този вид транспорт в съответствие с целите, определени в съобщението на Комисията относно Европейския зелен пакт, включително по отношение на устойчивата и интелигентна мобилност. 2021 г. ще бъде важна година за политиката на Съюза в областта на железопътния транспорт, тъй като това ще бъде първата пълна година, през която в целия Съюз ще се прилагат правилата, договорени в рамките на четвъртия законодателен пакет в областта на железопътния транспорт, по-специално относно отварянето на пазара на вътрешните услуги за превоз на пътници и относно намаляването на разходите и административната тежест за железопътните предприятия, действащи в целия Съюз. Съдейки по популярността на # DiscoverEU, в редица държави членки се наблюдава нарастващ обществен интерес към железниците, включително нощните влакове. Освен това изданието на международния фестивал на изкуствата „Европалия“ през 2021 г. ще бъде посветено на влиянието на железопътния транспорт върху изкуствата и ще подчертае ролята на железопътния транспорт като мощен стимул за социалните, икономическите и индустриалните промени. </w:t>
      </w:r>
    </w:p>
    <w:p>
      <w:pPr>
        <w:pStyle w:val="Formuledadoption"/>
        <w:rPr>
          <w:noProof/>
        </w:rPr>
      </w:pPr>
      <w:r>
        <w:rPr>
          <w:noProof/>
        </w:rPr>
        <w:lastRenderedPageBreak/>
        <w:t xml:space="preserve">ПРИЕХА НАСТОЯЩОТО РЕШЕНИЕ: </w:t>
      </w:r>
    </w:p>
    <w:p>
      <w:pPr>
        <w:pStyle w:val="Titrearticle"/>
        <w:rPr>
          <w:noProof/>
        </w:rPr>
      </w:pPr>
      <w:r>
        <w:rPr>
          <w:noProof/>
        </w:rPr>
        <w:t>Член 1</w:t>
      </w:r>
    </w:p>
    <w:p>
      <w:pPr>
        <w:jc w:val="center"/>
        <w:rPr>
          <w:b/>
          <w:noProof/>
        </w:rPr>
      </w:pPr>
      <w:r>
        <w:rPr>
          <w:b/>
          <w:noProof/>
        </w:rPr>
        <w:t>Предмет</w:t>
      </w:r>
    </w:p>
    <w:p>
      <w:pPr>
        <w:rPr>
          <w:noProof/>
        </w:rPr>
      </w:pPr>
      <w:r>
        <w:rPr>
          <w:noProof/>
        </w:rPr>
        <w:t>2021 г. се определя за Европейска година на железопътния транспорт (наричана по-долу „Европейската година“).</w:t>
      </w:r>
    </w:p>
    <w:p>
      <w:pPr>
        <w:pStyle w:val="Titrearticle"/>
        <w:rPr>
          <w:noProof/>
        </w:rPr>
      </w:pPr>
      <w:r>
        <w:rPr>
          <w:noProof/>
        </w:rPr>
        <w:t>Член 2</w:t>
      </w:r>
    </w:p>
    <w:p>
      <w:pPr>
        <w:jc w:val="center"/>
        <w:rPr>
          <w:b/>
          <w:noProof/>
        </w:rPr>
      </w:pPr>
      <w:r>
        <w:rPr>
          <w:b/>
          <w:noProof/>
        </w:rPr>
        <w:t>Цели</w:t>
      </w:r>
    </w:p>
    <w:p>
      <w:pPr>
        <w:rPr>
          <w:noProof/>
        </w:rPr>
      </w:pPr>
      <w:r>
        <w:rPr>
          <w:noProof/>
        </w:rPr>
        <w:t>Целта на Европейската година е да насърчава и подкрепя усилията на Съюза, държавите членки, регионалните и местните органи и други организации за увеличаване на дела на пътниците и товарите, превозвани с железопътен транспорт. По-конкретно чрез Европейската година:</w:t>
      </w:r>
    </w:p>
    <w:p>
      <w:pPr>
        <w:pStyle w:val="Point0"/>
        <w:rPr>
          <w:noProof/>
        </w:rPr>
      </w:pPr>
      <w:r>
        <w:rPr>
          <w:noProof/>
        </w:rPr>
        <w:t>а)</w:t>
      </w:r>
      <w:r>
        <w:rPr>
          <w:noProof/>
        </w:rPr>
        <w:tab/>
        <w:t>се насърчава използването на железопътния транспорт като устойчив, иновативен и безопасен вид транспорт, по-специално като се подчертава неговата решаваща роля за постигането до 2050 г. на целта на Съюза за неутралност по отношение на климата, като това послание се разпространява сред широката общественост, особено сред младите хора;</w:t>
      </w:r>
    </w:p>
    <w:p>
      <w:pPr>
        <w:pStyle w:val="Point0"/>
        <w:rPr>
          <w:noProof/>
        </w:rPr>
      </w:pPr>
      <w:r>
        <w:rPr>
          <w:noProof/>
        </w:rPr>
        <w:t>б)</w:t>
      </w:r>
      <w:r>
        <w:rPr>
          <w:noProof/>
        </w:rPr>
        <w:tab/>
        <w:t>се изтъква неговият европейски и трансграничен характер, който сближава гражданите, позволява им да опознаят Съюза в цялото му многообразие, насърчава социалното сближаването и допринася за интегрирането на вътрешния пазар на Съюза.</w:t>
      </w:r>
    </w:p>
    <w:p>
      <w:pPr>
        <w:pStyle w:val="Point0"/>
        <w:rPr>
          <w:noProof/>
        </w:rPr>
      </w:pPr>
      <w:r>
        <w:rPr>
          <w:noProof/>
        </w:rPr>
        <w:t>в)</w:t>
      </w:r>
      <w:r>
        <w:rPr>
          <w:noProof/>
        </w:rPr>
        <w:tab/>
        <w:t>се засилва приносът на железопътния транспорт в икономиката, промишлеността и общественото развитие на Съюза, което обхваща по-специално аспектите на регионалното развитие, промишлената конкурентоспособност, устойчивия туризъм, иновациите, заетостта, образованието, младежта и културата, и подобряването на достъпността за хората с увреждания;</w:t>
      </w:r>
    </w:p>
    <w:p>
      <w:pPr>
        <w:pStyle w:val="Point0"/>
        <w:rPr>
          <w:noProof/>
        </w:rPr>
      </w:pPr>
      <w:r>
        <w:rPr>
          <w:noProof/>
        </w:rPr>
        <w:t>г)</w:t>
      </w:r>
      <w:r>
        <w:rPr>
          <w:noProof/>
        </w:rPr>
        <w:tab/>
        <w:t>се допринася за налагането на железопътния транспорт като важен елемент в отношенията между Съюза и съседните страни, по-специално на Западните Балкани, като в основата са поставени интересът и нуждите на страните партньори и експертният опит на Съюза в областта на железопътния транспорт.</w:t>
      </w:r>
    </w:p>
    <w:p>
      <w:pPr>
        <w:pStyle w:val="Titrearticle"/>
        <w:rPr>
          <w:noProof/>
        </w:rPr>
      </w:pPr>
      <w:r>
        <w:rPr>
          <w:noProof/>
        </w:rPr>
        <w:t>Член 3</w:t>
      </w:r>
    </w:p>
    <w:p>
      <w:pPr>
        <w:jc w:val="center"/>
        <w:rPr>
          <w:b/>
          <w:noProof/>
        </w:rPr>
      </w:pPr>
      <w:r>
        <w:rPr>
          <w:b/>
          <w:noProof/>
        </w:rPr>
        <w:t>Съдържание на мерките</w:t>
      </w:r>
    </w:p>
    <w:p>
      <w:pPr>
        <w:pStyle w:val="ManualNumPar1"/>
        <w:rPr>
          <w:noProof/>
        </w:rPr>
      </w:pPr>
      <w:r>
        <w:t>1.</w:t>
      </w:r>
      <w:r>
        <w:tab/>
      </w:r>
      <w:r>
        <w:rPr>
          <w:noProof/>
        </w:rPr>
        <w:t>Мерките, които трябва да се вземат за постигане на целите, определени в член 2, включват следните дейности на равнището на Съюза, на национално, регионално или местно равнище, които са свързани с целите на Европейската година:</w:t>
      </w:r>
    </w:p>
    <w:p>
      <w:pPr>
        <w:pStyle w:val="Point1"/>
        <w:rPr>
          <w:noProof/>
        </w:rPr>
      </w:pPr>
      <w:r>
        <w:rPr>
          <w:noProof/>
        </w:rPr>
        <w:t>а)</w:t>
      </w:r>
      <w:r>
        <w:rPr>
          <w:noProof/>
        </w:rPr>
        <w:tab/>
        <w:t xml:space="preserve">инициативи и прояви, организирани чрез различни канали и инструменти, включително мероприятия в държавите членки, за насърчаване на дебата, повишаване на осведомеността и на ангажираността на гражданите, предприятията и публичните органи за привличане на повече хора и стоки в железопътния транспорт като средство за борба с изменението на климата; </w:t>
      </w:r>
    </w:p>
    <w:p>
      <w:pPr>
        <w:pStyle w:val="Point1"/>
        <w:rPr>
          <w:noProof/>
        </w:rPr>
      </w:pPr>
      <w:r>
        <w:rPr>
          <w:noProof/>
        </w:rPr>
        <w:lastRenderedPageBreak/>
        <w:t>б)</w:t>
      </w:r>
      <w:r>
        <w:rPr>
          <w:noProof/>
        </w:rPr>
        <w:tab/>
        <w:t xml:space="preserve">изложения, информационни и образователни кампании, и кампании за набиране на идеи и повишаване на осведомеността с цел насърчаване на промените в поведението на пътниците, потребителите и предприятията и стимулиране на широката общественост активно да допринесе за постигането на целите за по-устойчив транспорт; </w:t>
      </w:r>
    </w:p>
    <w:p>
      <w:pPr>
        <w:pStyle w:val="Point1"/>
        <w:rPr>
          <w:noProof/>
        </w:rPr>
      </w:pPr>
      <w:r>
        <w:rPr>
          <w:noProof/>
        </w:rPr>
        <w:t>в)</w:t>
      </w:r>
      <w:r>
        <w:rPr>
          <w:noProof/>
        </w:rPr>
        <w:tab/>
        <w:t>споделяне на опит и добри практики на националните, регионалните и местните органи, на гражданското общество, предприятията и училищата за насърчаване на използването на железопътния транспорт и за осъществяване на поведенчески промени на всички равнища;</w:t>
      </w:r>
    </w:p>
    <w:p>
      <w:pPr>
        <w:pStyle w:val="Point1"/>
        <w:rPr>
          <w:noProof/>
        </w:rPr>
      </w:pPr>
      <w:r>
        <w:rPr>
          <w:noProof/>
        </w:rPr>
        <w:t>г)</w:t>
      </w:r>
      <w:r>
        <w:rPr>
          <w:noProof/>
        </w:rPr>
        <w:tab/>
        <w:t xml:space="preserve">провеждане на проучвания и иновационни дейности и оповестяване на резултатите от тях в европейски или национален мащаб; както и </w:t>
      </w:r>
    </w:p>
    <w:p>
      <w:pPr>
        <w:pStyle w:val="Point1"/>
        <w:rPr>
          <w:noProof/>
        </w:rPr>
      </w:pPr>
      <w:r>
        <w:rPr>
          <w:noProof/>
        </w:rPr>
        <w:t>д)</w:t>
      </w:r>
      <w:r>
        <w:rPr>
          <w:noProof/>
        </w:rPr>
        <w:tab/>
        <w:t>насърчаване на проекти и мрежи, свързани с Европейската година, включително чрез медиите, социалните мрежи и други онлайн групи.</w:t>
      </w:r>
    </w:p>
    <w:p>
      <w:pPr>
        <w:pStyle w:val="ManualNumPar1"/>
        <w:rPr>
          <w:noProof/>
        </w:rPr>
      </w:pPr>
      <w:r>
        <w:t>2.</w:t>
      </w:r>
      <w:r>
        <w:tab/>
      </w:r>
      <w:r>
        <w:rPr>
          <w:noProof/>
        </w:rPr>
        <w:t>При популяризиране на посочените в параграф 1 дейности съответно на равнището на Съюза и на национално равнище институциите и органите на Съюза, както и държавите членки могат да се позовават на Европейската година и да използват свързаните с нея визуални материали.</w:t>
      </w:r>
    </w:p>
    <w:p>
      <w:pPr>
        <w:pStyle w:val="Titrearticle"/>
        <w:rPr>
          <w:noProof/>
        </w:rPr>
      </w:pPr>
      <w:r>
        <w:rPr>
          <w:noProof/>
        </w:rPr>
        <w:t>Член 4</w:t>
      </w:r>
    </w:p>
    <w:p>
      <w:pPr>
        <w:jc w:val="center"/>
        <w:rPr>
          <w:b/>
          <w:noProof/>
        </w:rPr>
      </w:pPr>
      <w:r>
        <w:rPr>
          <w:b/>
          <w:noProof/>
        </w:rPr>
        <w:t>Координация на равнището на държавите членки</w:t>
      </w:r>
    </w:p>
    <w:p>
      <w:pPr>
        <w:rPr>
          <w:noProof/>
        </w:rPr>
      </w:pPr>
      <w:r>
        <w:rPr>
          <w:noProof/>
        </w:rPr>
        <w:t>Държавите членки отговарят за организацията на участието в Европейската година на национално равнище. За тази цел държавите членки определят национални координатори. Националните координатори осигуряват координацията на съответните дейности на национално равнище.</w:t>
      </w:r>
    </w:p>
    <w:p>
      <w:pPr>
        <w:pStyle w:val="Titrearticle"/>
        <w:rPr>
          <w:noProof/>
        </w:rPr>
      </w:pPr>
      <w:r>
        <w:rPr>
          <w:noProof/>
        </w:rPr>
        <w:t>Член 5</w:t>
      </w:r>
    </w:p>
    <w:p>
      <w:pPr>
        <w:keepNext/>
        <w:jc w:val="center"/>
        <w:rPr>
          <w:b/>
          <w:noProof/>
        </w:rPr>
      </w:pPr>
      <w:r>
        <w:rPr>
          <w:b/>
          <w:noProof/>
        </w:rPr>
        <w:t>Координация на равнището на Съюза</w:t>
      </w:r>
    </w:p>
    <w:p>
      <w:pPr>
        <w:pStyle w:val="ManualNumPar1"/>
        <w:rPr>
          <w:noProof/>
        </w:rPr>
      </w:pPr>
      <w:r>
        <w:t>1.</w:t>
      </w:r>
      <w:r>
        <w:tab/>
      </w:r>
      <w:r>
        <w:rPr>
          <w:noProof/>
        </w:rPr>
        <w:t xml:space="preserve">Комисията свиква редовни срещи на националните координатори за координиране на протичането на Европейската година. Тези срещи служат също така за обмен на информация относно изпълнението на Европейската година на национално равнище и на равнището на Съюза. Представители на Европейския парламент могат да участват в тях като наблюдатели. </w:t>
      </w:r>
    </w:p>
    <w:p>
      <w:pPr>
        <w:pStyle w:val="ManualNumPar1"/>
        <w:rPr>
          <w:noProof/>
        </w:rPr>
      </w:pPr>
      <w:r>
        <w:t>2.</w:t>
      </w:r>
      <w:r>
        <w:tab/>
      </w:r>
      <w:r>
        <w:rPr>
          <w:noProof/>
        </w:rPr>
        <w:t>При координация на Европейската година на равнището на Съюза се следва хоризонтален подход с оглед създаването на взаимодействия между различните програми и инициативите на Съюза, насочени към финансиране на проекти в железопътния транспорт или проекти, които имат отражение върху него.</w:t>
      </w:r>
      <w:r>
        <w:rPr>
          <w:i/>
          <w:noProof/>
        </w:rPr>
        <w:t xml:space="preserve"> </w:t>
      </w:r>
    </w:p>
    <w:p>
      <w:pPr>
        <w:pStyle w:val="ManualNumPar1"/>
        <w:rPr>
          <w:noProof/>
        </w:rPr>
      </w:pPr>
      <w:r>
        <w:t>3.</w:t>
      </w:r>
      <w:r>
        <w:tab/>
      </w:r>
      <w:r>
        <w:rPr>
          <w:noProof/>
        </w:rPr>
        <w:t>Комисията организира редовни срещи на заинтересованите страни и представителите на европейски организации или органи, развиващи дейност в областта на железопътния транспорт, включително съществуващите транснационални мрежи и заинтересовани НПО, а също и младежки организации и общности, които да я подпомагат в реализирането на Европейската година на равнището на Съюза.</w:t>
      </w:r>
    </w:p>
    <w:p>
      <w:pPr>
        <w:pStyle w:val="Text1"/>
        <w:rPr>
          <w:noProof/>
        </w:rPr>
      </w:pPr>
      <w:r>
        <w:rPr>
          <w:noProof/>
        </w:rPr>
        <w:t>При наличие на необходимия бюджет Комисията може да организира покани за представяне на предложения и проекти, които могат да получат подкрепа поради изключителния им принос към целите на годината.</w:t>
      </w:r>
    </w:p>
    <w:p>
      <w:pPr>
        <w:pStyle w:val="Titrearticle"/>
        <w:rPr>
          <w:noProof/>
        </w:rPr>
      </w:pPr>
      <w:r>
        <w:rPr>
          <w:noProof/>
        </w:rPr>
        <w:lastRenderedPageBreak/>
        <w:t>Член 6</w:t>
      </w:r>
    </w:p>
    <w:p>
      <w:pPr>
        <w:jc w:val="center"/>
        <w:rPr>
          <w:b/>
          <w:noProof/>
        </w:rPr>
      </w:pPr>
      <w:r>
        <w:rPr>
          <w:b/>
          <w:noProof/>
        </w:rPr>
        <w:t>Международно сътрудничество</w:t>
      </w:r>
    </w:p>
    <w:p>
      <w:pPr>
        <w:rPr>
          <w:noProof/>
        </w:rPr>
      </w:pPr>
      <w:r>
        <w:rPr>
          <w:noProof/>
        </w:rPr>
        <w:t>За целите на Европейската година Комисията ще си сътрудничи, когато е необходимо, с компетентните международни организации, като същевременно популяризира участието на Съюза.</w:t>
      </w:r>
    </w:p>
    <w:p>
      <w:pPr>
        <w:pStyle w:val="Titrearticle"/>
        <w:rPr>
          <w:noProof/>
        </w:rPr>
      </w:pPr>
      <w:r>
        <w:rPr>
          <w:noProof/>
        </w:rPr>
        <w:t>Член 7</w:t>
      </w:r>
    </w:p>
    <w:p>
      <w:pPr>
        <w:jc w:val="center"/>
        <w:rPr>
          <w:b/>
          <w:noProof/>
        </w:rPr>
      </w:pPr>
      <w:r>
        <w:rPr>
          <w:b/>
          <w:noProof/>
        </w:rPr>
        <w:t>Мониторинг и оценка</w:t>
      </w:r>
    </w:p>
    <w:p>
      <w:pPr>
        <w:rPr>
          <w:noProof/>
        </w:rPr>
      </w:pPr>
      <w:r>
        <w:rPr>
          <w:noProof/>
        </w:rPr>
        <w:t>До 31 декември 2022 г. Комисията представя доклад до Европейския парламент, Съвета, Европейския икономически и социален комитет и Комитета на регионите относно изпълнението, резултатите и общата оценка на инициативите, предвидени в настоящото решение.</w:t>
      </w:r>
    </w:p>
    <w:p>
      <w:pPr>
        <w:pStyle w:val="Titrearticle"/>
        <w:rPr>
          <w:noProof/>
        </w:rPr>
      </w:pPr>
      <w:r>
        <w:rPr>
          <w:noProof/>
        </w:rPr>
        <w:t>Член 8</w:t>
      </w:r>
    </w:p>
    <w:p>
      <w:pPr>
        <w:keepNext/>
        <w:keepLines/>
        <w:jc w:val="center"/>
        <w:rPr>
          <w:b/>
          <w:noProof/>
        </w:rPr>
      </w:pPr>
      <w:r>
        <w:rPr>
          <w:b/>
          <w:noProof/>
        </w:rPr>
        <w:t>Влизане в сила</w:t>
      </w:r>
    </w:p>
    <w:p>
      <w:pPr>
        <w:keepNext/>
        <w:keepLines/>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spacing w:before="0" w:after="200" w:line="276" w:lineRule="auto"/>
        <w:jc w:val="left"/>
        <w:rPr>
          <w:i/>
          <w:noProof/>
        </w:rPr>
      </w:pPr>
      <w:r>
        <w:rPr>
          <w:noProof/>
        </w:rPr>
        <w:br w:type="page"/>
      </w:r>
    </w:p>
    <w:p>
      <w:pPr>
        <w:pStyle w:val="Fichefinanciretitre"/>
        <w:rPr>
          <w:noProof/>
        </w:rPr>
      </w:pPr>
      <w:r>
        <w:rPr>
          <w:noProof/>
        </w:rPr>
        <w:lastRenderedPageBreak/>
        <w:t>ЗАКОНОДАТЕЛНА ФИНАНСОВА ОБОСНОВКА</w:t>
      </w:r>
    </w:p>
    <w:p>
      <w:pPr>
        <w:rPr>
          <w:noProof/>
        </w:rPr>
        <w:sectPr>
          <w:pgSz w:w="11907" w:h="16840" w:code="9"/>
          <w:pgMar w:top="1134" w:right="1418" w:bottom="1134" w:left="1418" w:header="709" w:footer="709" w:gutter="0"/>
          <w:cols w:space="708"/>
          <w:docGrid w:linePitch="360"/>
        </w:sectPr>
      </w:pPr>
    </w:p>
    <w:p>
      <w:pPr>
        <w:pStyle w:val="TOCHeading"/>
        <w:rPr>
          <w:noProof/>
        </w:rPr>
      </w:pPr>
      <w:r>
        <w:rPr>
          <w:noProof/>
        </w:rPr>
        <w:t>СЪДЪРЖАНИЕ</w:t>
      </w:r>
    </w:p>
    <w:p>
      <w:pPr>
        <w:pStyle w:val="TOC5"/>
        <w:rPr>
          <w:noProof/>
        </w:rPr>
      </w:pPr>
      <w:r>
        <w:rPr>
          <w:noProof/>
        </w:rPr>
        <w:t xml:space="preserve">ЗАКОНОДАТЕЛНА ФИНАНСОВА ОБОСНОВКА </w:t>
      </w:r>
      <w:r>
        <w:rPr>
          <w:noProof/>
        </w:rPr>
        <w:fldChar w:fldCharType="begin"/>
      </w:r>
      <w:r>
        <w:rPr>
          <w:noProof/>
        </w:rPr>
        <w:instrText xml:space="preserve"> PAGEREF \h _Toc32921844 \* MERGEFORMAT </w:instrText>
      </w:r>
      <w:r>
        <w:rPr>
          <w:noProof/>
        </w:rPr>
      </w:r>
      <w:r>
        <w:rPr>
          <w:noProof/>
        </w:rPr>
        <w:fldChar w:fldCharType="separate"/>
      </w:r>
      <w:r>
        <w:rPr>
          <w:noProof/>
        </w:rPr>
        <w:t>12</w:t>
      </w:r>
      <w:r>
        <w:rPr>
          <w:noProof/>
        </w:rPr>
        <w:fldChar w:fldCharType="end"/>
      </w:r>
    </w:p>
    <w:p>
      <w:pPr>
        <w:pStyle w:val="TOC1"/>
        <w:rPr>
          <w:noProof/>
        </w:rPr>
      </w:pPr>
      <w:r>
        <w:rPr>
          <w:noProof/>
        </w:rPr>
        <w:t>1.</w:t>
      </w:r>
      <w:r>
        <w:rPr>
          <w:noProof/>
        </w:rPr>
        <w:tab/>
        <w:t xml:space="preserve">РАМКА НА ПРЕДЛОЖЕНИЕТО/ИНИЦИАТИВАТА </w:t>
      </w:r>
      <w:r>
        <w:rPr>
          <w:noProof/>
        </w:rPr>
        <w:fldChar w:fldCharType="begin"/>
      </w:r>
      <w:r>
        <w:rPr>
          <w:noProof/>
        </w:rPr>
        <w:instrText xml:space="preserve"> PAGEREF \h _Toc32921845 \* MERGEFORMAT </w:instrText>
      </w:r>
      <w:r>
        <w:rPr>
          <w:noProof/>
        </w:rPr>
      </w:r>
      <w:r>
        <w:rPr>
          <w:noProof/>
        </w:rPr>
        <w:fldChar w:fldCharType="separate"/>
      </w:r>
      <w:r>
        <w:rPr>
          <w:noProof/>
        </w:rPr>
        <w:t>12</w:t>
      </w:r>
      <w:r>
        <w:rPr>
          <w:noProof/>
        </w:rPr>
        <w:fldChar w:fldCharType="end"/>
      </w:r>
    </w:p>
    <w:p>
      <w:pPr>
        <w:pStyle w:val="TOC2"/>
        <w:rPr>
          <w:noProof/>
        </w:rPr>
      </w:pPr>
      <w:r>
        <w:rPr>
          <w:noProof/>
        </w:rPr>
        <w:t>1.1.</w:t>
      </w:r>
      <w:r>
        <w:rPr>
          <w:noProof/>
        </w:rPr>
        <w:tab/>
        <w:t xml:space="preserve">Наименование на предложението/инициативата </w:t>
      </w:r>
      <w:r>
        <w:rPr>
          <w:noProof/>
        </w:rPr>
        <w:fldChar w:fldCharType="begin"/>
      </w:r>
      <w:r>
        <w:rPr>
          <w:noProof/>
        </w:rPr>
        <w:instrText xml:space="preserve"> PAGEREF \h _Toc32921846 \* MERGEFORMAT </w:instrText>
      </w:r>
      <w:r>
        <w:rPr>
          <w:noProof/>
        </w:rPr>
      </w:r>
      <w:r>
        <w:rPr>
          <w:noProof/>
        </w:rPr>
        <w:fldChar w:fldCharType="separate"/>
      </w:r>
      <w:r>
        <w:rPr>
          <w:noProof/>
        </w:rPr>
        <w:t>12</w:t>
      </w:r>
      <w:r>
        <w:rPr>
          <w:noProof/>
        </w:rPr>
        <w:fldChar w:fldCharType="end"/>
      </w:r>
    </w:p>
    <w:p>
      <w:pPr>
        <w:pStyle w:val="TOC2"/>
        <w:rPr>
          <w:noProof/>
        </w:rPr>
      </w:pPr>
      <w:r>
        <w:rPr>
          <w:noProof/>
        </w:rPr>
        <w:t>1.2.</w:t>
      </w:r>
      <w:r>
        <w:rPr>
          <w:noProof/>
        </w:rPr>
        <w:tab/>
        <w:t xml:space="preserve">Съответни области на политиката (програмен клъстер) </w:t>
      </w:r>
      <w:r>
        <w:rPr>
          <w:noProof/>
        </w:rPr>
        <w:fldChar w:fldCharType="begin"/>
      </w:r>
      <w:r>
        <w:rPr>
          <w:noProof/>
        </w:rPr>
        <w:instrText xml:space="preserve"> PAGEREF \h _Toc32921847 \* MERGEFORMAT </w:instrText>
      </w:r>
      <w:r>
        <w:rPr>
          <w:noProof/>
        </w:rPr>
      </w:r>
      <w:r>
        <w:rPr>
          <w:noProof/>
        </w:rPr>
        <w:fldChar w:fldCharType="separate"/>
      </w:r>
      <w:r>
        <w:rPr>
          <w:noProof/>
        </w:rPr>
        <w:t>12</w:t>
      </w:r>
      <w:r>
        <w:rPr>
          <w:noProof/>
        </w:rPr>
        <w:fldChar w:fldCharType="end"/>
      </w:r>
    </w:p>
    <w:p>
      <w:pPr>
        <w:pStyle w:val="TOC2"/>
        <w:rPr>
          <w:noProof/>
        </w:rPr>
      </w:pPr>
      <w:r>
        <w:rPr>
          <w:noProof/>
        </w:rPr>
        <w:t>1.3.</w:t>
      </w:r>
      <w:r>
        <w:rPr>
          <w:noProof/>
        </w:rPr>
        <w:tab/>
        <w:t>Предложението/инициативата е във връзка с</w:t>
      </w:r>
      <w:r>
        <w:rPr>
          <w:noProof/>
        </w:rPr>
        <w:fldChar w:fldCharType="begin"/>
      </w:r>
      <w:r>
        <w:rPr>
          <w:noProof/>
        </w:rPr>
        <w:instrText xml:space="preserve"> PAGEREF \h _Toc32921848 \* MERGEFORMAT </w:instrText>
      </w:r>
      <w:r>
        <w:rPr>
          <w:noProof/>
        </w:rPr>
      </w:r>
      <w:r>
        <w:rPr>
          <w:noProof/>
        </w:rPr>
        <w:fldChar w:fldCharType="separate"/>
      </w:r>
      <w:r>
        <w:rPr>
          <w:noProof/>
        </w:rPr>
        <w:t>12</w:t>
      </w:r>
      <w:r>
        <w:rPr>
          <w:noProof/>
        </w:rPr>
        <w:fldChar w:fldCharType="end"/>
      </w:r>
    </w:p>
    <w:p>
      <w:pPr>
        <w:pStyle w:val="TOC2"/>
        <w:rPr>
          <w:noProof/>
        </w:rPr>
      </w:pPr>
      <w:r>
        <w:rPr>
          <w:noProof/>
        </w:rPr>
        <w:t>1.4.</w:t>
      </w:r>
      <w:r>
        <w:rPr>
          <w:noProof/>
        </w:rPr>
        <w:tab/>
        <w:t xml:space="preserve">Мотиви за предложението/инициативата </w:t>
      </w:r>
      <w:r>
        <w:rPr>
          <w:noProof/>
        </w:rPr>
        <w:fldChar w:fldCharType="begin"/>
      </w:r>
      <w:r>
        <w:rPr>
          <w:noProof/>
        </w:rPr>
        <w:instrText xml:space="preserve"> PAGEREF \h _Toc32921849 \* MERGEFORMAT </w:instrText>
      </w:r>
      <w:r>
        <w:rPr>
          <w:noProof/>
        </w:rPr>
      </w:r>
      <w:r>
        <w:rPr>
          <w:noProof/>
        </w:rPr>
        <w:fldChar w:fldCharType="separate"/>
      </w:r>
      <w:r>
        <w:rPr>
          <w:noProof/>
        </w:rPr>
        <w:t>12</w:t>
      </w:r>
      <w:r>
        <w:rPr>
          <w:noProof/>
        </w:rPr>
        <w:fldChar w:fldCharType="end"/>
      </w:r>
    </w:p>
    <w:p>
      <w:pPr>
        <w:pStyle w:val="TOC3"/>
        <w:rPr>
          <w:noProof/>
        </w:rPr>
      </w:pPr>
      <w:r>
        <w:rPr>
          <w:noProof/>
        </w:rPr>
        <w:t>1.4.1.</w:t>
      </w:r>
      <w:r>
        <w:rPr>
          <w:noProof/>
        </w:rPr>
        <w:tab/>
        <w:t xml:space="preserve">Изисквания, които трябва да бъдат изпълнени в краткосрочен или дългосрочен план, включително подробен график за изпълнението на инициативата </w:t>
      </w:r>
      <w:r>
        <w:rPr>
          <w:noProof/>
        </w:rPr>
        <w:fldChar w:fldCharType="begin"/>
      </w:r>
      <w:r>
        <w:rPr>
          <w:noProof/>
        </w:rPr>
        <w:instrText xml:space="preserve"> PAGEREF \h _Toc32921850 \* MERGEFORMAT </w:instrText>
      </w:r>
      <w:r>
        <w:rPr>
          <w:noProof/>
        </w:rPr>
      </w:r>
      <w:r>
        <w:rPr>
          <w:noProof/>
        </w:rPr>
        <w:fldChar w:fldCharType="separate"/>
      </w:r>
      <w:r>
        <w:rPr>
          <w:noProof/>
        </w:rPr>
        <w:t>12</w:t>
      </w:r>
      <w:r>
        <w:rPr>
          <w:noProof/>
        </w:rPr>
        <w:fldChar w:fldCharType="end"/>
      </w:r>
    </w:p>
    <w:p>
      <w:pPr>
        <w:pStyle w:val="TOC3"/>
        <w:rPr>
          <w:noProof/>
        </w:rPr>
      </w:pPr>
      <w:r>
        <w:rPr>
          <w:noProof/>
        </w:rPr>
        <w:t>1.4.2.</w:t>
      </w:r>
      <w:r>
        <w:rPr>
          <w:noProof/>
        </w:rPr>
        <w:tab/>
        <w:t xml:space="preserve">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Съюза и е допълнителна спрямо стойността, която би била създадена само от отделните държави членки. </w:t>
      </w:r>
      <w:r>
        <w:rPr>
          <w:noProof/>
        </w:rPr>
        <w:fldChar w:fldCharType="begin"/>
      </w:r>
      <w:r>
        <w:rPr>
          <w:noProof/>
        </w:rPr>
        <w:instrText xml:space="preserve"> PAGEREF \h _Toc32921851 \* MERGEFORMAT </w:instrText>
      </w:r>
      <w:r>
        <w:rPr>
          <w:noProof/>
        </w:rPr>
      </w:r>
      <w:r>
        <w:rPr>
          <w:noProof/>
        </w:rPr>
        <w:fldChar w:fldCharType="separate"/>
      </w:r>
      <w:r>
        <w:rPr>
          <w:noProof/>
        </w:rPr>
        <w:t>12</w:t>
      </w:r>
      <w:r>
        <w:rPr>
          <w:noProof/>
        </w:rPr>
        <w:fldChar w:fldCharType="end"/>
      </w:r>
    </w:p>
    <w:p>
      <w:pPr>
        <w:pStyle w:val="TOC3"/>
        <w:rPr>
          <w:noProof/>
        </w:rPr>
      </w:pPr>
      <w:r>
        <w:rPr>
          <w:noProof/>
        </w:rPr>
        <w:t>1.4.3.</w:t>
      </w:r>
      <w:r>
        <w:rPr>
          <w:noProof/>
        </w:rPr>
        <w:tab/>
        <w:t xml:space="preserve">Изводи от подобен опит в миналото </w:t>
      </w:r>
      <w:r>
        <w:rPr>
          <w:noProof/>
        </w:rPr>
        <w:fldChar w:fldCharType="begin"/>
      </w:r>
      <w:r>
        <w:rPr>
          <w:noProof/>
        </w:rPr>
        <w:instrText xml:space="preserve"> PAGEREF \h _Toc32921852 \* MERGEFORMAT </w:instrText>
      </w:r>
      <w:r>
        <w:rPr>
          <w:noProof/>
        </w:rPr>
      </w:r>
      <w:r>
        <w:rPr>
          <w:noProof/>
        </w:rPr>
        <w:fldChar w:fldCharType="separate"/>
      </w:r>
      <w:r>
        <w:rPr>
          <w:noProof/>
        </w:rPr>
        <w:t>13</w:t>
      </w:r>
      <w:r>
        <w:rPr>
          <w:noProof/>
        </w:rPr>
        <w:fldChar w:fldCharType="end"/>
      </w:r>
    </w:p>
    <w:p>
      <w:pPr>
        <w:pStyle w:val="TOC3"/>
        <w:rPr>
          <w:noProof/>
        </w:rPr>
      </w:pPr>
      <w:r>
        <w:rPr>
          <w:noProof/>
        </w:rPr>
        <w:t>1.4.4.</w:t>
      </w:r>
      <w:r>
        <w:rPr>
          <w:noProof/>
        </w:rPr>
        <w:tab/>
        <w:t xml:space="preserve">Съгласуваност и евентуална синергия с други актове </w:t>
      </w:r>
      <w:r>
        <w:rPr>
          <w:noProof/>
        </w:rPr>
        <w:fldChar w:fldCharType="begin"/>
      </w:r>
      <w:r>
        <w:rPr>
          <w:noProof/>
        </w:rPr>
        <w:instrText xml:space="preserve"> PAGEREF \h _Toc32921853 \* MERGEFORMAT </w:instrText>
      </w:r>
      <w:r>
        <w:rPr>
          <w:noProof/>
        </w:rPr>
      </w:r>
      <w:r>
        <w:rPr>
          <w:noProof/>
        </w:rPr>
        <w:fldChar w:fldCharType="separate"/>
      </w:r>
      <w:r>
        <w:rPr>
          <w:noProof/>
        </w:rPr>
        <w:t>13</w:t>
      </w:r>
      <w:r>
        <w:rPr>
          <w:noProof/>
        </w:rPr>
        <w:fldChar w:fldCharType="end"/>
      </w:r>
    </w:p>
    <w:p>
      <w:pPr>
        <w:pStyle w:val="TOC2"/>
        <w:rPr>
          <w:noProof/>
        </w:rPr>
      </w:pPr>
      <w:r>
        <w:rPr>
          <w:noProof/>
        </w:rPr>
        <w:t>1.5.</w:t>
      </w:r>
      <w:r>
        <w:rPr>
          <w:noProof/>
        </w:rPr>
        <w:tab/>
        <w:t xml:space="preserve">Срок на действие и финансово отражение </w:t>
      </w:r>
      <w:r>
        <w:rPr>
          <w:noProof/>
        </w:rPr>
        <w:fldChar w:fldCharType="begin"/>
      </w:r>
      <w:r>
        <w:rPr>
          <w:noProof/>
        </w:rPr>
        <w:instrText xml:space="preserve"> PAGEREF \h _Toc32921854 \* MERGEFORMAT </w:instrText>
      </w:r>
      <w:r>
        <w:rPr>
          <w:noProof/>
        </w:rPr>
      </w:r>
      <w:r>
        <w:rPr>
          <w:noProof/>
        </w:rPr>
        <w:fldChar w:fldCharType="separate"/>
      </w:r>
      <w:r>
        <w:rPr>
          <w:noProof/>
        </w:rPr>
        <w:t>14</w:t>
      </w:r>
      <w:r>
        <w:rPr>
          <w:noProof/>
        </w:rPr>
        <w:fldChar w:fldCharType="end"/>
      </w:r>
    </w:p>
    <w:p>
      <w:pPr>
        <w:pStyle w:val="TOC2"/>
        <w:rPr>
          <w:noProof/>
        </w:rPr>
      </w:pPr>
      <w:r>
        <w:rPr>
          <w:noProof/>
        </w:rPr>
        <w:t>1.6.</w:t>
      </w:r>
      <w:r>
        <w:rPr>
          <w:noProof/>
        </w:rPr>
        <w:tab/>
        <w:t xml:space="preserve">Планирани методи на управление </w:t>
      </w:r>
      <w:r>
        <w:rPr>
          <w:noProof/>
        </w:rPr>
        <w:fldChar w:fldCharType="begin"/>
      </w:r>
      <w:r>
        <w:rPr>
          <w:noProof/>
        </w:rPr>
        <w:instrText xml:space="preserve"> PAGEREF \h _Toc32921855 \* MERGEFORMAT </w:instrText>
      </w:r>
      <w:r>
        <w:rPr>
          <w:noProof/>
        </w:rPr>
      </w:r>
      <w:r>
        <w:rPr>
          <w:noProof/>
        </w:rPr>
        <w:fldChar w:fldCharType="separate"/>
      </w:r>
      <w:r>
        <w:rPr>
          <w:noProof/>
        </w:rPr>
        <w:t>14</w:t>
      </w:r>
      <w:r>
        <w:rPr>
          <w:noProof/>
        </w:rPr>
        <w:fldChar w:fldCharType="end"/>
      </w:r>
    </w:p>
    <w:p>
      <w:pPr>
        <w:pStyle w:val="TOC1"/>
        <w:rPr>
          <w:noProof/>
        </w:rPr>
      </w:pPr>
      <w:r>
        <w:rPr>
          <w:noProof/>
        </w:rPr>
        <w:t>2.</w:t>
      </w:r>
      <w:r>
        <w:rPr>
          <w:noProof/>
        </w:rPr>
        <w:tab/>
        <w:t xml:space="preserve">МЕРКИ ЗА УПРАВЛЕНИЕ </w:t>
      </w:r>
      <w:r>
        <w:rPr>
          <w:noProof/>
        </w:rPr>
        <w:fldChar w:fldCharType="begin"/>
      </w:r>
      <w:r>
        <w:rPr>
          <w:noProof/>
        </w:rPr>
        <w:instrText xml:space="preserve"> PAGEREF \h _Toc32921856 \* MERGEFORMAT </w:instrText>
      </w:r>
      <w:r>
        <w:rPr>
          <w:noProof/>
        </w:rPr>
      </w:r>
      <w:r>
        <w:rPr>
          <w:noProof/>
        </w:rPr>
        <w:fldChar w:fldCharType="separate"/>
      </w:r>
      <w:r>
        <w:rPr>
          <w:noProof/>
        </w:rPr>
        <w:t>15</w:t>
      </w:r>
      <w:r>
        <w:rPr>
          <w:noProof/>
        </w:rPr>
        <w:fldChar w:fldCharType="end"/>
      </w:r>
    </w:p>
    <w:p>
      <w:pPr>
        <w:pStyle w:val="TOC2"/>
        <w:rPr>
          <w:noProof/>
        </w:rPr>
      </w:pPr>
      <w:r>
        <w:rPr>
          <w:noProof/>
        </w:rPr>
        <w:t>2.1.</w:t>
      </w:r>
      <w:r>
        <w:rPr>
          <w:noProof/>
        </w:rPr>
        <w:tab/>
        <w:t xml:space="preserve">Правила за мониторинг и докладване </w:t>
      </w:r>
      <w:r>
        <w:rPr>
          <w:noProof/>
        </w:rPr>
        <w:fldChar w:fldCharType="begin"/>
      </w:r>
      <w:r>
        <w:rPr>
          <w:noProof/>
        </w:rPr>
        <w:instrText xml:space="preserve"> PAGEREF \h _Toc32921857 \* MERGEFORMAT </w:instrText>
      </w:r>
      <w:r>
        <w:rPr>
          <w:noProof/>
        </w:rPr>
      </w:r>
      <w:r>
        <w:rPr>
          <w:noProof/>
        </w:rPr>
        <w:fldChar w:fldCharType="separate"/>
      </w:r>
      <w:r>
        <w:rPr>
          <w:noProof/>
        </w:rPr>
        <w:t>15</w:t>
      </w:r>
      <w:r>
        <w:rPr>
          <w:noProof/>
        </w:rPr>
        <w:fldChar w:fldCharType="end"/>
      </w:r>
    </w:p>
    <w:p>
      <w:pPr>
        <w:pStyle w:val="TOC2"/>
        <w:rPr>
          <w:noProof/>
        </w:rPr>
      </w:pPr>
      <w:r>
        <w:rPr>
          <w:noProof/>
        </w:rPr>
        <w:t>2.2.</w:t>
      </w:r>
      <w:r>
        <w:rPr>
          <w:noProof/>
        </w:rPr>
        <w:tab/>
        <w:t xml:space="preserve">Системи за управление и контрол </w:t>
      </w:r>
      <w:r>
        <w:rPr>
          <w:noProof/>
        </w:rPr>
        <w:fldChar w:fldCharType="begin"/>
      </w:r>
      <w:r>
        <w:rPr>
          <w:noProof/>
        </w:rPr>
        <w:instrText xml:space="preserve"> PAGEREF \h _Toc32921858 \* MERGEFORMAT </w:instrText>
      </w:r>
      <w:r>
        <w:rPr>
          <w:noProof/>
        </w:rPr>
      </w:r>
      <w:r>
        <w:rPr>
          <w:noProof/>
        </w:rPr>
        <w:fldChar w:fldCharType="separate"/>
      </w:r>
      <w:r>
        <w:rPr>
          <w:noProof/>
        </w:rPr>
        <w:t>15</w:t>
      </w:r>
      <w:r>
        <w:rPr>
          <w:noProof/>
        </w:rPr>
        <w:fldChar w:fldCharType="end"/>
      </w:r>
    </w:p>
    <w:p>
      <w:pPr>
        <w:pStyle w:val="TOC3"/>
        <w:rPr>
          <w:noProof/>
        </w:rPr>
      </w:pPr>
      <w:r>
        <w:rPr>
          <w:noProof/>
        </w:rPr>
        <w:t>2.2.1.</w:t>
      </w:r>
      <w:r>
        <w:rPr>
          <w:noProof/>
        </w:rPr>
        <w:tab/>
        <w:t xml:space="preserve">Обосновка на предложените начини за управление, механизми за финансиране на изпълнението, начини за плащане и стратегия за контрол </w:t>
      </w:r>
      <w:r>
        <w:rPr>
          <w:noProof/>
        </w:rPr>
        <w:fldChar w:fldCharType="begin"/>
      </w:r>
      <w:r>
        <w:rPr>
          <w:noProof/>
        </w:rPr>
        <w:instrText xml:space="preserve"> PAGEREF \h _Toc32921859 \* MERGEFORMAT </w:instrText>
      </w:r>
      <w:r>
        <w:rPr>
          <w:noProof/>
        </w:rPr>
      </w:r>
      <w:r>
        <w:rPr>
          <w:noProof/>
        </w:rPr>
        <w:fldChar w:fldCharType="separate"/>
      </w:r>
      <w:r>
        <w:rPr>
          <w:noProof/>
        </w:rPr>
        <w:t>15</w:t>
      </w:r>
      <w:r>
        <w:rPr>
          <w:noProof/>
        </w:rPr>
        <w:fldChar w:fldCharType="end"/>
      </w:r>
    </w:p>
    <w:p>
      <w:pPr>
        <w:pStyle w:val="TOC3"/>
        <w:rPr>
          <w:noProof/>
        </w:rPr>
      </w:pPr>
      <w:r>
        <w:rPr>
          <w:noProof/>
        </w:rPr>
        <w:t>2.2.2.</w:t>
      </w:r>
      <w:r>
        <w:rPr>
          <w:noProof/>
        </w:rPr>
        <w:tab/>
        <w:t xml:space="preserve">Информация относно установените рискове и системите за вътрешен контрол, създадени с цел намаляването им </w:t>
      </w:r>
      <w:r>
        <w:rPr>
          <w:noProof/>
        </w:rPr>
        <w:fldChar w:fldCharType="begin"/>
      </w:r>
      <w:r>
        <w:rPr>
          <w:noProof/>
        </w:rPr>
        <w:instrText xml:space="preserve"> PAGEREF \h _Toc32921860 \* MERGEFORMAT </w:instrText>
      </w:r>
      <w:r>
        <w:rPr>
          <w:noProof/>
        </w:rPr>
      </w:r>
      <w:r>
        <w:rPr>
          <w:noProof/>
        </w:rPr>
        <w:fldChar w:fldCharType="separate"/>
      </w:r>
      <w:r>
        <w:rPr>
          <w:noProof/>
        </w:rPr>
        <w:t>15</w:t>
      </w:r>
      <w:r>
        <w:rPr>
          <w:noProof/>
        </w:rPr>
        <w:fldChar w:fldCharType="end"/>
      </w:r>
    </w:p>
    <w:p>
      <w:pPr>
        <w:pStyle w:val="TOC3"/>
        <w:rPr>
          <w:noProof/>
        </w:rPr>
      </w:pPr>
      <w:r>
        <w:rPr>
          <w:noProof/>
        </w:rPr>
        <w:t>2.2.3.</w:t>
      </w:r>
      <w:r>
        <w:rPr>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r>
        <w:rPr>
          <w:noProof/>
        </w:rPr>
        <w:fldChar w:fldCharType="begin"/>
      </w:r>
      <w:r>
        <w:rPr>
          <w:noProof/>
        </w:rPr>
        <w:instrText xml:space="preserve"> PAGEREF \h _Toc32921861 \* MERGEFORMAT </w:instrText>
      </w:r>
      <w:r>
        <w:rPr>
          <w:noProof/>
        </w:rPr>
      </w:r>
      <w:r>
        <w:rPr>
          <w:noProof/>
        </w:rPr>
        <w:fldChar w:fldCharType="separate"/>
      </w:r>
      <w:r>
        <w:rPr>
          <w:noProof/>
        </w:rPr>
        <w:t>15</w:t>
      </w:r>
      <w:r>
        <w:rPr>
          <w:noProof/>
        </w:rPr>
        <w:fldChar w:fldCharType="end"/>
      </w:r>
    </w:p>
    <w:p>
      <w:pPr>
        <w:pStyle w:val="TOC2"/>
        <w:rPr>
          <w:noProof/>
        </w:rPr>
      </w:pPr>
      <w:r>
        <w:rPr>
          <w:noProof/>
        </w:rPr>
        <w:t>2.3.</w:t>
      </w:r>
      <w:r>
        <w:rPr>
          <w:noProof/>
        </w:rPr>
        <w:tab/>
        <w:t xml:space="preserve">Мерки за предотвратяване на измами и нередности </w:t>
      </w:r>
      <w:r>
        <w:rPr>
          <w:noProof/>
        </w:rPr>
        <w:fldChar w:fldCharType="begin"/>
      </w:r>
      <w:r>
        <w:rPr>
          <w:noProof/>
        </w:rPr>
        <w:instrText xml:space="preserve"> PAGEREF \h _Toc32921862 \* MERGEFORMAT </w:instrText>
      </w:r>
      <w:r>
        <w:rPr>
          <w:noProof/>
        </w:rPr>
      </w:r>
      <w:r>
        <w:rPr>
          <w:noProof/>
        </w:rPr>
        <w:fldChar w:fldCharType="separate"/>
      </w:r>
      <w:r>
        <w:rPr>
          <w:noProof/>
        </w:rPr>
        <w:t>15</w:t>
      </w:r>
      <w:r>
        <w:rPr>
          <w:noProof/>
        </w:rPr>
        <w:fldChar w:fldCharType="end"/>
      </w:r>
    </w:p>
    <w:p>
      <w:pPr>
        <w:pStyle w:val="TOC1"/>
        <w:rPr>
          <w:noProof/>
        </w:rPr>
      </w:pPr>
      <w:r>
        <w:rPr>
          <w:noProof/>
        </w:rPr>
        <w:t>3.</w:t>
      </w:r>
      <w:r>
        <w:rPr>
          <w:noProof/>
        </w:rPr>
        <w:tab/>
        <w:t xml:space="preserve">ОЧАКВАНО ФИНАНСОВО ОТРАЖЕНИЕ НА ПРЕДЛОЖЕНИЕТО/ИНИЦИАТИВАТА </w:t>
      </w:r>
      <w:r>
        <w:rPr>
          <w:noProof/>
        </w:rPr>
        <w:fldChar w:fldCharType="begin"/>
      </w:r>
      <w:r>
        <w:rPr>
          <w:noProof/>
        </w:rPr>
        <w:instrText xml:space="preserve"> PAGEREF \h _Toc32921863 \* MERGEFORMAT </w:instrText>
      </w:r>
      <w:r>
        <w:rPr>
          <w:noProof/>
        </w:rPr>
      </w:r>
      <w:r>
        <w:rPr>
          <w:noProof/>
        </w:rPr>
        <w:fldChar w:fldCharType="separate"/>
      </w:r>
      <w:r>
        <w:rPr>
          <w:noProof/>
        </w:rPr>
        <w:t>16</w:t>
      </w:r>
      <w:r>
        <w:rPr>
          <w:noProof/>
        </w:rPr>
        <w:fldChar w:fldCharType="end"/>
      </w:r>
    </w:p>
    <w:p>
      <w:pPr>
        <w:pStyle w:val="TOC2"/>
        <w:rPr>
          <w:noProof/>
        </w:rPr>
      </w:pPr>
      <w:r>
        <w:rPr>
          <w:noProof/>
        </w:rPr>
        <w:t>3.1.</w:t>
      </w:r>
      <w:r>
        <w:rPr>
          <w:noProof/>
        </w:rPr>
        <w:tab/>
        <w:t xml:space="preserve">Функция от многогодишната финансова рамка и предложени нови разходни бюджетни редове </w:t>
      </w:r>
      <w:r>
        <w:rPr>
          <w:noProof/>
        </w:rPr>
        <w:fldChar w:fldCharType="begin"/>
      </w:r>
      <w:r>
        <w:rPr>
          <w:noProof/>
        </w:rPr>
        <w:instrText xml:space="preserve"> PAGEREF \h _Toc32921864 \* MERGEFORMAT </w:instrText>
      </w:r>
      <w:r>
        <w:rPr>
          <w:noProof/>
        </w:rPr>
      </w:r>
      <w:r>
        <w:rPr>
          <w:noProof/>
        </w:rPr>
        <w:fldChar w:fldCharType="separate"/>
      </w:r>
      <w:r>
        <w:rPr>
          <w:noProof/>
        </w:rPr>
        <w:t>16</w:t>
      </w:r>
      <w:r>
        <w:rPr>
          <w:noProof/>
        </w:rPr>
        <w:fldChar w:fldCharType="end"/>
      </w:r>
    </w:p>
    <w:p>
      <w:pPr>
        <w:pStyle w:val="TOC2"/>
        <w:rPr>
          <w:noProof/>
        </w:rPr>
      </w:pPr>
      <w:r>
        <w:rPr>
          <w:noProof/>
        </w:rPr>
        <w:t>3.2.</w:t>
      </w:r>
      <w:r>
        <w:rPr>
          <w:noProof/>
        </w:rPr>
        <w:tab/>
        <w:t xml:space="preserve">Очаквано отражение върху разходите </w:t>
      </w:r>
      <w:r>
        <w:rPr>
          <w:noProof/>
        </w:rPr>
        <w:fldChar w:fldCharType="begin"/>
      </w:r>
      <w:r>
        <w:rPr>
          <w:noProof/>
        </w:rPr>
        <w:instrText xml:space="preserve"> PAGEREF \h _Toc32921865 \* MERGEFORMAT </w:instrText>
      </w:r>
      <w:r>
        <w:rPr>
          <w:noProof/>
        </w:rPr>
      </w:r>
      <w:r>
        <w:rPr>
          <w:noProof/>
        </w:rPr>
        <w:fldChar w:fldCharType="separate"/>
      </w:r>
      <w:r>
        <w:rPr>
          <w:noProof/>
        </w:rPr>
        <w:t>17</w:t>
      </w:r>
      <w:r>
        <w:rPr>
          <w:noProof/>
        </w:rPr>
        <w:fldChar w:fldCharType="end"/>
      </w:r>
    </w:p>
    <w:p>
      <w:pPr>
        <w:pStyle w:val="TOC3"/>
        <w:rPr>
          <w:noProof/>
        </w:rPr>
      </w:pPr>
      <w:r>
        <w:rPr>
          <w:noProof/>
        </w:rPr>
        <w:t>3.2.1.</w:t>
      </w:r>
      <w:r>
        <w:rPr>
          <w:noProof/>
        </w:rPr>
        <w:tab/>
        <w:t xml:space="preserve">Обобщение на очакваното отражение върху разходите </w:t>
      </w:r>
      <w:r>
        <w:rPr>
          <w:noProof/>
        </w:rPr>
        <w:fldChar w:fldCharType="begin"/>
      </w:r>
      <w:r>
        <w:rPr>
          <w:noProof/>
        </w:rPr>
        <w:instrText xml:space="preserve"> PAGEREF \h _Toc32921866 \* MERGEFORMAT </w:instrText>
      </w:r>
      <w:r>
        <w:rPr>
          <w:noProof/>
        </w:rPr>
      </w:r>
      <w:r>
        <w:rPr>
          <w:noProof/>
        </w:rPr>
        <w:fldChar w:fldCharType="separate"/>
      </w:r>
      <w:r>
        <w:rPr>
          <w:noProof/>
        </w:rPr>
        <w:t>17</w:t>
      </w:r>
      <w:r>
        <w:rPr>
          <w:noProof/>
        </w:rPr>
        <w:fldChar w:fldCharType="end"/>
      </w:r>
    </w:p>
    <w:p>
      <w:pPr>
        <w:pStyle w:val="TOC3"/>
        <w:rPr>
          <w:noProof/>
        </w:rPr>
      </w:pPr>
      <w:r>
        <w:rPr>
          <w:noProof/>
        </w:rPr>
        <w:t>3.2.2.</w:t>
      </w:r>
      <w:r>
        <w:rPr>
          <w:noProof/>
        </w:rPr>
        <w:tab/>
        <w:t xml:space="preserve">Резюме на очаквано отражение върху бюджетните кредити за административни разходи </w:t>
      </w:r>
      <w:r>
        <w:rPr>
          <w:noProof/>
        </w:rPr>
        <w:fldChar w:fldCharType="begin"/>
      </w:r>
      <w:r>
        <w:rPr>
          <w:noProof/>
        </w:rPr>
        <w:instrText xml:space="preserve"> PAGEREF \h _Toc32921867 \* MERGEFORMAT </w:instrText>
      </w:r>
      <w:r>
        <w:rPr>
          <w:noProof/>
        </w:rPr>
      </w:r>
      <w:r>
        <w:rPr>
          <w:noProof/>
        </w:rPr>
        <w:fldChar w:fldCharType="separate"/>
      </w:r>
      <w:r>
        <w:rPr>
          <w:noProof/>
        </w:rPr>
        <w:t>19</w:t>
      </w:r>
      <w:r>
        <w:rPr>
          <w:noProof/>
        </w:rPr>
        <w:fldChar w:fldCharType="end"/>
      </w:r>
    </w:p>
    <w:p>
      <w:pPr>
        <w:pStyle w:val="TOC4"/>
        <w:rPr>
          <w:noProof/>
        </w:rPr>
      </w:pPr>
      <w:r>
        <w:rPr>
          <w:noProof/>
        </w:rPr>
        <w:t>3.2.2.1.</w:t>
      </w:r>
      <w:r>
        <w:rPr>
          <w:noProof/>
        </w:rPr>
        <w:tab/>
        <w:t xml:space="preserve">Очаквани нужди от човешки ресурси </w:t>
      </w:r>
      <w:r>
        <w:rPr>
          <w:noProof/>
        </w:rPr>
        <w:fldChar w:fldCharType="begin"/>
      </w:r>
      <w:r>
        <w:rPr>
          <w:noProof/>
        </w:rPr>
        <w:instrText xml:space="preserve"> PAGEREF \h _Toc32921868 \* MERGEFORMAT </w:instrText>
      </w:r>
      <w:r>
        <w:rPr>
          <w:noProof/>
        </w:rPr>
      </w:r>
      <w:r>
        <w:rPr>
          <w:noProof/>
        </w:rPr>
        <w:fldChar w:fldCharType="separate"/>
      </w:r>
      <w:r>
        <w:rPr>
          <w:noProof/>
        </w:rPr>
        <w:t>20</w:t>
      </w:r>
      <w:r>
        <w:rPr>
          <w:noProof/>
        </w:rPr>
        <w:fldChar w:fldCharType="end"/>
      </w:r>
    </w:p>
    <w:p>
      <w:pPr>
        <w:pStyle w:val="TOC3"/>
        <w:rPr>
          <w:noProof/>
        </w:rPr>
      </w:pPr>
      <w:r>
        <w:rPr>
          <w:noProof/>
        </w:rPr>
        <w:t>3.2.3.</w:t>
      </w:r>
      <w:r>
        <w:rPr>
          <w:noProof/>
        </w:rPr>
        <w:tab/>
        <w:t xml:space="preserve">Финансов принос от трети страни </w:t>
      </w:r>
      <w:r>
        <w:rPr>
          <w:noProof/>
        </w:rPr>
        <w:fldChar w:fldCharType="begin"/>
      </w:r>
      <w:r>
        <w:rPr>
          <w:noProof/>
        </w:rPr>
        <w:instrText xml:space="preserve"> PAGEREF \h _Toc32921869 \* MERGEFORMAT </w:instrText>
      </w:r>
      <w:r>
        <w:rPr>
          <w:noProof/>
        </w:rPr>
      </w:r>
      <w:r>
        <w:rPr>
          <w:noProof/>
        </w:rPr>
        <w:fldChar w:fldCharType="separate"/>
      </w:r>
      <w:r>
        <w:rPr>
          <w:noProof/>
        </w:rPr>
        <w:t>21</w:t>
      </w:r>
      <w:r>
        <w:rPr>
          <w:noProof/>
        </w:rPr>
        <w:fldChar w:fldCharType="end"/>
      </w:r>
    </w:p>
    <w:p>
      <w:pPr>
        <w:pStyle w:val="TOC2"/>
        <w:rPr>
          <w:noProof/>
        </w:rPr>
      </w:pPr>
      <w:r>
        <w:rPr>
          <w:noProof/>
        </w:rPr>
        <w:t>3.3.</w:t>
      </w:r>
      <w:r>
        <w:rPr>
          <w:noProof/>
        </w:rPr>
        <w:tab/>
        <w:t xml:space="preserve">Очаквано отражение върху приходите </w:t>
      </w:r>
      <w:r>
        <w:rPr>
          <w:noProof/>
        </w:rPr>
        <w:fldChar w:fldCharType="begin"/>
      </w:r>
      <w:r>
        <w:rPr>
          <w:noProof/>
        </w:rPr>
        <w:instrText xml:space="preserve"> PAGEREF \h _Toc32921870 \* MERGEFORMAT </w:instrText>
      </w:r>
      <w:r>
        <w:rPr>
          <w:noProof/>
        </w:rPr>
      </w:r>
      <w:r>
        <w:rPr>
          <w:noProof/>
        </w:rPr>
        <w:fldChar w:fldCharType="separate"/>
      </w:r>
      <w:r>
        <w:rPr>
          <w:noProof/>
        </w:rPr>
        <w:t>21</w:t>
      </w:r>
      <w:r>
        <w:rPr>
          <w:noProof/>
        </w:rPr>
        <w:fldChar w:fldCharType="end"/>
      </w:r>
    </w:p>
    <w:p>
      <w:pPr>
        <w:rPr>
          <w:noProof/>
        </w:rPr>
        <w:sectPr>
          <w:pgSz w:w="11907" w:h="16840" w:code="9"/>
          <w:pgMar w:top="1134" w:right="1418" w:bottom="1134" w:left="1418" w:header="709" w:footer="709" w:gutter="0"/>
          <w:cols w:space="708"/>
          <w:docGrid w:linePitch="360"/>
        </w:sectPr>
      </w:pPr>
    </w:p>
    <w:p>
      <w:pPr>
        <w:pStyle w:val="NormalCentered"/>
        <w:rPr>
          <w:b/>
          <w:noProof/>
        </w:rPr>
      </w:pPr>
      <w:r>
        <w:rPr>
          <w:b/>
          <w:noProof/>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Европейска година на железопътния транспорт (2021 г.)</w:t>
      </w:r>
    </w:p>
    <w:p>
      <w:pPr>
        <w:pStyle w:val="ManualHeading2"/>
        <w:rPr>
          <w:noProof/>
        </w:rPr>
      </w:pPr>
      <w:r>
        <w:t>1.2.</w:t>
      </w:r>
      <w:r>
        <w:tab/>
      </w:r>
      <w:r>
        <w:rPr>
          <w:noProof/>
        </w:rPr>
        <w:t xml:space="preserve">Съответни области на политиката </w:t>
      </w:r>
      <w:r>
        <w:rPr>
          <w:i/>
          <w:iCs/>
          <w:noProof/>
        </w:rPr>
        <w:t>(програмен клъстер)</w:t>
      </w:r>
    </w:p>
    <w:p>
      <w:pPr>
        <w:pStyle w:val="Text1"/>
        <w:pBdr>
          <w:top w:val="single" w:sz="4" w:space="1" w:color="auto"/>
          <w:left w:val="single" w:sz="4" w:space="4" w:color="auto"/>
          <w:bottom w:val="single" w:sz="4" w:space="1" w:color="auto"/>
          <w:right w:val="single" w:sz="4" w:space="4" w:color="auto"/>
        </w:pBdr>
        <w:rPr>
          <w:noProof/>
        </w:rPr>
      </w:pPr>
      <w:r>
        <w:rPr>
          <w:noProof/>
        </w:rPr>
        <w:t>(2020 г.)</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политиката: мобилност и транспорт</w:t>
      </w:r>
    </w:p>
    <w:p>
      <w:pPr>
        <w:pStyle w:val="Text1"/>
        <w:pBdr>
          <w:top w:val="single" w:sz="4" w:space="1" w:color="auto"/>
          <w:left w:val="single" w:sz="4" w:space="4" w:color="auto"/>
          <w:bottom w:val="single" w:sz="4" w:space="1" w:color="auto"/>
          <w:right w:val="single" w:sz="4" w:space="4" w:color="auto"/>
        </w:pBdr>
        <w:rPr>
          <w:noProof/>
        </w:rPr>
      </w:pPr>
      <w:r>
        <w:rPr>
          <w:noProof/>
        </w:rPr>
        <w:t>(2021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 </w:t>
      </w:r>
      <w:r>
        <w:rPr>
          <w:noProof/>
          <w:u w:val="single"/>
        </w:rPr>
        <w:t>функция 1</w:t>
      </w:r>
      <w:r>
        <w:rPr>
          <w:noProof/>
        </w:rPr>
        <w:t xml:space="preserve"> „Единен пазар, иновации и цифрова сфера“: политически клъстер 1 „Научни изследвания и иновации“ и политически клъстер 2 „Европейски стратегически инвестиции“.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 </w:t>
      </w:r>
      <w:r>
        <w:rPr>
          <w:noProof/>
          <w:u w:val="single"/>
        </w:rPr>
        <w:t>функция 3</w:t>
      </w:r>
      <w:r>
        <w:rPr>
          <w:noProof/>
        </w:rPr>
        <w:t xml:space="preserve"> „Природни ресурси и околна среда“: политически клъстер 9: „Околна среда и действия в областта на климата“.</w:t>
      </w:r>
    </w:p>
    <w:p>
      <w:pPr>
        <w:pStyle w:val="ManualHeading2"/>
        <w:rPr>
          <w:bCs/>
          <w:noProof/>
          <w:szCs w:val="24"/>
        </w:rPr>
      </w:pPr>
      <w:r>
        <w:t>1.3.</w:t>
      </w:r>
      <w:r>
        <w:tab/>
      </w:r>
      <w:r>
        <w:rPr>
          <w:noProof/>
        </w:rPr>
        <w:t xml:space="preserve">Предложението/инициативата е във връзка с: </w:t>
      </w:r>
    </w:p>
    <w:p>
      <w:pPr>
        <w:pStyle w:val="Text1"/>
        <w:rPr>
          <w:b/>
          <w:noProof/>
          <w:sz w:val="22"/>
        </w:rPr>
      </w:pPr>
      <w:r>
        <w:rPr>
          <w:b/>
          <w:noProof/>
          <w:sz w:val="22"/>
        </w:rPr>
        <w:t>X</w:t>
      </w:r>
      <w:r>
        <w:rPr>
          <w:b/>
          <w:noProof/>
        </w:rPr>
        <w:t xml:space="preserve"> 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 xml:space="preserve">ново действие след пилотен проект/подготвително действие </w:t>
      </w:r>
      <w:r>
        <w:rPr>
          <w:rStyle w:val="FootnoteReference"/>
          <w:b/>
          <w:noProof/>
        </w:rPr>
        <w:footnoteReference w:id="19"/>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tabs>
          <w:tab w:val="left" w:pos="2178"/>
        </w:tabs>
        <w:rPr>
          <w:noProof/>
        </w:rPr>
      </w:pPr>
      <w:r>
        <w:rPr>
          <w:noProof/>
        </w:rPr>
        <w:t xml:space="preserve">Краткосрочни: подобряване на имиджа на железопътния транспорт сред гражданите и предприятията, повишаване на осведомеността за значението на преминаването на повече пътници и товари към железопътния транспорт в съответствие с целите, определени в съобщението на Комисията относно Европейския зелен пакт. </w:t>
      </w:r>
    </w:p>
    <w:p>
      <w:pPr>
        <w:pStyle w:val="Text1"/>
        <w:pBdr>
          <w:top w:val="single" w:sz="4" w:space="1" w:color="auto"/>
          <w:left w:val="single" w:sz="4" w:space="4" w:color="auto"/>
          <w:bottom w:val="single" w:sz="4" w:space="1" w:color="auto"/>
          <w:right w:val="single" w:sz="4" w:space="4" w:color="auto"/>
        </w:pBdr>
        <w:tabs>
          <w:tab w:val="left" w:pos="2178"/>
        </w:tabs>
        <w:rPr>
          <w:noProof/>
        </w:rPr>
      </w:pPr>
      <w:r>
        <w:rPr>
          <w:noProof/>
        </w:rPr>
        <w:t>Дългосрочни: увеличаване на модалния дял на пътниците и товарите, превозвани по железопътните линии, за да се допринесе за намаляване на емисиите на парникови газове, отделяни от транспортните дейности в Съюза, в съответствие с целите, определени в съобщението на Комисията относно Европейския зелен пакт.</w:t>
      </w:r>
    </w:p>
    <w:p>
      <w:pPr>
        <w:pStyle w:val="ManualHeading3"/>
        <w:rPr>
          <w:noProof/>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keepNext/>
        <w:pBdr>
          <w:top w:val="single" w:sz="4" w:space="1" w:color="auto"/>
          <w:left w:val="single" w:sz="4" w:space="4" w:color="auto"/>
          <w:bottom w:val="single" w:sz="4" w:space="1" w:color="auto"/>
          <w:right w:val="single" w:sz="4" w:space="4" w:color="auto"/>
        </w:pBdr>
        <w:ind w:left="851"/>
        <w:rPr>
          <w:noProof/>
        </w:rPr>
      </w:pPr>
      <w:r>
        <w:rPr>
          <w:noProof/>
        </w:rPr>
        <w:t>Европейски и трансграничен характер на транспорта, и по-специално на железопътния транспорт. Законодателство на Съюза за изграждане на интегрирано единно европейско железопътно пространство, като например премахване на националните пазарни и технически бариери.</w:t>
      </w:r>
    </w:p>
    <w:p>
      <w:pPr>
        <w:pStyle w:val="Text1"/>
        <w:keepNext/>
        <w:pBdr>
          <w:top w:val="single" w:sz="4" w:space="1" w:color="auto"/>
          <w:left w:val="single" w:sz="4" w:space="4" w:color="auto"/>
          <w:bottom w:val="single" w:sz="4" w:space="1" w:color="auto"/>
          <w:right w:val="single" w:sz="4" w:space="4" w:color="auto"/>
        </w:pBdr>
        <w:ind w:left="851"/>
        <w:rPr>
          <w:noProof/>
        </w:rPr>
      </w:pPr>
      <w:r>
        <w:rPr>
          <w:noProof/>
        </w:rPr>
        <w:t>Мерки, прилагани в целия Съюз, насочени към ускоряване на прехода към устойчива и интелигентна мобилност в съответствие с целите, определени в съобщението на Комисията относно Европейския зелен пакт.</w:t>
      </w:r>
    </w:p>
    <w:p>
      <w:pPr>
        <w:pStyle w:val="ManualHeading3"/>
        <w:rPr>
          <w:noProof/>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Опитът от организираните през изминалите 10 години тематични европейски години показва, че те са ефективни инструменти за повишаване на осведомеността, като оказват въздействие както върху широката общественост, така и върху разпространителите на информация, и са създали синергии между различни области на действие на равнището на Съюза и държави членки.</w:t>
      </w:r>
    </w:p>
    <w:p>
      <w:pPr>
        <w:pStyle w:val="ManualHeading3"/>
        <w:rPr>
          <w:noProof/>
        </w:rPr>
      </w:pPr>
      <w:r>
        <w:t>1.4.4.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Европейската година на железопътния транспорт е свързана с други области на политиката на Съюза, като например регионалното развитие, промишлеността, конкурентоспособността, устойчивия туризъм, иновациите, заетостта, образованието, младежта, културата и достъпността за хората с увреждания, както и връзките на Съюза със съседните държави. Тя ще подчертае европейския и трансграничен характер на европейския железопътен транспорт като средство за придвижване на стоки, пътуване, опознаване и свързване на континента по устойчив и ориентиран към бъдещето начин. Някои дейности в рамките на Европейската година биха могли да бъдат финансирани по линия на съществуващите програми на Съюза.</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b/>
          <w:noProof/>
        </w:rPr>
        <w:t xml:space="preserve">X ограничен срок на действие </w:t>
      </w:r>
    </w:p>
    <w:p>
      <w:pPr>
        <w:pStyle w:val="ListDash2"/>
        <w:rPr>
          <w:noProof/>
        </w:rPr>
      </w:pPr>
      <w:r>
        <w:rPr>
          <w:b/>
          <w:noProof/>
        </w:rPr>
        <w:t>X</w:t>
      </w:r>
      <w:r>
        <w:rPr>
          <w:noProof/>
        </w:rPr>
        <w:tab/>
        <w:t>в сила от 1.1.2021 г. до 31.12.2021 г.</w:t>
      </w:r>
    </w:p>
    <w:p>
      <w:pPr>
        <w:pStyle w:val="ListDash2"/>
        <w:rPr>
          <w:noProof/>
        </w:rPr>
      </w:pPr>
      <w:r>
        <w:rPr>
          <w:b/>
          <w:noProof/>
        </w:rPr>
        <w:t>X</w:t>
      </w:r>
      <w:r>
        <w:rPr>
          <w:noProof/>
        </w:rPr>
        <w:tab/>
        <w:t xml:space="preserve">финансово отражение от 2020 г. до 2021 г. върху бюджетните кредити за поети задължения и от 2020 г. до 2022 г. върху бюджетните кредити за плащания. </w:t>
      </w:r>
    </w:p>
    <w:p>
      <w:pPr>
        <w:pStyle w:val="Text1"/>
        <w:rPr>
          <w:noProof/>
        </w:rPr>
      </w:pPr>
      <w:r>
        <w:rPr>
          <w:noProof/>
        </w:rPr>
        <w:sym w:font="Wingdings" w:char="F0A8"/>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20"/>
      </w:r>
      <w:r>
        <w:rPr>
          <w:rStyle w:val="FootnoteReference"/>
          <w:noProof/>
        </w:rPr>
        <w:t xml:space="preserve">  </w:t>
      </w:r>
    </w:p>
    <w:p>
      <w:pPr>
        <w:pStyle w:val="Text1"/>
        <w:rPr>
          <w:noProof/>
        </w:rPr>
      </w:pPr>
      <w:r>
        <w:rPr>
          <w:b/>
          <w:noProof/>
        </w:rPr>
        <w:t>X</w:t>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Забележки</w:t>
      </w:r>
    </w:p>
    <w:p>
      <w:pPr>
        <w:rPr>
          <w:noProof/>
        </w:rPr>
      </w:pPr>
    </w:p>
    <w:p>
      <w:pPr>
        <w:pBdr>
          <w:top w:val="single" w:sz="4" w:space="1" w:color="auto"/>
          <w:left w:val="single" w:sz="4" w:space="4" w:color="auto"/>
          <w:bottom w:val="single" w:sz="4" w:space="1" w:color="auto"/>
          <w:right w:val="single" w:sz="4" w:space="4" w:color="auto"/>
        </w:pBdr>
        <w:rPr>
          <w:noProof/>
        </w:rPr>
      </w:pPr>
      <w:r>
        <w:rPr>
          <w:noProof/>
        </w:rPr>
        <w:t>[…]</w:t>
      </w: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Работна програма на Европейската година </w:t>
      </w:r>
    </w:p>
    <w:p>
      <w:pPr>
        <w:pStyle w:val="Text1"/>
        <w:pBdr>
          <w:top w:val="single" w:sz="4" w:space="1" w:color="auto"/>
          <w:left w:val="single" w:sz="4" w:space="4" w:color="auto"/>
          <w:bottom w:val="single" w:sz="4" w:space="1" w:color="auto"/>
          <w:right w:val="single" w:sz="4" w:space="4" w:color="auto"/>
        </w:pBdr>
        <w:rPr>
          <w:noProof/>
        </w:rPr>
      </w:pPr>
      <w:r>
        <w:rPr>
          <w:noProof/>
        </w:rPr>
        <w:t>Сформиране на управителен комитет</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Прякото управление съгласно член 62, параграф 1, буква а) от Финансовия регламент е предпочитаният начин, тъй като действията ще се изпълняват от Европейската комисия, и по-специално ГД „Мобилност и транспорт“, която ще осигури координацията с държавите членки и различните заинтересовани страни. </w:t>
      </w:r>
    </w:p>
    <w:p>
      <w:pPr>
        <w:pStyle w:val="ManualHeading3"/>
        <w:rPr>
          <w:noProof/>
        </w:rPr>
      </w:pPr>
      <w:r>
        <w:t>2.2.2.</w:t>
      </w:r>
      <w:r>
        <w:tab/>
      </w:r>
      <w:r>
        <w:rPr>
          <w:noProof/>
        </w:rPr>
        <w:t>Информация относно установените рискове и системите за вътрешен контрол, създадени с цел намаляването на рисковете</w:t>
      </w:r>
    </w:p>
    <w:p>
      <w:pPr>
        <w:pStyle w:val="Text1"/>
        <w:pBdr>
          <w:top w:val="single" w:sz="4" w:space="1" w:color="auto"/>
          <w:left w:val="single" w:sz="4" w:space="4" w:color="auto"/>
          <w:bottom w:val="single" w:sz="4" w:space="1" w:color="auto"/>
          <w:right w:val="single" w:sz="4" w:space="4" w:color="auto"/>
        </w:pBdr>
        <w:tabs>
          <w:tab w:val="left" w:pos="3010"/>
        </w:tabs>
        <w:rPr>
          <w:noProof/>
        </w:rPr>
      </w:pPr>
      <w:r>
        <w:rPr>
          <w:noProof/>
        </w:rPr>
        <w:t>Установени рискове: недостатъчно популяризиране на инициативите; твърде големи очаквания с оглед на ограничения бюджет.</w:t>
      </w:r>
    </w:p>
    <w:p>
      <w:pPr>
        <w:pStyle w:val="Text1"/>
        <w:pBdr>
          <w:top w:val="single" w:sz="4" w:space="1" w:color="auto"/>
          <w:left w:val="single" w:sz="4" w:space="4" w:color="auto"/>
          <w:bottom w:val="single" w:sz="4" w:space="1" w:color="auto"/>
          <w:right w:val="single" w:sz="4" w:space="4" w:color="auto"/>
        </w:pBdr>
        <w:tabs>
          <w:tab w:val="left" w:pos="1301"/>
          <w:tab w:val="left" w:pos="4357"/>
        </w:tabs>
        <w:rPr>
          <w:noProof/>
        </w:rPr>
      </w:pPr>
      <w:r>
        <w:rPr>
          <w:noProof/>
        </w:rPr>
        <w:t>Параметри на системата за вътрешен контрол: редовна оценка на риска в рамките на управителния комитет.</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Контролът е част от системата за вътрешен контрол на ГД „Мобилност и транспорт“. Тези нови дейности ще генерират незначителни допълнителни разходи за контрол на равнище ГД.</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гарантира, че когато се изпълняват действия, финансирани съгласно настоящото решение, финансовите интереси на Съюза са защитени чрез прилагането на мерки за предотвратяване на измами, корупция и всякакви други незаконни действия чрез ефективен контрол и чрез възстановяване на неправомерно изплатените суми, а при откриването на нередности ― посредством ефективни, пропорционални и възпиращи санкции. Комисията е оправомощена да извършва контрол и проверки на място съгласно настоящото решение в съответствие с 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Ако е необходимо, се извършват разследвания от Европейската служба за борба с измамите съгласно Регламент (ЕО) № 1073/1999 на Европейския парламент и на Съвета от 25 май 1999 г. относно разследванията, провеждани от Европейската служба за борба с измамите (OLAF).</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 xml:space="preserve">Вид на </w:t>
            </w:r>
            <w:r>
              <w:rPr>
                <w:noProof/>
                <w:sz w:val="18"/>
              </w:rPr>
              <w:b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2"/>
              </w:rPr>
              <w:br/>
            </w:r>
            <w:r>
              <w:rPr>
                <w:noProof/>
              </w:rPr>
              <w:t xml:space="preserve">Функция 1 </w:t>
            </w:r>
            <w:r>
              <w:rPr>
                <w:noProof/>
                <w:sz w:val="20"/>
              </w:rPr>
              <w:t>[Единен пазар, иновации и цифрови технологии]</w:t>
            </w:r>
          </w:p>
        </w:tc>
        <w:tc>
          <w:tcPr>
            <w:tcW w:w="1080" w:type="dxa"/>
            <w:vAlign w:val="center"/>
          </w:tcPr>
          <w:p>
            <w:pPr>
              <w:jc w:val="center"/>
              <w:rPr>
                <w:noProof/>
              </w:rPr>
            </w:pPr>
            <w:r>
              <w:rPr>
                <w:noProof/>
                <w:sz w:val="18"/>
              </w:rPr>
              <w:t>Многогод./едногод.</w:t>
            </w:r>
            <w:r>
              <w:rPr>
                <w:rStyle w:val="FootnoteReference"/>
                <w:noProof/>
                <w:sz w:val="18"/>
              </w:rPr>
              <w:footnoteReference w:id="21"/>
            </w:r>
          </w:p>
        </w:tc>
        <w:tc>
          <w:tcPr>
            <w:tcW w:w="1044" w:type="dxa"/>
            <w:vAlign w:val="center"/>
          </w:tcPr>
          <w:p>
            <w:pPr>
              <w:jc w:val="center"/>
              <w:rPr>
                <w:noProof/>
              </w:rPr>
            </w:pPr>
            <w:r>
              <w:rPr>
                <w:noProof/>
                <w:sz w:val="18"/>
              </w:rPr>
              <w:t>от държави от ЕАСТ</w:t>
            </w:r>
            <w:r>
              <w:rPr>
                <w:rStyle w:val="FootnoteReference"/>
                <w:noProof/>
                <w:sz w:val="18"/>
              </w:rPr>
              <w:footnoteReference w:id="22"/>
            </w:r>
          </w:p>
          <w:p>
            <w:pPr>
              <w:spacing w:before="0" w:after="0"/>
              <w:jc w:val="center"/>
              <w:rPr>
                <w:b/>
                <w:noProof/>
                <w:sz w:val="18"/>
              </w:rPr>
            </w:pPr>
          </w:p>
        </w:tc>
        <w:tc>
          <w:tcPr>
            <w:tcW w:w="1134" w:type="dxa"/>
            <w:vAlign w:val="center"/>
          </w:tcPr>
          <w:p>
            <w:pPr>
              <w:jc w:val="center"/>
              <w:rPr>
                <w:noProof/>
              </w:rPr>
            </w:pPr>
            <w:r>
              <w:rPr>
                <w:noProof/>
                <w:sz w:val="18"/>
              </w:rPr>
              <w:t>от държави кандидатки</w:t>
            </w:r>
            <w:r>
              <w:rPr>
                <w:rStyle w:val="FootnoteReference"/>
                <w:noProof/>
                <w:sz w:val="18"/>
              </w:rPr>
              <w:footnoteReference w:id="23"/>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06.02.05.00 (2020 г.) / 02.20.04.01 (2021-22 г.)</w:t>
            </w:r>
          </w:p>
          <w:p>
            <w:pPr>
              <w:spacing w:before="60"/>
              <w:rPr>
                <w:noProof/>
              </w:rPr>
            </w:pPr>
            <w:r>
              <w:rPr>
                <w:noProof/>
              </w:rPr>
              <w:t>01.02.02.50</w:t>
            </w:r>
          </w:p>
          <w:p>
            <w:pPr>
              <w:spacing w:before="60"/>
              <w:rPr>
                <w:noProof/>
              </w:rPr>
            </w:pPr>
            <w:r>
              <w:rPr>
                <w:noProof/>
              </w:rPr>
              <w:t>02.03.01</w:t>
            </w:r>
          </w:p>
          <w:p>
            <w:pPr>
              <w:spacing w:before="60"/>
              <w:rPr>
                <w:noProof/>
              </w:rPr>
            </w:pPr>
            <w:r>
              <w:rPr>
                <w:noProof/>
              </w:rPr>
              <w:t>В бюджетните процедури могат да бъдат посочени и други бюджетни редове.</w:t>
            </w:r>
          </w:p>
        </w:tc>
        <w:tc>
          <w:tcPr>
            <w:tcW w:w="1080" w:type="dxa"/>
            <w:vAlign w:val="center"/>
          </w:tcPr>
          <w:p>
            <w:pPr>
              <w:jc w:val="center"/>
              <w:rPr>
                <w:noProof/>
                <w:color w:val="0000FF"/>
              </w:rPr>
            </w:pPr>
            <w:r>
              <w:rPr>
                <w:strike/>
                <w:noProof/>
                <w:sz w:val="22"/>
              </w:rPr>
              <w:t>Многогод./едногод.</w:t>
            </w:r>
          </w:p>
        </w:tc>
        <w:tc>
          <w:tcPr>
            <w:tcW w:w="1044" w:type="dxa"/>
            <w:vAlign w:val="center"/>
          </w:tcPr>
          <w:p>
            <w:pPr>
              <w:jc w:val="center"/>
              <w:rPr>
                <w:noProof/>
              </w:rPr>
            </w:pPr>
            <w:r>
              <w:rPr>
                <w:strike/>
                <w:noProof/>
                <w:sz w:val="22"/>
                <w:u w:val="single"/>
              </w:rPr>
              <w:t>ДА</w:t>
            </w:r>
            <w:r>
              <w:rPr>
                <w:noProof/>
                <w:sz w:val="22"/>
                <w:u w:val="single"/>
              </w:rPr>
              <w:t>/НЕ</w:t>
            </w:r>
          </w:p>
        </w:tc>
        <w:tc>
          <w:tcPr>
            <w:tcW w:w="1134" w:type="dxa"/>
            <w:vAlign w:val="center"/>
          </w:tcPr>
          <w:p>
            <w:pPr>
              <w:jc w:val="center"/>
              <w:rPr>
                <w:noProof/>
              </w:rPr>
            </w:pPr>
            <w:r>
              <w:rPr>
                <w:strike/>
                <w:noProof/>
                <w:sz w:val="22"/>
                <w:u w:val="single"/>
              </w:rPr>
              <w:t>ДА</w:t>
            </w:r>
            <w:r>
              <w:rPr>
                <w:noProof/>
                <w:sz w:val="22"/>
                <w:u w:val="single"/>
              </w:rPr>
              <w:t>/НЕ</w:t>
            </w:r>
          </w:p>
        </w:tc>
        <w:tc>
          <w:tcPr>
            <w:tcW w:w="814" w:type="dxa"/>
            <w:vAlign w:val="center"/>
          </w:tcPr>
          <w:p>
            <w:pPr>
              <w:jc w:val="center"/>
              <w:rPr>
                <w:noProof/>
              </w:rPr>
            </w:pPr>
            <w:r>
              <w:rPr>
                <w:strike/>
                <w:noProof/>
                <w:sz w:val="22"/>
                <w:u w:val="single"/>
              </w:rPr>
              <w:t>ДА</w:t>
            </w:r>
            <w:r>
              <w:rPr>
                <w:noProof/>
                <w:sz w:val="22"/>
                <w:u w:val="single"/>
              </w:rPr>
              <w:t>/НЕ</w:t>
            </w:r>
          </w:p>
        </w:tc>
        <w:tc>
          <w:tcPr>
            <w:tcW w:w="1448" w:type="dxa"/>
            <w:vAlign w:val="center"/>
          </w:tcPr>
          <w:p>
            <w:pPr>
              <w:jc w:val="center"/>
              <w:rPr>
                <w:noProof/>
              </w:rPr>
            </w:pPr>
            <w:r>
              <w:rPr>
                <w:strike/>
                <w:noProof/>
                <w:sz w:val="22"/>
                <w:u w:val="single"/>
              </w:rPr>
              <w:t>ДА</w:t>
            </w:r>
            <w:r>
              <w:rPr>
                <w:noProof/>
                <w:sz w:val="22"/>
                <w:u w:val="single"/>
              </w:rPr>
              <w:t>/НЕ</w:t>
            </w:r>
          </w:p>
        </w:tc>
      </w:tr>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Вид разход</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2"/>
              </w:rPr>
              <w:br/>
            </w:r>
            <w:r>
              <w:rPr>
                <w:noProof/>
              </w:rPr>
              <w:t xml:space="preserve">Функция 3 </w:t>
            </w:r>
            <w:r>
              <w:rPr>
                <w:noProof/>
                <w:sz w:val="20"/>
              </w:rPr>
              <w:t>[Природни ресурси и околната среда]</w:t>
            </w:r>
          </w:p>
        </w:tc>
        <w:tc>
          <w:tcPr>
            <w:tcW w:w="1080" w:type="dxa"/>
            <w:vAlign w:val="center"/>
          </w:tcPr>
          <w:p>
            <w:pPr>
              <w:jc w:val="center"/>
              <w:rPr>
                <w:noProof/>
              </w:rPr>
            </w:pPr>
            <w:r>
              <w:rPr>
                <w:noProof/>
                <w:sz w:val="18"/>
              </w:rPr>
              <w:t>Многогод./едногод.</w:t>
            </w:r>
            <w:r>
              <w:rPr>
                <w:rStyle w:val="FootnoteReference"/>
                <w:noProof/>
                <w:sz w:val="18"/>
              </w:rPr>
              <w:footnoteReference w:id="24"/>
            </w:r>
          </w:p>
        </w:tc>
        <w:tc>
          <w:tcPr>
            <w:tcW w:w="1044" w:type="dxa"/>
            <w:vAlign w:val="center"/>
          </w:tcPr>
          <w:p>
            <w:pPr>
              <w:jc w:val="center"/>
              <w:rPr>
                <w:noProof/>
              </w:rPr>
            </w:pPr>
            <w:r>
              <w:rPr>
                <w:noProof/>
                <w:sz w:val="18"/>
              </w:rPr>
              <w:t>от държави от ЕАСТ</w:t>
            </w:r>
            <w:r>
              <w:rPr>
                <w:rStyle w:val="FootnoteReference"/>
                <w:noProof/>
                <w:sz w:val="18"/>
              </w:rPr>
              <w:footnoteReference w:id="25"/>
            </w:r>
          </w:p>
          <w:p>
            <w:pPr>
              <w:spacing w:before="0" w:after="0"/>
              <w:jc w:val="center"/>
              <w:rPr>
                <w:noProof/>
                <w:sz w:val="18"/>
              </w:rPr>
            </w:pPr>
          </w:p>
        </w:tc>
        <w:tc>
          <w:tcPr>
            <w:tcW w:w="1134" w:type="dxa"/>
            <w:vAlign w:val="center"/>
          </w:tcPr>
          <w:p>
            <w:pPr>
              <w:jc w:val="center"/>
              <w:rPr>
                <w:noProof/>
              </w:rPr>
            </w:pPr>
            <w:r>
              <w:rPr>
                <w:noProof/>
                <w:sz w:val="18"/>
              </w:rPr>
              <w:t>от държави кандидатки</w:t>
            </w:r>
            <w:r>
              <w:rPr>
                <w:rStyle w:val="FootnoteReference"/>
                <w:noProof/>
                <w:sz w:val="18"/>
              </w:rPr>
              <w:footnoteReference w:id="26"/>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09.02.xx</w:t>
            </w:r>
          </w:p>
          <w:p>
            <w:pPr>
              <w:spacing w:after="60"/>
              <w:rPr>
                <w:noProof/>
              </w:rPr>
            </w:pPr>
            <w:r>
              <w:rPr>
                <w:noProof/>
              </w:rPr>
              <w:t>В бюджетните процедури могат да бъдат посочени и други бюджетни редове.</w:t>
            </w:r>
          </w:p>
        </w:tc>
        <w:tc>
          <w:tcPr>
            <w:tcW w:w="1080" w:type="dxa"/>
            <w:vAlign w:val="center"/>
          </w:tcPr>
          <w:p>
            <w:pPr>
              <w:jc w:val="center"/>
              <w:rPr>
                <w:noProof/>
                <w:color w:val="0000FF"/>
              </w:rPr>
            </w:pPr>
            <w:r>
              <w:rPr>
                <w:noProof/>
                <w:sz w:val="22"/>
                <w:u w:val="single"/>
              </w:rPr>
              <w:t>Многогод</w:t>
            </w:r>
            <w:r>
              <w:rPr>
                <w:noProof/>
                <w:sz w:val="22"/>
              </w:rPr>
              <w:t>./</w:t>
            </w:r>
            <w:r>
              <w:rPr>
                <w:strike/>
                <w:noProof/>
                <w:sz w:val="22"/>
              </w:rPr>
              <w:t>едногод</w:t>
            </w:r>
            <w:r>
              <w:rPr>
                <w:noProof/>
                <w:sz w:val="22"/>
              </w:rPr>
              <w:t>.</w:t>
            </w:r>
          </w:p>
        </w:tc>
        <w:tc>
          <w:tcPr>
            <w:tcW w:w="1044" w:type="dxa"/>
            <w:vAlign w:val="center"/>
          </w:tcPr>
          <w:p>
            <w:pPr>
              <w:jc w:val="center"/>
              <w:rPr>
                <w:noProof/>
              </w:rPr>
            </w:pPr>
            <w:r>
              <w:rPr>
                <w:strike/>
                <w:noProof/>
                <w:sz w:val="22"/>
                <w:u w:val="single"/>
              </w:rPr>
              <w:t>ДА</w:t>
            </w:r>
            <w:r>
              <w:rPr>
                <w:noProof/>
                <w:sz w:val="22"/>
                <w:u w:val="single"/>
              </w:rPr>
              <w:t>/НЕ</w:t>
            </w:r>
          </w:p>
        </w:tc>
        <w:tc>
          <w:tcPr>
            <w:tcW w:w="1134" w:type="dxa"/>
            <w:vAlign w:val="center"/>
          </w:tcPr>
          <w:p>
            <w:pPr>
              <w:jc w:val="center"/>
              <w:rPr>
                <w:noProof/>
              </w:rPr>
            </w:pPr>
            <w:r>
              <w:rPr>
                <w:strike/>
                <w:noProof/>
                <w:sz w:val="22"/>
                <w:u w:val="single"/>
              </w:rPr>
              <w:t>ДА</w:t>
            </w:r>
            <w:r>
              <w:rPr>
                <w:noProof/>
                <w:sz w:val="22"/>
                <w:u w:val="single"/>
              </w:rPr>
              <w:t>/НЕ</w:t>
            </w:r>
          </w:p>
        </w:tc>
        <w:tc>
          <w:tcPr>
            <w:tcW w:w="814" w:type="dxa"/>
            <w:vAlign w:val="center"/>
          </w:tcPr>
          <w:p>
            <w:pPr>
              <w:jc w:val="center"/>
              <w:rPr>
                <w:noProof/>
              </w:rPr>
            </w:pPr>
            <w:r>
              <w:rPr>
                <w:strike/>
                <w:noProof/>
                <w:sz w:val="22"/>
                <w:u w:val="single"/>
              </w:rPr>
              <w:t>ДА</w:t>
            </w:r>
            <w:r>
              <w:rPr>
                <w:noProof/>
                <w:sz w:val="22"/>
                <w:u w:val="single"/>
              </w:rPr>
              <w:t>/НЕ</w:t>
            </w:r>
          </w:p>
        </w:tc>
        <w:tc>
          <w:tcPr>
            <w:tcW w:w="1448" w:type="dxa"/>
            <w:vAlign w:val="center"/>
          </w:tcPr>
          <w:p>
            <w:pPr>
              <w:jc w:val="center"/>
              <w:rPr>
                <w:noProof/>
              </w:rPr>
            </w:pPr>
            <w:r>
              <w:rPr>
                <w:strike/>
                <w:noProof/>
                <w:sz w:val="22"/>
                <w:u w:val="single"/>
              </w:rPr>
              <w:t>ДА</w:t>
            </w:r>
            <w:r>
              <w:rPr>
                <w:noProof/>
                <w:sz w:val="22"/>
                <w:u w:val="single"/>
              </w:rPr>
              <w:t>/НЕ</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 xml:space="preserve">Очаквано отражение върху разходите </w:t>
      </w:r>
    </w:p>
    <w:p>
      <w:pPr>
        <w:pStyle w:val="Text1"/>
        <w:rPr>
          <w:bCs/>
          <w:noProof/>
        </w:rPr>
      </w:pPr>
      <w:r>
        <w:rPr>
          <w:noProof/>
        </w:rPr>
        <w:t>Посочените по-долу програми и бюджетни редове са ориентировъчни. Ще бъде определено подходящо финансиране в контекста на бюджетните процедури чрез преразпределение на средства през 2020 г. в рамките на съществуващото финансово планиране; през 2021 г. ще бъдат определени специални бюджетни кредити в рамките на пакетите на бъдещите програми и финансовото програмиране в съответствие с приложимите многогодишни финансови рамки.</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2"/>
              </w:rPr>
              <w:t>Функция 1  [Единен пазар, иновации и цифрови технологии]; Функция 3 [Природни ресурси и околната среда]</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2020 г.</w:t>
            </w: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18"/>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sz w:val="20"/>
              </w:rPr>
            </w:pPr>
            <w:r>
              <w:rPr>
                <w:noProof/>
                <w:sz w:val="20"/>
              </w:rPr>
              <w:t xml:space="preserve">Бюджетни кредити за оперативни разходи </w:t>
            </w:r>
          </w:p>
          <w:p>
            <w:pPr>
              <w:rPr>
                <w:noProof/>
                <w:sz w:val="20"/>
              </w:rPr>
            </w:pPr>
            <w:r>
              <w:rPr>
                <w:noProof/>
                <w:sz w:val="20"/>
              </w:rPr>
              <w:t>06.02.05 (бюджет за 2020 г.)/02.20.04.01 (2021—2022 г.) Дейности за подкрепа на европейската транспортна политика</w:t>
            </w:r>
          </w:p>
          <w:p>
            <w:pPr>
              <w:rPr>
                <w:noProof/>
                <w:sz w:val="20"/>
                <w:szCs w:val="20"/>
              </w:rPr>
            </w:pP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0,500 </w:t>
            </w:r>
          </w:p>
        </w:tc>
        <w:tc>
          <w:tcPr>
            <w:tcW w:w="868" w:type="dxa"/>
            <w:vAlign w:val="center"/>
          </w:tcPr>
          <w:p>
            <w:pPr>
              <w:spacing w:before="20" w:after="20"/>
              <w:jc w:val="right"/>
              <w:rPr>
                <w:noProof/>
                <w:sz w:val="20"/>
              </w:rPr>
            </w:pPr>
            <w:r>
              <w:rPr>
                <w:noProof/>
                <w:sz w:val="20"/>
              </w:rPr>
              <w:t>1,500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1,200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2,000</w:t>
            </w:r>
          </w:p>
        </w:tc>
      </w:tr>
      <w:tr>
        <w:trPr>
          <w:trHeight w:val="433"/>
          <w:jc w:val="center"/>
        </w:trPr>
        <w:tc>
          <w:tcPr>
            <w:tcW w:w="4103" w:type="dxa"/>
            <w:vMerge w:val="restart"/>
            <w:vAlign w:val="center"/>
          </w:tcPr>
          <w:p>
            <w:pPr>
              <w:rPr>
                <w:noProof/>
                <w:sz w:val="20"/>
              </w:rPr>
            </w:pPr>
            <w:r>
              <w:rPr>
                <w:noProof/>
                <w:sz w:val="20"/>
              </w:rPr>
              <w:t xml:space="preserve">Бюджетни кредити за оперативни разходи </w:t>
            </w:r>
          </w:p>
          <w:p>
            <w:pPr>
              <w:rPr>
                <w:noProof/>
                <w:sz w:val="20"/>
              </w:rPr>
            </w:pPr>
            <w:r>
              <w:rPr>
                <w:noProof/>
                <w:sz w:val="20"/>
              </w:rPr>
              <w:t>01.02.02.50 Хоризонт Европа</w:t>
            </w:r>
          </w:p>
          <w:p>
            <w:pPr>
              <w:rPr>
                <w:noProof/>
                <w:sz w:val="20"/>
              </w:rPr>
            </w:pPr>
            <w:r>
              <w:rPr>
                <w:noProof/>
                <w:sz w:val="20"/>
              </w:rPr>
              <w:t xml:space="preserve"> 02.03.01 Механизъм за свързване на Европа — Транспорт</w:t>
            </w:r>
          </w:p>
          <w:p>
            <w:pPr>
              <w:rPr>
                <w:noProof/>
                <w:sz w:val="20"/>
                <w:szCs w:val="20"/>
              </w:rPr>
            </w:pPr>
            <w:r>
              <w:rPr>
                <w:noProof/>
                <w:sz w:val="20"/>
                <w:szCs w:val="20"/>
              </w:rPr>
              <w:t>09.02 LIFE</w:t>
            </w:r>
          </w:p>
          <w:p>
            <w:pPr>
              <w:rPr>
                <w:noProof/>
                <w:sz w:val="20"/>
                <w:szCs w:val="20"/>
              </w:rPr>
            </w:pP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6,000 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6,000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3,000</w:t>
            </w:r>
          </w:p>
        </w:tc>
        <w:tc>
          <w:tcPr>
            <w:tcW w:w="868" w:type="dxa"/>
            <w:vAlign w:val="center"/>
          </w:tcPr>
          <w:p>
            <w:pPr>
              <w:spacing w:before="20" w:after="20"/>
              <w:jc w:val="right"/>
              <w:rPr>
                <w:noProof/>
                <w:sz w:val="20"/>
              </w:rPr>
            </w:pPr>
            <w:r>
              <w:rPr>
                <w:noProof/>
                <w:sz w:val="20"/>
              </w:rPr>
              <w:t>3,000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6,000</w:t>
            </w:r>
          </w:p>
        </w:tc>
      </w:tr>
      <w:tr>
        <w:trPr>
          <w:trHeight w:val="319"/>
          <w:jc w:val="center"/>
        </w:trPr>
        <w:tc>
          <w:tcPr>
            <w:tcW w:w="4103" w:type="dxa"/>
            <w:vAlign w:val="center"/>
          </w:tcPr>
          <w:p>
            <w:pPr>
              <w:spacing w:before="20" w:after="20"/>
              <w:jc w:val="left"/>
              <w:rPr>
                <w:noProof/>
              </w:rPr>
            </w:pPr>
          </w:p>
        </w:tc>
        <w:tc>
          <w:tcPr>
            <w:tcW w:w="1440" w:type="dxa"/>
            <w:vAlign w:val="center"/>
          </w:tcPr>
          <w:p>
            <w:pPr>
              <w:spacing w:before="40" w:after="40"/>
              <w:jc w:val="left"/>
              <w:rPr>
                <w:noProof/>
                <w:sz w:val="18"/>
              </w:rPr>
            </w:pPr>
          </w:p>
        </w:tc>
        <w:tc>
          <w:tcPr>
            <w:tcW w:w="654" w:type="dxa"/>
            <w:vAlign w:val="center"/>
          </w:tcPr>
          <w:p>
            <w:pPr>
              <w:spacing w:before="40" w:after="40"/>
              <w:jc w:val="center"/>
              <w:rPr>
                <w:noProof/>
                <w:sz w:val="14"/>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ОБЩО бюджетни кредити за функции 1 и 3</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b/>
                <w:noProof/>
                <w:sz w:val="20"/>
              </w:rPr>
            </w:pPr>
            <w:r>
              <w:rPr>
                <w:b/>
                <w:noProof/>
                <w:sz w:val="20"/>
              </w:rPr>
              <w:t>0,500</w:t>
            </w:r>
          </w:p>
        </w:tc>
        <w:tc>
          <w:tcPr>
            <w:tcW w:w="868" w:type="dxa"/>
            <w:vAlign w:val="center"/>
          </w:tcPr>
          <w:p>
            <w:pPr>
              <w:spacing w:before="20" w:after="20"/>
              <w:jc w:val="right"/>
              <w:rPr>
                <w:b/>
                <w:noProof/>
                <w:sz w:val="20"/>
              </w:rPr>
            </w:pPr>
            <w:r>
              <w:rPr>
                <w:b/>
                <w:noProof/>
                <w:sz w:val="20"/>
              </w:rPr>
              <w:t>7,500</w:t>
            </w:r>
          </w:p>
        </w:tc>
        <w:tc>
          <w:tcPr>
            <w:tcW w:w="868" w:type="dxa"/>
            <w:vAlign w:val="center"/>
          </w:tcPr>
          <w:p>
            <w:pPr>
              <w:spacing w:before="20" w:after="20"/>
              <w:jc w:val="right"/>
              <w:rPr>
                <w:b/>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8,000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b/>
                <w:noProof/>
                <w:sz w:val="20"/>
              </w:rPr>
            </w:pPr>
            <w:r>
              <w:rPr>
                <w:b/>
                <w:noProof/>
                <w:sz w:val="20"/>
              </w:rPr>
              <w:t>0,300</w:t>
            </w:r>
          </w:p>
        </w:tc>
        <w:tc>
          <w:tcPr>
            <w:tcW w:w="868" w:type="dxa"/>
            <w:vAlign w:val="center"/>
          </w:tcPr>
          <w:p>
            <w:pPr>
              <w:spacing w:before="20" w:after="20"/>
              <w:jc w:val="right"/>
              <w:rPr>
                <w:b/>
                <w:noProof/>
                <w:sz w:val="20"/>
              </w:rPr>
            </w:pPr>
            <w:r>
              <w:rPr>
                <w:b/>
                <w:noProof/>
                <w:sz w:val="20"/>
              </w:rPr>
              <w:t>4,200</w:t>
            </w:r>
          </w:p>
        </w:tc>
        <w:tc>
          <w:tcPr>
            <w:tcW w:w="868" w:type="dxa"/>
            <w:vAlign w:val="center"/>
          </w:tcPr>
          <w:p>
            <w:pPr>
              <w:spacing w:before="20" w:after="20"/>
              <w:jc w:val="right"/>
              <w:rPr>
                <w:b/>
                <w:noProof/>
                <w:sz w:val="20"/>
              </w:rPr>
            </w:pPr>
            <w:r>
              <w:rPr>
                <w:b/>
                <w:noProof/>
                <w:sz w:val="20"/>
              </w:rPr>
              <w:t>3,500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8,000</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tcBorders>
              <w:left w:val="single" w:sz="4" w:space="0" w:color="auto"/>
            </w:tcBorders>
            <w:vAlign w:val="center"/>
          </w:tcPr>
          <w:p>
            <w:pPr>
              <w:jc w:val="center"/>
              <w:rPr>
                <w:b/>
                <w:noProof/>
                <w:sz w:val="20"/>
              </w:rPr>
            </w:pPr>
            <w:r>
              <w:rPr>
                <w:b/>
                <w:noProof/>
                <w:sz w:val="20"/>
              </w:rPr>
              <w:t>2020 г.</w:t>
            </w: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18"/>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r>
              <w:rPr>
                <w:noProof/>
                <w:sz w:val="20"/>
              </w:rPr>
              <w:t>0,150 </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0,075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0,525</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p>
        </w:tc>
        <w:tc>
          <w:tcPr>
            <w:tcW w:w="868" w:type="dxa"/>
            <w:vAlign w:val="center"/>
          </w:tcPr>
          <w:p>
            <w:pPr>
              <w:spacing w:before="20" w:after="20"/>
              <w:jc w:val="right"/>
              <w:rPr>
                <w:noProof/>
                <w:sz w:val="20"/>
              </w:rPr>
            </w:pPr>
            <w:r>
              <w:rPr>
                <w:noProof/>
                <w:sz w:val="20"/>
              </w:rPr>
              <w:t>0,010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0,010</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oбщо плащания)</w:t>
            </w:r>
          </w:p>
        </w:tc>
        <w:tc>
          <w:tcPr>
            <w:tcW w:w="868" w:type="dxa"/>
            <w:vAlign w:val="center"/>
          </w:tcPr>
          <w:p>
            <w:pPr>
              <w:spacing w:before="20" w:after="20"/>
              <w:jc w:val="right"/>
              <w:rPr>
                <w:b/>
                <w:noProof/>
                <w:sz w:val="20"/>
              </w:rPr>
            </w:pPr>
            <w:r>
              <w:rPr>
                <w:b/>
                <w:noProof/>
                <w:sz w:val="20"/>
              </w:rPr>
              <w:t>0,150 </w:t>
            </w:r>
          </w:p>
        </w:tc>
        <w:tc>
          <w:tcPr>
            <w:tcW w:w="868" w:type="dxa"/>
            <w:vAlign w:val="center"/>
          </w:tcPr>
          <w:p>
            <w:pPr>
              <w:spacing w:before="20" w:after="20"/>
              <w:jc w:val="right"/>
              <w:rPr>
                <w:b/>
                <w:noProof/>
                <w:sz w:val="20"/>
              </w:rPr>
            </w:pPr>
            <w:r>
              <w:rPr>
                <w:b/>
                <w:noProof/>
                <w:sz w:val="20"/>
              </w:rPr>
              <w:t>0,310</w:t>
            </w:r>
          </w:p>
        </w:tc>
        <w:tc>
          <w:tcPr>
            <w:tcW w:w="868" w:type="dxa"/>
            <w:vAlign w:val="center"/>
          </w:tcPr>
          <w:p>
            <w:pPr>
              <w:spacing w:before="20" w:after="20"/>
              <w:jc w:val="right"/>
              <w:rPr>
                <w:b/>
                <w:noProof/>
                <w:sz w:val="20"/>
              </w:rPr>
            </w:pPr>
            <w:r>
              <w:rPr>
                <w:b/>
                <w:noProof/>
                <w:sz w:val="20"/>
              </w:rPr>
              <w:t>0,075</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0,535</w:t>
            </w:r>
          </w:p>
        </w:tc>
      </w:tr>
    </w:tbl>
    <w:p>
      <w:pPr>
        <w:jc w:val="right"/>
        <w:rPr>
          <w:noProof/>
          <w:sz w:val="20"/>
        </w:rPr>
      </w:pPr>
      <w:r>
        <w:rPr>
          <w:noProof/>
          <w:sz w:val="20"/>
        </w:rPr>
        <w:t>млн. евро (до третия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tcBorders>
              <w:left w:val="single" w:sz="4" w:space="0" w:color="auto"/>
            </w:tcBorders>
            <w:vAlign w:val="center"/>
          </w:tcPr>
          <w:p>
            <w:pPr>
              <w:jc w:val="center"/>
              <w:rPr>
                <w:noProof/>
                <w:sz w:val="20"/>
              </w:rPr>
            </w:pPr>
            <w:r>
              <w:rPr>
                <w:b/>
                <w:noProof/>
                <w:sz w:val="20"/>
              </w:rPr>
              <w:t>2020 г.</w:t>
            </w:r>
          </w:p>
        </w:tc>
        <w:tc>
          <w:tcPr>
            <w:tcW w:w="868" w:type="dxa"/>
            <w:tcBorders>
              <w:left w:val="single" w:sz="4" w:space="0" w:color="auto"/>
            </w:tcBorders>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b/>
                <w:noProof/>
                <w:sz w:val="18"/>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0,650 </w:t>
            </w:r>
          </w:p>
        </w:tc>
        <w:tc>
          <w:tcPr>
            <w:tcW w:w="868" w:type="dxa"/>
            <w:vAlign w:val="center"/>
          </w:tcPr>
          <w:p>
            <w:pPr>
              <w:spacing w:before="60" w:after="60"/>
              <w:jc w:val="right"/>
              <w:rPr>
                <w:noProof/>
                <w:sz w:val="20"/>
              </w:rPr>
            </w:pPr>
            <w:r>
              <w:rPr>
                <w:noProof/>
                <w:sz w:val="20"/>
              </w:rPr>
              <w:t>7,810</w:t>
            </w:r>
          </w:p>
        </w:tc>
        <w:tc>
          <w:tcPr>
            <w:tcW w:w="868" w:type="dxa"/>
            <w:vAlign w:val="center"/>
          </w:tcPr>
          <w:p>
            <w:pPr>
              <w:spacing w:before="60" w:after="60"/>
              <w:jc w:val="right"/>
              <w:rPr>
                <w:noProof/>
                <w:sz w:val="20"/>
              </w:rPr>
            </w:pPr>
            <w:r>
              <w:rPr>
                <w:noProof/>
                <w:sz w:val="20"/>
              </w:rPr>
              <w:t>0,075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shd w:val="clear" w:color="auto" w:fill="A6A6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8,535</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0,450</w:t>
            </w:r>
          </w:p>
        </w:tc>
        <w:tc>
          <w:tcPr>
            <w:tcW w:w="868" w:type="dxa"/>
            <w:vAlign w:val="center"/>
          </w:tcPr>
          <w:p>
            <w:pPr>
              <w:spacing w:before="60" w:after="60"/>
              <w:jc w:val="right"/>
              <w:rPr>
                <w:noProof/>
                <w:sz w:val="20"/>
              </w:rPr>
            </w:pPr>
            <w:r>
              <w:rPr>
                <w:noProof/>
                <w:sz w:val="20"/>
              </w:rPr>
              <w:t>4,510</w:t>
            </w:r>
          </w:p>
        </w:tc>
        <w:tc>
          <w:tcPr>
            <w:tcW w:w="868" w:type="dxa"/>
            <w:vAlign w:val="center"/>
          </w:tcPr>
          <w:p>
            <w:pPr>
              <w:spacing w:before="60" w:after="60"/>
              <w:jc w:val="right"/>
              <w:rPr>
                <w:noProof/>
                <w:sz w:val="20"/>
              </w:rPr>
            </w:pPr>
            <w:r>
              <w:rPr>
                <w:noProof/>
                <w:sz w:val="20"/>
              </w:rPr>
              <w:t>3,575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8,535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Резюме на очаквано отражение върху бюджетните кредити за административни разходи</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b/>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tcBorders>
              <w:left w:val="single" w:sz="4" w:space="0" w:color="auto"/>
            </w:tcBorders>
            <w:vAlign w:val="center"/>
          </w:tcPr>
          <w:p>
            <w:pPr>
              <w:spacing w:before="60" w:after="60" w:line="200" w:lineRule="exact"/>
              <w:jc w:val="center"/>
              <w:rPr>
                <w:noProof/>
                <w:sz w:val="16"/>
                <w:szCs w:val="16"/>
              </w:rPr>
            </w:pPr>
            <w:r>
              <w:rPr>
                <w:b/>
                <w:noProof/>
                <w:sz w:val="20"/>
              </w:rPr>
              <w:t>2020 г.</w:t>
            </w:r>
          </w:p>
        </w:tc>
        <w:tc>
          <w:tcPr>
            <w:tcW w:w="1080" w:type="dxa"/>
            <w:tcBorders>
              <w:left w:val="single" w:sz="4" w:space="0" w:color="auto"/>
            </w:tcBorders>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line="200" w:lineRule="exact"/>
              <w:jc w:val="center"/>
              <w:rPr>
                <w:b/>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 xml:space="preserve">2025 г. </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 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20"/>
              </w:rPr>
              <w:t>0,150</w:t>
            </w:r>
          </w:p>
        </w:tc>
        <w:tc>
          <w:tcPr>
            <w:tcW w:w="1080" w:type="dxa"/>
            <w:vAlign w:val="center"/>
          </w:tcPr>
          <w:p>
            <w:pPr>
              <w:spacing w:before="60" w:after="60" w:line="200" w:lineRule="exact"/>
              <w:jc w:val="right"/>
              <w:rPr>
                <w:noProof/>
                <w:sz w:val="16"/>
                <w:szCs w:val="16"/>
              </w:rPr>
            </w:pPr>
            <w:r>
              <w:rPr>
                <w:noProof/>
                <w:sz w:val="20"/>
              </w:rPr>
              <w:t>0,300</w:t>
            </w:r>
          </w:p>
        </w:tc>
        <w:tc>
          <w:tcPr>
            <w:tcW w:w="1080" w:type="dxa"/>
            <w:vAlign w:val="center"/>
          </w:tcPr>
          <w:p>
            <w:pPr>
              <w:spacing w:before="60" w:after="60" w:line="200" w:lineRule="exact"/>
              <w:jc w:val="right"/>
              <w:rPr>
                <w:noProof/>
                <w:sz w:val="16"/>
                <w:szCs w:val="16"/>
              </w:rPr>
            </w:pPr>
            <w:r>
              <w:rPr>
                <w:noProof/>
                <w:sz w:val="20"/>
              </w:rPr>
              <w:t>0,075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20"/>
              </w:rPr>
              <w:t>0,525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0,010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20"/>
              </w:rPr>
              <w:t>0,010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 от многогодишната финансова рамка</w:t>
            </w:r>
          </w:p>
        </w:tc>
        <w:tc>
          <w:tcPr>
            <w:tcW w:w="1080" w:type="dxa"/>
            <w:vAlign w:val="center"/>
          </w:tcPr>
          <w:p>
            <w:pPr>
              <w:spacing w:before="60" w:after="60" w:line="200" w:lineRule="exact"/>
              <w:jc w:val="right"/>
              <w:rPr>
                <w:noProof/>
                <w:sz w:val="16"/>
                <w:szCs w:val="16"/>
              </w:rPr>
            </w:pPr>
            <w:r>
              <w:rPr>
                <w:b/>
                <w:noProof/>
                <w:sz w:val="20"/>
              </w:rPr>
              <w:t>0,150</w:t>
            </w:r>
          </w:p>
        </w:tc>
        <w:tc>
          <w:tcPr>
            <w:tcW w:w="1080" w:type="dxa"/>
            <w:vAlign w:val="center"/>
          </w:tcPr>
          <w:p>
            <w:pPr>
              <w:spacing w:before="60" w:after="60" w:line="200" w:lineRule="exact"/>
              <w:jc w:val="right"/>
              <w:rPr>
                <w:noProof/>
                <w:sz w:val="16"/>
                <w:szCs w:val="16"/>
              </w:rPr>
            </w:pPr>
            <w:r>
              <w:rPr>
                <w:b/>
                <w:noProof/>
                <w:sz w:val="20"/>
              </w:rPr>
              <w:t>0,310</w:t>
            </w:r>
          </w:p>
        </w:tc>
        <w:tc>
          <w:tcPr>
            <w:tcW w:w="1080" w:type="dxa"/>
            <w:vAlign w:val="center"/>
          </w:tcPr>
          <w:p>
            <w:pPr>
              <w:spacing w:before="60" w:after="60" w:line="200" w:lineRule="exact"/>
              <w:jc w:val="right"/>
              <w:rPr>
                <w:noProof/>
                <w:sz w:val="16"/>
                <w:szCs w:val="16"/>
              </w:rPr>
            </w:pPr>
            <w:r>
              <w:rPr>
                <w:b/>
                <w:noProof/>
                <w:sz w:val="20"/>
              </w:rPr>
              <w:t>0,075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20"/>
              </w:rPr>
              <w:t>0,535</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27"/>
            </w:r>
            <w:r>
              <w:rPr>
                <w:b/>
                <w:noProof/>
                <w:sz w:val="16"/>
              </w:rPr>
              <w:t xml:space="preserve"> 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 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 извън ФУНКЦИЯ 7 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0,150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0,310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0,075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0,535</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бюджетните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b/>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Години</w:t>
            </w:r>
          </w:p>
        </w:tc>
        <w:tc>
          <w:tcPr>
            <w:tcW w:w="466" w:type="pct"/>
            <w:tcBorders>
              <w:left w:val="single" w:sz="4" w:space="0" w:color="auto"/>
            </w:tcBorders>
            <w:vAlign w:val="center"/>
          </w:tcPr>
          <w:p>
            <w:pPr>
              <w:spacing w:before="20" w:after="20"/>
              <w:jc w:val="center"/>
              <w:rPr>
                <w:b/>
                <w:noProof/>
                <w:sz w:val="16"/>
                <w:szCs w:val="16"/>
              </w:rPr>
            </w:pPr>
            <w:r>
              <w:rPr>
                <w:b/>
                <w:noProof/>
                <w:sz w:val="20"/>
              </w:rPr>
              <w:t>2020 г.</w:t>
            </w:r>
          </w:p>
        </w:tc>
        <w:tc>
          <w:tcPr>
            <w:tcW w:w="534" w:type="pct"/>
            <w:tcBorders>
              <w:left w:val="single" w:sz="4" w:space="0" w:color="auto"/>
            </w:tcBorders>
            <w:vAlign w:val="center"/>
          </w:tcPr>
          <w:p>
            <w:pPr>
              <w:spacing w:before="20" w:after="20"/>
              <w:jc w:val="center"/>
              <w:rPr>
                <w:b/>
                <w:noProof/>
                <w:sz w:val="20"/>
              </w:rPr>
            </w:pPr>
            <w:r>
              <w:rPr>
                <w:b/>
                <w:noProof/>
                <w:sz w:val="20"/>
              </w:rPr>
              <w:t>2021 г.</w:t>
            </w:r>
          </w:p>
        </w:tc>
        <w:tc>
          <w:tcPr>
            <w:tcW w:w="466" w:type="pct"/>
            <w:vAlign w:val="center"/>
          </w:tcPr>
          <w:p>
            <w:pPr>
              <w:spacing w:before="20" w:after="20"/>
              <w:jc w:val="center"/>
              <w:rPr>
                <w:b/>
                <w:noProof/>
                <w:sz w:val="20"/>
              </w:rPr>
            </w:pPr>
            <w:r>
              <w:rPr>
                <w:b/>
                <w:noProof/>
                <w:sz w:val="20"/>
              </w:rPr>
              <w:t>2022 г.</w:t>
            </w:r>
          </w:p>
        </w:tc>
        <w:tc>
          <w:tcPr>
            <w:tcW w:w="534" w:type="pct"/>
            <w:vAlign w:val="center"/>
          </w:tcPr>
          <w:p>
            <w:pPr>
              <w:spacing w:before="20" w:after="20"/>
              <w:jc w:val="center"/>
              <w:rPr>
                <w:b/>
                <w:noProof/>
                <w:sz w:val="20"/>
              </w:rPr>
            </w:pPr>
            <w:r>
              <w:rPr>
                <w:b/>
                <w:noProof/>
                <w:sz w:val="20"/>
              </w:rPr>
              <w:t>2023 г.</w:t>
            </w:r>
          </w:p>
        </w:tc>
        <w:tc>
          <w:tcPr>
            <w:tcW w:w="533" w:type="pct"/>
            <w:vAlign w:val="center"/>
          </w:tcPr>
          <w:p>
            <w:pPr>
              <w:jc w:val="center"/>
              <w:rPr>
                <w:b/>
                <w:noProof/>
                <w:sz w:val="20"/>
              </w:rPr>
            </w:pPr>
            <w:r>
              <w:rPr>
                <w:b/>
                <w:noProof/>
                <w:sz w:val="20"/>
              </w:rPr>
              <w:t>2024 г.</w:t>
            </w:r>
          </w:p>
        </w:tc>
        <w:tc>
          <w:tcPr>
            <w:tcW w:w="468" w:type="pct"/>
            <w:vAlign w:val="center"/>
          </w:tcPr>
          <w:p>
            <w:pPr>
              <w:jc w:val="center"/>
              <w:rPr>
                <w:b/>
                <w:noProof/>
                <w:sz w:val="20"/>
              </w:rPr>
            </w:pPr>
            <w:r>
              <w:rPr>
                <w:b/>
                <w:noProof/>
                <w:sz w:val="18"/>
              </w:rPr>
              <w:t>2025 г.</w:t>
            </w:r>
          </w:p>
        </w:tc>
        <w:tc>
          <w:tcPr>
            <w:tcW w:w="527" w:type="pct"/>
            <w:vAlign w:val="center"/>
          </w:tcPr>
          <w:p>
            <w:pPr>
              <w:jc w:val="center"/>
              <w:rPr>
                <w:b/>
                <w:noProof/>
                <w:sz w:val="20"/>
              </w:rPr>
            </w:pPr>
            <w:r>
              <w:rPr>
                <w:b/>
                <w:noProof/>
                <w:sz w:val="18"/>
              </w:rPr>
              <w:t>2026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FTE) — ДНП, МП, КНЕ, ПНА и МЕД</w:t>
            </w:r>
            <w:r>
              <w:rPr>
                <w:rStyle w:val="FootnoteReference"/>
                <w:b/>
                <w:noProof/>
                <w:sz w:val="16"/>
              </w:rPr>
              <w:footnoteReference w:id="28"/>
            </w:r>
          </w:p>
          <w:p>
            <w:pPr>
              <w:pStyle w:val="Text1"/>
              <w:spacing w:before="0" w:after="0"/>
              <w:ind w:left="0"/>
              <w:jc w:val="left"/>
              <w:rPr>
                <w:noProof/>
                <w:sz w:val="16"/>
                <w:szCs w:val="16"/>
              </w:rPr>
            </w:pPr>
            <w:r>
              <w:rPr>
                <w:noProof/>
                <w:sz w:val="16"/>
                <w:szCs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финансовия пакет на програмата</w:t>
            </w:r>
            <w:r>
              <w:rPr>
                <w:b/>
                <w:noProof/>
                <w:sz w:val="16"/>
                <w:szCs w:val="16"/>
              </w:rPr>
              <w:t xml:space="preserve"> </w:t>
            </w:r>
            <w:r>
              <w:rPr>
                <w:rStyle w:val="FootnoteReference"/>
                <w:b/>
                <w:noProof/>
                <w:sz w:val="16"/>
              </w:rPr>
              <w:footnoteReference w:id="2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временно наети служители</w:t>
            </w:r>
          </w:p>
        </w:tc>
        <w:tc>
          <w:tcPr>
            <w:tcW w:w="7392" w:type="dxa"/>
          </w:tcPr>
          <w:p>
            <w:pPr>
              <w:rPr>
                <w:noProof/>
                <w:sz w:val="20"/>
              </w:rPr>
            </w:pPr>
            <w:r>
              <w:rPr>
                <w:noProof/>
                <w:sz w:val="20"/>
              </w:rPr>
              <w:t>Организиране и координиране на информационни кампании и мероприятия; управление на поканите за предложения; около 10 мисии в държавите членки през 2021 г.</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Не се прилага.</w:t>
            </w: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Участие на трети страни във финансирането </w:t>
      </w:r>
    </w:p>
    <w:p>
      <w:pPr>
        <w:pStyle w:val="Text1"/>
        <w:rPr>
          <w:noProof/>
        </w:rPr>
      </w:pPr>
      <w:r>
        <w:rPr>
          <w:noProof/>
        </w:rPr>
        <w:t>Предложението/инициативата:</w:t>
      </w:r>
    </w:p>
    <w:p>
      <w:pPr>
        <w:pStyle w:val="ListDash1"/>
        <w:rPr>
          <w:noProof/>
        </w:rPr>
      </w:pPr>
      <w:r>
        <w:rPr>
          <w:b/>
          <w:noProof/>
        </w:rPr>
        <w:t>X</w:t>
      </w:r>
      <w:r>
        <w:rPr>
          <w:b/>
          <w:noProof/>
        </w:rPr>
        <w:tab/>
      </w:r>
      <w:r>
        <w:rPr>
          <w:noProof/>
        </w:rPr>
        <w:t>не предвижда съфинансиране от трети страни</w:t>
      </w:r>
    </w:p>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b/>
          <w:noProof/>
        </w:rPr>
        <w:t>X</w:t>
      </w:r>
      <w:r>
        <w:rPr>
          <w:noProof/>
        </w:rPr>
        <w:tab/>
        <w:t>Предложението/инициативата няма финансово отражение върху приходите.</w:t>
      </w:r>
    </w:p>
    <w:p>
      <w:pPr>
        <w:spacing w:before="0" w:after="200" w:line="276" w:lineRule="auto"/>
        <w:jc w:val="left"/>
        <w:rPr>
          <w:noProof/>
        </w:rPr>
      </w:pPr>
      <w:r>
        <w:rPr>
          <w:noProof/>
        </w:rPr>
        <w:br w:type="page"/>
      </w:r>
    </w:p>
    <w:p>
      <w:pPr>
        <w:spacing w:before="0" w:after="0"/>
        <w:jc w:val="center"/>
        <w:rPr>
          <w:rFonts w:eastAsia="Times New Roman"/>
          <w:b/>
          <w:noProof/>
          <w:sz w:val="36"/>
          <w:szCs w:val="24"/>
          <w:u w:val="single"/>
        </w:rPr>
        <w:sectPr>
          <w:pgSz w:w="11906" w:h="16838" w:code="9"/>
          <w:pgMar w:top="1134" w:right="1418" w:bottom="1134" w:left="1418" w:header="709" w:footer="709" w:gutter="0"/>
          <w:cols w:space="720"/>
          <w:docGrid w:linePitch="360"/>
        </w:sectPr>
      </w:pPr>
    </w:p>
    <w:p>
      <w:pPr>
        <w:spacing w:before="0" w:after="0"/>
        <w:jc w:val="center"/>
        <w:rPr>
          <w:rFonts w:eastAsia="Times New Roman"/>
          <w:b/>
          <w:bCs/>
          <w:noProof/>
          <w:sz w:val="36"/>
          <w:szCs w:val="36"/>
          <w:u w:val="single"/>
        </w:rPr>
      </w:pPr>
      <w:r>
        <w:rPr>
          <w:b/>
          <w:noProof/>
          <w:sz w:val="36"/>
          <w:u w:val="single"/>
        </w:rPr>
        <w:t>ПРИЛОЖЕНИЕ</w:t>
      </w:r>
      <w:r>
        <w:rPr>
          <w:noProof/>
        </w:rPr>
        <w:br/>
      </w:r>
      <w:r>
        <w:rPr>
          <w:b/>
          <w:noProof/>
          <w:sz w:val="36"/>
          <w:u w:val="single"/>
        </w:rPr>
        <w:t>към ЗАКОНОДАТЕЛНАТА ФИНАНСОВА ОБОСНОВКА</w:t>
      </w:r>
    </w:p>
    <w:p>
      <w:pPr>
        <w:spacing w:before="240"/>
        <w:jc w:val="center"/>
        <w:rPr>
          <w:rFonts w:eastAsia="Times New Roman"/>
          <w:noProof/>
          <w:szCs w:val="24"/>
        </w:rPr>
      </w:pPr>
      <w:r>
        <w:rPr>
          <w:noProof/>
        </w:rPr>
        <w:t>Наименование на предложението/инициативата:</w:t>
      </w:r>
    </w:p>
    <w:p>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rPr>
      </w:pPr>
      <w:r>
        <w:rPr>
          <w:noProof/>
          <w:color w:val="808080"/>
        </w:rPr>
        <w:t>Европейска година на железопътния транспорт (2021 г.)</w:t>
      </w:r>
    </w:p>
    <w:p>
      <w:pPr>
        <w:pStyle w:val="ManualHeading1"/>
        <w:rPr>
          <w:bCs/>
          <w:noProof/>
          <w:szCs w:val="32"/>
        </w:rPr>
      </w:pPr>
      <w:r>
        <w:rPr>
          <w:noProof/>
        </w:rPr>
        <w:t>1. БРОЙ И РАЗХОДИ ЗА СЧИТАНИТЕ ЗА НЕОБХОДИМИ ЧОВЕШКИ РЕСУРСИ</w:t>
      </w:r>
    </w:p>
    <w:p>
      <w:pPr>
        <w:pStyle w:val="ManualHeading1"/>
        <w:rPr>
          <w:bCs/>
          <w:noProof/>
          <w:szCs w:val="32"/>
        </w:rPr>
      </w:pPr>
      <w:r>
        <w:rPr>
          <w:noProof/>
        </w:rPr>
        <w:t>2. ДРУГИ АДМИНИСТРАТИВНИ РАЗХОДИ</w:t>
      </w:r>
    </w:p>
    <w:p>
      <w:pPr>
        <w:pStyle w:val="ManualHeading1"/>
        <w:rPr>
          <w:bCs/>
          <w:noProof/>
          <w:szCs w:val="32"/>
        </w:rPr>
      </w:pPr>
      <w:r>
        <w:rPr>
          <w:noProof/>
        </w:rPr>
        <w:t>3. МЕТОДИ ЗА ИЗЧИСЛЯВАНЕ, ИЗПОЛЗВАНИ ЗА ОЦЕНКА НА РАЗХОДИТЕ</w:t>
      </w:r>
    </w:p>
    <w:p>
      <w:pPr>
        <w:pStyle w:val="ManualHeading2"/>
        <w:rPr>
          <w:bCs/>
          <w:noProof/>
          <w:szCs w:val="32"/>
        </w:rPr>
      </w:pPr>
      <w:r>
        <w:rPr>
          <w:noProof/>
        </w:rPr>
        <w:t>3.1 Човешки ресурси</w:t>
      </w:r>
    </w:p>
    <w:p>
      <w:pPr>
        <w:pStyle w:val="ManualHeading2"/>
        <w:rPr>
          <w:bCs/>
          <w:noProof/>
          <w:szCs w:val="32"/>
        </w:rPr>
      </w:pPr>
      <w:r>
        <w:rPr>
          <w:noProof/>
        </w:rPr>
        <w:t>3.2 Други административни разходи</w:t>
      </w: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 xml:space="preserve">Настоящото приложение, </w:t>
      </w:r>
      <w:r>
        <w:rPr>
          <w:b/>
          <w:bCs/>
          <w:i/>
          <w:noProof/>
          <w:sz w:val="22"/>
          <w:u w:val="single"/>
        </w:rPr>
        <w:t>което се попълва от всяка генерална дирекция/служба, участваща в предложението/инициативата</w:t>
      </w:r>
      <w:r>
        <w:rPr>
          <w:i/>
          <w:noProof/>
          <w:sz w:val="22"/>
        </w:rPr>
        <w:t>, трябва да придружава законодателната финансова обосновка, когато се провежда междуведомствената консултация.</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Данните от таблиците са включени в таблиците в законодателната финансова обосновка. Те са само за вътрешна употреба в рамките на Комисията.</w:t>
      </w:r>
    </w:p>
    <w:p>
      <w:pPr>
        <w:spacing w:before="0" w:after="0"/>
        <w:jc w:val="left"/>
        <w:rPr>
          <w:rFonts w:eastAsia="Times New Roman"/>
          <w:noProof/>
          <w:szCs w:val="24"/>
        </w:rPr>
        <w:sectPr>
          <w:pgSz w:w="11906" w:h="16838" w:code="9"/>
          <w:pgMar w:top="1134" w:right="1418" w:bottom="1134" w:left="1418" w:header="709" w:footer="709" w:gutter="0"/>
          <w:cols w:space="720"/>
          <w:docGrid w:linePitch="360"/>
        </w:sectPr>
      </w:pPr>
    </w:p>
    <w:p>
      <w:pPr>
        <w:pStyle w:val="ManualHeading1"/>
        <w:rPr>
          <w:noProof/>
        </w:rPr>
      </w:pPr>
      <w:r>
        <w:rPr>
          <w:noProof/>
        </w:rPr>
        <w:t>1. Разходи за считаните за необходими човешки ресурси</w:t>
      </w:r>
    </w:p>
    <w:p>
      <w:pPr>
        <w:spacing w:before="0" w:after="0"/>
        <w:jc w:val="left"/>
        <w:rPr>
          <w:rFonts w:eastAsia="Times New Roman"/>
          <w:noProof/>
          <w:szCs w:val="24"/>
        </w:rPr>
      </w:pPr>
      <w:r>
        <w:rPr>
          <w:noProof/>
        </w:rPr>
        <w:sym w:font="Wingdings" w:char="F0A8"/>
      </w:r>
      <w:r>
        <w:rPr>
          <w:noProof/>
        </w:rPr>
        <w:t xml:space="preserve"> Предложението/инициативата не налага използване на човешки ресурси</w:t>
      </w:r>
    </w:p>
    <w:p>
      <w:pPr>
        <w:spacing w:before="60" w:after="0"/>
        <w:rPr>
          <w:rFonts w:eastAsia="Times New Roman"/>
          <w:noProof/>
          <w:szCs w:val="24"/>
        </w:rPr>
      </w:pPr>
      <w:r>
        <w:rPr>
          <w:b/>
          <w:noProof/>
        </w:rPr>
        <w:t>X</w:t>
      </w:r>
      <w:r>
        <w:rPr>
          <w:noProof/>
        </w:rPr>
        <w:tab/>
      </w:r>
      <w:r>
        <w:rPr>
          <w:noProof/>
          <w:sz w:val="22"/>
        </w:rPr>
        <w:t>Предложението/инициативата налага използване на човешки ресурси съгласно обяснението по-долу:</w:t>
      </w:r>
    </w:p>
    <w:p>
      <w:pPr>
        <w:spacing w:before="0" w:after="0"/>
        <w:jc w:val="right"/>
        <w:rPr>
          <w:rFonts w:eastAsia="Times New Roman"/>
          <w:iCs/>
          <w:noProof/>
          <w:sz w:val="20"/>
          <w:szCs w:val="20"/>
        </w:rPr>
      </w:pPr>
      <w:r>
        <w:rPr>
          <w:noProof/>
          <w:sz w:val="20"/>
          <w:szCs w:val="20"/>
        </w:rPr>
        <w:t>млн. евро (до третия знак след десетичната запетая)</w:t>
      </w:r>
    </w:p>
    <w:tbl>
      <w:tblPr>
        <w:tblW w:w="15000" w:type="dxa"/>
        <w:jc w:val="center"/>
        <w:tblLook w:val="04A0" w:firstRow="1" w:lastRow="0" w:firstColumn="1" w:lastColumn="0" w:noHBand="0" w:noVBand="1"/>
      </w:tblPr>
      <w:tblGrid>
        <w:gridCol w:w="1787"/>
        <w:gridCol w:w="685"/>
        <w:gridCol w:w="574"/>
        <w:gridCol w:w="992"/>
        <w:gridCol w:w="574"/>
        <w:gridCol w:w="992"/>
        <w:gridCol w:w="574"/>
        <w:gridCol w:w="992"/>
        <w:gridCol w:w="574"/>
        <w:gridCol w:w="992"/>
        <w:gridCol w:w="574"/>
        <w:gridCol w:w="992"/>
        <w:gridCol w:w="574"/>
        <w:gridCol w:w="992"/>
        <w:gridCol w:w="574"/>
        <w:gridCol w:w="992"/>
        <w:gridCol w:w="574"/>
        <w:gridCol w:w="992"/>
      </w:tblGrid>
      <w:tr>
        <w:trPr>
          <w:trHeight w:val="330"/>
          <w:jc w:val="center"/>
        </w:trPr>
        <w:tc>
          <w:tcPr>
            <w:tcW w:w="2632" w:type="dxa"/>
            <w:gridSpan w:val="2"/>
            <w:vMerge w:val="restart"/>
            <w:tcBorders>
              <w:top w:val="single" w:sz="4" w:space="0" w:color="auto"/>
              <w:left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ФУНКЦИЯ 7</w:t>
            </w:r>
          </w:p>
          <w:p>
            <w:pPr>
              <w:spacing w:before="0" w:after="0"/>
              <w:jc w:val="center"/>
              <w:rPr>
                <w:rFonts w:ascii="Arial Narrow" w:eastAsia="Times New Roman" w:hAnsi="Arial Narrow"/>
                <w:b/>
                <w:bCs/>
                <w:noProof/>
                <w:color w:val="000000"/>
                <w:sz w:val="22"/>
              </w:rPr>
            </w:pPr>
            <w:r>
              <w:rPr>
                <w:rFonts w:ascii="Arial Narrow" w:hAnsi="Arial Narrow"/>
                <w:noProof/>
                <w:sz w:val="22"/>
              </w:rPr>
              <w:t>от многогодишната финансова рамка</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2020 г.</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2021 г.</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2022 г.</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2023 г.</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2024 г.</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2025 г.</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2026 г.</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ОБЩО</w:t>
            </w:r>
          </w:p>
        </w:tc>
      </w:tr>
      <w:tr>
        <w:trPr>
          <w:trHeight w:val="660"/>
          <w:jc w:val="center"/>
        </w:trPr>
        <w:tc>
          <w:tcPr>
            <w:tcW w:w="2632" w:type="dxa"/>
            <w:gridSpan w:val="2"/>
            <w:vMerge/>
            <w:tcBorders>
              <w:left w:val="single" w:sz="4" w:space="0" w:color="auto"/>
              <w:bottom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noProof/>
                <w:color w:val="000000"/>
                <w:sz w:val="22"/>
              </w:rPr>
            </w:pP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r>
      <w:tr>
        <w:trPr>
          <w:trHeight w:val="33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pPr>
              <w:spacing w:before="0" w:after="0"/>
              <w:jc w:val="left"/>
              <w:rPr>
                <w:rFonts w:ascii="Arial Narrow" w:eastAsia="Times New Roman" w:hAnsi="Arial Narrow"/>
                <w:noProof/>
                <w:color w:val="000000"/>
                <w:sz w:val="20"/>
                <w:szCs w:val="20"/>
              </w:rPr>
            </w:pPr>
            <w:r>
              <w:rPr>
                <w:rFonts w:ascii="Arial Narrow" w:hAnsi="Arial Narrow"/>
                <w:b/>
                <w:noProof/>
                <w:color w:val="008000"/>
                <w:sz w:val="20"/>
              </w:rPr>
              <w:sym w:font="Wingdings" w:char="F09F"/>
            </w:r>
            <w:r>
              <w:rPr>
                <w:noProof/>
              </w:rPr>
              <w:t xml:space="preserve"> Длъжности в щатното разписание (длъжностни лица и срочно наети служители)</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Централа и представителства на Комисията</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1 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0,150</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2 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0,300</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0,5</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0,075 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0,525</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AST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В делегациите на Съюза</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AST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pPr>
              <w:spacing w:before="0" w:after="0"/>
              <w:jc w:val="left"/>
              <w:rPr>
                <w:rFonts w:ascii="Arial Narrow" w:eastAsia="Times New Roman" w:hAnsi="Arial Narrow"/>
                <w:noProof/>
                <w:color w:val="000000"/>
                <w:sz w:val="20"/>
                <w:szCs w:val="20"/>
              </w:rPr>
            </w:pPr>
            <w:r>
              <w:rPr>
                <w:rFonts w:ascii="Arial Narrow" w:hAnsi="Arial Narrow"/>
                <w:b/>
                <w:noProof/>
                <w:color w:val="FF6600"/>
                <w:sz w:val="20"/>
              </w:rPr>
              <w:sym w:font="Wingdings" w:char="F09F"/>
            </w:r>
            <w:r>
              <w:rPr>
                <w:rFonts w:ascii="Arial Narrow" w:hAnsi="Arial Narrow"/>
                <w:b/>
                <w:noProof/>
                <w:color w:val="FF6600"/>
                <w:sz w:val="20"/>
              </w:rPr>
              <w:t xml:space="preserve"> </w:t>
            </w:r>
            <w:r>
              <w:rPr>
                <w:noProof/>
              </w:rPr>
              <w:t>Външен персонал</w:t>
            </w:r>
            <w:r>
              <w:rPr>
                <w:rStyle w:val="FootnoteReference"/>
                <w:noProof/>
              </w:rPr>
              <w:footnoteReference w:id="30"/>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Общ пакет</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ДНП</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КНЕ</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ПНА</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В делегациите на Съюза</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ДНП</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xml:space="preserve">МП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КНЕ</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ПНА</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МЕД</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Други бюджетни редове (</w:t>
            </w:r>
            <w:r>
              <w:rPr>
                <w:rFonts w:ascii="Arial Narrow" w:hAnsi="Arial Narrow"/>
                <w:i/>
                <w:iCs/>
                <w:noProof/>
                <w:sz w:val="20"/>
                <w:szCs w:val="20"/>
              </w:rPr>
              <w:t>да се посочат</w:t>
            </w:r>
            <w:r>
              <w:rPr>
                <w:rFonts w:ascii="Arial Narrow" w:hAnsi="Arial Narrow"/>
                <w:noProof/>
                <w:sz w:val="20"/>
                <w:szCs w:val="20"/>
              </w:rPr>
              <w:t>)</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1165"/>
          <w:jc w:val="center"/>
        </w:trPr>
        <w:tc>
          <w:tcPr>
            <w:tcW w:w="1875"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Междинен сбор за ФУНКЦИЯ 7</w:t>
            </w:r>
          </w:p>
          <w:p>
            <w:pPr>
              <w:spacing w:before="0" w:after="0"/>
              <w:jc w:val="center"/>
              <w:rPr>
                <w:rFonts w:ascii="Arial Narrow" w:eastAsia="Times New Roman" w:hAnsi="Arial Narrow"/>
                <w:b/>
                <w:bCs/>
                <w:noProof/>
                <w:color w:val="000000"/>
                <w:sz w:val="22"/>
              </w:rPr>
            </w:pPr>
            <w:r>
              <w:rPr>
                <w:rFonts w:ascii="Arial Narrow" w:hAnsi="Arial Narrow"/>
                <w:noProof/>
                <w:sz w:val="22"/>
              </w:rPr>
              <w:t>от многогодишната финансова рамка</w:t>
            </w:r>
          </w:p>
        </w:tc>
        <w:tc>
          <w:tcPr>
            <w:tcW w:w="757"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0,150 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2 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0,300</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0,075</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0,525 </w:t>
            </w:r>
          </w:p>
        </w:tc>
      </w:tr>
    </w:tbl>
    <w:p>
      <w:pPr>
        <w:spacing w:before="0" w:after="0"/>
        <w:rPr>
          <w:rFonts w:ascii="Arial Narrow" w:eastAsia="Times New Roman" w:hAnsi="Arial Narrow"/>
          <w:iCs/>
          <w:noProof/>
          <w:sz w:val="6"/>
          <w:szCs w:val="6"/>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sz w:val="18"/>
        </w:rPr>
        <w:tab/>
      </w:r>
      <w:r>
        <w:rPr>
          <w:noProof/>
        </w:rPr>
        <w:br w:type="page"/>
      </w:r>
    </w:p>
    <w:tbl>
      <w:tblPr>
        <w:tblW w:w="15210" w:type="dxa"/>
        <w:jc w:val="center"/>
        <w:tblLook w:val="04A0" w:firstRow="1" w:lastRow="0" w:firstColumn="1" w:lastColumn="0" w:noHBand="0" w:noVBand="1"/>
      </w:tblPr>
      <w:tblGrid>
        <w:gridCol w:w="1186"/>
        <w:gridCol w:w="1198"/>
        <w:gridCol w:w="538"/>
        <w:gridCol w:w="574"/>
        <w:gridCol w:w="962"/>
        <w:gridCol w:w="574"/>
        <w:gridCol w:w="962"/>
        <w:gridCol w:w="574"/>
        <w:gridCol w:w="962"/>
        <w:gridCol w:w="574"/>
        <w:gridCol w:w="962"/>
        <w:gridCol w:w="574"/>
        <w:gridCol w:w="962"/>
        <w:gridCol w:w="574"/>
        <w:gridCol w:w="962"/>
        <w:gridCol w:w="574"/>
        <w:gridCol w:w="962"/>
        <w:gridCol w:w="574"/>
        <w:gridCol w:w="962"/>
      </w:tblGrid>
      <w:tr>
        <w:trPr>
          <w:trHeight w:val="330"/>
          <w:jc w:val="center"/>
        </w:trPr>
        <w:tc>
          <w:tcPr>
            <w:tcW w:w="2994" w:type="dxa"/>
            <w:gridSpan w:val="3"/>
            <w:vMerge w:val="restart"/>
            <w:tcBorders>
              <w:top w:val="single" w:sz="4" w:space="0" w:color="auto"/>
              <w:left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извън ФУНКЦИЯ 7</w:t>
            </w:r>
          </w:p>
          <w:p>
            <w:pPr>
              <w:spacing w:before="0" w:after="0"/>
              <w:jc w:val="center"/>
              <w:rPr>
                <w:rFonts w:ascii="Arial Narrow" w:eastAsia="Times New Roman" w:hAnsi="Arial Narrow"/>
                <w:b/>
                <w:bCs/>
                <w:noProof/>
                <w:color w:val="000000"/>
                <w:sz w:val="22"/>
              </w:rPr>
            </w:pPr>
            <w:r>
              <w:rPr>
                <w:rFonts w:ascii="Arial Narrow" w:hAnsi="Arial Narrow"/>
                <w:noProof/>
                <w:sz w:val="22"/>
              </w:rPr>
              <w:t>от многогодишната финансова рамка</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2020 г.</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2021 г.</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2022 г.</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2023 г.</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2024 г.</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2025 г.</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2026 г.</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ОБЩО</w:t>
            </w:r>
          </w:p>
        </w:tc>
      </w:tr>
      <w:tr>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noProof/>
                <w:color w:val="000000"/>
                <w:sz w:val="22"/>
              </w:rPr>
            </w:pP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ЕПРВ</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Бюджетни кредити</w:t>
            </w:r>
          </w:p>
        </w:tc>
      </w:tr>
      <w:tr>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CCFFD0"/>
            <w:vAlign w:val="center"/>
            <w:hideMark/>
          </w:tcPr>
          <w:p>
            <w:pPr>
              <w:spacing w:before="0" w:after="0"/>
              <w:jc w:val="left"/>
              <w:rPr>
                <w:rFonts w:ascii="Wingdings" w:eastAsia="Times New Roman" w:hAnsi="Wingdings"/>
                <w:b/>
                <w:bCs/>
                <w:noProof/>
                <w:color w:val="008000"/>
                <w:sz w:val="20"/>
                <w:szCs w:val="20"/>
              </w:rPr>
            </w:pPr>
            <w:r>
              <w:rPr>
                <w:rFonts w:ascii="Arial Narrow" w:hAnsi="Arial Narrow"/>
                <w:b/>
                <w:noProof/>
                <w:color w:val="008000"/>
                <w:sz w:val="20"/>
              </w:rPr>
              <w:sym w:font="Wingdings" w:char="F09F"/>
            </w:r>
            <w:r>
              <w:rPr>
                <w:noProof/>
              </w:rPr>
              <w:t>Длъжности в щатното разписание (длъжностни лица и срочно наети служители)</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Научни изследвания</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AST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FCFFA1"/>
            <w:vAlign w:val="center"/>
            <w:hideMark/>
          </w:tcPr>
          <w:p>
            <w:pPr>
              <w:spacing w:before="0" w:after="0"/>
              <w:jc w:val="left"/>
              <w:rPr>
                <w:rFonts w:ascii="Calibri" w:eastAsia="Times New Roman" w:hAnsi="Calibri"/>
                <w:noProof/>
                <w:color w:val="0000FF"/>
                <w:sz w:val="22"/>
                <w:u w:val="single"/>
              </w:rPr>
            </w:pPr>
            <w:r>
              <w:rPr>
                <w:rFonts w:ascii="Arial Narrow" w:hAnsi="Arial Narrow"/>
                <w:b/>
                <w:noProof/>
                <w:color w:val="FF6600"/>
                <w:sz w:val="20"/>
              </w:rPr>
              <w:sym w:font="Wingdings" w:char="F09F"/>
            </w:r>
            <w:r>
              <w:rPr>
                <w:rFonts w:ascii="Arial Narrow" w:hAnsi="Arial Narrow"/>
                <w:b/>
                <w:noProof/>
                <w:color w:val="FF6600"/>
                <w:sz w:val="20"/>
              </w:rPr>
              <w:t xml:space="preserve"> </w:t>
            </w:r>
            <w:r>
              <w:rPr>
                <w:noProof/>
              </w:rPr>
              <w:t>Външен персонал</w:t>
            </w:r>
            <w:r>
              <w:rPr>
                <w:rStyle w:val="FootnoteReference"/>
                <w:noProof/>
              </w:rPr>
              <w:footnoteReference w:id="31"/>
            </w:r>
          </w:p>
        </w:tc>
      </w:tr>
      <w:tr>
        <w:trPr>
          <w:trHeight w:val="300"/>
          <w:jc w:val="center"/>
        </w:trPr>
        <w:tc>
          <w:tcPr>
            <w:tcW w:w="1256"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Външен персонал от бюджетни кредити за оперативни разходи (предишни редове „BA“).</w:t>
            </w: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 в централата</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ДНП</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КНЕ</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ПНА</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 в делегациите на Съюза</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ДНП</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xml:space="preserve">МП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КНЕ</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ПНА</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МЕД</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Научни изследвания</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ДНП</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КНЕ</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ПНА</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Други бюджетни редове (</w:t>
            </w:r>
            <w:r>
              <w:rPr>
                <w:rFonts w:ascii="Arial Narrow" w:hAnsi="Arial Narrow"/>
                <w:i/>
                <w:iCs/>
                <w:noProof/>
                <w:sz w:val="20"/>
                <w:szCs w:val="20"/>
              </w:rPr>
              <w:t>да се посочат</w:t>
            </w:r>
            <w:r>
              <w:rPr>
                <w:rFonts w:ascii="Arial Narrow" w:hAnsi="Arial Narrow"/>
                <w:noProof/>
                <w:sz w:val="20"/>
                <w:szCs w:val="20"/>
              </w:rPr>
              <w:t>)</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116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Междинен сбор — извън ФУНКЦИЯ 7</w:t>
            </w:r>
          </w:p>
          <w:p>
            <w:pPr>
              <w:spacing w:before="0" w:after="0"/>
              <w:jc w:val="center"/>
              <w:rPr>
                <w:rFonts w:ascii="Arial Narrow" w:eastAsia="Times New Roman" w:hAnsi="Arial Narrow"/>
                <w:b/>
                <w:bCs/>
                <w:noProof/>
                <w:color w:val="000000"/>
                <w:sz w:val="22"/>
              </w:rPr>
            </w:pPr>
            <w:r>
              <w:rPr>
                <w:rFonts w:ascii="Arial Narrow" w:hAnsi="Arial Narrow"/>
                <w:noProof/>
                <w:sz w:val="22"/>
              </w:rPr>
              <w:t>от многогодишната финансова рамка</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bl>
    <w:p>
      <w:pPr>
        <w:spacing w:before="0" w:after="0"/>
        <w:rPr>
          <w:rFonts w:eastAsia="Times New Roman"/>
          <w:noProof/>
          <w:szCs w:val="24"/>
        </w:rPr>
      </w:pPr>
    </w:p>
    <w:p>
      <w:pPr>
        <w:keepNext/>
        <w:spacing w:before="0" w:after="0"/>
        <w:jc w:val="left"/>
        <w:rPr>
          <w:rFonts w:eastAsia="Times New Roman"/>
          <w:noProof/>
          <w:sz w:val="28"/>
          <w:szCs w:val="28"/>
          <w:u w:val="single"/>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keepNext/>
        <w:spacing w:before="0" w:after="60"/>
        <w:jc w:val="left"/>
        <w:rPr>
          <w:rFonts w:eastAsia="Times New Roman"/>
          <w:noProof/>
          <w:szCs w:val="24"/>
        </w:rPr>
        <w:sectPr>
          <w:headerReference w:type="default" r:id="rId21"/>
          <w:footerReference w:type="default" r:id="rId22"/>
          <w:headerReference w:type="first" r:id="rId23"/>
          <w:footerReference w:type="first" r:id="rId24"/>
          <w:pgSz w:w="16838" w:h="11906" w:orient="landscape" w:code="9"/>
          <w:pgMar w:top="624" w:right="902" w:bottom="624" w:left="1191" w:header="709" w:footer="567" w:gutter="0"/>
          <w:cols w:space="708"/>
          <w:docGrid w:linePitch="360"/>
        </w:sectPr>
      </w:pPr>
    </w:p>
    <w:p>
      <w:pPr>
        <w:pStyle w:val="ManualHeading1"/>
        <w:rPr>
          <w:noProof/>
          <w:szCs w:val="28"/>
        </w:rPr>
      </w:pPr>
      <w:r>
        <w:rPr>
          <w:noProof/>
        </w:rPr>
        <w:t>2. Други административни разходи</w:t>
      </w:r>
    </w:p>
    <w:p>
      <w:pPr>
        <w:pStyle w:val="Point0"/>
        <w:rPr>
          <w:noProof/>
          <w:sz w:val="16"/>
        </w:rPr>
      </w:pPr>
      <w:r>
        <w:t>(a)</w:t>
      </w:r>
      <w:r>
        <w:tab/>
      </w:r>
      <w:r>
        <w:rPr>
          <w:noProof/>
        </w:rPr>
        <w:t>1.</w:t>
      </w:r>
      <w:r>
        <w:rPr>
          <w:noProof/>
        </w:rPr>
        <w:sym w:font="Wingdings" w:char="F0A8"/>
      </w:r>
      <w:r>
        <w:rPr>
          <w:noProof/>
        </w:rPr>
        <w:tab/>
        <w:t>Предложението/инициативата не налага използване на бюджетни кредити за административни разходи</w:t>
      </w:r>
    </w:p>
    <w:p>
      <w:pPr>
        <w:spacing w:before="0" w:after="0"/>
        <w:rPr>
          <w:rFonts w:eastAsia="Times New Roman"/>
          <w:noProof/>
          <w:szCs w:val="24"/>
        </w:rPr>
      </w:pPr>
      <w:r>
        <w:rPr>
          <w:b/>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spacing w:before="0" w:after="0"/>
        <w:jc w:val="right"/>
        <w:rPr>
          <w:rFonts w:eastAsia="Times New Roman"/>
          <w:i/>
          <w:noProof/>
          <w:sz w:val="20"/>
          <w:szCs w:val="20"/>
        </w:rPr>
      </w:pPr>
      <w:r>
        <w:rPr>
          <w:i/>
          <w:noProof/>
          <w:sz w:val="20"/>
          <w:szCs w:val="20"/>
        </w:rPr>
        <w:t>млн. евро (до третия знак след десетичната запетая)</w:t>
      </w:r>
    </w:p>
    <w:tbl>
      <w:tblPr>
        <w:tblW w:w="14757" w:type="dxa"/>
        <w:jc w:val="center"/>
        <w:tblLook w:val="04A0" w:firstRow="1" w:lastRow="0" w:firstColumn="1" w:lastColumn="0" w:noHBand="0" w:noVBand="1"/>
      </w:tblPr>
      <w:tblGrid>
        <w:gridCol w:w="4410"/>
        <w:gridCol w:w="1275"/>
        <w:gridCol w:w="1276"/>
        <w:gridCol w:w="1276"/>
        <w:gridCol w:w="1417"/>
        <w:gridCol w:w="1276"/>
        <w:gridCol w:w="1276"/>
        <w:gridCol w:w="1276"/>
        <w:gridCol w:w="1275"/>
      </w:tblGrid>
      <w:tr>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ФУНКЦИЯ 7</w:t>
            </w:r>
          </w:p>
          <w:p>
            <w:pPr>
              <w:spacing w:before="0" w:after="0"/>
              <w:jc w:val="center"/>
              <w:rPr>
                <w:rFonts w:ascii="Arial Narrow" w:eastAsia="Times New Roman" w:hAnsi="Arial Narrow"/>
                <w:i/>
                <w:iCs/>
                <w:noProof/>
                <w:color w:val="000000"/>
                <w:sz w:val="20"/>
                <w:szCs w:val="20"/>
              </w:rPr>
            </w:pPr>
            <w:r>
              <w:rPr>
                <w:rFonts w:ascii="Arial Narrow" w:hAnsi="Arial Narrow"/>
                <w:noProof/>
                <w:sz w:val="22"/>
              </w:rPr>
              <w:t>от многогодишната финансова рамка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2021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2022 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2023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2024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2025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2026 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Общо</w:t>
            </w:r>
          </w:p>
        </w:tc>
      </w:tr>
      <w:tr>
        <w:trPr>
          <w:trHeight w:val="300"/>
          <w:jc w:val="center"/>
        </w:trPr>
        <w:tc>
          <w:tcPr>
            <w:tcW w:w="4410"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spacing w:before="0" w:after="0"/>
              <w:jc w:val="left"/>
              <w:rPr>
                <w:rFonts w:ascii="Arial Narrow" w:eastAsia="Times New Roman" w:hAnsi="Arial Narrow"/>
                <w:b/>
                <w:bCs/>
                <w:noProof/>
                <w:color w:val="008000"/>
                <w:sz w:val="20"/>
                <w:szCs w:val="20"/>
                <w:u w:val="single"/>
              </w:rPr>
            </w:pPr>
            <w:r>
              <w:rPr>
                <w:rFonts w:ascii="Arial Narrow" w:hAnsi="Arial Narrow"/>
                <w:b/>
                <w:bCs/>
                <w:noProof/>
                <w:color w:val="008000"/>
                <w:sz w:val="20"/>
                <w:szCs w:val="20"/>
                <w:u w:val="single"/>
              </w:rPr>
              <w:t>В централата: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Разходи за мисии и представителни разходи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0,010</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0,010 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Разходи за конференции и срещи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noProof/>
                <w:color w:val="0000FF"/>
                <w:sz w:val="22"/>
                <w:u w:val="single"/>
              </w:rPr>
            </w:pPr>
            <w:r>
              <w:rPr>
                <w:noProof/>
              </w:rPr>
              <w:t>Комитети</w:t>
            </w:r>
            <w:r>
              <w:rPr>
                <w:rStyle w:val="FootnoteReference"/>
                <w:noProof/>
              </w:rPr>
              <w:footnoteReference w:id="32"/>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Проучвания и консултации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Информационни системи и системи за управление</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noProof/>
                <w:color w:val="0000FF"/>
                <w:sz w:val="22"/>
                <w:u w:val="single"/>
              </w:rPr>
            </w:pPr>
            <w:r>
              <w:rPr>
                <w:noProof/>
              </w:rPr>
              <w:t>ИКТ оборудване и услуги</w:t>
            </w:r>
            <w:r>
              <w:rPr>
                <w:rStyle w:val="FootnoteReference"/>
                <w:noProof/>
              </w:rPr>
              <w:footnoteReference w:id="33"/>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Други бюджетни редове (</w:t>
            </w:r>
            <w:r>
              <w:rPr>
                <w:rFonts w:ascii="Arial Narrow" w:hAnsi="Arial Narrow"/>
                <w:i/>
                <w:iCs/>
                <w:noProof/>
                <w:sz w:val="20"/>
                <w:szCs w:val="20"/>
              </w:rPr>
              <w:t>да се посочи, където е необходимо</w:t>
            </w:r>
            <w:r>
              <w:rPr>
                <w:rFonts w:ascii="Arial Narrow" w:hAnsi="Arial Narrow"/>
                <w:noProof/>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pct25" w:color="CCFFCC" w:fill="EDFFED"/>
            <w:vAlign w:val="center"/>
            <w:hideMark/>
          </w:tcPr>
          <w:p>
            <w:pPr>
              <w:spacing w:before="0" w:after="0"/>
              <w:jc w:val="left"/>
              <w:rPr>
                <w:rFonts w:ascii="Arial Narrow" w:eastAsia="Times New Roman" w:hAnsi="Arial Narrow"/>
                <w:b/>
                <w:bCs/>
                <w:noProof/>
                <w:color w:val="008000"/>
                <w:sz w:val="20"/>
                <w:szCs w:val="20"/>
                <w:u w:val="single"/>
              </w:rPr>
            </w:pPr>
            <w:r>
              <w:rPr>
                <w:rFonts w:ascii="Arial Narrow" w:hAnsi="Arial Narrow"/>
                <w:b/>
                <w:bCs/>
                <w:noProof/>
                <w:color w:val="008000"/>
                <w:sz w:val="20"/>
                <w:szCs w:val="20"/>
                <w:u w:val="single"/>
              </w:rPr>
              <w:t>В делегациите на Съюза</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Разходи за командировки, конференции и представителни цели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Повишаване на професионалната квалификация</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Придобиване, наемане и свързани с това разходи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Оборудване, обзавеждане, доставки и услуги</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Междинен сбор за ФУНКЦИЯ 7</w:t>
            </w:r>
          </w:p>
          <w:p>
            <w:pPr>
              <w:spacing w:before="0" w:after="0"/>
              <w:jc w:val="center"/>
              <w:rPr>
                <w:rFonts w:ascii="Arial Narrow" w:eastAsia="Times New Roman" w:hAnsi="Arial Narrow"/>
                <w:b/>
                <w:bCs/>
                <w:noProof/>
                <w:color w:val="000000"/>
                <w:sz w:val="22"/>
              </w:rPr>
            </w:pPr>
            <w:r>
              <w:rPr>
                <w:rFonts w:ascii="Arial Narrow" w:hAnsi="Arial Narrow"/>
                <w:noProof/>
                <w:sz w:val="22"/>
              </w:rPr>
              <w:t>от многогодишната финансова рамка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noProof/>
                <w:color w:val="000000"/>
                <w:sz w:val="20"/>
                <w:szCs w:val="20"/>
              </w:rPr>
            </w:pPr>
            <w:r>
              <w:rPr>
                <w:rFonts w:ascii="Arial Narrow" w:hAnsi="Arial Narrow"/>
                <w:b/>
                <w:noProof/>
                <w:sz w:val="20"/>
                <w:szCs w:val="20"/>
              </w:rPr>
              <w:t> 0,010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0,010 </w:t>
            </w:r>
          </w:p>
        </w:tc>
      </w:tr>
    </w:tbl>
    <w:p>
      <w:pPr>
        <w:spacing w:before="0" w:after="0"/>
        <w:jc w:val="right"/>
        <w:rPr>
          <w:rFonts w:ascii="Arial Narrow" w:eastAsia="Times New Roman" w:hAnsi="Arial Narrow"/>
          <w:i/>
          <w:noProof/>
          <w:sz w:val="20"/>
          <w:szCs w:val="20"/>
        </w:rPr>
      </w:pPr>
    </w:p>
    <w:p>
      <w:pPr>
        <w:spacing w:before="0" w:after="0"/>
        <w:jc w:val="left"/>
        <w:rPr>
          <w:rFonts w:eastAsia="Times New Roman"/>
          <w:b/>
          <w:noProof/>
          <w:color w:val="0000FF"/>
          <w:sz w:val="20"/>
          <w:szCs w:val="20"/>
        </w:rPr>
      </w:pPr>
      <w:r>
        <w:rPr>
          <w:noProof/>
        </w:rPr>
        <w:br w:type="page"/>
      </w:r>
    </w:p>
    <w:p>
      <w:pPr>
        <w:spacing w:before="0" w:after="0"/>
        <w:jc w:val="right"/>
        <w:rPr>
          <w:rFonts w:eastAsia="Times New Roman"/>
          <w:i/>
          <w:iCs/>
          <w:noProof/>
          <w:sz w:val="20"/>
          <w:szCs w:val="20"/>
        </w:rPr>
      </w:pPr>
      <w:r>
        <w:rPr>
          <w:i/>
          <w:noProof/>
          <w:sz w:val="20"/>
          <w:szCs w:val="20"/>
        </w:rPr>
        <w:t>млн. евро (до третия знак след десетичната запетая)</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center"/>
              <w:rPr>
                <w:rFonts w:ascii="Arial Narrow" w:eastAsia="Times New Roman" w:hAnsi="Arial Narrow"/>
                <w:noProof/>
                <w:color w:val="000000"/>
                <w:sz w:val="22"/>
              </w:rPr>
            </w:pPr>
            <w:r>
              <w:rPr>
                <w:rFonts w:ascii="Arial Narrow" w:hAnsi="Arial Narrow"/>
                <w:b/>
                <w:bCs/>
                <w:noProof/>
                <w:sz w:val="22"/>
              </w:rPr>
              <w:t>Извън ФУНКЦИЯ 7</w:t>
            </w:r>
            <w:r>
              <w:rPr>
                <w:rFonts w:ascii="Arial Narrow" w:hAnsi="Arial Narrow"/>
                <w:noProof/>
                <w:sz w:val="22"/>
              </w:rPr>
              <w:t xml:space="preserve"> </w:t>
            </w:r>
          </w:p>
          <w:p>
            <w:pPr>
              <w:spacing w:before="0" w:after="0"/>
              <w:jc w:val="center"/>
              <w:rPr>
                <w:rFonts w:ascii="Arial Narrow" w:eastAsia="Times New Roman" w:hAnsi="Arial Narrow"/>
                <w:b/>
                <w:bCs/>
                <w:noProof/>
                <w:color w:val="000000"/>
                <w:sz w:val="22"/>
              </w:rPr>
            </w:pPr>
            <w:r>
              <w:rPr>
                <w:rFonts w:ascii="Arial Narrow" w:hAnsi="Arial Narrow"/>
                <w:noProof/>
                <w:sz w:val="22"/>
              </w:rPr>
              <w:t>от многогодишната финансова рамка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2020 г.</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2021 г.</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2022 г.</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2023 г.</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2024 г.</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2025 г.</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2026 г.</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ОБЩО</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Разходи за техническа и административна помощ (</w:t>
            </w:r>
            <w:r>
              <w:rPr>
                <w:rFonts w:ascii="Arial Narrow" w:hAnsi="Arial Narrow"/>
                <w:noProof/>
                <w:sz w:val="20"/>
                <w:szCs w:val="20"/>
                <w:u w:val="single"/>
              </w:rPr>
              <w:t>невключващи</w:t>
            </w:r>
            <w:r>
              <w:rPr>
                <w:rFonts w:ascii="Arial Narrow" w:hAnsi="Arial Narrow"/>
                <w:noProof/>
                <w:sz w:val="20"/>
                <w:szCs w:val="20"/>
              </w:rPr>
              <w:t xml:space="preserve"> външен персонал) от бюджетни кредити за оперативни разходи (предишни редове „BA“)</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firstLineChars="100" w:firstLine="200"/>
              <w:jc w:val="left"/>
              <w:rPr>
                <w:rFonts w:ascii="Arial Narrow" w:eastAsia="Times New Roman" w:hAnsi="Arial Narrow"/>
                <w:noProof/>
                <w:color w:val="000000"/>
                <w:sz w:val="20"/>
                <w:szCs w:val="20"/>
              </w:rPr>
            </w:pPr>
            <w:r>
              <w:rPr>
                <w:rFonts w:ascii="Arial Narrow" w:hAnsi="Arial Narrow"/>
                <w:noProof/>
                <w:sz w:val="20"/>
                <w:szCs w:val="20"/>
              </w:rPr>
              <w:t>- в централата</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firstLineChars="100" w:firstLine="200"/>
              <w:jc w:val="left"/>
              <w:rPr>
                <w:rFonts w:ascii="Arial Narrow" w:eastAsia="Times New Roman" w:hAnsi="Arial Narrow"/>
                <w:noProof/>
                <w:color w:val="000000"/>
                <w:sz w:val="20"/>
                <w:szCs w:val="20"/>
              </w:rPr>
            </w:pPr>
            <w:r>
              <w:rPr>
                <w:rFonts w:ascii="Arial Narrow" w:hAnsi="Arial Narrow"/>
                <w:noProof/>
                <w:sz w:val="20"/>
                <w:szCs w:val="20"/>
              </w:rPr>
              <w:t>- в делегациите на Съюза</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Други разходи за управление за изследователски дейности</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Други бюджетни редове (</w:t>
            </w:r>
            <w:r>
              <w:rPr>
                <w:rFonts w:ascii="Arial Narrow" w:hAnsi="Arial Narrow"/>
                <w:i/>
                <w:iCs/>
                <w:noProof/>
                <w:sz w:val="20"/>
                <w:szCs w:val="20"/>
              </w:rPr>
              <w:t>да се посочи, където е необходимо</w:t>
            </w:r>
            <w:r>
              <w:rPr>
                <w:rFonts w:ascii="Arial Narrow" w:hAnsi="Arial Narrow"/>
                <w:noProof/>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Междинен сбор — извън ФУНКЦИЯ 7</w:t>
            </w:r>
          </w:p>
          <w:p>
            <w:pPr>
              <w:spacing w:before="0" w:after="0"/>
              <w:jc w:val="center"/>
              <w:rPr>
                <w:rFonts w:ascii="Arial Narrow" w:eastAsia="Times New Roman" w:hAnsi="Arial Narrow"/>
                <w:b/>
                <w:bCs/>
                <w:noProof/>
                <w:color w:val="000000"/>
                <w:sz w:val="22"/>
              </w:rPr>
            </w:pPr>
            <w:r>
              <w:rPr>
                <w:rFonts w:ascii="Arial Narrow" w:hAnsi="Arial Narrow"/>
                <w:noProof/>
                <w:sz w:val="22"/>
              </w:rPr>
              <w:t>от многогодишната финансова рамка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bl>
    <w:p>
      <w:pPr>
        <w:spacing w:before="0" w:after="0"/>
        <w:jc w:val="left"/>
        <w:rPr>
          <w:rFonts w:ascii="Arial Narrow" w:eastAsia="Times New Roman" w:hAnsi="Arial Narrow"/>
          <w:b/>
          <w:noProof/>
          <w:color w:val="0000FF"/>
          <w:sz w:val="20"/>
          <w:szCs w:val="20"/>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spacing w:after="0"/>
              <w:jc w:val="center"/>
              <w:rPr>
                <w:rFonts w:ascii="Arial Narrow" w:eastAsia="Times New Roman" w:hAnsi="Arial Narrow"/>
                <w:b/>
                <w:noProof/>
                <w:sz w:val="22"/>
              </w:rPr>
            </w:pPr>
            <w:r>
              <w:rPr>
                <w:rFonts w:ascii="Arial Narrow" w:hAnsi="Arial Narrow"/>
                <w:b/>
                <w:noProof/>
                <w:sz w:val="22"/>
              </w:rPr>
              <w:t>ОБЩО</w:t>
            </w:r>
          </w:p>
          <w:p>
            <w:pPr>
              <w:spacing w:before="0"/>
              <w:jc w:val="center"/>
              <w:rPr>
                <w:rFonts w:ascii="Arial Narrow" w:eastAsia="Times New Roman" w:hAnsi="Arial Narrow"/>
                <w:b/>
                <w:noProof/>
                <w:sz w:val="22"/>
              </w:rPr>
            </w:pPr>
            <w:r>
              <w:rPr>
                <w:rFonts w:ascii="Arial Narrow" w:hAnsi="Arial Narrow"/>
                <w:b/>
                <w:noProof/>
                <w:sz w:val="22"/>
              </w:rPr>
              <w:t>ФУНКЦИЯ 7 и извън ФУНКЦИЯ 7</w:t>
            </w:r>
            <w:r>
              <w:rPr>
                <w:noProof/>
              </w:rPr>
              <w:br/>
            </w:r>
            <w:r>
              <w:rPr>
                <w:rFonts w:ascii="Arial Narrow" w:hAnsi="Arial Narrow"/>
                <w:noProof/>
                <w:sz w:val="22"/>
              </w:rPr>
              <w:t>от многогодишната финансова рамка</w:t>
            </w:r>
          </w:p>
        </w:tc>
        <w:tc>
          <w:tcPr>
            <w:tcW w:w="1276" w:type="dxa"/>
            <w:tcBorders>
              <w:top w:val="single" w:sz="12" w:space="0" w:color="auto"/>
            </w:tcBorders>
            <w:vAlign w:val="center"/>
          </w:tcPr>
          <w:p>
            <w:pPr>
              <w:jc w:val="center"/>
              <w:rPr>
                <w:rFonts w:ascii="Arial Narrow" w:eastAsia="Times New Roman" w:hAnsi="Arial Narrow"/>
                <w:noProof/>
                <w:sz w:val="20"/>
                <w:szCs w:val="20"/>
              </w:rPr>
            </w:pPr>
          </w:p>
        </w:tc>
        <w:tc>
          <w:tcPr>
            <w:tcW w:w="1275" w:type="dxa"/>
            <w:tcBorders>
              <w:top w:val="single" w:sz="12" w:space="0" w:color="auto"/>
            </w:tcBorders>
            <w:vAlign w:val="center"/>
          </w:tcPr>
          <w:p>
            <w:pPr>
              <w:jc w:val="center"/>
              <w:rPr>
                <w:rFonts w:ascii="Arial Narrow" w:eastAsia="Times New Roman" w:hAnsi="Arial Narrow"/>
                <w:b/>
                <w:noProof/>
                <w:sz w:val="20"/>
                <w:szCs w:val="20"/>
              </w:rPr>
            </w:pPr>
            <w:r>
              <w:rPr>
                <w:rFonts w:ascii="Arial Narrow" w:hAnsi="Arial Narrow"/>
                <w:b/>
                <w:noProof/>
                <w:sz w:val="20"/>
                <w:szCs w:val="20"/>
              </w:rPr>
              <w:t>0,010</w:t>
            </w:r>
          </w:p>
        </w:tc>
        <w:tc>
          <w:tcPr>
            <w:tcW w:w="1276" w:type="dxa"/>
            <w:tcBorders>
              <w:top w:val="single" w:sz="12" w:space="0" w:color="auto"/>
            </w:tcBorders>
            <w:vAlign w:val="center"/>
          </w:tcPr>
          <w:p>
            <w:pPr>
              <w:jc w:val="center"/>
              <w:rPr>
                <w:rFonts w:ascii="Arial Narrow" w:eastAsia="Times New Roman" w:hAnsi="Arial Narrow"/>
                <w:noProof/>
                <w:sz w:val="20"/>
                <w:szCs w:val="20"/>
              </w:rPr>
            </w:pPr>
          </w:p>
        </w:tc>
        <w:tc>
          <w:tcPr>
            <w:tcW w:w="1276" w:type="dxa"/>
            <w:tcBorders>
              <w:top w:val="single" w:sz="12" w:space="0" w:color="auto"/>
            </w:tcBorders>
            <w:vAlign w:val="center"/>
          </w:tcPr>
          <w:p>
            <w:pPr>
              <w:jc w:val="center"/>
              <w:rPr>
                <w:rFonts w:ascii="Arial Narrow" w:eastAsia="Times New Roman" w:hAnsi="Arial Narrow"/>
                <w:noProof/>
                <w:sz w:val="20"/>
                <w:szCs w:val="20"/>
              </w:rPr>
            </w:pPr>
          </w:p>
        </w:tc>
        <w:tc>
          <w:tcPr>
            <w:tcW w:w="1276" w:type="dxa"/>
            <w:tcBorders>
              <w:top w:val="single" w:sz="12" w:space="0" w:color="auto"/>
            </w:tcBorders>
            <w:vAlign w:val="center"/>
          </w:tcPr>
          <w:p>
            <w:pPr>
              <w:jc w:val="center"/>
              <w:rPr>
                <w:rFonts w:ascii="Arial Narrow" w:eastAsia="Times New Roman" w:hAnsi="Arial Narrow"/>
                <w:noProof/>
                <w:sz w:val="20"/>
                <w:szCs w:val="20"/>
              </w:rPr>
            </w:pPr>
          </w:p>
        </w:tc>
        <w:tc>
          <w:tcPr>
            <w:tcW w:w="1275" w:type="dxa"/>
            <w:tcBorders>
              <w:top w:val="single" w:sz="12" w:space="0" w:color="auto"/>
            </w:tcBorders>
            <w:vAlign w:val="center"/>
          </w:tcPr>
          <w:p>
            <w:pPr>
              <w:jc w:val="center"/>
              <w:rPr>
                <w:rFonts w:ascii="Arial Narrow" w:eastAsia="Times New Roman" w:hAnsi="Arial Narrow"/>
                <w:noProof/>
                <w:sz w:val="20"/>
                <w:szCs w:val="20"/>
              </w:rPr>
            </w:pPr>
          </w:p>
        </w:tc>
        <w:tc>
          <w:tcPr>
            <w:tcW w:w="1418" w:type="dxa"/>
            <w:tcBorders>
              <w:top w:val="single" w:sz="12" w:space="0" w:color="auto"/>
            </w:tcBorders>
            <w:vAlign w:val="center"/>
          </w:tcPr>
          <w:p>
            <w:pPr>
              <w:jc w:val="center"/>
              <w:rPr>
                <w:rFonts w:ascii="Arial Narrow" w:eastAsia="Times New Roman" w:hAnsi="Arial Narrow"/>
                <w:noProof/>
                <w:sz w:val="20"/>
                <w:szCs w:val="20"/>
              </w:rPr>
            </w:pPr>
          </w:p>
        </w:tc>
        <w:tc>
          <w:tcPr>
            <w:tcW w:w="1276" w:type="dxa"/>
            <w:tcBorders>
              <w:top w:val="single" w:sz="12" w:space="0" w:color="auto"/>
            </w:tcBorders>
            <w:vAlign w:val="center"/>
          </w:tcPr>
          <w:p>
            <w:pPr>
              <w:spacing w:before="0" w:after="0"/>
              <w:jc w:val="center"/>
              <w:rPr>
                <w:rFonts w:ascii="Arial Narrow" w:eastAsia="Times New Roman" w:hAnsi="Arial Narrow"/>
                <w:b/>
                <w:noProof/>
                <w:sz w:val="20"/>
                <w:szCs w:val="20"/>
              </w:rPr>
            </w:pPr>
            <w:r>
              <w:rPr>
                <w:rFonts w:ascii="Arial Narrow" w:hAnsi="Arial Narrow"/>
                <w:b/>
                <w:noProof/>
                <w:sz w:val="20"/>
                <w:szCs w:val="20"/>
              </w:rPr>
              <w:t>0,010</w:t>
            </w:r>
          </w:p>
        </w:tc>
      </w:tr>
    </w:tbl>
    <w:p>
      <w:pPr>
        <w:spacing w:before="0" w:after="0"/>
        <w:jc w:val="right"/>
        <w:rPr>
          <w:rFonts w:ascii="Arial Narrow" w:eastAsia="Times New Roman" w:hAnsi="Arial Narrow"/>
          <w:i/>
          <w:iCs/>
          <w:noProof/>
          <w:sz w:val="20"/>
          <w:szCs w:val="20"/>
        </w:rPr>
      </w:pPr>
    </w:p>
    <w:p>
      <w:pPr>
        <w:spacing w:before="0" w:after="0"/>
        <w:jc w:val="center"/>
        <w:rPr>
          <w:rFonts w:eastAsia="Times New Roman"/>
          <w:noProof/>
          <w:sz w:val="18"/>
          <w:szCs w:val="24"/>
        </w:rPr>
      </w:pPr>
      <w:r>
        <w:rPr>
          <w:noProof/>
          <w:sz w:val="18"/>
        </w:rPr>
        <w:t>Необходимите бюджетни кредити за административни разходи ще бъдат покрити от бюджетните кредити, които вече са разпределени за управлението на действието и/или които са преразпределени,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съществуващите бюджетни ограничения.</w:t>
      </w:r>
    </w:p>
    <w:p>
      <w:pPr>
        <w:pStyle w:val="ManualHeading1"/>
        <w:rPr>
          <w:rFonts w:eastAsia="Times New Roman"/>
          <w:noProof/>
          <w:sz w:val="18"/>
          <w:szCs w:val="24"/>
        </w:rPr>
        <w:sectPr>
          <w:pgSz w:w="16840" w:h="11907" w:orient="landscape" w:code="9"/>
          <w:pgMar w:top="1418" w:right="1134" w:bottom="1418" w:left="1134" w:header="709" w:footer="709" w:gutter="0"/>
          <w:cols w:space="708"/>
          <w:docGrid w:linePitch="360"/>
        </w:sectPr>
      </w:pPr>
    </w:p>
    <w:p>
      <w:pPr>
        <w:pStyle w:val="ManualHeading1"/>
        <w:rPr>
          <w:noProof/>
        </w:rPr>
      </w:pPr>
      <w:r>
        <w:rPr>
          <w:noProof/>
        </w:rPr>
        <w:t>3. Методи за изчисление</w:t>
      </w:r>
    </w:p>
    <w:p>
      <w:pPr>
        <w:pStyle w:val="ManualHeading2"/>
        <w:rPr>
          <w:noProof/>
        </w:rPr>
      </w:pPr>
      <w:r>
        <w:rPr>
          <w:noProof/>
        </w:rPr>
        <w:t>3.1 Човешки ресурси</w:t>
      </w:r>
    </w:p>
    <w:p>
      <w:pPr>
        <w:spacing w:before="0" w:after="60"/>
        <w:jc w:val="center"/>
        <w:rPr>
          <w:rFonts w:eastAsia="Times New Roman"/>
          <w:i/>
          <w:noProof/>
          <w:sz w:val="20"/>
          <w:szCs w:val="20"/>
        </w:rPr>
      </w:pPr>
      <w:r>
        <w:rPr>
          <w:i/>
          <w:noProof/>
          <w:sz w:val="20"/>
        </w:rPr>
        <w:t>В тази част се определя методът за изчисляване на считаните за необходими човешки ресурси (предположения за работно натоварване, включително специфични длъжностни характеристики (работни профили в Sysper 2), категории служители и съответните средни разходи)</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rPr>
            </w:pPr>
            <w:r>
              <w:rPr>
                <w:rFonts w:ascii="Arial Narrow" w:hAnsi="Arial Narrow"/>
                <w:b/>
                <w:bCs/>
                <w:noProof/>
                <w:sz w:val="22"/>
              </w:rPr>
              <w:t>ФУНКЦИЯ 7</w:t>
            </w:r>
            <w:r>
              <w:rPr>
                <w:rFonts w:ascii="Arial Narrow" w:hAnsi="Arial Narrow"/>
                <w:noProof/>
                <w:sz w:val="22"/>
              </w:rPr>
              <w:t xml:space="preserve"> от многогодишната финансова рамка</w:t>
            </w:r>
          </w:p>
        </w:tc>
      </w:tr>
      <w:tr>
        <w:trPr>
          <w:jc w:val="center"/>
        </w:trPr>
        <w:tc>
          <w:tcPr>
            <w:tcW w:w="12474" w:type="dxa"/>
          </w:tcPr>
          <w:p>
            <w:pPr>
              <w:spacing w:before="20" w:after="20"/>
              <w:jc w:val="center"/>
              <w:rPr>
                <w:rFonts w:ascii="Arial Narrow" w:eastAsia="Times New Roman" w:hAnsi="Arial Narrow"/>
                <w:noProof/>
                <w:sz w:val="18"/>
                <w:szCs w:val="18"/>
              </w:rPr>
            </w:pPr>
            <w:r>
              <w:rPr>
                <w:rFonts w:ascii="Arial Narrow" w:hAnsi="Arial Narrow"/>
                <w:noProof/>
                <w:sz w:val="18"/>
                <w:u w:val="single"/>
              </w:rPr>
              <w:t>ЗАБЕЛЕЖКА:</w:t>
            </w:r>
            <w:r>
              <w:rPr>
                <w:rFonts w:ascii="Arial Narrow" w:hAnsi="Arial Narrow"/>
                <w:noProof/>
                <w:sz w:val="18"/>
              </w:rPr>
              <w:t xml:space="preserve"> Средните разходи за всяка категория служители в централата са достъпни на уебсайта BudgWeb:</w:t>
            </w:r>
          </w:p>
          <w:p>
            <w:pPr>
              <w:spacing w:before="0" w:after="20"/>
              <w:jc w:val="center"/>
              <w:rPr>
                <w:rFonts w:ascii="Arial Narrow" w:eastAsia="Times New Roman" w:hAnsi="Arial Narrow"/>
                <w:noProof/>
                <w:sz w:val="18"/>
                <w:szCs w:val="18"/>
              </w:rPr>
            </w:pPr>
            <w:hyperlink r:id="rId25" w:history="1">
              <w:r>
                <w:rPr>
                  <w:rFonts w:ascii="Arial Narrow" w:hAnsi="Arial Narrow"/>
                  <w:noProof/>
                  <w:color w:val="0000FF"/>
                  <w:sz w:val="18"/>
                  <w:szCs w:val="18"/>
                  <w:u w:val="single"/>
                </w:rPr>
                <w:t>https://myintracomm.ec.europa.eu/budgweb/EN/pre/legalbasis/Pages/pre-040-020_preparation.aspx</w:t>
              </w:r>
            </w:hyperlink>
          </w:p>
        </w:tc>
      </w:tr>
      <w:tr>
        <w:trPr>
          <w:jc w:val="center"/>
        </w:trPr>
        <w:tc>
          <w:tcPr>
            <w:tcW w:w="12474" w:type="dxa"/>
          </w:tcPr>
          <w:p>
            <w:pPr>
              <w:spacing w:before="40" w:after="0"/>
              <w:jc w:val="left"/>
              <w:rPr>
                <w:rFonts w:ascii="Arial Narrow" w:eastAsia="Times New Roman" w:hAnsi="Arial Narrow"/>
                <w:bCs/>
                <w:iCs/>
                <w:noProof/>
                <w:sz w:val="20"/>
                <w:szCs w:val="20"/>
              </w:rPr>
            </w:pPr>
            <w:r>
              <w:rPr>
                <w:noProof/>
              </w:rPr>
              <w:t xml:space="preserve"> </w:t>
            </w:r>
            <w:r>
              <w:rPr>
                <w:rFonts w:ascii="Arial Narrow" w:hAnsi="Arial Narrow"/>
                <w:b/>
                <w:noProof/>
              </w:rPr>
              <w:sym w:font="Wingdings" w:char="F09F"/>
            </w:r>
            <w:r>
              <w:rPr>
                <w:noProof/>
              </w:rPr>
              <w:t xml:space="preserve"> Длъжностни лица и срочно наети служители</w:t>
            </w:r>
          </w:p>
          <w:p>
            <w:pPr>
              <w:spacing w:before="0" w:after="0"/>
              <w:rPr>
                <w:rFonts w:ascii="Arial Narrow" w:eastAsia="Times New Roman" w:hAnsi="Arial Narrow"/>
                <w:noProof/>
                <w:sz w:val="20"/>
                <w:szCs w:val="20"/>
                <w:u w:val="single"/>
              </w:rPr>
            </w:pPr>
            <w:r>
              <w:rPr>
                <w:rFonts w:ascii="Arial Narrow" w:hAnsi="Arial Narrow"/>
                <w:noProof/>
                <w:sz w:val="20"/>
                <w:szCs w:val="20"/>
                <w:u w:val="single"/>
              </w:rPr>
              <w:t>1 ЕПРВ през 2020 г. за подготовката и координирането на събития</w:t>
            </w:r>
          </w:p>
          <w:p>
            <w:pPr>
              <w:spacing w:before="0" w:after="0"/>
              <w:rPr>
                <w:rFonts w:ascii="Arial Narrow" w:eastAsia="Times New Roman" w:hAnsi="Arial Narrow"/>
                <w:noProof/>
                <w:sz w:val="20"/>
                <w:szCs w:val="20"/>
                <w:u w:val="single"/>
              </w:rPr>
            </w:pPr>
            <w:r>
              <w:rPr>
                <w:rFonts w:ascii="Arial Narrow" w:hAnsi="Arial Narrow"/>
                <w:noProof/>
                <w:sz w:val="20"/>
                <w:szCs w:val="20"/>
                <w:u w:val="single"/>
              </w:rPr>
              <w:t>2 ЕПРВ през 2021 г. за управлението на поканата за представяне на предложения</w:t>
            </w:r>
          </w:p>
          <w:p>
            <w:pPr>
              <w:spacing w:before="0" w:after="0"/>
              <w:rPr>
                <w:rFonts w:ascii="Arial Narrow" w:eastAsia="Times New Roman" w:hAnsi="Arial Narrow"/>
                <w:noProof/>
                <w:sz w:val="20"/>
                <w:szCs w:val="20"/>
                <w:u w:val="single"/>
              </w:rPr>
            </w:pPr>
            <w:r>
              <w:rPr>
                <w:rFonts w:ascii="Arial Narrow" w:hAnsi="Arial Narrow"/>
                <w:noProof/>
                <w:sz w:val="20"/>
                <w:szCs w:val="20"/>
                <w:u w:val="single"/>
              </w:rPr>
              <w:t xml:space="preserve">0.5 ЕПРВ през 2022 г. за окончателно докладване </w:t>
            </w: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rPr>
            </w:pPr>
            <w:r>
              <w:rPr>
                <w:rFonts w:ascii="Arial Narrow" w:hAnsi="Arial Narrow"/>
                <w:b/>
                <w:noProof/>
              </w:rPr>
              <w:sym w:font="Wingdings" w:char="F09F"/>
            </w:r>
            <w:r>
              <w:rPr>
                <w:noProof/>
              </w:rPr>
              <w:t xml:space="preserve"> Външен персонал</w:t>
            </w: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bl>
    <w:p>
      <w:pPr>
        <w:spacing w:before="0" w:after="0"/>
        <w:jc w:val="left"/>
        <w:rPr>
          <w:rFonts w:ascii="Arial Narrow" w:eastAsia="Times New Roman" w:hAnsi="Arial Narrow"/>
          <w:noProof/>
          <w:szCs w:val="24"/>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rPr>
            </w:pPr>
            <w:r>
              <w:rPr>
                <w:rFonts w:ascii="Arial Narrow" w:hAnsi="Arial Narrow"/>
                <w:b/>
                <w:bCs/>
                <w:noProof/>
                <w:sz w:val="22"/>
              </w:rPr>
              <w:t>Извън ФУНКЦИЯ 7</w:t>
            </w:r>
            <w:r>
              <w:rPr>
                <w:rFonts w:ascii="Arial Narrow" w:hAnsi="Arial Narrow"/>
                <w:noProof/>
                <w:sz w:val="22"/>
              </w:rPr>
              <w:t xml:space="preserve"> от многогодишната финансова рамка</w:t>
            </w:r>
          </w:p>
        </w:tc>
      </w:tr>
      <w:tr>
        <w:trPr>
          <w:jc w:val="center"/>
        </w:trPr>
        <w:tc>
          <w:tcPr>
            <w:tcW w:w="12474" w:type="dxa"/>
          </w:tcPr>
          <w:p>
            <w:pPr>
              <w:spacing w:before="40" w:after="0"/>
              <w:jc w:val="left"/>
              <w:rPr>
                <w:rFonts w:ascii="Arial Narrow" w:eastAsia="Times New Roman" w:hAnsi="Arial Narrow"/>
                <w:bCs/>
                <w:iCs/>
                <w:noProof/>
                <w:sz w:val="20"/>
                <w:szCs w:val="20"/>
              </w:rPr>
            </w:pPr>
            <w:r>
              <w:rPr>
                <w:rFonts w:ascii="Arial Narrow" w:hAnsi="Arial Narrow"/>
                <w:b/>
                <w:noProof/>
              </w:rPr>
              <w:sym w:font="Wingdings" w:char="F09F"/>
            </w:r>
            <w:r>
              <w:rPr>
                <w:noProof/>
              </w:rPr>
              <w:t xml:space="preserve"> Само длъжностите, финансирани от бюджета за научни изследвания</w:t>
            </w:r>
            <w:r>
              <w:rPr>
                <w:rFonts w:ascii="Arial Narrow" w:hAnsi="Arial Narrow"/>
                <w:noProof/>
                <w:sz w:val="22"/>
              </w:rPr>
              <w:t xml:space="preserve"> </w:t>
            </w: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18"/>
                <w:szCs w:val="18"/>
                <w:u w:val="single"/>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rPr>
            </w:pPr>
            <w:r>
              <w:rPr>
                <w:rFonts w:ascii="Arial Narrow" w:hAnsi="Arial Narrow"/>
                <w:b/>
                <w:noProof/>
              </w:rPr>
              <w:sym w:font="Wingdings" w:char="F09F"/>
            </w:r>
            <w:r>
              <w:rPr>
                <w:noProof/>
              </w:rPr>
              <w:t xml:space="preserve"> Външен персонал</w:t>
            </w: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bl>
    <w:p>
      <w:pPr>
        <w:spacing w:before="60" w:after="0"/>
        <w:rPr>
          <w:rFonts w:eastAsia="Times New Roman"/>
          <w:noProof/>
          <w:sz w:val="20"/>
          <w:szCs w:val="20"/>
        </w:rPr>
      </w:pPr>
    </w:p>
    <w:p>
      <w:pPr>
        <w:pStyle w:val="ManualHeading2"/>
        <w:rPr>
          <w:noProof/>
        </w:rPr>
      </w:pPr>
      <w:r>
        <w:rPr>
          <w:noProof/>
        </w:rPr>
        <w:t>3.2 Други административни разходи</w:t>
      </w:r>
    </w:p>
    <w:p>
      <w:pPr>
        <w:keepNext/>
        <w:spacing w:before="60" w:after="0"/>
        <w:jc w:val="center"/>
        <w:rPr>
          <w:rFonts w:eastAsia="Times New Roman"/>
          <w:i/>
          <w:noProof/>
          <w:sz w:val="20"/>
          <w:szCs w:val="20"/>
        </w:rPr>
      </w:pPr>
      <w:r>
        <w:rPr>
          <w:i/>
          <w:noProof/>
          <w:sz w:val="20"/>
        </w:rPr>
        <w:t xml:space="preserve">Опишете подробно метода за изчисляване, използван за всеки бюджетен ред, </w:t>
      </w:r>
    </w:p>
    <w:p>
      <w:pPr>
        <w:keepNext/>
        <w:spacing w:before="0" w:after="60"/>
        <w:jc w:val="center"/>
        <w:rPr>
          <w:rFonts w:eastAsia="Times New Roman"/>
          <w:i/>
          <w:noProof/>
          <w:sz w:val="20"/>
          <w:szCs w:val="20"/>
        </w:rPr>
      </w:pPr>
      <w:r>
        <w:rPr>
          <w:i/>
          <w:noProof/>
          <w:sz w:val="20"/>
        </w:rPr>
        <w:t>и по-специално заложените предположения (например брой заседания на година, средни разходи и др.)</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9537" w:type="dxa"/>
            <w:tcBorders>
              <w:top w:val="single" w:sz="4" w:space="0" w:color="auto"/>
            </w:tcBorders>
          </w:tcPr>
          <w:p>
            <w:pPr>
              <w:spacing w:before="60" w:after="60"/>
              <w:jc w:val="left"/>
              <w:rPr>
                <w:rFonts w:ascii="Arial Narrow" w:eastAsia="Times New Roman" w:hAnsi="Arial Narrow"/>
                <w:b/>
                <w:noProof/>
                <w:sz w:val="22"/>
              </w:rPr>
            </w:pPr>
            <w:r>
              <w:rPr>
                <w:rFonts w:ascii="Arial Narrow" w:hAnsi="Arial Narrow"/>
                <w:b/>
                <w:bCs/>
                <w:noProof/>
                <w:sz w:val="22"/>
              </w:rPr>
              <w:t>ФУНКЦИЯ 7</w:t>
            </w:r>
            <w:r>
              <w:rPr>
                <w:rFonts w:ascii="Arial Narrow" w:hAnsi="Arial Narrow"/>
                <w:noProof/>
                <w:sz w:val="22"/>
              </w:rPr>
              <w:t xml:space="preserve"> от многогодишната финансова рамка</w:t>
            </w:r>
          </w:p>
        </w:tc>
      </w:tr>
      <w:tr>
        <w:trPr>
          <w:jc w:val="center"/>
        </w:trPr>
        <w:tc>
          <w:tcPr>
            <w:tcW w:w="9537" w:type="dxa"/>
            <w:tcBorders>
              <w:bottom w:val="single" w:sz="4" w:space="0" w:color="auto"/>
            </w:tcBorders>
          </w:tcPr>
          <w:p>
            <w:pPr>
              <w:spacing w:before="0" w:after="0"/>
              <w:rPr>
                <w:rFonts w:ascii="Arial Narrow" w:eastAsia="Times New Roman" w:hAnsi="Arial Narrow"/>
                <w:noProof/>
                <w:sz w:val="22"/>
                <w:u w:val="single"/>
              </w:rPr>
            </w:pPr>
          </w:p>
          <w:p>
            <w:pPr>
              <w:spacing w:before="0" w:after="0"/>
              <w:rPr>
                <w:rFonts w:ascii="Arial Narrow" w:eastAsia="Times New Roman" w:hAnsi="Arial Narrow"/>
                <w:noProof/>
                <w:sz w:val="20"/>
                <w:szCs w:val="20"/>
                <w:u w:val="single"/>
              </w:rPr>
            </w:pPr>
            <w:r>
              <w:rPr>
                <w:rFonts w:ascii="Arial Narrow" w:hAnsi="Arial Narrow"/>
                <w:noProof/>
                <w:sz w:val="20"/>
                <w:szCs w:val="20"/>
                <w:u w:val="single"/>
              </w:rPr>
              <w:t>Около 10 мисии в държавите членки през 2021 г.</w:t>
            </w:r>
          </w:p>
          <w:p>
            <w:pPr>
              <w:spacing w:before="60" w:after="0"/>
              <w:rPr>
                <w:rFonts w:ascii="Arial Narrow" w:eastAsia="Times New Roman" w:hAnsi="Arial Narrow"/>
                <w:noProof/>
                <w:sz w:val="22"/>
                <w:u w:val="single"/>
              </w:rPr>
            </w:pPr>
          </w:p>
        </w:tc>
      </w:tr>
    </w:tbl>
    <w:p>
      <w:pPr>
        <w:spacing w:before="0" w:after="0"/>
        <w:jc w:val="left"/>
        <w:rPr>
          <w:rFonts w:ascii="Arial Narrow" w:eastAsia="Times New Roman" w:hAnsi="Arial Narrow"/>
          <w:noProof/>
          <w:sz w:val="22"/>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spacing w:before="60" w:after="60"/>
              <w:jc w:val="left"/>
              <w:rPr>
                <w:rFonts w:ascii="Arial Narrow" w:eastAsia="Times New Roman" w:hAnsi="Arial Narrow"/>
                <w:b/>
                <w:noProof/>
                <w:sz w:val="22"/>
              </w:rPr>
            </w:pPr>
            <w:r>
              <w:rPr>
                <w:rFonts w:ascii="Arial Narrow" w:hAnsi="Arial Narrow"/>
                <w:b/>
                <w:bCs/>
                <w:noProof/>
                <w:sz w:val="22"/>
              </w:rPr>
              <w:t>Извън ФУНКЦИЯ 7</w:t>
            </w:r>
            <w:r>
              <w:rPr>
                <w:rFonts w:ascii="Arial Narrow" w:hAnsi="Arial Narrow"/>
                <w:noProof/>
                <w:sz w:val="22"/>
              </w:rPr>
              <w:t xml:space="preserve"> от многогодишната финансова рамка</w:t>
            </w:r>
          </w:p>
        </w:tc>
      </w:tr>
      <w:tr>
        <w:trPr>
          <w:jc w:val="center"/>
        </w:trPr>
        <w:tc>
          <w:tcPr>
            <w:tcW w:w="9295" w:type="dxa"/>
            <w:tcBorders>
              <w:bottom w:val="single" w:sz="4" w:space="0" w:color="auto"/>
            </w:tcBorders>
          </w:tcPr>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bl>
    <w:p>
      <w:pPr>
        <w:rPr>
          <w:noProof/>
        </w:rPr>
      </w:pPr>
    </w:p>
    <w:sectPr>
      <w:headerReference w:type="default" r:id="rId26"/>
      <w:footerReference w:type="default" r:id="rId27"/>
      <w:headerReference w:type="first" r:id="rId28"/>
      <w:footerReference w:type="first" r:id="rId2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 Европейският зелен пакт, от 11 декември 2019 г. (COM/2019/640 final).</w:t>
      </w:r>
    </w:p>
  </w:footnote>
  <w:footnote w:id="2">
    <w:p>
      <w:pPr>
        <w:pStyle w:val="FootnoteText"/>
      </w:pPr>
      <w:r>
        <w:rPr>
          <w:rStyle w:val="FootnoteReference"/>
        </w:rPr>
        <w:footnoteRef/>
      </w:r>
      <w:r>
        <w:tab/>
        <w:t>https://sustainabledevelopment.un.org/post2015/transformingourworld</w:t>
      </w:r>
    </w:p>
  </w:footnote>
  <w:footnote w:id="3">
    <w:p>
      <w:pPr>
        <w:pStyle w:val="FootnoteText"/>
      </w:pPr>
      <w:r>
        <w:rPr>
          <w:rStyle w:val="FootnoteReference"/>
        </w:rPr>
        <w:footnoteRef/>
      </w:r>
      <w:r>
        <w:tab/>
        <w:t>Заключения на Европейския съвет от 12 декември 2019 г.</w:t>
      </w:r>
      <w:r>
        <w:tab/>
      </w:r>
      <w:r>
        <w:br/>
        <w:t>https://www.consilium.europa.eu/media/41771/12-euco-final-conclusions-bg.pdf</w:t>
      </w:r>
    </w:p>
  </w:footnote>
  <w:footnote w:id="4">
    <w:p>
      <w:pPr>
        <w:pStyle w:val="FootnoteText"/>
      </w:pPr>
      <w:r>
        <w:rPr>
          <w:rStyle w:val="FootnoteReference"/>
        </w:rPr>
        <w:footnoteRef/>
      </w:r>
      <w:r>
        <w:tab/>
        <w:t>Резолюция на Европейския парламент от 15 януари 2020 г. относно Европейския зелен пакт (2019/2956 (RSP).</w:t>
      </w:r>
    </w:p>
  </w:footnote>
  <w:footnote w:id="5">
    <w:p>
      <w:pPr>
        <w:pStyle w:val="FootnoteText"/>
      </w:pPr>
      <w:r>
        <w:rPr>
          <w:rStyle w:val="FootnoteReference"/>
        </w:rPr>
        <w:footnoteRef/>
      </w:r>
      <w:r>
        <w:tab/>
        <w:t>Статистически джобен наръчник за транспорта на ЕС за 2019 г.</w:t>
      </w:r>
    </w:p>
  </w:footnote>
  <w:footnote w:id="6">
    <w:p>
      <w:pPr>
        <w:pStyle w:val="FootnoteText"/>
      </w:pPr>
      <w:r>
        <w:rPr>
          <w:rStyle w:val="FootnoteReference"/>
        </w:rPr>
        <w:footnoteRef/>
      </w:r>
      <w:r>
        <w:tab/>
        <w:t>Статистически джобен наръчник за транспорта на ЕС за 2019 г.</w:t>
      </w:r>
    </w:p>
  </w:footnote>
  <w:footnote w:id="7">
    <w:p>
      <w:pPr>
        <w:pStyle w:val="FootnoteText"/>
      </w:pPr>
      <w:r>
        <w:rPr>
          <w:rStyle w:val="FootnoteReference"/>
        </w:rPr>
        <w:footnoteRef/>
      </w:r>
      <w:r>
        <w:tab/>
        <w:t xml:space="preserve">Статистически джобен наръчник за транспорта на ЕС за 2019 г. </w:t>
      </w:r>
    </w:p>
  </w:footnote>
  <w:footnote w:id="8">
    <w:p>
      <w:pPr>
        <w:pStyle w:val="FootnoteText"/>
      </w:pPr>
      <w:r>
        <w:rPr>
          <w:rStyle w:val="FootnoteReference"/>
        </w:rPr>
        <w:footnoteRef/>
      </w:r>
      <w:r>
        <w:tab/>
        <w:t>https://ec.europa.eu/transport/modes/rail/packages/2013_bg</w:t>
      </w:r>
    </w:p>
  </w:footnote>
  <w:footnote w:id="9">
    <w:p>
      <w:pPr>
        <w:pStyle w:val="FootnoteText"/>
      </w:pPr>
      <w:r>
        <w:rPr>
          <w:rStyle w:val="FootnoteReference"/>
        </w:rPr>
        <w:footnoteRef/>
      </w:r>
      <w:r>
        <w:tab/>
        <w:t>https://europa.eu/youth/discovereu_bg</w:t>
      </w:r>
    </w:p>
  </w:footnote>
  <w:footnote w:id="10">
    <w:p>
      <w:pPr>
        <w:pStyle w:val="FootnoteText"/>
      </w:pPr>
      <w:r>
        <w:rPr>
          <w:rStyle w:val="FootnoteReference"/>
        </w:rPr>
        <w:footnoteRef/>
      </w:r>
      <w:r>
        <w:tab/>
        <w:t>https://europalia.eu</w:t>
      </w:r>
    </w:p>
  </w:footnote>
  <w:footnote w:id="11">
    <w:p>
      <w:pPr>
        <w:pStyle w:val="FootnoteText"/>
      </w:pPr>
      <w:r>
        <w:rPr>
          <w:rStyle w:val="FootnoteReference"/>
        </w:rPr>
        <w:footnoteRef/>
      </w:r>
      <w:r>
        <w:tab/>
        <w:t>Становище на Европейския икономически и социален комитет — Гарантиране на приобщаващ секторен преход към цифровизирана железопътна индустрия (прието на 30.10.2019 г., CCMI/169-EESC-2019).</w:t>
      </w:r>
    </w:p>
  </w:footnote>
  <w:footnote w:id="12">
    <w:p>
      <w:pPr>
        <w:pStyle w:val="FootnoteText"/>
      </w:pPr>
      <w:r>
        <w:rPr>
          <w:rStyle w:val="FootnoteReference"/>
        </w:rPr>
        <w:footnoteRef/>
      </w:r>
      <w:r>
        <w:tab/>
        <w:t>Становище на Комитета на регионите — Потенциалът на железопътния сектор за изпълнение на политическите приоритети на ЕС (приет на 4 декември 2019 г., CDR 1939/2019).</w:t>
      </w:r>
    </w:p>
  </w:footnote>
  <w:footnote w:id="13">
    <w:p>
      <w:pPr>
        <w:pStyle w:val="FootnoteText"/>
      </w:pPr>
      <w:r>
        <w:rPr>
          <w:rStyle w:val="FootnoteReference"/>
        </w:rPr>
        <w:footnoteRef/>
      </w:r>
      <w:r>
        <w:tab/>
        <w:t>ОВ С [...], [...] г., стр. [...].</w:t>
      </w:r>
    </w:p>
  </w:footnote>
  <w:footnote w:id="14">
    <w:p>
      <w:pPr>
        <w:pStyle w:val="FootnoteText"/>
      </w:pPr>
      <w:r>
        <w:rPr>
          <w:rStyle w:val="FootnoteReference"/>
        </w:rPr>
        <w:footnoteRef/>
      </w:r>
      <w:r>
        <w:tab/>
        <w:t>ОВ С [...], [...] г., стр. [...].</w:t>
      </w:r>
    </w:p>
  </w:footnote>
  <w:footnote w:id="15">
    <w:p>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 Европейският зелен пакт, от 11 декември 2019 г. (COM/2019/640 final).</w:t>
      </w:r>
    </w:p>
  </w:footnote>
  <w:footnote w:id="16">
    <w:p>
      <w:pPr>
        <w:pStyle w:val="FootnoteText"/>
      </w:pPr>
      <w:r>
        <w:rPr>
          <w:rStyle w:val="FootnoteReference"/>
        </w:rPr>
        <w:footnoteRef/>
      </w:r>
      <w:r>
        <w:tab/>
        <w:t>Заключения на Европейския съвет от 12 декември 2019 г.</w:t>
      </w:r>
    </w:p>
  </w:footnote>
  <w:footnote w:id="17">
    <w:p>
      <w:pPr>
        <w:pStyle w:val="FootnoteText"/>
      </w:pPr>
      <w:r>
        <w:rPr>
          <w:rStyle w:val="FootnoteReference"/>
        </w:rPr>
        <w:footnoteRef/>
      </w:r>
      <w:r>
        <w:tab/>
        <w:t>Резолюция на Европейския парламент от 15 януари 2020 г. относно Европейския зелен пакт (2019/2956 (RSP).</w:t>
      </w:r>
    </w:p>
  </w:footnote>
  <w:footnote w:id="18">
    <w:p>
      <w:pPr>
        <w:pStyle w:val="FootnoteText"/>
      </w:pPr>
      <w:r>
        <w:rPr>
          <w:rStyle w:val="FootnoteReference"/>
        </w:rPr>
        <w:footnoteRef/>
      </w:r>
      <w:r>
        <w:tab/>
        <w:t>Статистически наръчник на ГД „Мобилност и транспорт“ за 2019 г. „Транспортът на ЕС в цифри“ (източник: Евростат).</w:t>
      </w:r>
    </w:p>
  </w:footnote>
  <w:footnote w:id="19">
    <w:p>
      <w:pPr>
        <w:pStyle w:val="FootnoteText"/>
        <w:rPr>
          <w:szCs w:val="24"/>
        </w:rPr>
      </w:pPr>
      <w:r>
        <w:rPr>
          <w:rStyle w:val="FootnoteReference"/>
        </w:rPr>
        <w:footnoteRef/>
      </w:r>
      <w:r>
        <w:tab/>
        <w:t>Съгласно член 58, параграф 2, буква а) или б) от Финансовия регламент.</w:t>
      </w:r>
    </w:p>
  </w:footnote>
  <w:footnote w:id="20">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history="1">
        <w:r>
          <w:rPr>
            <w:rStyle w:val="Hyperlink"/>
          </w:rPr>
          <w:t>https://myintracomm.ec.europa.eu/budgweb/EN/man/budgmanag/Pages/budgmanag.aspx.</w:t>
        </w:r>
      </w:hyperlink>
      <w:r>
        <w:t xml:space="preserve"> </w:t>
      </w:r>
    </w:p>
  </w:footnote>
  <w:footnote w:id="2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2">
    <w:p>
      <w:pPr>
        <w:pStyle w:val="FootnoteText"/>
        <w:rPr>
          <w:szCs w:val="24"/>
        </w:rPr>
      </w:pPr>
      <w:r>
        <w:rPr>
          <w:rStyle w:val="FootnoteReference"/>
        </w:rPr>
        <w:footnoteRef/>
      </w:r>
      <w:r>
        <w:tab/>
        <w:t xml:space="preserve">ЕАСТ: Европейска асоциация за свободна търговия. </w:t>
      </w:r>
    </w:p>
  </w:footnote>
  <w:footnote w:id="23">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24">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5">
    <w:p>
      <w:pPr>
        <w:pStyle w:val="FootnoteText"/>
        <w:rPr>
          <w:szCs w:val="24"/>
        </w:rPr>
      </w:pPr>
      <w:r>
        <w:rPr>
          <w:rStyle w:val="FootnoteReference"/>
        </w:rPr>
        <w:footnoteRef/>
      </w:r>
      <w:r>
        <w:tab/>
        <w:t xml:space="preserve">ЕАСТ: Европейска асоциация за свободна търговия. </w:t>
      </w:r>
    </w:p>
  </w:footnote>
  <w:footnote w:id="26">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2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8">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9">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0">
    <w:p>
      <w:pPr>
        <w:pStyle w:val="FootnoteText"/>
        <w:spacing w:after="120"/>
      </w:pPr>
      <w:r>
        <w:rPr>
          <w:rStyle w:val="FootnoteReference"/>
        </w:rPr>
        <w:footnoteRef/>
      </w:r>
      <w:r>
        <w:tab/>
        <w:t>ДНП = договорно нает персонал;</w:t>
      </w:r>
      <w:r>
        <w:rPr>
          <w:sz w:val="18"/>
        </w:rPr>
        <w:t xml:space="preserve">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31">
    <w:p>
      <w:pPr>
        <w:pStyle w:val="FootnoteText"/>
        <w:spacing w:after="120"/>
      </w:pPr>
      <w:r>
        <w:rPr>
          <w:rStyle w:val="FootnoteReference"/>
        </w:rPr>
        <w:footnoteRef/>
      </w:r>
      <w:r>
        <w:tab/>
        <w:t>ДНП = договорно нает персонал;</w:t>
      </w:r>
      <w:r>
        <w:rPr>
          <w:sz w:val="18"/>
        </w:rPr>
        <w:t xml:space="preserve">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32">
    <w:p>
      <w:pPr>
        <w:pStyle w:val="FootnoteText"/>
      </w:pPr>
      <w:r>
        <w:rPr>
          <w:rStyle w:val="FootnoteReference"/>
        </w:rPr>
        <w:footnoteRef/>
      </w:r>
      <w:r>
        <w:tab/>
        <w:t>Посочва се видът на комитета и групата, към която той принадлежи.</w:t>
      </w:r>
    </w:p>
  </w:footnote>
  <w:footnote w:id="33">
    <w:p>
      <w:pPr>
        <w:pStyle w:val="FootnoteText"/>
      </w:pPr>
      <w:r>
        <w:rPr>
          <w:rStyle w:val="FootnoteReference"/>
        </w:rPr>
        <w:footnoteRef/>
      </w:r>
      <w:r>
        <w:tab/>
        <w:t>ИКТ: Информационни и комуникационни технологии: необходими са консултации с ГД „Информатика“.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6"/>
  </w:num>
  <w:num w:numId="25">
    <w:abstractNumId w:val="12"/>
  </w:num>
  <w:num w:numId="26">
    <w:abstractNumId w:val="4"/>
  </w:num>
  <w:num w:numId="27">
    <w:abstractNumId w:val="23"/>
  </w:num>
  <w:num w:numId="28">
    <w:abstractNumId w:val="3"/>
  </w:num>
  <w:num w:numId="29">
    <w:abstractNumId w:val="13"/>
  </w:num>
  <w:num w:numId="30">
    <w:abstractNumId w:val="19"/>
  </w:num>
  <w:num w:numId="31">
    <w:abstractNumId w:val="20"/>
  </w:num>
  <w:num w:numId="32">
    <w:abstractNumId w:val="5"/>
  </w:num>
  <w:num w:numId="33">
    <w:abstractNumId w:val="17"/>
  </w:num>
  <w:num w:numId="34">
    <w:abstractNumId w:val="28"/>
  </w:num>
  <w:num w:numId="35">
    <w:abstractNumId w:val="21"/>
  </w:num>
  <w:num w:numId="36">
    <w:abstractNumId w:val="11"/>
  </w:num>
  <w:num w:numId="37">
    <w:abstractNumId w:val="24"/>
  </w:num>
  <w:num w:numId="38">
    <w:abstractNumId w:val="6"/>
  </w:num>
  <w:num w:numId="39">
    <w:abstractNumId w:val="12"/>
  </w:num>
  <w:num w:numId="40">
    <w:abstractNumId w:val="4"/>
  </w:num>
  <w:num w:numId="41">
    <w:abstractNumId w:val="23"/>
  </w:num>
  <w:num w:numId="42">
    <w:abstractNumId w:val="3"/>
  </w:num>
  <w:num w:numId="43">
    <w:abstractNumId w:val="13"/>
  </w:num>
  <w:num w:numId="44">
    <w:abstractNumId w:val="19"/>
  </w:num>
  <w:num w:numId="45">
    <w:abstractNumId w:val="20"/>
  </w:num>
  <w:num w:numId="46">
    <w:abstractNumId w:val="5"/>
  </w:num>
  <w:num w:numId="47">
    <w:abstractNumId w:val="17"/>
  </w:num>
  <w:num w:numId="4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9 08:58:05"/>
    <w:docVar w:name="DQCNUMB_1" w:val="17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AD65B65-C978-4A42-975B-BD209B09B1B7"/>
    <w:docVar w:name="LW_COVERPAGE_TYPE" w:val="1"/>
    <w:docVar w:name="LW_CROSSREFERENCE" w:val="&lt;UNUSED&gt;"/>
    <w:docVar w:name="LW_DocType" w:val="COM"/>
    <w:docVar w:name="LW_EMISSION" w:val="4.3.2020"/>
    <w:docVar w:name="LW_EMISSION_ISODATE" w:val="2020-03-04"/>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35"/>
    <w:docVar w:name="LW_REF.II.NEW.CP_YEAR" w:val="2020"/>
    <w:docVar w:name="LW_REF.INST.NEW" w:val="COM"/>
    <w:docVar w:name="LW_REF.INST.NEW_ADOPTED" w:val="final"/>
    <w:docVar w:name="LW_REF.INST.NEW_TEXT" w:val="(2020)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45?\u1074?\u1088?\u1086?\u1087?\u1077?\u1081?\u1089?\u1082?\u1072? \u1075?\u1086?\u1076?\u1080?\u1085?\u1072? \u1085?\u1072? \u1078?\u1077?\u1083?\u1077?\u1079?\u1086?\u1087?\u1098?\u1090?\u1085?\u1080?\u1103? \u1090?\u1088?\u1072?\u1085?\u1089?\u1087?\u1086?\u1088?\u1090? (2021 \u1075?.)"/>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rPr>
  </w:style>
  <w:style w:type="paragraph" w:styleId="ListParagraph">
    <w:name w:val="List Paragraph"/>
    <w:basedOn w:val="Normal"/>
    <w:uiPriority w:val="34"/>
    <w:qFormat/>
    <w:pPr>
      <w:ind w:left="720"/>
      <w:contextualSpacing/>
    </w:pPr>
  </w:style>
  <w:style w:type="character" w:customStyle="1" w:styleId="Hyperlink0">
    <w:name w:val="Hyperlink.0"/>
    <w:basedOn w:val="DefaultParagraphFont"/>
    <w:rPr>
      <w:color w:val="0000FF"/>
      <w:u w:val="single" w:color="0000FF"/>
      <w:lang w:val="bg-BG"/>
    </w:rPr>
  </w:style>
  <w:style w:type="paragraph" w:customStyle="1" w:styleId="Question">
    <w:name w:val="Question"/>
    <w:basedOn w:val="Normal"/>
    <w:qFormat/>
    <w:pPr>
      <w:spacing w:before="0" w:after="240"/>
      <w:jc w:val="left"/>
    </w:pPr>
    <w:rPr>
      <w:rFonts w:eastAsia="Times New Roman"/>
      <w:b/>
      <w:snapToGrid w:val="0"/>
      <w:sz w:val="20"/>
      <w:szCs w:val="24"/>
      <w:lang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numbering" w:customStyle="1" w:styleId="NoList1">
    <w:name w:val="No List1"/>
    <w:next w:val="NoList"/>
    <w:uiPriority w:val="99"/>
    <w:semiHidden/>
    <w:unhideWhenUsed/>
  </w:style>
  <w:style w:type="character" w:customStyle="1" w:styleId="tw4winError">
    <w:name w:val="tw4winError"/>
    <w:rPr>
      <w:color w:val="00FF00"/>
      <w:sz w:val="40"/>
      <w:lang w:val="bg-BG" w:eastAsia="en-GB"/>
    </w:rPr>
  </w:style>
  <w:style w:type="character" w:customStyle="1" w:styleId="tw4winTerm">
    <w:name w:val="tw4winTerm"/>
    <w:rPr>
      <w:color w:val="0000FF"/>
      <w:lang w:val="bg-BG" w:eastAsia="en-GB"/>
    </w:rPr>
  </w:style>
  <w:style w:type="character" w:customStyle="1" w:styleId="tw4winPopup">
    <w:name w:val="tw4winPopup"/>
    <w:rPr>
      <w:noProof/>
      <w:color w:val="008000"/>
      <w:lang w:val="bg-BG" w:eastAsia="en-GB"/>
    </w:rPr>
  </w:style>
  <w:style w:type="character" w:customStyle="1" w:styleId="tw4winJump">
    <w:name w:val="tw4winJump"/>
    <w:rPr>
      <w:noProof/>
      <w:color w:val="008080"/>
      <w:lang w:val="bg-BG" w:eastAsia="en-GB"/>
    </w:rPr>
  </w:style>
  <w:style w:type="character" w:customStyle="1" w:styleId="tw4winExternal">
    <w:name w:val="tw4winExternal"/>
    <w:rPr>
      <w:noProof/>
      <w:color w:val="808080"/>
      <w:lang w:val="bg-BG" w:eastAsia="en-GB"/>
    </w:rPr>
  </w:style>
  <w:style w:type="character" w:customStyle="1" w:styleId="tw4winInternal">
    <w:name w:val="tw4winInternal"/>
    <w:rPr>
      <w:noProof/>
      <w:color w:val="FF0000"/>
      <w:lang w:val="bg-BG" w:eastAsia="en-GB"/>
    </w:rPr>
  </w:style>
  <w:style w:type="character" w:customStyle="1" w:styleId="DONOTTRANSLATE">
    <w:name w:val="DO_NOT_TRANSLATE"/>
    <w:rPr>
      <w:noProof/>
      <w:color w:val="800000"/>
      <w:lang w:val="bg-B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rPr>
  </w:style>
  <w:style w:type="paragraph" w:styleId="ListParagraph">
    <w:name w:val="List Paragraph"/>
    <w:basedOn w:val="Normal"/>
    <w:uiPriority w:val="34"/>
    <w:qFormat/>
    <w:pPr>
      <w:ind w:left="720"/>
      <w:contextualSpacing/>
    </w:pPr>
  </w:style>
  <w:style w:type="character" w:customStyle="1" w:styleId="Hyperlink0">
    <w:name w:val="Hyperlink.0"/>
    <w:basedOn w:val="DefaultParagraphFont"/>
    <w:rPr>
      <w:color w:val="0000FF"/>
      <w:u w:val="single" w:color="0000FF"/>
      <w:lang w:val="bg-BG"/>
    </w:rPr>
  </w:style>
  <w:style w:type="paragraph" w:customStyle="1" w:styleId="Question">
    <w:name w:val="Question"/>
    <w:basedOn w:val="Normal"/>
    <w:qFormat/>
    <w:pPr>
      <w:spacing w:before="0" w:after="240"/>
      <w:jc w:val="left"/>
    </w:pPr>
    <w:rPr>
      <w:rFonts w:eastAsia="Times New Roman"/>
      <w:b/>
      <w:snapToGrid w:val="0"/>
      <w:sz w:val="20"/>
      <w:szCs w:val="24"/>
      <w:lang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numbering" w:customStyle="1" w:styleId="NoList1">
    <w:name w:val="No List1"/>
    <w:next w:val="NoList"/>
    <w:uiPriority w:val="99"/>
    <w:semiHidden/>
    <w:unhideWhenUsed/>
  </w:style>
  <w:style w:type="character" w:customStyle="1" w:styleId="tw4winError">
    <w:name w:val="tw4winError"/>
    <w:rPr>
      <w:color w:val="00FF00"/>
      <w:sz w:val="40"/>
      <w:lang w:val="bg-BG" w:eastAsia="en-GB"/>
    </w:rPr>
  </w:style>
  <w:style w:type="character" w:customStyle="1" w:styleId="tw4winTerm">
    <w:name w:val="tw4winTerm"/>
    <w:rPr>
      <w:color w:val="0000FF"/>
      <w:lang w:val="bg-BG" w:eastAsia="en-GB"/>
    </w:rPr>
  </w:style>
  <w:style w:type="character" w:customStyle="1" w:styleId="tw4winPopup">
    <w:name w:val="tw4winPopup"/>
    <w:rPr>
      <w:noProof/>
      <w:color w:val="008000"/>
      <w:lang w:val="bg-BG" w:eastAsia="en-GB"/>
    </w:rPr>
  </w:style>
  <w:style w:type="character" w:customStyle="1" w:styleId="tw4winJump">
    <w:name w:val="tw4winJump"/>
    <w:rPr>
      <w:noProof/>
      <w:color w:val="008080"/>
      <w:lang w:val="bg-BG" w:eastAsia="en-GB"/>
    </w:rPr>
  </w:style>
  <w:style w:type="character" w:customStyle="1" w:styleId="tw4winExternal">
    <w:name w:val="tw4winExternal"/>
    <w:rPr>
      <w:noProof/>
      <w:color w:val="808080"/>
      <w:lang w:val="bg-BG" w:eastAsia="en-GB"/>
    </w:rPr>
  </w:style>
  <w:style w:type="character" w:customStyle="1" w:styleId="tw4winInternal">
    <w:name w:val="tw4winInternal"/>
    <w:rPr>
      <w:noProof/>
      <w:color w:val="FF0000"/>
      <w:lang w:val="bg-BG" w:eastAsia="en-GB"/>
    </w:rPr>
  </w:style>
  <w:style w:type="character" w:customStyle="1" w:styleId="DONOTTRANSLATE">
    <w:name w:val="DO_NOT_TRANSLATE"/>
    <w:rPr>
      <w:noProof/>
      <w:color w:val="800000"/>
      <w:lang w:val="bg-B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7342">
      <w:bodyDiv w:val="1"/>
      <w:marLeft w:val="0"/>
      <w:marRight w:val="0"/>
      <w:marTop w:val="0"/>
      <w:marBottom w:val="0"/>
      <w:divBdr>
        <w:top w:val="none" w:sz="0" w:space="0" w:color="auto"/>
        <w:left w:val="none" w:sz="0" w:space="0" w:color="auto"/>
        <w:bottom w:val="none" w:sz="0" w:space="0" w:color="auto"/>
        <w:right w:val="none" w:sz="0" w:space="0" w:color="auto"/>
      </w:divBdr>
    </w:div>
    <w:div w:id="434254207">
      <w:bodyDiv w:val="1"/>
      <w:marLeft w:val="0"/>
      <w:marRight w:val="0"/>
      <w:marTop w:val="0"/>
      <w:marBottom w:val="0"/>
      <w:divBdr>
        <w:top w:val="none" w:sz="0" w:space="0" w:color="auto"/>
        <w:left w:val="none" w:sz="0" w:space="0" w:color="auto"/>
        <w:bottom w:val="none" w:sz="0" w:space="0" w:color="auto"/>
        <w:right w:val="none" w:sz="0" w:space="0" w:color="auto"/>
      </w:divBdr>
    </w:div>
    <w:div w:id="871042661">
      <w:bodyDiv w:val="1"/>
      <w:marLeft w:val="0"/>
      <w:marRight w:val="0"/>
      <w:marTop w:val="0"/>
      <w:marBottom w:val="0"/>
      <w:divBdr>
        <w:top w:val="none" w:sz="0" w:space="0" w:color="auto"/>
        <w:left w:val="none" w:sz="0" w:space="0" w:color="auto"/>
        <w:bottom w:val="none" w:sz="0" w:space="0" w:color="auto"/>
        <w:right w:val="none" w:sz="0" w:space="0" w:color="auto"/>
      </w:divBdr>
    </w:div>
    <w:div w:id="1814445648">
      <w:bodyDiv w:val="1"/>
      <w:marLeft w:val="0"/>
      <w:marRight w:val="0"/>
      <w:marTop w:val="0"/>
      <w:marBottom w:val="0"/>
      <w:divBdr>
        <w:top w:val="none" w:sz="0" w:space="0" w:color="auto"/>
        <w:left w:val="none" w:sz="0" w:space="0" w:color="auto"/>
        <w:bottom w:val="none" w:sz="0" w:space="0" w:color="auto"/>
        <w:right w:val="none" w:sz="0" w:space="0" w:color="auto"/>
      </w:divBdr>
      <w:divsChild>
        <w:div w:id="1442797156">
          <w:marLeft w:val="0"/>
          <w:marRight w:val="0"/>
          <w:marTop w:val="0"/>
          <w:marBottom w:val="0"/>
          <w:divBdr>
            <w:top w:val="none" w:sz="0" w:space="0" w:color="auto"/>
            <w:left w:val="none" w:sz="0" w:space="0" w:color="auto"/>
            <w:bottom w:val="none" w:sz="0" w:space="0" w:color="auto"/>
            <w:right w:val="none" w:sz="0" w:space="0" w:color="auto"/>
          </w:divBdr>
          <w:divsChild>
            <w:div w:id="1903440168">
              <w:marLeft w:val="0"/>
              <w:marRight w:val="0"/>
              <w:marTop w:val="0"/>
              <w:marBottom w:val="0"/>
              <w:divBdr>
                <w:top w:val="none" w:sz="0" w:space="0" w:color="auto"/>
                <w:left w:val="none" w:sz="0" w:space="0" w:color="auto"/>
                <w:bottom w:val="none" w:sz="0" w:space="0" w:color="auto"/>
                <w:right w:val="none" w:sz="0" w:space="0" w:color="auto"/>
              </w:divBdr>
            </w:div>
          </w:divsChild>
        </w:div>
        <w:div w:id="1582910058">
          <w:marLeft w:val="0"/>
          <w:marRight w:val="0"/>
          <w:marTop w:val="0"/>
          <w:marBottom w:val="0"/>
          <w:divBdr>
            <w:top w:val="none" w:sz="0" w:space="0" w:color="auto"/>
            <w:left w:val="none" w:sz="0" w:space="0" w:color="auto"/>
            <w:bottom w:val="none" w:sz="0" w:space="0" w:color="auto"/>
            <w:right w:val="none" w:sz="0" w:space="0" w:color="auto"/>
          </w:divBdr>
          <w:divsChild>
            <w:div w:id="854542557">
              <w:marLeft w:val="0"/>
              <w:marRight w:val="0"/>
              <w:marTop w:val="0"/>
              <w:marBottom w:val="0"/>
              <w:divBdr>
                <w:top w:val="none" w:sz="0" w:space="0" w:color="auto"/>
                <w:left w:val="none" w:sz="0" w:space="0" w:color="auto"/>
                <w:bottom w:val="none" w:sz="0" w:space="0" w:color="auto"/>
                <w:right w:val="none" w:sz="0" w:space="0" w:color="auto"/>
              </w:divBdr>
              <w:divsChild>
                <w:div w:id="198859044">
                  <w:marLeft w:val="0"/>
                  <w:marRight w:val="0"/>
                  <w:marTop w:val="0"/>
                  <w:marBottom w:val="0"/>
                  <w:divBdr>
                    <w:top w:val="none" w:sz="0" w:space="0" w:color="auto"/>
                    <w:left w:val="none" w:sz="0" w:space="0" w:color="auto"/>
                    <w:bottom w:val="none" w:sz="0" w:space="0" w:color="auto"/>
                    <w:right w:val="none" w:sz="0" w:space="0" w:color="auto"/>
                  </w:divBdr>
                </w:div>
                <w:div w:id="1369060614">
                  <w:marLeft w:val="0"/>
                  <w:marRight w:val="0"/>
                  <w:marTop w:val="0"/>
                  <w:marBottom w:val="0"/>
                  <w:divBdr>
                    <w:top w:val="none" w:sz="0" w:space="0" w:color="auto"/>
                    <w:left w:val="none" w:sz="0" w:space="0" w:color="auto"/>
                    <w:bottom w:val="none" w:sz="0" w:space="0" w:color="auto"/>
                    <w:right w:val="none" w:sz="0" w:space="0" w:color="auto"/>
                  </w:divBdr>
                </w:div>
                <w:div w:id="828404474">
                  <w:marLeft w:val="0"/>
                  <w:marRight w:val="0"/>
                  <w:marTop w:val="0"/>
                  <w:marBottom w:val="0"/>
                  <w:divBdr>
                    <w:top w:val="none" w:sz="0" w:space="0" w:color="auto"/>
                    <w:left w:val="none" w:sz="0" w:space="0" w:color="auto"/>
                    <w:bottom w:val="none" w:sz="0" w:space="0" w:color="auto"/>
                    <w:right w:val="none" w:sz="0" w:space="0" w:color="auto"/>
                  </w:divBdr>
                </w:div>
                <w:div w:id="400950401">
                  <w:marLeft w:val="0"/>
                  <w:marRight w:val="0"/>
                  <w:marTop w:val="0"/>
                  <w:marBottom w:val="0"/>
                  <w:divBdr>
                    <w:top w:val="none" w:sz="0" w:space="0" w:color="auto"/>
                    <w:left w:val="none" w:sz="0" w:space="0" w:color="auto"/>
                    <w:bottom w:val="none" w:sz="0" w:space="0" w:color="auto"/>
                    <w:right w:val="none" w:sz="0" w:space="0" w:color="auto"/>
                  </w:divBdr>
                </w:div>
                <w:div w:id="1397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myintracomm.ec.europa.eu/budgweb/EN/pre/legalbasis/Pages/pre-040-020_preparation.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844DD9-84F1-4085-A185-4F29D78F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30</Pages>
  <Words>7431</Words>
  <Characters>44815</Characters>
  <Application>Microsoft Office Word</Application>
  <DocSecurity>0</DocSecurity>
  <Lines>2240</Lines>
  <Paragraphs>768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dcterms:created xsi:type="dcterms:W3CDTF">2020-03-06T13:26:00Z</dcterms:created>
  <dcterms:modified xsi:type="dcterms:W3CDTF">2020-03-09T07:58:00Z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