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1CB10B02-6B26-473D-BB4F-24EB9C9FAA7E" style="width:450.75pt;height:393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ПРЕПОРЪКАТА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</w:r>
      <w:r>
        <w:rPr>
          <w:noProof/>
        </w:rPr>
        <w:t>Основания и цели на препоръката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На 7 декември 2015 г. Европейската комисия предложи Стратегия за въздухоплаването в Европа, в която са включени редица предложения за решения на Съвета за упълномощаване на Комисията да започне преговори между Европейския съюз и някои трети държави относно всеобхватни споразумения за въздушен транспорт. Едно от тези предложения (COM (2015) 609 final) се отнасяше до започването на преговори с Асоциацията на страните от Югоизточна Азия (АСЕАН).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На 7 юни 2016 г. Съветът реши да упълномощи Комисията да започне преговори за всеобхватно споразумение за въздушен транспорт между Европейския съюз и неговите държави членки и държавите — членки на АСЕАН, по отношение на въпросите от изключителната компетентност на Съюза. Решението на Съвета е с валидност от четири години, т.е. срокът му изтича на 7 юни 2020 г.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Във връзка с решението на Съвета Комисията направи изявление, че времевото ограничение на упълномощаването е несъвместимо с Договорите, и по-специално с член 218, параграф 3 от ДФЕС.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На 24 юни 2016 г. Комисията информира правителството на всяка от 10-те държави — членки на АСЕАН, за упълномощаването от Съвета да започне преговори с държавите — членки на АСЕАН, и прикани АСЕАН да започне преговори.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Първият кръг от преговорите се проведе на 27—28 ноември 2016 г. в Брюксел. Осмият — засега последен — кръг от преговорите се проведе на 20—22 ноември 2018 г. в Залцбург. По време на осмия кръг от преговорите повечето части на проекта за споразумение бяха договорени, а двете страни се споразумяха да се проведат вътрешни консултации по няколко нерешени въпроса.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Вътрешните консултации от страна на АСЕАН все още продължават.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Целта на настоящата препоръка е да се прикани Съветът да измени решението си от 7 юни 2016 г., без да изменя указанията за водене на преговорите, приложени към решението на Съвета.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</w:r>
      <w:r>
        <w:rPr>
          <w:noProof/>
        </w:rPr>
        <w:t>Съгласуваност с действащите разпоредби в тази област на политиката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Препоръката за изменение на Решението от юни 2016 г. за упълномощаване на Комисията да започне преговори с държавите — членки на АСЕАН, е в пълно съответствие с целите на външната политика на Съюза, посочени във всеобхватната стратегия за въздухоплаването, предложена през декември 2015 г. от Комисията с цел укрепване на конкурентоспособността на европейския сектор на въздухоплаването.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</w:r>
      <w:r>
        <w:rPr>
          <w:noProof/>
        </w:rPr>
        <w:t>Съгласуваност с други политики на Съюза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Тази препоръка е в пълно съответствие с целите на политиката на Съюза в областта на въздухоплаването и също така насърчава други цели на политиката и свързаните политики, например в областта на трудовите права, околната среда и борбата с изменението на климата, с оглед на по-успешното постигане на тези цели от двете страни.</w:t>
      </w:r>
    </w:p>
    <w:p>
      <w:pPr>
        <w:pStyle w:val="ManualHeading1"/>
        <w:rPr>
          <w:noProof/>
        </w:rPr>
      </w:pPr>
      <w:r>
        <w:rPr>
          <w:noProof/>
        </w:rPr>
        <w:lastRenderedPageBreak/>
        <w:t>2.</w:t>
      </w:r>
      <w:r>
        <w:rPr>
          <w:noProof/>
        </w:rPr>
        <w:tab/>
        <w:t>ПРАВНО ОСНОВАНИЕ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>Правно основание</w:t>
      </w:r>
    </w:p>
    <w:p>
      <w:pPr>
        <w:spacing w:after="240"/>
        <w:rPr>
          <w:rFonts w:eastAsia="Arial Unicode MS"/>
          <w:noProof/>
          <w:u w:color="000000"/>
          <w:bdr w:val="nil"/>
        </w:rPr>
      </w:pPr>
      <w:r>
        <w:rPr>
          <w:noProof/>
        </w:rPr>
        <w:t>Член 218, параграф 3 от ДФЕС.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  <w:u w:color="000000"/>
          <w:bdr w:val="nil"/>
        </w:rPr>
        <w:tab/>
        <w:t>Избор на инструмент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Предлаган инструмент: Решение на Съвета по член 218, параграф 3 от ДФЕС.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Други средства не биха били подходящи поради следната причина: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Предвидената процедура за международни преговори в областта на транспорта е решение на Съвета по член 218, параграф 3 от ДФЕС за упълномощаване на Комисията да започне преговори.</w:t>
      </w:r>
    </w:p>
    <w:p>
      <w:pPr>
        <w:rPr>
          <w:noProof/>
        </w:rPr>
      </w:pP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Statut"/>
        <w:rPr>
          <w:noProof/>
        </w:rPr>
      </w:pPr>
      <w:r>
        <w:rPr>
          <w:noProof/>
        </w:rPr>
        <w:lastRenderedPageBreak/>
        <w:t>Препоръка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за изменение на Решението на Съвета от 7 юни 2016 г. за упълномощаване на Комисията да започне преговори за всеобхватно споразумение за въздушен транспорт между Европейския съюз и неговите държави членки и държавите — членки на Асоциацията на страните от Югоизточна Азия (АСЕАН), по отношение на въпросите от изключителната компетентност на Съюза</w:t>
      </w:r>
      <w:r>
        <w:rPr>
          <w:noProof/>
        </w:rPr>
        <w:br/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 218, параграф 3 от него,</w:t>
      </w:r>
    </w:p>
    <w:p>
      <w:pPr>
        <w:rPr>
          <w:noProof/>
        </w:rPr>
      </w:pPr>
      <w:r>
        <w:rPr>
          <w:noProof/>
        </w:rPr>
        <w:t>като взе предвид препоръката на Комисията,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rPr>
          <w:noProof/>
        </w:rPr>
      </w:pPr>
      <w:r>
        <w:rPr>
          <w:noProof/>
        </w:rPr>
        <w:t>Веднага след приемането на Решението на Съвета от 7 юни 2016 г. за упълномощаване на Комисията да започне преговори за всеобхватно споразумение за въздушен транспорт между Европейския съюз и неговите държави членки и държавите — членки на Асоциацията на страните от Югоизточна Азия (АСЕАН), по отношение на въпросите от изключителната компетентност на Съюза, Комисията се свърза с всяка от държавите — членки на АСЕАН, с оглед на започването на преговори.</w:t>
      </w:r>
    </w:p>
    <w:p>
      <w:pPr>
        <w:rPr>
          <w:noProof/>
        </w:rPr>
      </w:pPr>
      <w:r>
        <w:rPr>
          <w:noProof/>
        </w:rPr>
        <w:t>От ноември 2016 г. насам бяха проведени осем кръга от преговори.</w:t>
      </w:r>
    </w:p>
    <w:p>
      <w:pPr>
        <w:rPr>
          <w:noProof/>
        </w:rPr>
      </w:pPr>
      <w:r>
        <w:rPr>
          <w:noProof/>
        </w:rPr>
        <w:t>При тези обстоятелства е малко вероятно преговорите да приключат успешно преди изтичането на упълномощаването, предоставено с решението на Съвета от 7 юни 2016 г., т.е. до 7 юни 2020 г.</w:t>
      </w:r>
    </w:p>
    <w:p>
      <w:pPr>
        <w:rPr>
          <w:noProof/>
        </w:rPr>
      </w:pPr>
      <w:r>
        <w:rPr>
          <w:noProof/>
        </w:rPr>
        <w:t>Поради това е необходимо да се измени посоченото решение, за да се даде възможност на Комисията да проведе преговорите в рамка, която води до успешно приключване в интерес на Съюза,</w:t>
      </w:r>
    </w:p>
    <w:p>
      <w:pPr>
        <w:rPr>
          <w:noProof/>
        </w:rPr>
      </w:pPr>
      <w:r>
        <w:rPr>
          <w:noProof/>
        </w:rPr>
        <w:t xml:space="preserve"> 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Решението на Съвета от 7 юни 2016 г. за упълномощаване на Комисията да започне преговори за всеобхватно споразумение за въздушен транспорт между Европейския съюз и неговите държави членки и държавите — членки на Асоциацията на страните от Югоизточна Азия (АСЕАН), по отношение на въпросите от изключителната компетентност на Съюза се изменя, както следва:</w:t>
      </w:r>
    </w:p>
    <w:p>
      <w:pPr>
        <w:rPr>
          <w:noProof/>
        </w:rPr>
      </w:pPr>
    </w:p>
    <w:p>
      <w:pPr>
        <w:pStyle w:val="ManualNumPar1"/>
        <w:rPr>
          <w:noProof/>
        </w:rPr>
      </w:pPr>
      <w:r>
        <w:t>1.</w:t>
      </w:r>
      <w:r>
        <w:tab/>
      </w:r>
      <w:r>
        <w:rPr>
          <w:noProof/>
        </w:rPr>
        <w:t>заглавието на решението се заменя със следното заглавие:</w:t>
      </w:r>
    </w:p>
    <w:p>
      <w:pPr>
        <w:ind w:left="1080"/>
        <w:rPr>
          <w:noProof/>
        </w:rPr>
      </w:pPr>
      <w:r>
        <w:rPr>
          <w:noProof/>
        </w:rPr>
        <w:t xml:space="preserve">„Решение на Съвета от 7 юни 2016 година за упълномощаване на Комисията да започне преговори за всеобхватно споразумение за въздушен транспорт </w:t>
      </w:r>
      <w:r>
        <w:rPr>
          <w:noProof/>
        </w:rPr>
        <w:lastRenderedPageBreak/>
        <w:t>между Европейския съюз и неговите държави членки и държавите — членки на Асоциацията на страните от Югоизточна Азия (АСЕАН)“;</w:t>
      </w:r>
    </w:p>
    <w:p>
      <w:pPr>
        <w:ind w:left="1080"/>
        <w:rPr>
          <w:noProof/>
        </w:rPr>
      </w:pPr>
    </w:p>
    <w:p>
      <w:pPr>
        <w:pStyle w:val="ManualNumPar1"/>
        <w:rPr>
          <w:noProof/>
        </w:rPr>
      </w:pPr>
      <w:r>
        <w:t>2.</w:t>
      </w:r>
      <w:r>
        <w:tab/>
      </w:r>
      <w:r>
        <w:rPr>
          <w:noProof/>
        </w:rPr>
        <w:t>член 1 се заменя със следното:</w:t>
      </w:r>
    </w:p>
    <w:p>
      <w:pPr>
        <w:ind w:left="1080"/>
        <w:rPr>
          <w:noProof/>
        </w:rPr>
      </w:pPr>
      <w:r>
        <w:rPr>
          <w:noProof/>
        </w:rPr>
        <w:t>„Комисията се упълномощава да води преговори от името на Съюза за всеобхватно споразумение за въздушен транспорт с държавите — членки на Асоциацията на страните от Югоизточна Азия (АСЕАН).“;</w:t>
      </w:r>
    </w:p>
    <w:p>
      <w:pPr>
        <w:ind w:left="1080"/>
        <w:rPr>
          <w:noProof/>
        </w:rPr>
      </w:pPr>
    </w:p>
    <w:p>
      <w:pPr>
        <w:pStyle w:val="ManualNumPar1"/>
        <w:rPr>
          <w:noProof/>
        </w:rPr>
      </w:pPr>
      <w:r>
        <w:t>3.</w:t>
      </w:r>
      <w:r>
        <w:tab/>
      </w:r>
      <w:r>
        <w:rPr>
          <w:noProof/>
        </w:rPr>
        <w:t>член 3а се заменя със следното:</w:t>
      </w:r>
    </w:p>
    <w:p>
      <w:pPr>
        <w:rPr>
          <w:noProof/>
        </w:rPr>
      </w:pPr>
      <w:r>
        <w:rPr>
          <w:noProof/>
        </w:rPr>
        <w:tab/>
        <w:t xml:space="preserve">      „Настоящото решение е с неограничен срок на действие.“.</w:t>
      </w:r>
    </w:p>
    <w:p>
      <w:pPr>
        <w:rPr>
          <w:noProof/>
        </w:rPr>
      </w:pP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Адресат на настоящото решение е Комисията.</w:t>
      </w:r>
    </w:p>
    <w:p>
      <w:pPr>
        <w:rPr>
          <w:noProof/>
        </w:rPr>
      </w:pP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93C05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91AD4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93C67F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CF2BA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ADDC46C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28A79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452E2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168F4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20-03-18 18:13:10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4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8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1CB10B02-6B26-473D-BB4F-24EB9C9FAA7E"/>
    <w:docVar w:name="LW_COVERPAGE_TYPE" w:val="1"/>
    <w:docVar w:name="LW_CROSSREFERENCE" w:val="&lt;UNUSED&gt;"/>
    <w:docVar w:name="LW_DocType" w:val="COM"/>
    <w:docVar w:name="LW_EMISSION" w:val="20.3.2020"/>
    <w:docVar w:name="LW_EMISSION_ISODATE" w:val="2020-03-20"/>
    <w:docVar w:name="LW_EMISSION_LOCATION" w:val="BRX"/>
    <w:docVar w:name="LW_EMISSION_PREFIX" w:val="Брюксел, "/>
    <w:docVar w:name="LW_EMISSION_SUFFIX" w:val=" \u1075?."/>
    <w:docVar w:name="LW_ID_DOCMODEL" w:val="SG-001"/>
    <w:docVar w:name="LW_ID_DOCSIGNATURE" w:val="SG-001"/>
    <w:docVar w:name="LW_ID_DOCSTRUCTURE" w:val="COM/PL/ORG"/>
    <w:docVar w:name="LW_ID_DOCTYPE" w:val="SG-001"/>
    <w:docVar w:name="LW_ID_STATUT" w:val="SG-001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20"/>
    <w:docVar w:name="LW_REF.INST.NEW" w:val="COM"/>
    <w:docVar w:name="LW_REF.INST.NEW_ADOPTED" w:val="final"/>
    <w:docVar w:name="LW_REF.INST.NEW_TEXT" w:val="(2020) 10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\u1055?\u1088?\u1077?\u1087?\u1086?\u1088?\u1098?\u1082?\u1072? \u1079?\u1072?"/>
    <w:docVar w:name="LW_SUPERTITRE" w:val="&lt;UNUSED&gt;"/>
    <w:docVar w:name="LW_TITRE.OBJ.CP" w:val="\u1079?\u1072? \u1080?\u1079?\u1084?\u1077?\u1085?\u1077?\u1085?\u1080?\u1077? \u1085?\u1072? \u1056?\u1077?\u1096?\u1077?\u1085?\u1080?\u1077?\u1090?\u1086? \u1085?\u1072? \u1057?\u1098?\u1074?\u1077?\u1090?\u1072? \u1086?\u1090? 7 \u1102?\u1085?\u1080? 2016 \u1075?. \u1079?\u1072? \u1091?\u1087?\u1098?\u1083?\u1085?\u1086?\u1084?\u1086?\u1097?\u1072?\u1074?\u1072?\u1085?\u1077? \u1085?\u1072? \u1050?\u1086?\u1084?\u1080?\u1089?\u1080?\u1103?\u1090?\u1072? \u1076?\u1072? \u1079?\u1072?\u1087?\u1086?\u1095?\u1085?\u1077? \u1087?\u1088?\u1077?\u1075?\u1086?\u1074?\u1086?\u1088?\u1080? \u1079?\u1072? \u1074?\u1089?\u1077?\u1086?\u1073?\u1093?\u1074?\u1072?\u1090?\u1085?\u1086? \u1089?\u1087?\u1086?\u1088?\u1072?\u1079?\u1091?\u1084?\u1077?\u1085?\u1080?\u1077? \u1079?\u1072? \u1074?\u1098?\u1079?\u1076?\u1091?\u1096?\u1077?\u1085? \u1090?\u1088?\u1072?\u1085?\u1089?\u1087?\u1086?\u1088?\u1090? \u1084?\u1077?\u1078?\u1076?\u1091? \u1045?\u1074?\u1088?\u1086?\u1087?\u1077?\u1081?\u1089?\u1082?\u1080?\u1103? \u1089?\u1098?\u1102?\u1079? \u1080? \u1085?\u1077?\u1075?\u1086?\u1074?\u1080?\u1090?\u1077? \u1076?\u1098?\u1088?\u1078?\u1072?\u1074?\u1080? \u1095?\u1083?\u1077?\u1085?\u1082?\u1080? \u1080? \u1076?\u1098?\u1088?\u1078?\u1072?\u1074?\u1080?\u1090?\u1077? \u8212? \u1095?\u1083?\u1077?\u1085?\u1082?\u1080? \u1085?\u1072? \u1040?\u1089?\u1086?\u1094?\u1080?\u1072?\u1094?\u1080?\u1103?\u1090?\u1072? \u1085?\u1072? \u1089?\u1090?\u1088?\u1072?\u1085?\u1080?\u1090?\u1077? \u1086?\u1090? \u1070?\u1075?\u1086?\u1080?\u1079?\u1090?\u1086?\u1095?\u1085?\u1072? \u1040?\u1079?\u1080?\u1103? (\u1040?\u1057?\u1045?\u1040?\u1053?), \u1087?\u1086? \u1086?\u1090?\u1085?\u1086?\u1096?\u1077?\u1085?\u1080?\u1077? \u1085?\u1072? \u1074?\u1098?\u1087?\u1088?\u1086?\u1089?\u1080?\u1090?\u1077? \u1086?\u1090? \u1080?\u1079?\u1082?\u1083?\u1102?\u1095?\u1080?\u1090?\u1077?\u1083?\u1085?\u1072?\u1090?\u1072? \u1082?\u1086?\u1084?\u1087?\u1077?\u1090?\u1077?\u1085?\u1090?\u1085?\u1086?\u1089?\u1090? \u1085?\u1072? \u1057?\u1098?\u1102?\u1079?\u1072?_x000b_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F4AF4-992E-465D-9BA3-CF74B8F18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5</Pages>
  <Words>881</Words>
  <Characters>4887</Characters>
  <Application>Microsoft Office Word</Application>
  <DocSecurity>0</DocSecurity>
  <Lines>111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WES PDFC Administrator</cp:lastModifiedBy>
  <cp:revision>18</cp:revision>
  <cp:lastPrinted>2020-02-20T15:47:00Z</cp:lastPrinted>
  <dcterms:created xsi:type="dcterms:W3CDTF">2020-03-06T16:47:00Z</dcterms:created>
  <dcterms:modified xsi:type="dcterms:W3CDTF">2020-03-18T17:13:00Z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5.8.86.0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5.8.4, Build 20150407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WTemplateID">
    <vt:lpwstr>SG-001</vt:lpwstr>
  </property>
  <property fmtid="{D5CDD505-2E9C-101B-9397-08002B2CF9AE}" pid="9" name="_NewReviewCycle">
    <vt:lpwstr/>
  </property>
  <property fmtid="{D5CDD505-2E9C-101B-9397-08002B2CF9AE}" pid="10" name="Level of sensitivity">
    <vt:lpwstr>Standard treatment</vt:lpwstr>
  </property>
  <property fmtid="{D5CDD505-2E9C-101B-9397-08002B2CF9AE}" pid="11" name="DQCStatus">
    <vt:lpwstr>Green (DQC version 03)</vt:lpwstr>
  </property>
</Properties>
</file>